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252095</wp:posOffset>
            </wp:positionH>
            <wp:positionV relativeFrom="page">
              <wp:posOffset>354965</wp:posOffset>
            </wp:positionV>
            <wp:extent cx="705802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58025" cy="17145"/>
                    </a:xfrm>
                    <a:prstGeom prst="rect">
                      <a:avLst/>
                    </a:prstGeom>
                    <a:noFill/>
                  </pic:spPr>
                </pic:pic>
              </a:graphicData>
            </a:graphic>
          </wp:anchor>
        </w:drawing>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3109595</wp:posOffset>
            </wp:positionH>
            <wp:positionV relativeFrom="paragraph">
              <wp:posOffset>158750</wp:posOffset>
            </wp:positionV>
            <wp:extent cx="10375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37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82" w:lineRule="exact"/>
        <w:rPr>
          <w:sz w:val="24"/>
          <w:szCs w:val="24"/>
          <w:color w:val="auto"/>
        </w:rPr>
      </w:pPr>
    </w:p>
    <w:p>
      <w:pPr>
        <w:ind w:left="660" w:right="1540" w:hanging="611"/>
        <w:spacing w:after="0" w:line="276" w:lineRule="auto"/>
        <w:tabs>
          <w:tab w:leader="none" w:pos="741"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2019</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53" w:lineRule="exact"/>
        <w:rPr>
          <w:sz w:val="24"/>
          <w:szCs w:val="24"/>
          <w:color w:val="auto"/>
        </w:rPr>
      </w:pPr>
    </w:p>
    <w:p>
      <w:pPr>
        <w:ind w:left="740" w:hanging="691"/>
        <w:spacing w:after="0"/>
        <w:tabs>
          <w:tab w:leader="none" w:pos="740"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ectPr>
          <w:pgSz w:w="11900" w:h="16838" w:orient="portrait"/>
          <w:cols w:equalWidth="0" w:num="1">
            <w:col w:w="11420"/>
          </w:cols>
          <w:pgMar w:left="240" w:top="612" w:right="239" w:bottom="1440" w:gutter="0" w:footer="0" w:header="0"/>
        </w:sectPr>
      </w:pPr>
    </w:p>
    <w:p>
      <w:pPr>
        <w:spacing w:after="0" w:line="48" w:lineRule="exact"/>
        <w:rPr>
          <w:sz w:val="24"/>
          <w:szCs w:val="24"/>
          <w:color w:val="auto"/>
        </w:rPr>
      </w:pPr>
    </w:p>
    <w:p>
      <w:pPr>
        <w:ind w:left="660"/>
        <w:spacing w:after="0"/>
        <w:tabs>
          <w:tab w:leader="none" w:pos="35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ectPr>
          <w:pgSz w:w="11900" w:h="16838" w:orient="portrait"/>
          <w:cols w:equalWidth="0" w:num="1">
            <w:col w:w="11420"/>
          </w:cols>
          <w:pgMar w:left="240" w:top="612" w:right="239" w:bottom="1440" w:gutter="0" w:footer="0" w:header="0"/>
          <w:type w:val="continuous"/>
        </w:sectPr>
      </w:pP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000-22418</w:t>
      </w:r>
    </w:p>
    <w:p>
      <w:pPr>
        <w:sectPr>
          <w:pgSz w:w="11900" w:h="16838" w:orient="portrait"/>
          <w:cols w:equalWidth="0" w:num="1">
            <w:col w:w="11420"/>
          </w:cols>
          <w:pgMar w:left="240" w:top="612" w:right="239" w:bottom="1440" w:gutter="0" w:footer="0" w:header="0"/>
          <w:type w:val="continuous"/>
        </w:sectPr>
      </w:pPr>
    </w:p>
    <w:p>
      <w:pPr>
        <w:spacing w:after="0" w:line="7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ITRON, INC.</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(Exact name of registrant as specified in its charter)</w:t>
      </w:r>
    </w:p>
    <w:p>
      <w:pPr>
        <w:sectPr>
          <w:pgSz w:w="11900" w:h="16838" w:orient="portrait"/>
          <w:cols w:equalWidth="0" w:num="1">
            <w:col w:w="11420"/>
          </w:cols>
          <w:pgMar w:left="240" w:top="612" w:right="239" w:bottom="1440" w:gutter="0" w:footer="0" w:header="0"/>
          <w:type w:val="continuous"/>
        </w:sectPr>
      </w:pPr>
    </w:p>
    <w:p>
      <w:pPr>
        <w:spacing w:after="0" w:line="175" w:lineRule="exact"/>
        <w:rPr>
          <w:sz w:val="24"/>
          <w:szCs w:val="24"/>
          <w:color w:val="auto"/>
        </w:rPr>
      </w:pPr>
    </w:p>
    <w:p>
      <w:pPr>
        <w:ind w:left="2260"/>
        <w:spacing w:after="0"/>
        <w:rPr>
          <w:sz w:val="20"/>
          <w:szCs w:val="20"/>
          <w:color w:val="auto"/>
        </w:rPr>
      </w:pPr>
      <w:r>
        <w:rPr>
          <w:rFonts w:ascii="Arial" w:cs="Arial" w:eastAsia="Arial" w:hAnsi="Arial"/>
          <w:sz w:val="16"/>
          <w:szCs w:val="16"/>
          <w:b w:val="1"/>
          <w:bCs w:val="1"/>
          <w:color w:val="auto"/>
        </w:rPr>
        <w:t>Washington</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91-1011792</w:t>
      </w:r>
    </w:p>
    <w:p>
      <w:pPr>
        <w:spacing w:after="0" w:line="86" w:lineRule="exact"/>
        <w:rPr>
          <w:sz w:val="24"/>
          <w:szCs w:val="24"/>
          <w:color w:val="auto"/>
        </w:rPr>
      </w:pPr>
    </w:p>
    <w:p>
      <w:pPr>
        <w:sectPr>
          <w:pgSz w:w="11900" w:h="16838" w:orient="portrait"/>
          <w:cols w:equalWidth="0" w:num="2">
            <w:col w:w="7440" w:space="720"/>
            <w:col w:w="3260"/>
          </w:cols>
          <w:pgMar w:left="240" w:top="612" w:right="239" w:bottom="1440" w:gutter="0" w:footer="0" w:header="0"/>
          <w:type w:val="continuous"/>
        </w:sectPr>
      </w:pPr>
    </w:p>
    <w:p>
      <w:pPr>
        <w:ind w:left="1800"/>
        <w:spacing w:after="0"/>
        <w:rPr>
          <w:sz w:val="20"/>
          <w:szCs w:val="20"/>
          <w:color w:val="auto"/>
        </w:rPr>
      </w:pPr>
      <w:r>
        <w:rPr>
          <w:rFonts w:ascii="Arial" w:cs="Arial" w:eastAsia="Arial" w:hAnsi="Arial"/>
          <w:sz w:val="16"/>
          <w:szCs w:val="16"/>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(I.R.S. Employer Identification Number)</w:t>
      </w:r>
    </w:p>
    <w:p>
      <w:pPr>
        <w:spacing w:after="0" w:line="200" w:lineRule="exact"/>
        <w:rPr>
          <w:sz w:val="24"/>
          <w:szCs w:val="24"/>
          <w:color w:val="auto"/>
        </w:rPr>
      </w:pPr>
    </w:p>
    <w:p>
      <w:pPr>
        <w:sectPr>
          <w:pgSz w:w="11900" w:h="16838" w:orient="portrait"/>
          <w:cols w:equalWidth="0" w:num="2">
            <w:col w:w="6300" w:space="720"/>
            <w:col w:w="4400"/>
          </w:cols>
          <w:pgMar w:left="240" w:top="612" w:right="239" w:bottom="1440" w:gutter="0" w:footer="0" w:header="0"/>
          <w:type w:val="continuous"/>
        </w:sectPr>
      </w:pP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2111 N Molter Road, Liberty Lake, Washington 99019</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(509) 924-9900</w:t>
      </w:r>
    </w:p>
    <w:p>
      <w:pPr>
        <w:spacing w:after="0" w:line="13" w:lineRule="exact"/>
        <w:rPr>
          <w:sz w:val="24"/>
          <w:szCs w:val="24"/>
          <w:color w:val="auto"/>
        </w:rPr>
      </w:pPr>
    </w:p>
    <w:p>
      <w:pPr>
        <w:jc w:val="center"/>
        <w:ind w:right="40"/>
        <w:spacing w:after="0"/>
        <w:rPr>
          <w:sz w:val="20"/>
          <w:szCs w:val="20"/>
          <w:color w:val="auto"/>
        </w:rPr>
      </w:pPr>
      <w:r>
        <w:rPr>
          <w:rFonts w:ascii="Arial" w:cs="Arial" w:eastAsia="Arial" w:hAnsi="Arial"/>
          <w:sz w:val="14"/>
          <w:szCs w:val="14"/>
          <w:b w:val="1"/>
          <w:bCs w:val="1"/>
          <w:color w:val="auto"/>
        </w:rPr>
        <w:t>(Address and telephone number of registrant's principal executive offices)</w:t>
      </w:r>
    </w:p>
    <w:p>
      <w:pPr>
        <w:spacing w:after="0" w:line="293"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3100705</wp:posOffset>
            </wp:positionH>
            <wp:positionV relativeFrom="paragraph">
              <wp:posOffset>-431165</wp:posOffset>
            </wp:positionV>
            <wp:extent cx="10547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spacing w:after="0" w:line="5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x No </w:t>
      </w:r>
      <w:r>
        <w:rPr>
          <w:rFonts w:ascii="MS PGothic" w:cs="MS PGothic" w:eastAsia="MS PGothic" w:hAnsi="MS PGothic"/>
          <w:sz w:val="18"/>
          <w:szCs w:val="18"/>
          <w:color w:val="auto"/>
        </w:rPr>
        <w:t>☐</w:t>
      </w:r>
    </w:p>
    <w:p>
      <w:pPr>
        <w:spacing w:after="0" w:line="76"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49" w:lineRule="exact"/>
        <w:rPr>
          <w:sz w:val="24"/>
          <w:szCs w:val="24"/>
          <w:color w:val="auto"/>
        </w:rPr>
      </w:pPr>
    </w:p>
    <w:tbl>
      <w:tblPr>
        <w:tblLayout w:type="fixed"/>
        <w:tblInd w:w="260" w:type="dxa"/>
        <w:tblCellMar>
          <w:top w:w="0" w:type="dxa"/>
          <w:left w:w="0" w:type="dxa"/>
          <w:bottom w:w="0" w:type="dxa"/>
          <w:right w:w="0" w:type="dxa"/>
        </w:tblCellMar>
      </w:tblPr>
      <w:tr>
        <w:trPr>
          <w:trHeight w:val="283"/>
        </w:trPr>
        <w:tc>
          <w:tcPr>
            <w:tcW w:w="20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4680" w:type="dxa"/>
            <w:vAlign w:val="bottom"/>
          </w:tcPr>
          <w:p>
            <w:pPr>
              <w:ind w:left="420"/>
              <w:spacing w:after="0"/>
              <w:rPr>
                <w:sz w:val="20"/>
                <w:szCs w:val="20"/>
                <w:color w:val="auto"/>
              </w:rPr>
            </w:pPr>
            <w:r>
              <w:rPr>
                <w:rFonts w:ascii="Arial" w:cs="Arial" w:eastAsia="Arial" w:hAnsi="Arial"/>
                <w:sz w:val="18"/>
                <w:szCs w:val="18"/>
                <w:color w:val="auto"/>
              </w:rPr>
              <w:t>x</w:t>
            </w:r>
          </w:p>
        </w:tc>
        <w:tc>
          <w:tcPr>
            <w:tcW w:w="3140" w:type="dxa"/>
            <w:vAlign w:val="bottom"/>
          </w:tcPr>
          <w:p>
            <w:pPr>
              <w:ind w:left="620"/>
              <w:spacing w:after="0"/>
              <w:rPr>
                <w:sz w:val="20"/>
                <w:szCs w:val="20"/>
                <w:color w:val="auto"/>
              </w:rPr>
            </w:pPr>
            <w:r>
              <w:rPr>
                <w:rFonts w:ascii="Arial" w:cs="Arial" w:eastAsia="Arial" w:hAnsi="Arial"/>
                <w:sz w:val="18"/>
                <w:szCs w:val="18"/>
                <w:color w:val="auto"/>
              </w:rPr>
              <w:t>Accelerated filer</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020" w:type="dxa"/>
            <w:vAlign w:val="bottom"/>
          </w:tcPr>
          <w:p>
            <w:pPr>
              <w:spacing w:after="0"/>
              <w:rPr>
                <w:sz w:val="20"/>
                <w:szCs w:val="20"/>
                <w:color w:val="auto"/>
              </w:rPr>
            </w:pPr>
            <w:r>
              <w:rPr>
                <w:rFonts w:ascii="Arial" w:cs="Arial" w:eastAsia="Arial" w:hAnsi="Arial"/>
                <w:sz w:val="18"/>
                <w:szCs w:val="18"/>
                <w:color w:val="auto"/>
              </w:rPr>
              <w:t>Non-accelerated filer</w:t>
            </w:r>
          </w:p>
        </w:tc>
        <w:tc>
          <w:tcPr>
            <w:tcW w:w="4680" w:type="dxa"/>
            <w:vAlign w:val="bottom"/>
          </w:tcPr>
          <w:p>
            <w:pPr>
              <w:ind w:left="3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140" w:type="dxa"/>
            <w:vAlign w:val="bottom"/>
          </w:tcPr>
          <w:p>
            <w:pPr>
              <w:ind w:left="620"/>
              <w:spacing w:after="0"/>
              <w:rPr>
                <w:sz w:val="20"/>
                <w:szCs w:val="20"/>
                <w:color w:val="auto"/>
              </w:rPr>
            </w:pPr>
            <w:r>
              <w:rPr>
                <w:rFonts w:ascii="Arial" w:cs="Arial" w:eastAsia="Arial" w:hAnsi="Arial"/>
                <w:sz w:val="18"/>
                <w:szCs w:val="18"/>
                <w:color w:val="auto"/>
              </w:rPr>
              <w:t>Smaller reporting company</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0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3140" w:type="dxa"/>
            <w:vAlign w:val="bottom"/>
          </w:tcPr>
          <w:p>
            <w:pPr>
              <w:ind w:left="620"/>
              <w:spacing w:after="0"/>
              <w:rPr>
                <w:sz w:val="20"/>
                <w:szCs w:val="20"/>
                <w:color w:val="auto"/>
              </w:rPr>
            </w:pPr>
            <w:r>
              <w:rPr>
                <w:rFonts w:ascii="Arial" w:cs="Arial" w:eastAsia="Arial" w:hAnsi="Arial"/>
                <w:sz w:val="18"/>
                <w:szCs w:val="18"/>
                <w:color w:val="auto"/>
              </w:rPr>
              <w:t>Emerging growth company</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09"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96" w:lineRule="exact"/>
        <w:rPr>
          <w:sz w:val="24"/>
          <w:szCs w:val="24"/>
          <w:color w:val="auto"/>
        </w:rPr>
      </w:pPr>
    </w:p>
    <w:p>
      <w:pPr>
        <w:spacing w:after="0" w:line="207" w:lineRule="exact"/>
        <w:tabs>
          <w:tab w:leader="none" w:pos="8340" w:val="left"/>
          <w:tab w:leader="none" w:pos="904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No x</w:t>
      </w:r>
    </w:p>
    <w:p>
      <w:pPr>
        <w:spacing w:after="0" w:line="92" w:lineRule="exact"/>
        <w:rPr>
          <w:sz w:val="24"/>
          <w:szCs w:val="24"/>
          <w:color w:val="auto"/>
        </w:rPr>
      </w:pPr>
    </w:p>
    <w:p>
      <w:pPr>
        <w:ind w:left="3520"/>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0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Title of each class</w:t>
            </w:r>
          </w:p>
        </w:tc>
        <w:tc>
          <w:tcPr>
            <w:tcW w:w="2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Trading Symbol(s)</w:t>
            </w:r>
          </w:p>
        </w:tc>
        <w:tc>
          <w:tcPr>
            <w:tcW w:w="478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7"/>
        </w:trPr>
        <w:tc>
          <w:tcPr>
            <w:tcW w:w="3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780" w:type="dxa"/>
            <w:vAlign w:val="bottom"/>
            <w:tcBorders>
              <w:bottom w:val="single" w:sz="8" w:color="auto"/>
            </w:tcBorders>
          </w:tcPr>
          <w:p>
            <w:pPr>
              <w:spacing w:after="0"/>
              <w:rPr>
                <w:sz w:val="2"/>
                <w:szCs w:val="2"/>
                <w:color w:val="auto"/>
              </w:rPr>
            </w:pPr>
          </w:p>
        </w:tc>
      </w:tr>
      <w:tr>
        <w:trPr>
          <w:trHeight w:val="237"/>
        </w:trPr>
        <w:tc>
          <w:tcPr>
            <w:tcW w:w="40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Common stock, no par value</w:t>
            </w:r>
          </w:p>
        </w:tc>
        <w:tc>
          <w:tcPr>
            <w:tcW w:w="2620" w:type="dxa"/>
            <w:vAlign w:val="bottom"/>
            <w:gridSpan w:val="2"/>
          </w:tcPr>
          <w:p>
            <w:pPr>
              <w:jc w:val="center"/>
              <w:ind w:right="100"/>
              <w:spacing w:after="0"/>
              <w:rPr>
                <w:sz w:val="20"/>
                <w:szCs w:val="20"/>
                <w:color w:val="auto"/>
              </w:rPr>
            </w:pPr>
            <w:r>
              <w:rPr>
                <w:rFonts w:ascii="Arial" w:cs="Arial" w:eastAsia="Arial" w:hAnsi="Arial"/>
                <w:sz w:val="18"/>
                <w:szCs w:val="18"/>
                <w:color w:val="auto"/>
              </w:rPr>
              <w:t>ITRI</w:t>
            </w:r>
          </w:p>
        </w:tc>
        <w:tc>
          <w:tcPr>
            <w:tcW w:w="4780" w:type="dxa"/>
            <w:vAlign w:val="bottom"/>
          </w:tcPr>
          <w:p>
            <w:pPr>
              <w:jc w:val="center"/>
              <w:spacing w:after="0"/>
              <w:rPr>
                <w:sz w:val="20"/>
                <w:szCs w:val="20"/>
                <w:color w:val="auto"/>
              </w:rPr>
            </w:pPr>
            <w:r>
              <w:rPr>
                <w:rFonts w:ascii="Arial" w:cs="Arial" w:eastAsia="Arial" w:hAnsi="Arial"/>
                <w:sz w:val="18"/>
                <w:szCs w:val="18"/>
                <w:color w:val="auto"/>
                <w:w w:val="94"/>
              </w:rPr>
              <w:t>NASDAQ Global Select Market</w:t>
            </w:r>
          </w:p>
        </w:tc>
      </w:tr>
    </w:tbl>
    <w:p>
      <w:pPr>
        <w:spacing w:after="0" w:line="175"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As of April 30, 2019, there were outstanding 39,349,003 shares of the registrant's common stock, no par value, which is the only class of common stock of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151765</wp:posOffset>
            </wp:positionV>
            <wp:extent cx="72294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66040</wp:posOffset>
            </wp:positionV>
            <wp:extent cx="72294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ectPr>
          <w:pgSz w:w="11900" w:h="16838" w:orient="portrait"/>
          <w:cols w:equalWidth="0" w:num="1">
            <w:col w:w="11420"/>
          </w:cols>
          <w:pgMar w:left="240" w:top="612" w:right="23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Itron, Inc.</w:t>
      </w:r>
    </w:p>
    <w:p>
      <w:pPr>
        <w:spacing w:after="0" w:line="90"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760" w:type="dxa"/>
            <w:vAlign w:val="bottom"/>
            <w:gridSpan w:val="3"/>
          </w:tcPr>
          <w:p>
            <w:pPr>
              <w:ind w:left="20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7"/>
        </w:trPr>
        <w:tc>
          <w:tcPr>
            <w:tcW w:w="3080" w:type="dxa"/>
            <w:vAlign w:val="bottom"/>
            <w:gridSpan w:val="3"/>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7280" w:type="dxa"/>
            <w:vAlign w:val="bottom"/>
            <w:gridSpan w:val="7"/>
            <w:vMerge w:val="restart"/>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3080" w:type="dxa"/>
            <w:vAlign w:val="bottom"/>
            <w:tcBorders>
              <w:bottom w:val="single" w:sz="8" w:color="0000EE"/>
            </w:tcBorders>
            <w:gridSpan w:val="3"/>
            <w:vMerge w:val="continue"/>
          </w:tcPr>
          <w:p>
            <w:pPr>
              <w:spacing w:after="0"/>
              <w:rPr>
                <w:sz w:val="15"/>
                <w:szCs w:val="15"/>
                <w:color w:val="auto"/>
              </w:rPr>
            </w:pPr>
          </w:p>
        </w:tc>
        <w:tc>
          <w:tcPr>
            <w:tcW w:w="7280" w:type="dxa"/>
            <w:vAlign w:val="bottom"/>
            <w:gridSpan w:val="7"/>
            <w:vMerge w:val="continue"/>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96"/>
        </w:trPr>
        <w:tc>
          <w:tcPr>
            <w:tcW w:w="10360" w:type="dxa"/>
            <w:vAlign w:val="bottom"/>
            <w:gridSpan w:val="10"/>
          </w:tcPr>
          <w:p>
            <w:pPr>
              <w:ind w:left="320"/>
              <w:spacing w:after="0"/>
              <w:rPr>
                <w:rFonts w:ascii="Arial" w:cs="Arial" w:eastAsia="Arial" w:hAnsi="Arial"/>
                <w:sz w:val="18"/>
                <w:szCs w:val="18"/>
                <w:color w:val="auto"/>
              </w:rPr>
            </w:pPr>
            <w:r>
              <w:rPr>
                <w:rFonts w:ascii="Arial" w:cs="Arial" w:eastAsia="Arial" w:hAnsi="Arial"/>
                <w:sz w:val="18"/>
                <w:szCs w:val="18"/>
                <w:color w:val="auto"/>
              </w:rPr>
              <w:t xml:space="preserve">Item 1: </w:t>
            </w:r>
            <w:hyperlink w:anchor="page3">
              <w:r>
                <w:rPr>
                  <w:rFonts w:ascii="Arial" w:cs="Arial" w:eastAsia="Arial" w:hAnsi="Arial"/>
                  <w:sz w:val="18"/>
                  <w:szCs w:val="18"/>
                  <w:color w:val="0000EE"/>
                </w:rPr>
                <w:t>Financial Statements (Unaudited)</w:t>
              </w:r>
            </w:hyperlink>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2"/>
        </w:trPr>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360" w:type="dxa"/>
            <w:vAlign w:val="bottom"/>
            <w:gridSpan w:val="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Statements of Operations</w:t>
              </w:r>
            </w:hyperlink>
          </w:p>
        </w:tc>
        <w:tc>
          <w:tcPr>
            <w:tcW w:w="760" w:type="dxa"/>
            <w:vAlign w:val="bottom"/>
            <w:gridSpan w:val="3"/>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1</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4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Consolidated Statements of Comprehensive Income (Loss)</w:t>
              </w:r>
            </w:hyperlink>
          </w:p>
        </w:tc>
        <w:tc>
          <w:tcPr>
            <w:tcW w:w="5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2</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360" w:type="dxa"/>
            <w:vAlign w:val="bottom"/>
            <w:gridSpan w:val="8"/>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Balance Sheets</w:t>
              </w:r>
            </w:hyperlink>
          </w:p>
        </w:tc>
        <w:tc>
          <w:tcPr>
            <w:tcW w:w="760" w:type="dxa"/>
            <w:vAlign w:val="bottom"/>
            <w:gridSpan w:val="3"/>
          </w:tcPr>
          <w:p>
            <w:pPr>
              <w:jc w:val="right"/>
              <w:ind w:right="20"/>
              <w:spacing w:after="0"/>
              <w:rPr>
                <w:rFonts w:ascii="Arial" w:cs="Arial" w:eastAsia="Arial" w:hAnsi="Arial"/>
                <w:sz w:val="18"/>
                <w:szCs w:val="18"/>
                <w:color w:val="0000EE"/>
              </w:rPr>
            </w:pPr>
            <w:hyperlink w:anchor="page5">
              <w:r>
                <w:rPr>
                  <w:rFonts w:ascii="Arial" w:cs="Arial" w:eastAsia="Arial" w:hAnsi="Arial"/>
                  <w:sz w:val="18"/>
                  <w:szCs w:val="18"/>
                  <w:color w:val="0000EE"/>
                </w:rPr>
                <w:t>3</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3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0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Consolidated Statements of Equity</w:t>
              </w:r>
            </w:hyperlink>
          </w:p>
        </w:tc>
        <w:tc>
          <w:tcPr>
            <w:tcW w:w="6860" w:type="dxa"/>
            <w:vAlign w:val="bottom"/>
            <w:gridSpan w:val="5"/>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4</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360" w:type="dxa"/>
            <w:vAlign w:val="bottom"/>
            <w:gridSpan w:val="8"/>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Consolidated Statements of Cash Flows</w:t>
              </w:r>
            </w:hyperlink>
          </w:p>
        </w:tc>
        <w:tc>
          <w:tcPr>
            <w:tcW w:w="760" w:type="dxa"/>
            <w:vAlign w:val="bottom"/>
            <w:gridSpan w:val="3"/>
          </w:tcPr>
          <w:p>
            <w:pPr>
              <w:jc w:val="right"/>
              <w:ind w:right="20"/>
              <w:spacing w:after="0"/>
              <w:rPr>
                <w:rFonts w:ascii="Arial" w:cs="Arial" w:eastAsia="Arial" w:hAnsi="Arial"/>
                <w:sz w:val="18"/>
                <w:szCs w:val="18"/>
                <w:color w:val="0000EE"/>
              </w:rPr>
            </w:pPr>
            <w:hyperlink w:anchor="page7">
              <w:r>
                <w:rPr>
                  <w:rFonts w:ascii="Arial" w:cs="Arial" w:eastAsia="Arial" w:hAnsi="Arial"/>
                  <w:sz w:val="18"/>
                  <w:szCs w:val="18"/>
                  <w:color w:val="0000EE"/>
                </w:rPr>
                <w:t>5</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60" w:type="dxa"/>
            <w:vAlign w:val="bottom"/>
            <w:gridSpan w:val="5"/>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3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360" w:type="dxa"/>
            <w:vAlign w:val="bottom"/>
            <w:gridSpan w:val="8"/>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w:t>
              </w:r>
            </w:hyperlink>
          </w:p>
        </w:tc>
        <w:tc>
          <w:tcPr>
            <w:tcW w:w="760" w:type="dxa"/>
            <w:vAlign w:val="bottom"/>
            <w:gridSpan w:val="3"/>
          </w:tcPr>
          <w:p>
            <w:pPr>
              <w:jc w:val="right"/>
              <w:ind w:right="20"/>
              <w:spacing w:after="0"/>
              <w:rPr>
                <w:rFonts w:ascii="Arial" w:cs="Arial" w:eastAsia="Arial" w:hAnsi="Arial"/>
                <w:sz w:val="18"/>
                <w:szCs w:val="18"/>
                <w:color w:val="0000EE"/>
              </w:rPr>
            </w:pPr>
            <w:hyperlink w:anchor="page8">
              <w:r>
                <w:rPr>
                  <w:rFonts w:ascii="Arial" w:cs="Arial" w:eastAsia="Arial" w:hAnsi="Arial"/>
                  <w:sz w:val="18"/>
                  <w:szCs w:val="18"/>
                  <w:color w:val="0000EE"/>
                </w:rPr>
                <w:t>6</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3" w:lineRule="exact"/>
        <w:rPr>
          <w:sz w:val="20"/>
          <w:szCs w:val="20"/>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 xml:space="preserve">Item 2: </w:t>
      </w:r>
      <w:hyperlink w:anchor="page32">
        <w:r>
          <w:rPr>
            <w:rFonts w:ascii="Arial" w:cs="Arial" w:eastAsia="Arial" w:hAnsi="Arial"/>
            <w:sz w:val="18"/>
            <w:szCs w:val="18"/>
            <w:u w:val="single" w:color="auto"/>
            <w:color w:val="0000EE"/>
          </w:rPr>
          <w:t>Management’s Discussion and Analysis of Financial Condition and Results of Operations</w:t>
        </w:r>
      </w:hyperlink>
    </w:p>
    <w:p>
      <w:pPr>
        <w:ind w:left="10960"/>
        <w:spacing w:after="0"/>
        <w:rPr>
          <w:rFonts w:ascii="Arial" w:cs="Arial" w:eastAsia="Arial" w:hAnsi="Arial"/>
          <w:sz w:val="17"/>
          <w:szCs w:val="17"/>
          <w:u w:val="single" w:color="auto"/>
          <w:color w:val="0000EE"/>
        </w:rPr>
      </w:pPr>
      <w:hyperlink w:anchor="page32">
        <w:r>
          <w:rPr>
            <w:rFonts w:ascii="Arial" w:cs="Arial" w:eastAsia="Arial" w:hAnsi="Arial"/>
            <w:sz w:val="17"/>
            <w:szCs w:val="17"/>
            <w:u w:val="single" w:color="auto"/>
            <w:color w:val="0000EE"/>
          </w:rPr>
          <w:t>30</w:t>
        </w:r>
      </w:hyperlink>
    </w:p>
    <w:p>
      <w:pPr>
        <w:spacing w:after="0" w:line="200" w:lineRule="exact"/>
        <w:rPr>
          <w:sz w:val="20"/>
          <w:szCs w:val="20"/>
          <w:color w:val="auto"/>
        </w:rPr>
      </w:pPr>
    </w:p>
    <w:p>
      <w:pPr>
        <w:spacing w:after="0" w:line="235" w:lineRule="exact"/>
        <w:rPr>
          <w:sz w:val="20"/>
          <w:szCs w:val="20"/>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 xml:space="preserve">Item 3: </w:t>
      </w:r>
      <w:hyperlink w:anchor="page48">
        <w:r>
          <w:rPr>
            <w:rFonts w:ascii="Arial" w:cs="Arial" w:eastAsia="Arial" w:hAnsi="Arial"/>
            <w:sz w:val="18"/>
            <w:szCs w:val="18"/>
            <w:u w:val="single" w:color="auto"/>
            <w:color w:val="0000EE"/>
          </w:rPr>
          <w:t>Quantitative and Qualitative Disclosures About Market Risk</w:t>
        </w:r>
      </w:hyperlink>
    </w:p>
    <w:p>
      <w:pPr>
        <w:ind w:left="10960"/>
        <w:spacing w:after="0"/>
        <w:rPr>
          <w:rFonts w:ascii="Arial" w:cs="Arial" w:eastAsia="Arial" w:hAnsi="Arial"/>
          <w:sz w:val="17"/>
          <w:szCs w:val="17"/>
          <w:u w:val="single" w:color="auto"/>
          <w:color w:val="0000EE"/>
        </w:rPr>
      </w:pPr>
      <w:hyperlink w:anchor="page48">
        <w:r>
          <w:rPr>
            <w:rFonts w:ascii="Arial" w:cs="Arial" w:eastAsia="Arial" w:hAnsi="Arial"/>
            <w:sz w:val="17"/>
            <w:szCs w:val="17"/>
            <w:u w:val="single" w:color="auto"/>
            <w:color w:val="0000EE"/>
          </w:rPr>
          <w:t>46</w:t>
        </w:r>
      </w:hyperlink>
    </w:p>
    <w:p>
      <w:pPr>
        <w:spacing w:after="0" w:line="200" w:lineRule="exact"/>
        <w:rPr>
          <w:sz w:val="20"/>
          <w:szCs w:val="20"/>
          <w:color w:val="auto"/>
        </w:rPr>
      </w:pPr>
    </w:p>
    <w:p>
      <w:pPr>
        <w:spacing w:after="0" w:line="235" w:lineRule="exact"/>
        <w:rPr>
          <w:sz w:val="20"/>
          <w:szCs w:val="20"/>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 xml:space="preserve">Item 4: </w:t>
      </w:r>
      <w:hyperlink w:anchor="page50">
        <w:r>
          <w:rPr>
            <w:rFonts w:ascii="Arial" w:cs="Arial" w:eastAsia="Arial" w:hAnsi="Arial"/>
            <w:sz w:val="18"/>
            <w:szCs w:val="18"/>
            <w:u w:val="single" w:color="auto"/>
            <w:color w:val="0000EE"/>
          </w:rPr>
          <w:t>Controls and Procedures</w:t>
        </w:r>
      </w:hyperlink>
    </w:p>
    <w:p>
      <w:pPr>
        <w:ind w:left="10960"/>
        <w:spacing w:after="0"/>
        <w:rPr>
          <w:rFonts w:ascii="Arial" w:cs="Arial" w:eastAsia="Arial" w:hAnsi="Arial"/>
          <w:sz w:val="17"/>
          <w:szCs w:val="17"/>
          <w:u w:val="single" w:color="auto"/>
          <w:color w:val="0000EE"/>
        </w:rPr>
      </w:pPr>
      <w:hyperlink w:anchor="page50">
        <w:r>
          <w:rPr>
            <w:rFonts w:ascii="Arial" w:cs="Arial" w:eastAsia="Arial" w:hAnsi="Arial"/>
            <w:sz w:val="17"/>
            <w:szCs w:val="17"/>
            <w:u w:val="single" w:color="auto"/>
            <w:color w:val="0000EE"/>
          </w:rPr>
          <w:t>48</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0"/>
        <w:spacing w:after="0"/>
        <w:rPr>
          <w:rFonts w:ascii="Arial" w:cs="Arial" w:eastAsia="Arial" w:hAnsi="Arial"/>
          <w:sz w:val="18"/>
          <w:szCs w:val="18"/>
          <w:b w:val="1"/>
          <w:bCs w:val="1"/>
          <w:u w:val="single" w:color="auto"/>
          <w:color w:val="0000EE"/>
        </w:rPr>
      </w:pPr>
      <w:hyperlink w:anchor="page51">
        <w:r>
          <w:rPr>
            <w:rFonts w:ascii="Arial" w:cs="Arial" w:eastAsia="Arial" w:hAnsi="Arial"/>
            <w:sz w:val="18"/>
            <w:szCs w:val="18"/>
            <w:b w:val="1"/>
            <w:bCs w:val="1"/>
            <w:u w:val="single" w:color="auto"/>
            <w:color w:val="0000EE"/>
          </w:rPr>
          <w:t>PART II: OTHER INFORMATION</w:t>
        </w:r>
      </w:hyperlink>
    </w:p>
    <w:p>
      <w:pPr>
        <w:spacing w:after="0" w:line="200" w:lineRule="exact"/>
        <w:rPr>
          <w:sz w:val="20"/>
          <w:szCs w:val="20"/>
          <w:color w:val="auto"/>
        </w:rPr>
      </w:pPr>
    </w:p>
    <w:p>
      <w:pPr>
        <w:spacing w:after="0" w:line="243" w:lineRule="exact"/>
        <w:rPr>
          <w:sz w:val="20"/>
          <w:szCs w:val="20"/>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 xml:space="preserve">Item 1: </w:t>
      </w:r>
      <w:hyperlink w:anchor="page51">
        <w:r>
          <w:rPr>
            <w:rFonts w:ascii="Arial" w:cs="Arial" w:eastAsia="Arial" w:hAnsi="Arial"/>
            <w:sz w:val="18"/>
            <w:szCs w:val="18"/>
            <w:u w:val="single" w:color="auto"/>
            <w:color w:val="0000EE"/>
          </w:rPr>
          <w:t>Legal Proceedings</w:t>
        </w:r>
      </w:hyperlink>
    </w:p>
    <w:p>
      <w:pPr>
        <w:ind w:left="10960"/>
        <w:spacing w:after="0"/>
        <w:rPr>
          <w:rFonts w:ascii="Arial" w:cs="Arial" w:eastAsia="Arial" w:hAnsi="Arial"/>
          <w:sz w:val="17"/>
          <w:szCs w:val="17"/>
          <w:u w:val="single" w:color="auto"/>
          <w:color w:val="0000EE"/>
        </w:rPr>
      </w:pPr>
      <w:hyperlink w:anchor="page51">
        <w:r>
          <w:rPr>
            <w:rFonts w:ascii="Arial" w:cs="Arial" w:eastAsia="Arial" w:hAnsi="Arial"/>
            <w:sz w:val="17"/>
            <w:szCs w:val="17"/>
            <w:u w:val="single" w:color="auto"/>
            <w:color w:val="0000EE"/>
          </w:rPr>
          <w:t>49</w:t>
        </w:r>
      </w:hyperlink>
    </w:p>
    <w:p>
      <w:pPr>
        <w:spacing w:after="0" w:line="200" w:lineRule="exact"/>
        <w:rPr>
          <w:sz w:val="20"/>
          <w:szCs w:val="20"/>
          <w:color w:val="auto"/>
        </w:rPr>
      </w:pPr>
    </w:p>
    <w:p>
      <w:pPr>
        <w:spacing w:after="0" w:line="235" w:lineRule="exact"/>
        <w:rPr>
          <w:sz w:val="20"/>
          <w:szCs w:val="20"/>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 xml:space="preserve">Item 1A: </w:t>
      </w:r>
      <w:hyperlink w:anchor="page51">
        <w:r>
          <w:rPr>
            <w:rFonts w:ascii="Arial" w:cs="Arial" w:eastAsia="Arial" w:hAnsi="Arial"/>
            <w:sz w:val="18"/>
            <w:szCs w:val="18"/>
            <w:u w:val="single" w:color="auto"/>
            <w:color w:val="0000EE"/>
          </w:rPr>
          <w:t>Risk Factors</w:t>
        </w:r>
      </w:hyperlink>
    </w:p>
    <w:p>
      <w:pPr>
        <w:ind w:left="10960"/>
        <w:spacing w:after="0"/>
        <w:rPr>
          <w:rFonts w:ascii="Arial" w:cs="Arial" w:eastAsia="Arial" w:hAnsi="Arial"/>
          <w:sz w:val="17"/>
          <w:szCs w:val="17"/>
          <w:u w:val="single" w:color="auto"/>
          <w:color w:val="0000EE"/>
        </w:rPr>
      </w:pPr>
      <w:hyperlink w:anchor="page51">
        <w:r>
          <w:rPr>
            <w:rFonts w:ascii="Arial" w:cs="Arial" w:eastAsia="Arial" w:hAnsi="Arial"/>
            <w:sz w:val="17"/>
            <w:szCs w:val="17"/>
            <w:u w:val="single" w:color="auto"/>
            <w:color w:val="0000EE"/>
          </w:rPr>
          <w:t>49</w:t>
        </w:r>
      </w:hyperlink>
    </w:p>
    <w:p>
      <w:pPr>
        <w:spacing w:after="0" w:line="200" w:lineRule="exact"/>
        <w:rPr>
          <w:sz w:val="20"/>
          <w:szCs w:val="20"/>
          <w:color w:val="auto"/>
        </w:rPr>
      </w:pPr>
    </w:p>
    <w:p>
      <w:pPr>
        <w:spacing w:after="0" w:line="235" w:lineRule="exact"/>
        <w:rPr>
          <w:sz w:val="20"/>
          <w:szCs w:val="20"/>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 xml:space="preserve">Item 2: </w:t>
      </w:r>
      <w:hyperlink w:anchor="page51">
        <w:r>
          <w:rPr>
            <w:rFonts w:ascii="Arial" w:cs="Arial" w:eastAsia="Arial" w:hAnsi="Arial"/>
            <w:sz w:val="18"/>
            <w:szCs w:val="18"/>
            <w:u w:val="single" w:color="auto"/>
            <w:color w:val="0000EE"/>
          </w:rPr>
          <w:t>Unregistered Sales of Equity Securities and Use of Proceeds</w:t>
        </w:r>
      </w:hyperlink>
    </w:p>
    <w:p>
      <w:pPr>
        <w:ind w:left="10960"/>
        <w:spacing w:after="0"/>
        <w:rPr>
          <w:rFonts w:ascii="Arial" w:cs="Arial" w:eastAsia="Arial" w:hAnsi="Arial"/>
          <w:sz w:val="17"/>
          <w:szCs w:val="17"/>
          <w:u w:val="single" w:color="auto"/>
          <w:color w:val="0000EE"/>
        </w:rPr>
      </w:pPr>
      <w:hyperlink w:anchor="page51">
        <w:r>
          <w:rPr>
            <w:rFonts w:ascii="Arial" w:cs="Arial" w:eastAsia="Arial" w:hAnsi="Arial"/>
            <w:sz w:val="17"/>
            <w:szCs w:val="17"/>
            <w:u w:val="single" w:color="auto"/>
            <w:color w:val="0000EE"/>
          </w:rPr>
          <w:t>49</w:t>
        </w:r>
      </w:hyperlink>
    </w:p>
    <w:p>
      <w:pPr>
        <w:spacing w:after="0" w:line="200" w:lineRule="exact"/>
        <w:rPr>
          <w:sz w:val="20"/>
          <w:szCs w:val="20"/>
          <w:color w:val="auto"/>
        </w:rPr>
      </w:pPr>
    </w:p>
    <w:p>
      <w:pPr>
        <w:spacing w:after="0" w:line="235" w:lineRule="exact"/>
        <w:rPr>
          <w:sz w:val="20"/>
          <w:szCs w:val="20"/>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 xml:space="preserve">Item 5: </w:t>
      </w:r>
      <w:hyperlink w:anchor="page51">
        <w:r>
          <w:rPr>
            <w:rFonts w:ascii="Arial" w:cs="Arial" w:eastAsia="Arial" w:hAnsi="Arial"/>
            <w:sz w:val="18"/>
            <w:szCs w:val="18"/>
            <w:u w:val="single" w:color="auto"/>
            <w:color w:val="0000EE"/>
          </w:rPr>
          <w:t>Other Information</w:t>
        </w:r>
      </w:hyperlink>
    </w:p>
    <w:p>
      <w:pPr>
        <w:ind w:left="10960"/>
        <w:spacing w:after="0"/>
        <w:rPr>
          <w:rFonts w:ascii="Arial" w:cs="Arial" w:eastAsia="Arial" w:hAnsi="Arial"/>
          <w:sz w:val="17"/>
          <w:szCs w:val="17"/>
          <w:u w:val="single" w:color="auto"/>
          <w:color w:val="0000EE"/>
        </w:rPr>
      </w:pPr>
      <w:hyperlink w:anchor="page51">
        <w:r>
          <w:rPr>
            <w:rFonts w:ascii="Arial" w:cs="Arial" w:eastAsia="Arial" w:hAnsi="Arial"/>
            <w:sz w:val="17"/>
            <w:szCs w:val="17"/>
            <w:u w:val="single" w:color="auto"/>
            <w:color w:val="0000EE"/>
          </w:rPr>
          <w:t>49</w:t>
        </w:r>
      </w:hyperlink>
    </w:p>
    <w:p>
      <w:pPr>
        <w:spacing w:after="0" w:line="200" w:lineRule="exact"/>
        <w:rPr>
          <w:sz w:val="20"/>
          <w:szCs w:val="20"/>
          <w:color w:val="auto"/>
        </w:rPr>
      </w:pPr>
    </w:p>
    <w:p>
      <w:pPr>
        <w:spacing w:after="0" w:line="235" w:lineRule="exact"/>
        <w:rPr>
          <w:sz w:val="20"/>
          <w:szCs w:val="20"/>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 xml:space="preserve">Item 6: </w:t>
      </w:r>
      <w:hyperlink w:anchor="page52">
        <w:r>
          <w:rPr>
            <w:rFonts w:ascii="Arial" w:cs="Arial" w:eastAsia="Arial" w:hAnsi="Arial"/>
            <w:sz w:val="18"/>
            <w:szCs w:val="18"/>
            <w:u w:val="single" w:color="auto"/>
            <w:color w:val="0000EE"/>
          </w:rPr>
          <w:t>Exhibits</w:t>
        </w:r>
      </w:hyperlink>
    </w:p>
    <w:p>
      <w:pPr>
        <w:ind w:left="10960"/>
        <w:spacing w:after="0"/>
        <w:rPr>
          <w:rFonts w:ascii="Arial" w:cs="Arial" w:eastAsia="Arial" w:hAnsi="Arial"/>
          <w:sz w:val="17"/>
          <w:szCs w:val="17"/>
          <w:u w:val="single" w:color="auto"/>
          <w:color w:val="0000EE"/>
        </w:rPr>
      </w:pPr>
      <w:hyperlink w:anchor="page52">
        <w:r>
          <w:rPr>
            <w:rFonts w:ascii="Arial" w:cs="Arial" w:eastAsia="Arial" w:hAnsi="Arial"/>
            <w:sz w:val="17"/>
            <w:szCs w:val="17"/>
            <w:u w:val="single" w:color="auto"/>
            <w:color w:val="0000EE"/>
          </w:rPr>
          <w:t>50</w:t>
        </w:r>
      </w:hyperlink>
    </w:p>
    <w:p>
      <w:pPr>
        <w:sectPr>
          <w:pgSz w:w="11900" w:h="16838" w:orient="portrait"/>
          <w:cols w:equalWidth="0" w:num="1">
            <w:col w:w="11160"/>
          </w:cols>
          <w:pgMar w:left="240" w:top="125"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0"/>
        <w:spacing w:after="0"/>
        <w:tabs>
          <w:tab w:leader="none" w:pos="10940" w:val="left"/>
        </w:tabs>
        <w:rPr>
          <w:rFonts w:ascii="Arial" w:cs="Arial" w:eastAsia="Arial" w:hAnsi="Arial"/>
          <w:sz w:val="16"/>
          <w:szCs w:val="16"/>
          <w:u w:val="single" w:color="auto"/>
          <w:color w:val="0000EE"/>
        </w:rPr>
      </w:pPr>
      <w:r>
        <w:rPr>
          <w:rFonts w:ascii="Arial" w:cs="Arial" w:eastAsia="Arial" w:hAnsi="Arial"/>
          <w:sz w:val="16"/>
          <w:szCs w:val="16"/>
          <w:b w:val="1"/>
          <w:bCs w:val="1"/>
          <w:u w:val="single" w:color="auto"/>
          <w:color w:val="0000EE"/>
        </w:rPr>
        <w:t>SIGNATURE</w:t>
      </w:r>
      <w:r>
        <w:rPr>
          <w:sz w:val="20"/>
          <w:szCs w:val="20"/>
          <w:color w:val="auto"/>
        </w:rPr>
        <w:tab/>
      </w:r>
      <w:hyperlink w:anchor="page53">
        <w:r>
          <w:rPr>
            <w:rFonts w:ascii="Arial" w:cs="Arial" w:eastAsia="Arial" w:hAnsi="Arial"/>
            <w:sz w:val="16"/>
            <w:szCs w:val="16"/>
            <w:u w:val="single" w:color="auto"/>
            <w:color w:val="0000EE"/>
          </w:rPr>
          <w:t>51</w:t>
        </w:r>
      </w:hyperlink>
    </w:p>
    <w:p>
      <w:pPr>
        <w:sectPr>
          <w:pgSz w:w="11900" w:h="16838" w:orient="portrait"/>
          <w:cols w:equalWidth="0" w:num="1">
            <w:col w:w="11160"/>
          </w:cols>
          <w:pgMar w:left="240" w:top="125" w:right="499" w:bottom="1440" w:gutter="0" w:footer="0" w:header="0"/>
          <w:type w:val="continuous"/>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71"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 (Unaudited)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w w:val="99"/>
              </w:rPr>
              <w:t>Three Months Ended March 31,</w:t>
            </w:r>
          </w:p>
        </w:tc>
      </w:tr>
      <w:tr>
        <w:trPr>
          <w:trHeight w:val="27"/>
        </w:trPr>
        <w:tc>
          <w:tcPr>
            <w:tcW w:w="79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i w:val="1"/>
                <w:iCs w:val="1"/>
                <w:color w:val="auto"/>
              </w:rPr>
              <w:t>In thousands, except per share data</w:t>
            </w:r>
          </w:p>
        </w:tc>
        <w:tc>
          <w:tcPr>
            <w:tcW w:w="320" w:type="dxa"/>
            <w:vAlign w:val="bottom"/>
          </w:tcPr>
          <w:p>
            <w:pPr>
              <w:spacing w:after="0"/>
              <w:rPr>
                <w:sz w:val="20"/>
                <w:szCs w:val="20"/>
                <w:color w:val="auto"/>
              </w:rPr>
            </w:pPr>
          </w:p>
        </w:tc>
        <w:tc>
          <w:tcPr>
            <w:tcW w:w="14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2018</w:t>
            </w:r>
          </w:p>
        </w:tc>
      </w:tr>
      <w:tr>
        <w:trPr>
          <w:trHeight w:val="27"/>
        </w:trPr>
        <w:tc>
          <w:tcPr>
            <w:tcW w:w="7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Revenues</w:t>
            </w:r>
          </w:p>
        </w:tc>
        <w:tc>
          <w:tcPr>
            <w:tcW w:w="3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Product revenues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544,850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537,110</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Service revenues</w:t>
            </w:r>
          </w:p>
        </w:tc>
        <w:tc>
          <w:tcPr>
            <w:tcW w:w="3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69,726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70,111</w:t>
            </w:r>
          </w:p>
        </w:tc>
      </w:tr>
      <w:tr>
        <w:trPr>
          <w:trHeight w:val="27"/>
        </w:trPr>
        <w:tc>
          <w:tcPr>
            <w:tcW w:w="79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revenues</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614,576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607,221</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Cost of revenues</w:t>
            </w:r>
          </w:p>
        </w:tc>
        <w:tc>
          <w:tcPr>
            <w:tcW w:w="3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Product cost of revenues</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386,102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382,850</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Service cost of revenues</w:t>
            </w:r>
          </w:p>
        </w:tc>
        <w:tc>
          <w:tcPr>
            <w:tcW w:w="3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41,211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44,516</w:t>
            </w:r>
          </w:p>
        </w:tc>
      </w:tr>
      <w:tr>
        <w:trPr>
          <w:trHeight w:val="27"/>
        </w:trPr>
        <w:tc>
          <w:tcPr>
            <w:tcW w:w="79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cost of revenues</w:t>
            </w:r>
          </w:p>
        </w:tc>
        <w:tc>
          <w:tcPr>
            <w:tcW w:w="3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427,313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427,366</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3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187,263</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179,855</w:t>
            </w: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97"/>
        </w:trPr>
        <w:tc>
          <w:tcPr>
            <w:tcW w:w="79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Sales, general and administrative</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92,715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154,414</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50,490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60,284</w:t>
            </w: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of intangible assets</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15,973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17,740</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Restructuring</w:t>
            </w:r>
          </w:p>
        </w:tc>
        <w:tc>
          <w:tcPr>
            <w:tcW w:w="3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7,262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87,865</w:t>
            </w:r>
          </w:p>
        </w:tc>
      </w:tr>
      <w:tr>
        <w:trPr>
          <w:trHeight w:val="27"/>
        </w:trPr>
        <w:tc>
          <w:tcPr>
            <w:tcW w:w="79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166,440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320,303</w:t>
            </w:r>
          </w:p>
        </w:tc>
      </w:tr>
      <w:tr>
        <w:trPr>
          <w:trHeight w:val="291"/>
        </w:trPr>
        <w:tc>
          <w:tcPr>
            <w:tcW w:w="79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20,823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(140,448)</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3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income</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661</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(13,535)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(15,504)</w:t>
            </w: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income (expense), net</w:t>
            </w:r>
          </w:p>
        </w:tc>
        <w:tc>
          <w:tcPr>
            <w:tcW w:w="3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(1,167)</w:t>
            </w:r>
          </w:p>
        </w:tc>
      </w:tr>
      <w:tr>
        <w:trPr>
          <w:trHeight w:val="237"/>
        </w:trPr>
        <w:tc>
          <w:tcPr>
            <w:tcW w:w="7900" w:type="dxa"/>
            <w:vAlign w:val="bottom"/>
          </w:tcPr>
          <w:p>
            <w:pPr>
              <w:ind w:left="720"/>
              <w:spacing w:after="0"/>
              <w:rPr>
                <w:sz w:val="20"/>
                <w:szCs w:val="20"/>
                <w:color w:val="auto"/>
              </w:rPr>
            </w:pPr>
            <w:r>
              <w:rPr>
                <w:rFonts w:ascii="Arial" w:cs="Arial" w:eastAsia="Arial" w:hAnsi="Arial"/>
                <w:sz w:val="18"/>
                <w:szCs w:val="18"/>
                <w:color w:val="auto"/>
              </w:rPr>
              <w:t>Total other income (expense)</w:t>
            </w:r>
          </w:p>
        </w:tc>
        <w:tc>
          <w:tcPr>
            <w:tcW w:w="3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(14,851)</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(16,010)</w:t>
            </w:r>
          </w:p>
        </w:tc>
      </w:tr>
      <w:tr>
        <w:trPr>
          <w:trHeight w:val="27"/>
        </w:trPr>
        <w:tc>
          <w:tcPr>
            <w:tcW w:w="79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91"/>
        </w:trPr>
        <w:tc>
          <w:tcPr>
            <w:tcW w:w="79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Income (loss) before income taxes</w:t>
            </w:r>
          </w:p>
        </w:tc>
        <w:tc>
          <w:tcPr>
            <w:tcW w:w="3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5,972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(156,458)</w:t>
            </w: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(provision)</w:t>
            </w:r>
          </w:p>
        </w:tc>
        <w:tc>
          <w:tcPr>
            <w:tcW w:w="3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(6,121)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11,188</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Net loss</w:t>
            </w:r>
          </w:p>
        </w:tc>
        <w:tc>
          <w:tcPr>
            <w:tcW w:w="3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(145,270)</w:t>
            </w: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attributable to noncontrolling interests</w:t>
            </w:r>
          </w:p>
        </w:tc>
        <w:tc>
          <w:tcPr>
            <w:tcW w:w="3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1,758</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396</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Net loss attributable to Itron, Inc.</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(1,907)</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(145,666)</w:t>
            </w:r>
          </w:p>
        </w:tc>
      </w:tr>
      <w:tr>
        <w:trPr>
          <w:trHeight w:val="67"/>
        </w:trPr>
        <w:tc>
          <w:tcPr>
            <w:tcW w:w="79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r>
      <w:tr>
        <w:trPr>
          <w:trHeight w:val="278"/>
        </w:trPr>
        <w:tc>
          <w:tcPr>
            <w:tcW w:w="79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Net income (loss) per common share - Basic</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(3.74)</w:t>
            </w:r>
          </w:p>
        </w:tc>
      </w:tr>
      <w:tr>
        <w:trPr>
          <w:trHeight w:val="67"/>
        </w:trPr>
        <w:tc>
          <w:tcPr>
            <w:tcW w:w="79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r>
      <w:tr>
        <w:trPr>
          <w:trHeight w:val="256"/>
        </w:trPr>
        <w:tc>
          <w:tcPr>
            <w:tcW w:w="79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Net income (loss) per common share - Diluted</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7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 - Basic</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39,658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38,945</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Weighted average common shares outstanding - Diluted</w:t>
            </w:r>
          </w:p>
        </w:tc>
        <w:tc>
          <w:tcPr>
            <w:tcW w:w="3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39,658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38,945</w:t>
            </w: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w w:val="99"/>
              </w:rPr>
              <w:t>Three Months Ended March 31,</w:t>
            </w:r>
          </w:p>
        </w:tc>
      </w:tr>
      <w:tr>
        <w:trPr>
          <w:trHeight w:val="27"/>
        </w:trPr>
        <w:tc>
          <w:tcPr>
            <w:tcW w:w="79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320" w:type="dxa"/>
            <w:vAlign w:val="bottom"/>
          </w:tcPr>
          <w:p>
            <w:pPr>
              <w:spacing w:after="0"/>
              <w:rPr>
                <w:sz w:val="20"/>
                <w:szCs w:val="20"/>
                <w:color w:val="auto"/>
              </w:rPr>
            </w:pPr>
          </w:p>
        </w:tc>
        <w:tc>
          <w:tcPr>
            <w:tcW w:w="14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2018</w:t>
            </w:r>
          </w:p>
        </w:tc>
      </w:tr>
      <w:tr>
        <w:trPr>
          <w:trHeight w:val="27"/>
        </w:trPr>
        <w:tc>
          <w:tcPr>
            <w:tcW w:w="7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(145,270)</w:t>
            </w:r>
          </w:p>
        </w:tc>
      </w:tr>
      <w:tr>
        <w:trPr>
          <w:trHeight w:val="297"/>
        </w:trPr>
        <w:tc>
          <w:tcPr>
            <w:tcW w:w="7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200"/>
              <w:spacing w:after="0"/>
              <w:rPr>
                <w:sz w:val="20"/>
                <w:szCs w:val="20"/>
                <w:color w:val="auto"/>
              </w:rPr>
            </w:pPr>
            <w:r>
              <w:rPr>
                <w:rFonts w:ascii="Arial" w:cs="Arial" w:eastAsia="Arial" w:hAnsi="Arial"/>
                <w:sz w:val="18"/>
                <w:szCs w:val="18"/>
                <w:color w:val="auto"/>
              </w:rPr>
              <w:t>Foreign currency translation adjustments</w:t>
            </w:r>
          </w:p>
        </w:tc>
        <w:tc>
          <w:tcPr>
            <w:tcW w:w="3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(2,386)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16,300</w:t>
            </w: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unrealized gain (loss) on derivative instruments, designated as cash flow hedges</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1,169</w:t>
            </w:r>
          </w:p>
        </w:tc>
      </w:tr>
      <w:tr>
        <w:trPr>
          <w:trHeight w:val="243"/>
        </w:trPr>
        <w:tc>
          <w:tcPr>
            <w:tcW w:w="7900" w:type="dxa"/>
            <w:vAlign w:val="bottom"/>
          </w:tcPr>
          <w:p>
            <w:pPr>
              <w:ind w:left="200"/>
              <w:spacing w:after="0"/>
              <w:rPr>
                <w:sz w:val="20"/>
                <w:szCs w:val="20"/>
                <w:color w:val="auto"/>
              </w:rPr>
            </w:pPr>
            <w:r>
              <w:rPr>
                <w:rFonts w:ascii="Arial" w:cs="Arial" w:eastAsia="Arial" w:hAnsi="Arial"/>
                <w:sz w:val="18"/>
                <w:szCs w:val="18"/>
                <w:color w:val="auto"/>
              </w:rPr>
              <w:t>Pension benefit obligation adjustment</w:t>
            </w:r>
          </w:p>
        </w:tc>
        <w:tc>
          <w:tcPr>
            <w:tcW w:w="3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471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414</w:t>
            </w:r>
          </w:p>
        </w:tc>
      </w:tr>
      <w:tr>
        <w:trPr>
          <w:trHeight w:val="27"/>
        </w:trPr>
        <w:tc>
          <w:tcPr>
            <w:tcW w:w="79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comprehensive income (loss), net of tax</w:t>
            </w:r>
          </w:p>
        </w:tc>
        <w:tc>
          <w:tcPr>
            <w:tcW w:w="3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17,883</w:t>
            </w:r>
          </w:p>
        </w:tc>
      </w:tr>
      <w:tr>
        <w:trPr>
          <w:trHeight w:val="291"/>
        </w:trPr>
        <w:tc>
          <w:tcPr>
            <w:tcW w:w="79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comprehensive income (loss), net of tax</w:t>
            </w:r>
          </w:p>
        </w:tc>
        <w:tc>
          <w:tcPr>
            <w:tcW w:w="3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(1,929)</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(127,387)</w:t>
            </w:r>
          </w:p>
        </w:tc>
      </w:tr>
      <w:tr>
        <w:trPr>
          <w:trHeight w:val="291"/>
        </w:trPr>
        <w:tc>
          <w:tcPr>
            <w:tcW w:w="79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r>
      <w:tr>
        <w:trPr>
          <w:trHeight w:val="250"/>
        </w:trPr>
        <w:tc>
          <w:tcPr>
            <w:tcW w:w="79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Comprehensive income attributable to noncontrolling interests, net of tax</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1,758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396</w:t>
            </w:r>
          </w:p>
        </w:tc>
      </w:tr>
      <w:tr>
        <w:trPr>
          <w:trHeight w:val="297"/>
        </w:trPr>
        <w:tc>
          <w:tcPr>
            <w:tcW w:w="79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 attributable to Itron, Inc.</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(3,687)</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(127,783)</w:t>
            </w:r>
          </w:p>
        </w:tc>
      </w:tr>
      <w:tr>
        <w:trPr>
          <w:trHeight w:val="20"/>
        </w:trPr>
        <w:tc>
          <w:tcPr>
            <w:tcW w:w="7900" w:type="dxa"/>
            <w:vAlign w:val="bottom"/>
          </w:tcPr>
          <w:p>
            <w:pPr>
              <w:spacing w:after="0" w:line="20" w:lineRule="exact"/>
              <w:rPr>
                <w:sz w:val="1"/>
                <w:szCs w:val="1"/>
                <w:color w:val="auto"/>
              </w:rPr>
            </w:pPr>
          </w:p>
        </w:tc>
        <w:tc>
          <w:tcPr>
            <w:tcW w:w="17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365"/>
        </w:trPr>
        <w:tc>
          <w:tcPr>
            <w:tcW w:w="9720" w:type="dxa"/>
            <w:vAlign w:val="bottom"/>
            <w:gridSpan w:val="4"/>
          </w:tcPr>
          <w:p>
            <w:pPr>
              <w:ind w:left="2140"/>
              <w:spacing w:after="0"/>
              <w:rPr>
                <w:sz w:val="20"/>
                <w:szCs w:val="20"/>
                <w:color w:val="auto"/>
              </w:rPr>
            </w:pPr>
            <w:r>
              <w:rPr>
                <w:rFonts w:ascii="Arial" w:cs="Arial" w:eastAsia="Arial" w:hAnsi="Arial"/>
                <w:sz w:val="18"/>
                <w:szCs w:val="18"/>
                <w:i w:val="1"/>
                <w:iCs w:val="1"/>
                <w:color w:val="auto"/>
                <w:w w:val="95"/>
              </w:rPr>
              <w:t>The accompanying notes are an integral part of these condensed consolidated financial statements.</w:t>
            </w: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59"/>
        </w:trPr>
        <w:tc>
          <w:tcPr>
            <w:tcW w:w="7900" w:type="dxa"/>
            <w:vAlign w:val="bottom"/>
          </w:tcPr>
          <w:p>
            <w:pPr>
              <w:ind w:left="5660"/>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4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5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461"/>
        </w:trPr>
        <w:tc>
          <w:tcPr>
            <w:tcW w:w="1280" w:type="dxa"/>
            <w:vAlign w:val="bottom"/>
            <w:tcBorders>
              <w:top w:val="single" w:sz="8" w:color="0000EE"/>
            </w:tcBorders>
          </w:tcPr>
          <w:p>
            <w:pPr>
              <w:spacing w:after="0"/>
              <w:rPr>
                <w:sz w:val="24"/>
                <w:szCs w:val="24"/>
                <w:color w:val="auto"/>
              </w:rPr>
            </w:pPr>
          </w:p>
        </w:tc>
        <w:tc>
          <w:tcPr>
            <w:tcW w:w="5460" w:type="dxa"/>
            <w:vAlign w:val="bottom"/>
          </w:tcPr>
          <w:p>
            <w:pPr>
              <w:jc w:val="center"/>
              <w:ind w:left="3310"/>
              <w:spacing w:after="0"/>
              <w:rPr>
                <w:sz w:val="20"/>
                <w:szCs w:val="20"/>
                <w:color w:val="auto"/>
              </w:rPr>
            </w:pPr>
            <w:r>
              <w:rPr>
                <w:rFonts w:ascii="Arial" w:cs="Arial" w:eastAsia="Arial" w:hAnsi="Arial"/>
                <w:sz w:val="18"/>
                <w:szCs w:val="18"/>
                <w:b w:val="1"/>
                <w:bCs w:val="1"/>
                <w:color w:val="auto"/>
              </w:rPr>
              <w:t>ITRON, INC.</w:t>
            </w:r>
          </w:p>
        </w:tc>
        <w:tc>
          <w:tcPr>
            <w:tcW w:w="5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6000" w:type="dxa"/>
            <w:vAlign w:val="bottom"/>
            <w:gridSpan w:val="2"/>
          </w:tcPr>
          <w:p>
            <w:pPr>
              <w:jc w:val="center"/>
              <w:ind w:left="2790"/>
              <w:spacing w:after="0"/>
              <w:rPr>
                <w:sz w:val="20"/>
                <w:szCs w:val="20"/>
                <w:color w:val="auto"/>
              </w:rPr>
            </w:pPr>
            <w:r>
              <w:rPr>
                <w:rFonts w:ascii="Arial" w:cs="Arial" w:eastAsia="Arial" w:hAnsi="Arial"/>
                <w:sz w:val="18"/>
                <w:szCs w:val="18"/>
                <w:b w:val="1"/>
                <w:bCs w:val="1"/>
                <w:color w:val="auto"/>
                <w:w w:val="99"/>
              </w:rPr>
              <w:t>CONSOLIDATED BALANCE SHEETS</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5460" w:type="dxa"/>
            <w:vAlign w:val="bottom"/>
          </w:tcPr>
          <w:p>
            <w:pPr>
              <w:jc w:val="center"/>
              <w:ind w:left="3310"/>
              <w:spacing w:after="0"/>
              <w:rPr>
                <w:sz w:val="20"/>
                <w:szCs w:val="20"/>
                <w:color w:val="auto"/>
              </w:rPr>
            </w:pPr>
            <w:r>
              <w:rPr>
                <w:rFonts w:ascii="Arial" w:cs="Arial" w:eastAsia="Arial" w:hAnsi="Arial"/>
                <w:sz w:val="18"/>
                <w:szCs w:val="18"/>
                <w:b w:val="1"/>
                <w:bCs w:val="1"/>
                <w:color w:val="auto"/>
              </w:rPr>
              <w:t>(UNAUDITED)</w:t>
            </w:r>
          </w:p>
        </w:tc>
        <w:tc>
          <w:tcPr>
            <w:tcW w:w="5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378"/>
        </w:trPr>
        <w:tc>
          <w:tcPr>
            <w:tcW w:w="6740" w:type="dxa"/>
            <w:vAlign w:val="bottom"/>
            <w:gridSpan w:val="2"/>
          </w:tcPr>
          <w:p>
            <w:pPr>
              <w:ind w:left="40"/>
              <w:spacing w:after="0"/>
              <w:rPr>
                <w:sz w:val="20"/>
                <w:szCs w:val="20"/>
                <w:color w:val="auto"/>
              </w:rPr>
            </w:pPr>
            <w:r>
              <w:rPr>
                <w:rFonts w:ascii="Arial" w:cs="Arial" w:eastAsia="Arial" w:hAnsi="Arial"/>
                <w:sz w:val="18"/>
                <w:szCs w:val="18"/>
                <w:i w:val="1"/>
                <w:iCs w:val="1"/>
                <w:color w:val="auto"/>
              </w:rPr>
              <w:t>In thousands</w:t>
            </w:r>
          </w:p>
        </w:tc>
        <w:tc>
          <w:tcPr>
            <w:tcW w:w="540" w:type="dxa"/>
            <w:vAlign w:val="bottom"/>
          </w:tcPr>
          <w:p>
            <w:pPr>
              <w:spacing w:after="0"/>
              <w:rPr>
                <w:sz w:val="24"/>
                <w:szCs w:val="24"/>
                <w:color w:val="auto"/>
              </w:rPr>
            </w:pPr>
          </w:p>
        </w:tc>
        <w:tc>
          <w:tcPr>
            <w:tcW w:w="1860" w:type="dxa"/>
            <w:vAlign w:val="bottom"/>
            <w:gridSpan w:val="2"/>
          </w:tcPr>
          <w:p>
            <w:pPr>
              <w:ind w:left="20"/>
              <w:spacing w:after="0"/>
              <w:rPr>
                <w:sz w:val="20"/>
                <w:szCs w:val="20"/>
                <w:color w:val="auto"/>
              </w:rPr>
            </w:pPr>
            <w:r>
              <w:rPr>
                <w:rFonts w:ascii="Arial" w:cs="Arial" w:eastAsia="Arial" w:hAnsi="Arial"/>
                <w:sz w:val="18"/>
                <w:szCs w:val="18"/>
                <w:b w:val="1"/>
                <w:bCs w:val="1"/>
                <w:color w:val="auto"/>
              </w:rPr>
              <w:t>March 31, 2019</w:t>
            </w:r>
          </w:p>
        </w:tc>
        <w:tc>
          <w:tcPr>
            <w:tcW w:w="260" w:type="dxa"/>
            <w:vAlign w:val="bottom"/>
          </w:tcPr>
          <w:p>
            <w:pPr>
              <w:spacing w:after="0"/>
              <w:rPr>
                <w:sz w:val="24"/>
                <w:szCs w:val="24"/>
                <w:color w:val="auto"/>
              </w:rPr>
            </w:pPr>
          </w:p>
        </w:tc>
        <w:tc>
          <w:tcPr>
            <w:tcW w:w="2020" w:type="dxa"/>
            <w:vAlign w:val="bottom"/>
          </w:tcPr>
          <w:p>
            <w:pPr>
              <w:jc w:val="right"/>
              <w:ind w:right="330"/>
              <w:spacing w:after="0"/>
              <w:rPr>
                <w:sz w:val="20"/>
                <w:szCs w:val="20"/>
                <w:color w:val="auto"/>
              </w:rPr>
            </w:pPr>
            <w:r>
              <w:rPr>
                <w:rFonts w:ascii="Arial" w:cs="Arial" w:eastAsia="Arial" w:hAnsi="Arial"/>
                <w:sz w:val="18"/>
                <w:szCs w:val="18"/>
                <w:b w:val="1"/>
                <w:bCs w:val="1"/>
                <w:color w:val="auto"/>
                <w:w w:val="97"/>
              </w:rPr>
              <w:t>December 31, 2018</w:t>
            </w:r>
          </w:p>
        </w:tc>
      </w:tr>
      <w:tr>
        <w:trPr>
          <w:trHeight w:val="27"/>
        </w:trPr>
        <w:tc>
          <w:tcPr>
            <w:tcW w:w="1280" w:type="dxa"/>
            <w:vAlign w:val="bottom"/>
            <w:tcBorders>
              <w:bottom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5460" w:type="dxa"/>
            <w:vAlign w:val="bottom"/>
          </w:tcPr>
          <w:p>
            <w:pPr>
              <w:ind w:left="1760"/>
              <w:spacing w:after="0"/>
              <w:rPr>
                <w:sz w:val="20"/>
                <w:szCs w:val="20"/>
                <w:color w:val="auto"/>
              </w:rPr>
            </w:pPr>
            <w:r>
              <w:rPr>
                <w:rFonts w:ascii="Arial" w:cs="Arial" w:eastAsia="Arial" w:hAnsi="Arial"/>
                <w:sz w:val="18"/>
                <w:szCs w:val="18"/>
                <w:b w:val="1"/>
                <w:bCs w:val="1"/>
                <w:color w:val="auto"/>
              </w:rPr>
              <w:t>ASSETS</w:t>
            </w:r>
          </w:p>
        </w:tc>
        <w:tc>
          <w:tcPr>
            <w:tcW w:w="5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270"/>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Current assets</w:t>
            </w:r>
          </w:p>
        </w:tc>
        <w:tc>
          <w:tcPr>
            <w:tcW w:w="54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20" w:type="dxa"/>
            <w:vAlign w:val="bottom"/>
          </w:tcPr>
          <w:p>
            <w:pPr>
              <w:spacing w:after="0"/>
              <w:rPr>
                <w:sz w:val="23"/>
                <w:szCs w:val="23"/>
                <w:color w:val="auto"/>
              </w:rPr>
            </w:pP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110,828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120,221</w:t>
            </w:r>
          </w:p>
        </w:tc>
      </w:tr>
      <w:tr>
        <w:trPr>
          <w:trHeight w:val="243"/>
        </w:trPr>
        <w:tc>
          <w:tcPr>
            <w:tcW w:w="6740" w:type="dxa"/>
            <w:vAlign w:val="bottom"/>
            <w:gridSpan w:val="2"/>
          </w:tcPr>
          <w:p>
            <w:pPr>
              <w:ind w:left="380"/>
              <w:spacing w:after="0"/>
              <w:rPr>
                <w:sz w:val="20"/>
                <w:szCs w:val="20"/>
                <w:color w:val="auto"/>
              </w:rPr>
            </w:pPr>
            <w:r>
              <w:rPr>
                <w:rFonts w:ascii="Arial" w:cs="Arial" w:eastAsia="Arial" w:hAnsi="Arial"/>
                <w:sz w:val="18"/>
                <w:szCs w:val="18"/>
                <w:color w:val="auto"/>
              </w:rPr>
              <w:t>Accounts receivable, net</w:t>
            </w:r>
          </w:p>
        </w:tc>
        <w:tc>
          <w:tcPr>
            <w:tcW w:w="54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473,077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437,161</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5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221,097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220,674</w:t>
            </w:r>
          </w:p>
        </w:tc>
      </w:tr>
      <w:tr>
        <w:trPr>
          <w:trHeight w:val="243"/>
        </w:trPr>
        <w:tc>
          <w:tcPr>
            <w:tcW w:w="6740" w:type="dxa"/>
            <w:vAlign w:val="bottom"/>
            <w:gridSpan w:val="2"/>
          </w:tcPr>
          <w:p>
            <w:pPr>
              <w:ind w:left="380"/>
              <w:spacing w:after="0"/>
              <w:rPr>
                <w:sz w:val="20"/>
                <w:szCs w:val="20"/>
                <w:color w:val="auto"/>
              </w:rPr>
            </w:pPr>
            <w:r>
              <w:rPr>
                <w:rFonts w:ascii="Arial" w:cs="Arial" w:eastAsia="Arial" w:hAnsi="Arial"/>
                <w:sz w:val="18"/>
                <w:szCs w:val="18"/>
                <w:color w:val="auto"/>
              </w:rPr>
              <w:t>Other current assets</w:t>
            </w:r>
          </w:p>
        </w:tc>
        <w:tc>
          <w:tcPr>
            <w:tcW w:w="54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129,975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118,085</w:t>
            </w:r>
          </w:p>
        </w:tc>
      </w:tr>
      <w:tr>
        <w:trPr>
          <w:trHeight w:val="27"/>
        </w:trPr>
        <w:tc>
          <w:tcPr>
            <w:tcW w:w="1280" w:type="dxa"/>
            <w:vAlign w:val="bottom"/>
            <w:tcBorders>
              <w:bottom w:val="single" w:sz="8" w:color="CCEEFF"/>
            </w:tcBorders>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5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934,977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896,141</w:t>
            </w:r>
          </w:p>
        </w:tc>
      </w:tr>
      <w:tr>
        <w:trPr>
          <w:trHeight w:val="284"/>
        </w:trPr>
        <w:tc>
          <w:tcPr>
            <w:tcW w:w="128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5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224,938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226,551</w:t>
            </w: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Deferred tax assets, net</w:t>
            </w:r>
          </w:p>
        </w:tc>
        <w:tc>
          <w:tcPr>
            <w:tcW w:w="54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63,493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64,830</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Restricted cash</w:t>
            </w:r>
          </w:p>
        </w:tc>
        <w:tc>
          <w:tcPr>
            <w:tcW w:w="5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2,056</w:t>
            </w: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Other long-term assets</w:t>
            </w:r>
          </w:p>
        </w:tc>
        <w:tc>
          <w:tcPr>
            <w:tcW w:w="54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46,944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45,288</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lease right-of-use assets, net</w:t>
            </w:r>
          </w:p>
        </w:tc>
        <w:tc>
          <w:tcPr>
            <w:tcW w:w="5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77,888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Intangible assets, net</w:t>
            </w:r>
          </w:p>
        </w:tc>
        <w:tc>
          <w:tcPr>
            <w:tcW w:w="54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239,988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257,583</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7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54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1,106,305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1,116,533</w:t>
            </w:r>
          </w:p>
        </w:tc>
      </w:tr>
      <w:tr>
        <w:trPr>
          <w:trHeight w:val="237"/>
        </w:trPr>
        <w:tc>
          <w:tcPr>
            <w:tcW w:w="6740" w:type="dxa"/>
            <w:vAlign w:val="bottom"/>
            <w:gridSpan w:val="2"/>
          </w:tcPr>
          <w:p>
            <w:pPr>
              <w:ind w:left="720"/>
              <w:spacing w:after="0"/>
              <w:rPr>
                <w:sz w:val="20"/>
                <w:szCs w:val="20"/>
                <w:color w:val="auto"/>
              </w:rPr>
            </w:pPr>
            <w:r>
              <w:rPr>
                <w:rFonts w:ascii="Arial" w:cs="Arial" w:eastAsia="Arial" w:hAnsi="Arial"/>
                <w:sz w:val="18"/>
                <w:szCs w:val="18"/>
                <w:color w:val="auto"/>
              </w:rPr>
              <w:t>Total assets</w:t>
            </w:r>
          </w:p>
        </w:tc>
        <w:tc>
          <w:tcPr>
            <w:tcW w:w="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2,696,619</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2,608,982</w:t>
            </w:r>
          </w:p>
        </w:tc>
      </w:tr>
      <w:tr>
        <w:trPr>
          <w:trHeight w:val="67"/>
        </w:trPr>
        <w:tc>
          <w:tcPr>
            <w:tcW w:w="1280" w:type="dxa"/>
            <w:vAlign w:val="bottom"/>
            <w:tcBorders>
              <w:bottom w:val="single" w:sz="8" w:color="CCEEFF"/>
            </w:tcBorders>
          </w:tcPr>
          <w:p>
            <w:pPr>
              <w:spacing w:after="0"/>
              <w:rPr>
                <w:sz w:val="5"/>
                <w:szCs w:val="5"/>
                <w:color w:val="auto"/>
              </w:rPr>
            </w:pPr>
          </w:p>
        </w:tc>
        <w:tc>
          <w:tcPr>
            <w:tcW w:w="5460" w:type="dxa"/>
            <w:vAlign w:val="bottom"/>
            <w:tcBorders>
              <w:bottom w:val="single" w:sz="8" w:color="CCEEFF"/>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7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2020" w:type="dxa"/>
            <w:vAlign w:val="bottom"/>
            <w:tcBorders>
              <w:bottom w:val="single" w:sz="8" w:color="auto"/>
            </w:tcBorders>
          </w:tcPr>
          <w:p>
            <w:pPr>
              <w:spacing w:after="0"/>
              <w:rPr>
                <w:sz w:val="5"/>
                <w:szCs w:val="5"/>
                <w:color w:val="auto"/>
              </w:rPr>
            </w:pPr>
          </w:p>
        </w:tc>
      </w:tr>
      <w:tr>
        <w:trPr>
          <w:trHeight w:val="197"/>
        </w:trPr>
        <w:tc>
          <w:tcPr>
            <w:tcW w:w="1280" w:type="dxa"/>
            <w:vAlign w:val="bottom"/>
            <w:shd w:val="clear" w:color="auto" w:fill="CCEEFF"/>
          </w:tcPr>
          <w:p>
            <w:pPr>
              <w:spacing w:after="0"/>
              <w:rPr>
                <w:sz w:val="17"/>
                <w:szCs w:val="17"/>
                <w:color w:val="auto"/>
              </w:rPr>
            </w:pPr>
          </w:p>
        </w:tc>
        <w:tc>
          <w:tcPr>
            <w:tcW w:w="54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r>
      <w:tr>
        <w:trPr>
          <w:trHeight w:val="243"/>
        </w:trPr>
        <w:tc>
          <w:tcPr>
            <w:tcW w:w="1280" w:type="dxa"/>
            <w:vAlign w:val="bottom"/>
          </w:tcPr>
          <w:p>
            <w:pPr>
              <w:spacing w:after="0"/>
              <w:rPr>
                <w:sz w:val="21"/>
                <w:szCs w:val="21"/>
                <w:color w:val="auto"/>
              </w:rPr>
            </w:pPr>
          </w:p>
        </w:tc>
        <w:tc>
          <w:tcPr>
            <w:tcW w:w="5460" w:type="dxa"/>
            <w:vAlign w:val="bottom"/>
          </w:tcPr>
          <w:p>
            <w:pPr>
              <w:ind w:left="1120"/>
              <w:spacing w:after="0"/>
              <w:rPr>
                <w:sz w:val="20"/>
                <w:szCs w:val="20"/>
                <w:color w:val="auto"/>
              </w:rPr>
            </w:pPr>
            <w:r>
              <w:rPr>
                <w:rFonts w:ascii="Arial" w:cs="Arial" w:eastAsia="Arial" w:hAnsi="Arial"/>
                <w:sz w:val="18"/>
                <w:szCs w:val="18"/>
                <w:b w:val="1"/>
                <w:bCs w:val="1"/>
                <w:color w:val="auto"/>
              </w:rPr>
              <w:t>LIABILITIES AND EQUITY</w:t>
            </w:r>
          </w:p>
        </w:tc>
        <w:tc>
          <w:tcPr>
            <w:tcW w:w="5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5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gridSpan w:val="2"/>
          </w:tcPr>
          <w:p>
            <w:pPr>
              <w:ind w:left="380"/>
              <w:spacing w:after="0"/>
              <w:rPr>
                <w:sz w:val="20"/>
                <w:szCs w:val="20"/>
                <w:color w:val="auto"/>
              </w:rPr>
            </w:pPr>
            <w:r>
              <w:rPr>
                <w:rFonts w:ascii="Arial" w:cs="Arial" w:eastAsia="Arial" w:hAnsi="Arial"/>
                <w:sz w:val="18"/>
                <w:szCs w:val="18"/>
                <w:color w:val="auto"/>
              </w:rPr>
              <w:t>Accounts payable</w:t>
            </w: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331,441</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309,951</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Other current liabilities</w:t>
            </w:r>
          </w:p>
        </w:tc>
        <w:tc>
          <w:tcPr>
            <w:tcW w:w="5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70,876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70,136</w:t>
            </w:r>
          </w:p>
        </w:tc>
      </w:tr>
      <w:tr>
        <w:trPr>
          <w:trHeight w:val="243"/>
        </w:trPr>
        <w:tc>
          <w:tcPr>
            <w:tcW w:w="6740" w:type="dxa"/>
            <w:vAlign w:val="bottom"/>
            <w:gridSpan w:val="2"/>
          </w:tcPr>
          <w:p>
            <w:pPr>
              <w:ind w:left="380"/>
              <w:spacing w:after="0"/>
              <w:rPr>
                <w:sz w:val="20"/>
                <w:szCs w:val="20"/>
                <w:color w:val="auto"/>
              </w:rPr>
            </w:pPr>
            <w:r>
              <w:rPr>
                <w:rFonts w:ascii="Arial" w:cs="Arial" w:eastAsia="Arial" w:hAnsi="Arial"/>
                <w:sz w:val="18"/>
                <w:szCs w:val="18"/>
                <w:color w:val="auto"/>
              </w:rPr>
              <w:t>Wages and benefits payable</w:t>
            </w:r>
          </w:p>
        </w:tc>
        <w:tc>
          <w:tcPr>
            <w:tcW w:w="54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96,802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88,603</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Taxes payable</w:t>
            </w:r>
          </w:p>
        </w:tc>
        <w:tc>
          <w:tcPr>
            <w:tcW w:w="5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16,585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14,753</w:t>
            </w:r>
          </w:p>
        </w:tc>
      </w:tr>
      <w:tr>
        <w:trPr>
          <w:trHeight w:val="243"/>
        </w:trPr>
        <w:tc>
          <w:tcPr>
            <w:tcW w:w="6740" w:type="dxa"/>
            <w:vAlign w:val="bottom"/>
            <w:gridSpan w:val="2"/>
          </w:tcPr>
          <w:p>
            <w:pPr>
              <w:ind w:left="380"/>
              <w:spacing w:after="0"/>
              <w:rPr>
                <w:sz w:val="20"/>
                <w:szCs w:val="20"/>
                <w:color w:val="auto"/>
              </w:rPr>
            </w:pPr>
            <w:r>
              <w:rPr>
                <w:rFonts w:ascii="Arial" w:cs="Arial" w:eastAsia="Arial" w:hAnsi="Arial"/>
                <w:sz w:val="18"/>
                <w:szCs w:val="18"/>
                <w:color w:val="auto"/>
              </w:rPr>
              <w:t>Current portion of debt</w:t>
            </w:r>
          </w:p>
        </w:tc>
        <w:tc>
          <w:tcPr>
            <w:tcW w:w="54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22,500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28,438</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Current portion of warranty</w:t>
            </w:r>
          </w:p>
        </w:tc>
        <w:tc>
          <w:tcPr>
            <w:tcW w:w="5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39,737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47,205</w:t>
            </w:r>
          </w:p>
        </w:tc>
      </w:tr>
      <w:tr>
        <w:trPr>
          <w:trHeight w:val="243"/>
        </w:trPr>
        <w:tc>
          <w:tcPr>
            <w:tcW w:w="6740" w:type="dxa"/>
            <w:vAlign w:val="bottom"/>
            <w:gridSpan w:val="2"/>
          </w:tcPr>
          <w:p>
            <w:pPr>
              <w:ind w:left="380"/>
              <w:spacing w:after="0"/>
              <w:rPr>
                <w:sz w:val="20"/>
                <w:szCs w:val="20"/>
                <w:color w:val="auto"/>
              </w:rPr>
            </w:pPr>
            <w:r>
              <w:rPr>
                <w:rFonts w:ascii="Arial" w:cs="Arial" w:eastAsia="Arial" w:hAnsi="Arial"/>
                <w:sz w:val="18"/>
                <w:szCs w:val="18"/>
                <w:color w:val="auto"/>
              </w:rPr>
              <w:t>Unearned revenue</w:t>
            </w:r>
          </w:p>
        </w:tc>
        <w:tc>
          <w:tcPr>
            <w:tcW w:w="54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87,937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93,621</w:t>
            </w:r>
          </w:p>
        </w:tc>
      </w:tr>
      <w:tr>
        <w:trPr>
          <w:trHeight w:val="27"/>
        </w:trPr>
        <w:tc>
          <w:tcPr>
            <w:tcW w:w="1280" w:type="dxa"/>
            <w:vAlign w:val="bottom"/>
            <w:tcBorders>
              <w:bottom w:val="single" w:sz="8" w:color="CCEEFF"/>
            </w:tcBorders>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5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665,878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652,707</w:t>
            </w:r>
          </w:p>
        </w:tc>
      </w:tr>
      <w:tr>
        <w:trPr>
          <w:trHeight w:val="284"/>
        </w:trPr>
        <w:tc>
          <w:tcPr>
            <w:tcW w:w="128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5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980,979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988,185</w:t>
            </w: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Long-term warranty</w:t>
            </w:r>
          </w:p>
        </w:tc>
        <w:tc>
          <w:tcPr>
            <w:tcW w:w="54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17,795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13,238</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Pension benefit obligation</w:t>
            </w:r>
          </w:p>
        </w:tc>
        <w:tc>
          <w:tcPr>
            <w:tcW w:w="5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90,925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91,522</w:t>
            </w: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Deferred tax liabilities, net</w:t>
            </w:r>
          </w:p>
        </w:tc>
        <w:tc>
          <w:tcPr>
            <w:tcW w:w="54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1,509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1,543</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lease liabilities</w:t>
            </w:r>
          </w:p>
        </w:tc>
        <w:tc>
          <w:tcPr>
            <w:tcW w:w="5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66,865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Other long-term obligations</w:t>
            </w:r>
          </w:p>
        </w:tc>
        <w:tc>
          <w:tcPr>
            <w:tcW w:w="54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140,637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127,739</w:t>
            </w:r>
          </w:p>
        </w:tc>
      </w:tr>
      <w:tr>
        <w:trPr>
          <w:trHeight w:val="27"/>
        </w:trPr>
        <w:tc>
          <w:tcPr>
            <w:tcW w:w="1280" w:type="dxa"/>
            <w:vAlign w:val="bottom"/>
            <w:tcBorders>
              <w:bottom w:val="single" w:sz="8" w:color="CCEEFF"/>
            </w:tcBorders>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5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1,964,588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1,874,934</w:t>
            </w:r>
          </w:p>
        </w:tc>
      </w:tr>
      <w:tr>
        <w:trPr>
          <w:trHeight w:val="189"/>
        </w:trPr>
        <w:tc>
          <w:tcPr>
            <w:tcW w:w="1280" w:type="dxa"/>
            <w:vAlign w:val="bottom"/>
          </w:tcPr>
          <w:p>
            <w:pPr>
              <w:spacing w:after="0"/>
              <w:rPr>
                <w:sz w:val="16"/>
                <w:szCs w:val="16"/>
                <w:color w:val="auto"/>
              </w:rPr>
            </w:pPr>
          </w:p>
        </w:tc>
        <w:tc>
          <w:tcPr>
            <w:tcW w:w="54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20" w:type="dxa"/>
            <w:vAlign w:val="bottom"/>
          </w:tcPr>
          <w:p>
            <w:pPr>
              <w:spacing w:after="0"/>
              <w:rPr>
                <w:sz w:val="16"/>
                <w:szCs w:val="16"/>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 11)</w:t>
            </w:r>
          </w:p>
        </w:tc>
        <w:tc>
          <w:tcPr>
            <w:tcW w:w="5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r>
      <w:tr>
        <w:trPr>
          <w:trHeight w:val="216"/>
        </w:trPr>
        <w:tc>
          <w:tcPr>
            <w:tcW w:w="128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Equity</w:t>
            </w:r>
          </w:p>
        </w:tc>
        <w:tc>
          <w:tcPr>
            <w:tcW w:w="5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gridSpan w:val="2"/>
          </w:tcPr>
          <w:p>
            <w:pPr>
              <w:ind w:left="380"/>
              <w:spacing w:after="0"/>
              <w:rPr>
                <w:sz w:val="20"/>
                <w:szCs w:val="20"/>
                <w:color w:val="auto"/>
              </w:rPr>
            </w:pPr>
            <w:r>
              <w:rPr>
                <w:rFonts w:ascii="Arial" w:cs="Arial" w:eastAsia="Arial" w:hAnsi="Arial"/>
                <w:sz w:val="18"/>
                <w:szCs w:val="18"/>
                <w:color w:val="auto"/>
                <w:w w:val="89"/>
              </w:rPr>
              <w:t>Preferred stock, no par value, 10,000 shares authorized, no shares issued or outstanding</w:t>
            </w:r>
          </w:p>
        </w:tc>
        <w:tc>
          <w:tcPr>
            <w:tcW w:w="540" w:type="dxa"/>
            <w:vAlign w:val="bottom"/>
          </w:tcPr>
          <w:p>
            <w:pPr>
              <w:spacing w:after="0"/>
              <w:rPr>
                <w:sz w:val="21"/>
                <w:szCs w:val="21"/>
                <w:color w:val="auto"/>
              </w:rPr>
            </w:pPr>
          </w:p>
        </w:tc>
        <w:tc>
          <w:tcPr>
            <w:tcW w:w="1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29"/>
        </w:trPr>
        <w:tc>
          <w:tcPr>
            <w:tcW w:w="67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5"/>
              </w:rPr>
              <w:t>Common stock, no par value, 75,000 shares authorized, 39,693 and 39,498 shares</w:t>
            </w:r>
          </w:p>
        </w:tc>
        <w:tc>
          <w:tcPr>
            <w:tcW w:w="54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r>
      <w:tr>
        <w:trPr>
          <w:trHeight w:val="237"/>
        </w:trPr>
        <w:tc>
          <w:tcPr>
            <w:tcW w:w="67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issued and outstanding</w:t>
            </w:r>
          </w:p>
        </w:tc>
        <w:tc>
          <w:tcPr>
            <w:tcW w:w="54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1,334,793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1,334,364</w:t>
            </w:r>
          </w:p>
        </w:tc>
      </w:tr>
      <w:tr>
        <w:trPr>
          <w:trHeight w:val="243"/>
        </w:trPr>
        <w:tc>
          <w:tcPr>
            <w:tcW w:w="6740" w:type="dxa"/>
            <w:vAlign w:val="bottom"/>
            <w:gridSpan w:val="2"/>
          </w:tcPr>
          <w:p>
            <w:pPr>
              <w:ind w:left="380"/>
              <w:spacing w:after="0"/>
              <w:rPr>
                <w:sz w:val="20"/>
                <w:szCs w:val="20"/>
                <w:color w:val="auto"/>
              </w:rPr>
            </w:pPr>
            <w:r>
              <w:rPr>
                <w:rFonts w:ascii="Arial" w:cs="Arial" w:eastAsia="Arial" w:hAnsi="Arial"/>
                <w:sz w:val="18"/>
                <w:szCs w:val="18"/>
                <w:color w:val="auto"/>
              </w:rPr>
              <w:t>Accumulated other comprehensive loss, net</w:t>
            </w:r>
          </w:p>
        </w:tc>
        <w:tc>
          <w:tcPr>
            <w:tcW w:w="54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(198,085)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(196,305)</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70"/>
        </w:trPr>
        <w:tc>
          <w:tcPr>
            <w:tcW w:w="67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Accumulated deficit</w:t>
            </w:r>
          </w:p>
        </w:tc>
        <w:tc>
          <w:tcPr>
            <w:tcW w:w="54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(427,303)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(425,396)</w:t>
            </w:r>
          </w:p>
        </w:tc>
      </w:tr>
      <w:tr>
        <w:trPr>
          <w:trHeight w:val="237"/>
        </w:trPr>
        <w:tc>
          <w:tcPr>
            <w:tcW w:w="6740" w:type="dxa"/>
            <w:vAlign w:val="bottom"/>
            <w:gridSpan w:val="2"/>
          </w:tcPr>
          <w:p>
            <w:pPr>
              <w:ind w:left="720"/>
              <w:spacing w:after="0"/>
              <w:rPr>
                <w:sz w:val="20"/>
                <w:szCs w:val="20"/>
                <w:color w:val="auto"/>
              </w:rPr>
            </w:pPr>
            <w:r>
              <w:rPr>
                <w:rFonts w:ascii="Arial" w:cs="Arial" w:eastAsia="Arial" w:hAnsi="Arial"/>
                <w:sz w:val="18"/>
                <w:szCs w:val="18"/>
                <w:color w:val="auto"/>
              </w:rPr>
              <w:t>Total Itron, Inc. shareholders' equity</w:t>
            </w:r>
          </w:p>
        </w:tc>
        <w:tc>
          <w:tcPr>
            <w:tcW w:w="54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709,405</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712,663</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70"/>
        </w:trPr>
        <w:tc>
          <w:tcPr>
            <w:tcW w:w="67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Noncontrolling interests</w:t>
            </w:r>
          </w:p>
        </w:tc>
        <w:tc>
          <w:tcPr>
            <w:tcW w:w="54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22,626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21,385</w:t>
            </w:r>
          </w:p>
        </w:tc>
      </w:tr>
      <w:tr>
        <w:trPr>
          <w:trHeight w:val="237"/>
        </w:trPr>
        <w:tc>
          <w:tcPr>
            <w:tcW w:w="6740" w:type="dxa"/>
            <w:vAlign w:val="bottom"/>
            <w:gridSpan w:val="2"/>
          </w:tcPr>
          <w:p>
            <w:pPr>
              <w:ind w:left="720"/>
              <w:spacing w:after="0"/>
              <w:rPr>
                <w:sz w:val="20"/>
                <w:szCs w:val="20"/>
                <w:color w:val="auto"/>
              </w:rPr>
            </w:pPr>
            <w:r>
              <w:rPr>
                <w:rFonts w:ascii="Arial" w:cs="Arial" w:eastAsia="Arial" w:hAnsi="Arial"/>
                <w:sz w:val="18"/>
                <w:szCs w:val="18"/>
                <w:color w:val="auto"/>
              </w:rPr>
              <w:t>Total equity</w:t>
            </w:r>
          </w:p>
        </w:tc>
        <w:tc>
          <w:tcPr>
            <w:tcW w:w="54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732,031</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734,048</w:t>
            </w:r>
          </w:p>
        </w:tc>
      </w:tr>
      <w:tr>
        <w:trPr>
          <w:trHeight w:val="27"/>
        </w:trPr>
        <w:tc>
          <w:tcPr>
            <w:tcW w:w="1280" w:type="dxa"/>
            <w:vAlign w:val="bottom"/>
            <w:tcBorders>
              <w:bottom w:val="single" w:sz="8" w:color="CCEEFF"/>
            </w:tcBorders>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Total liabilities and equity</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2,696,619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2,608,982</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54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ectPr>
          <w:pgSz w:w="11900" w:h="16838" w:orient="portrait"/>
          <w:cols w:equalWidth="0" w:num="1">
            <w:col w:w="11420"/>
          </w:cols>
          <w:pgMar w:left="240" w:top="108" w:right="239" w:bottom="881"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08" w:right="239" w:bottom="881"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tcPr>
          <w:p>
            <w:pPr>
              <w:spacing w:after="0"/>
              <w:rPr>
                <w:sz w:val="14"/>
                <w:szCs w:val="14"/>
                <w:color w:val="auto"/>
              </w:rPr>
            </w:pPr>
          </w:p>
        </w:tc>
        <w:tc>
          <w:tcPr>
            <w:tcW w:w="212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1"/>
              </w:rPr>
              <w:t>Common Stock</w:t>
            </w: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Total Itron, Inc.</w:t>
            </w: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74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500" w:type="dxa"/>
            <w:vAlign w:val="bottom"/>
            <w:gridSpan w:val="3"/>
            <w:vMerge w:val="restart"/>
          </w:tcPr>
          <w:p>
            <w:pPr>
              <w:jc w:val="center"/>
              <w:ind w:right="120"/>
              <w:spacing w:after="0" w:line="139" w:lineRule="exact"/>
              <w:rPr>
                <w:sz w:val="20"/>
                <w:szCs w:val="20"/>
                <w:color w:val="auto"/>
              </w:rPr>
            </w:pPr>
            <w:r>
              <w:rPr>
                <w:rFonts w:ascii="Arial" w:cs="Arial" w:eastAsia="Arial" w:hAnsi="Arial"/>
                <w:sz w:val="14"/>
                <w:szCs w:val="14"/>
                <w:b w:val="1"/>
                <w:bCs w:val="1"/>
                <w:color w:val="auto"/>
                <w:w w:val="94"/>
              </w:rPr>
              <w:t>Accumulated Other</w:t>
            </w:r>
          </w:p>
        </w:tc>
        <w:tc>
          <w:tcPr>
            <w:tcW w:w="160" w:type="dxa"/>
            <w:vAlign w:val="bottom"/>
          </w:tcPr>
          <w:p>
            <w:pPr>
              <w:spacing w:after="0"/>
              <w:rPr>
                <w:sz w:val="4"/>
                <w:szCs w:val="4"/>
                <w:color w:val="auto"/>
              </w:rPr>
            </w:pPr>
          </w:p>
        </w:tc>
        <w:tc>
          <w:tcPr>
            <w:tcW w:w="1180" w:type="dxa"/>
            <w:vAlign w:val="bottom"/>
            <w:gridSpan w:val="2"/>
            <w:vMerge w:val="restart"/>
          </w:tcPr>
          <w:p>
            <w:pPr>
              <w:jc w:val="center"/>
              <w:ind w:right="280"/>
              <w:spacing w:after="0" w:line="139" w:lineRule="exact"/>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4"/>
                <w:szCs w:val="4"/>
                <w:color w:val="auto"/>
              </w:rPr>
            </w:pPr>
          </w:p>
        </w:tc>
        <w:tc>
          <w:tcPr>
            <w:tcW w:w="1240" w:type="dxa"/>
            <w:vAlign w:val="bottom"/>
            <w:gridSpan w:val="2"/>
            <w:vMerge w:val="restart"/>
          </w:tcPr>
          <w:p>
            <w:pPr>
              <w:jc w:val="center"/>
              <w:ind w:right="220"/>
              <w:spacing w:after="0" w:line="139" w:lineRule="exact"/>
              <w:rPr>
                <w:sz w:val="20"/>
                <w:szCs w:val="20"/>
                <w:color w:val="auto"/>
              </w:rPr>
            </w:pPr>
            <w:r>
              <w:rPr>
                <w:rFonts w:ascii="Arial" w:cs="Arial" w:eastAsia="Arial" w:hAnsi="Arial"/>
                <w:sz w:val="14"/>
                <w:szCs w:val="14"/>
                <w:b w:val="1"/>
                <w:bCs w:val="1"/>
                <w:color w:val="auto"/>
                <w:w w:val="92"/>
              </w:rPr>
              <w:t>Shareholders'</w:t>
            </w:r>
          </w:p>
        </w:tc>
        <w:tc>
          <w:tcPr>
            <w:tcW w:w="120" w:type="dxa"/>
            <w:vAlign w:val="bottom"/>
          </w:tcPr>
          <w:p>
            <w:pPr>
              <w:spacing w:after="0"/>
              <w:rPr>
                <w:sz w:val="4"/>
                <w:szCs w:val="4"/>
                <w:color w:val="auto"/>
              </w:rPr>
            </w:pPr>
          </w:p>
        </w:tc>
        <w:tc>
          <w:tcPr>
            <w:tcW w:w="1220" w:type="dxa"/>
            <w:vAlign w:val="bottom"/>
            <w:gridSpan w:val="2"/>
            <w:vMerge w:val="restart"/>
          </w:tcPr>
          <w:p>
            <w:pPr>
              <w:jc w:val="center"/>
              <w:ind w:right="220"/>
              <w:spacing w:after="0" w:line="139" w:lineRule="exact"/>
              <w:rPr>
                <w:sz w:val="20"/>
                <w:szCs w:val="20"/>
                <w:color w:val="auto"/>
              </w:rPr>
            </w:pPr>
            <w:r>
              <w:rPr>
                <w:rFonts w:ascii="Arial" w:cs="Arial" w:eastAsia="Arial" w:hAnsi="Arial"/>
                <w:sz w:val="14"/>
                <w:szCs w:val="14"/>
                <w:b w:val="1"/>
                <w:bCs w:val="1"/>
                <w:color w:val="auto"/>
                <w:w w:val="92"/>
              </w:rPr>
              <w:t>Noncontrolling</w:t>
            </w:r>
          </w:p>
        </w:tc>
        <w:tc>
          <w:tcPr>
            <w:tcW w:w="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2740" w:type="dxa"/>
            <w:vAlign w:val="bottom"/>
          </w:tcPr>
          <w:p>
            <w:pPr>
              <w:spacing w:after="0"/>
              <w:rPr>
                <w:sz w:val="5"/>
                <w:szCs w:val="5"/>
                <w:color w:val="auto"/>
              </w:rPr>
            </w:pPr>
          </w:p>
        </w:tc>
        <w:tc>
          <w:tcPr>
            <w:tcW w:w="9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5"/>
                <w:szCs w:val="5"/>
                <w:color w:val="auto"/>
              </w:rPr>
            </w:pPr>
          </w:p>
        </w:tc>
        <w:tc>
          <w:tcPr>
            <w:tcW w:w="10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Amount</w:t>
            </w:r>
          </w:p>
        </w:tc>
        <w:tc>
          <w:tcPr>
            <w:tcW w:w="1500" w:type="dxa"/>
            <w:vAlign w:val="bottom"/>
            <w:gridSpan w:val="3"/>
            <w:vMerge w:val="continue"/>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4"/>
              </w:rPr>
              <w:t>Total Equity</w:t>
            </w:r>
          </w:p>
        </w:tc>
        <w:tc>
          <w:tcPr>
            <w:tcW w:w="0" w:type="dxa"/>
            <w:vAlign w:val="bottom"/>
          </w:tcPr>
          <w:p>
            <w:pPr>
              <w:spacing w:after="0"/>
              <w:rPr>
                <w:sz w:val="1"/>
                <w:szCs w:val="1"/>
                <w:color w:val="auto"/>
              </w:rPr>
            </w:pPr>
          </w:p>
        </w:tc>
      </w:tr>
      <w:tr>
        <w:trPr>
          <w:trHeight w:val="192"/>
        </w:trPr>
        <w:tc>
          <w:tcPr>
            <w:tcW w:w="274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9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5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8"/>
              </w:rPr>
              <w:t>Comprehensive Loss</w:t>
            </w:r>
          </w:p>
        </w:tc>
        <w:tc>
          <w:tcPr>
            <w:tcW w:w="16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Deficit</w:t>
            </w:r>
          </w:p>
        </w:tc>
        <w:tc>
          <w:tcPr>
            <w:tcW w:w="120" w:type="dxa"/>
            <w:vAlign w:val="bottom"/>
          </w:tcPr>
          <w:p>
            <w:pPr>
              <w:spacing w:after="0"/>
              <w:rPr>
                <w:sz w:val="16"/>
                <w:szCs w:val="16"/>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Equity</w:t>
            </w:r>
          </w:p>
        </w:tc>
        <w:tc>
          <w:tcPr>
            <w:tcW w:w="120" w:type="dxa"/>
            <w:vAlign w:val="bottom"/>
          </w:tcPr>
          <w:p>
            <w:pPr>
              <w:spacing w:after="0"/>
              <w:rPr>
                <w:sz w:val="16"/>
                <w:szCs w:val="16"/>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Interests</w:t>
            </w:r>
          </w:p>
        </w:tc>
        <w:tc>
          <w:tcPr>
            <w:tcW w:w="1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7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Balances at January 1, 2019</w:t>
            </w:r>
          </w:p>
        </w:tc>
        <w:tc>
          <w:tcPr>
            <w:tcW w:w="82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39,498</w:t>
            </w: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$1,334,364</w:t>
            </w:r>
          </w:p>
        </w:tc>
        <w:tc>
          <w:tcPr>
            <w:tcW w:w="12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vMerge w:val="restart"/>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(196,305)</w:t>
            </w: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(425,396)</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712,663</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21,385</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734,048</w:t>
            </w:r>
          </w:p>
        </w:tc>
        <w:tc>
          <w:tcPr>
            <w:tcW w:w="0" w:type="dxa"/>
            <w:vAlign w:val="bottom"/>
          </w:tcPr>
          <w:p>
            <w:pPr>
              <w:spacing w:after="0"/>
              <w:rPr>
                <w:sz w:val="1"/>
                <w:szCs w:val="1"/>
                <w:color w:val="auto"/>
              </w:rPr>
            </w:pPr>
          </w:p>
        </w:tc>
      </w:tr>
      <w:tr>
        <w:trPr>
          <w:trHeight w:val="66"/>
        </w:trPr>
        <w:tc>
          <w:tcPr>
            <w:tcW w:w="2740" w:type="dxa"/>
            <w:vAlign w:val="bottom"/>
            <w:shd w:val="clear" w:color="auto" w:fill="CCEEFF"/>
          </w:tcPr>
          <w:p>
            <w:pPr>
              <w:spacing w:after="0"/>
              <w:rPr>
                <w:sz w:val="5"/>
                <w:szCs w:val="5"/>
                <w:color w:val="auto"/>
              </w:rPr>
            </w:pPr>
          </w:p>
        </w:tc>
        <w:tc>
          <w:tcPr>
            <w:tcW w:w="82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8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20" w:type="dxa"/>
            <w:vAlign w:val="bottom"/>
            <w:vMerge w:val="continue"/>
            <w:shd w:val="clear" w:color="auto" w:fill="CCEEFF"/>
          </w:tcPr>
          <w:p>
            <w:pPr>
              <w:spacing w:after="0"/>
              <w:rPr>
                <w:sz w:val="5"/>
                <w:szCs w:val="5"/>
                <w:color w:val="auto"/>
              </w:rPr>
            </w:pPr>
          </w:p>
        </w:tc>
        <w:tc>
          <w:tcPr>
            <w:tcW w:w="9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10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112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11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9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2740" w:type="dxa"/>
            <w:vAlign w:val="bottom"/>
          </w:tcPr>
          <w:p>
            <w:pPr>
              <w:ind w:left="40"/>
              <w:spacing w:after="0"/>
              <w:rPr>
                <w:sz w:val="20"/>
                <w:szCs w:val="20"/>
                <w:color w:val="auto"/>
              </w:rPr>
            </w:pPr>
            <w:r>
              <w:rPr>
                <w:rFonts w:ascii="Arial" w:cs="Arial" w:eastAsia="Arial" w:hAnsi="Arial"/>
                <w:sz w:val="14"/>
                <w:szCs w:val="14"/>
                <w:color w:val="auto"/>
              </w:rPr>
              <w:t>Net loss</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(1,907)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(1,907)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1,758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(149)</w:t>
            </w:r>
          </w:p>
        </w:tc>
        <w:tc>
          <w:tcPr>
            <w:tcW w:w="0" w:type="dxa"/>
            <w:vAlign w:val="bottom"/>
          </w:tcPr>
          <w:p>
            <w:pPr>
              <w:spacing w:after="0"/>
              <w:rPr>
                <w:sz w:val="1"/>
                <w:szCs w:val="1"/>
                <w:color w:val="auto"/>
              </w:rPr>
            </w:pPr>
          </w:p>
        </w:tc>
      </w:tr>
      <w:tr>
        <w:trPr>
          <w:trHeight w:val="74"/>
        </w:trPr>
        <w:tc>
          <w:tcPr>
            <w:tcW w:w="2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w w:val="93"/>
              </w:rPr>
              <w:t>Other comprehensive income (loss), net of tax</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(1,780)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(1,780)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(1,780)</w:t>
            </w:r>
          </w:p>
        </w:tc>
        <w:tc>
          <w:tcPr>
            <w:tcW w:w="0" w:type="dxa"/>
            <w:vAlign w:val="bottom"/>
          </w:tcPr>
          <w:p>
            <w:pPr>
              <w:spacing w:after="0"/>
              <w:rPr>
                <w:sz w:val="1"/>
                <w:szCs w:val="1"/>
                <w:color w:val="auto"/>
              </w:rPr>
            </w:pPr>
          </w:p>
        </w:tc>
      </w:tr>
      <w:tr>
        <w:trPr>
          <w:trHeight w:val="80"/>
        </w:trPr>
        <w:tc>
          <w:tcPr>
            <w:tcW w:w="274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740" w:type="dxa"/>
            <w:vAlign w:val="bottom"/>
          </w:tcPr>
          <w:p>
            <w:pPr>
              <w:ind w:left="40"/>
              <w:spacing w:after="0"/>
              <w:rPr>
                <w:sz w:val="20"/>
                <w:szCs w:val="20"/>
                <w:color w:val="auto"/>
              </w:rPr>
            </w:pPr>
            <w:r>
              <w:rPr>
                <w:rFonts w:ascii="Arial" w:cs="Arial" w:eastAsia="Arial" w:hAnsi="Arial"/>
                <w:sz w:val="14"/>
                <w:szCs w:val="14"/>
                <w:color w:val="auto"/>
              </w:rPr>
              <w:t>Distributions to noncontrolling interests</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(517)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(517)</w:t>
            </w:r>
          </w:p>
        </w:tc>
        <w:tc>
          <w:tcPr>
            <w:tcW w:w="0" w:type="dxa"/>
            <w:vAlign w:val="bottom"/>
          </w:tcPr>
          <w:p>
            <w:pPr>
              <w:spacing w:after="0"/>
              <w:rPr>
                <w:sz w:val="1"/>
                <w:szCs w:val="1"/>
                <w:color w:val="auto"/>
              </w:rPr>
            </w:pPr>
          </w:p>
        </w:tc>
      </w:tr>
      <w:tr>
        <w:trPr>
          <w:trHeight w:val="74"/>
        </w:trPr>
        <w:tc>
          <w:tcPr>
            <w:tcW w:w="2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 issues and repurchases:</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274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740" w:type="dxa"/>
            <w:vAlign w:val="bottom"/>
          </w:tcPr>
          <w:p>
            <w:pPr>
              <w:ind w:left="380"/>
              <w:spacing w:after="0"/>
              <w:rPr>
                <w:sz w:val="20"/>
                <w:szCs w:val="20"/>
                <w:color w:val="auto"/>
              </w:rPr>
            </w:pPr>
            <w:r>
              <w:rPr>
                <w:rFonts w:ascii="Arial" w:cs="Arial" w:eastAsia="Arial" w:hAnsi="Arial"/>
                <w:sz w:val="14"/>
                <w:szCs w:val="14"/>
                <w:color w:val="auto"/>
              </w:rPr>
              <w:t>Options exercised</w:t>
            </w:r>
          </w:p>
        </w:tc>
        <w:tc>
          <w:tcPr>
            <w:tcW w:w="820" w:type="dxa"/>
            <w:vAlign w:val="bottom"/>
            <w:vMerge w:val="restart"/>
          </w:tcPr>
          <w:p>
            <w:pPr>
              <w:jc w:val="right"/>
              <w:ind w:right="48"/>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rPr>
              <w:t>889</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889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889</w:t>
            </w:r>
          </w:p>
        </w:tc>
        <w:tc>
          <w:tcPr>
            <w:tcW w:w="0" w:type="dxa"/>
            <w:vAlign w:val="bottom"/>
          </w:tcPr>
          <w:p>
            <w:pPr>
              <w:spacing w:after="0"/>
              <w:rPr>
                <w:sz w:val="1"/>
                <w:szCs w:val="1"/>
                <w:color w:val="auto"/>
              </w:rPr>
            </w:pPr>
          </w:p>
        </w:tc>
      </w:tr>
      <w:tr>
        <w:trPr>
          <w:trHeight w:val="74"/>
        </w:trPr>
        <w:tc>
          <w:tcPr>
            <w:tcW w:w="274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2740" w:type="dxa"/>
            <w:vAlign w:val="bottom"/>
            <w:shd w:val="clear" w:color="auto" w:fill="CCEEFF"/>
          </w:tcPr>
          <w:p>
            <w:pPr>
              <w:ind w:left="380"/>
              <w:spacing w:after="0"/>
              <w:rPr>
                <w:sz w:val="20"/>
                <w:szCs w:val="20"/>
                <w:color w:val="auto"/>
              </w:rPr>
            </w:pPr>
            <w:r>
              <w:rPr>
                <w:rFonts w:ascii="Arial" w:cs="Arial" w:eastAsia="Arial" w:hAnsi="Arial"/>
                <w:sz w:val="14"/>
                <w:szCs w:val="14"/>
                <w:color w:val="auto"/>
                <w:w w:val="95"/>
              </w:rPr>
              <w:t>Restricted stock awards released net of</w:t>
            </w: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repurchased shares for taxes</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319</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(720)</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(720)</w:t>
            </w:r>
          </w:p>
        </w:tc>
        <w:tc>
          <w:tcPr>
            <w:tcW w:w="0" w:type="dxa"/>
            <w:vAlign w:val="bottom"/>
          </w:tcPr>
          <w:p>
            <w:pPr>
              <w:spacing w:after="0"/>
              <w:rPr>
                <w:sz w:val="1"/>
                <w:szCs w:val="1"/>
                <w:color w:val="auto"/>
              </w:rPr>
            </w:pPr>
          </w:p>
        </w:tc>
      </w:tr>
      <w:tr>
        <w:trPr>
          <w:trHeight w:val="157"/>
        </w:trPr>
        <w:tc>
          <w:tcPr>
            <w:tcW w:w="2740" w:type="dxa"/>
            <w:vAlign w:val="bottom"/>
          </w:tcPr>
          <w:p>
            <w:pPr>
              <w:ind w:left="380"/>
              <w:spacing w:after="0" w:line="157" w:lineRule="exact"/>
              <w:rPr>
                <w:sz w:val="20"/>
                <w:szCs w:val="20"/>
                <w:color w:val="auto"/>
              </w:rPr>
            </w:pPr>
            <w:r>
              <w:rPr>
                <w:rFonts w:ascii="Arial" w:cs="Arial" w:eastAsia="Arial" w:hAnsi="Arial"/>
                <w:sz w:val="14"/>
                <w:szCs w:val="14"/>
                <w:color w:val="auto"/>
                <w:w w:val="96"/>
              </w:rPr>
              <w:t>Issuance of stock-based compensation</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740" w:type="dxa"/>
            <w:vAlign w:val="bottom"/>
          </w:tcPr>
          <w:p>
            <w:pPr>
              <w:ind w:left="380"/>
              <w:spacing w:after="0"/>
              <w:rPr>
                <w:sz w:val="20"/>
                <w:szCs w:val="20"/>
                <w:color w:val="auto"/>
              </w:rPr>
            </w:pPr>
            <w:r>
              <w:rPr>
                <w:rFonts w:ascii="Arial" w:cs="Arial" w:eastAsia="Arial" w:hAnsi="Arial"/>
                <w:sz w:val="14"/>
                <w:szCs w:val="14"/>
                <w:color w:val="auto"/>
              </w:rPr>
              <w:t>awards</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157</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157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157</w:t>
            </w:r>
          </w:p>
        </w:tc>
        <w:tc>
          <w:tcPr>
            <w:tcW w:w="0" w:type="dxa"/>
            <w:vAlign w:val="bottom"/>
          </w:tcPr>
          <w:p>
            <w:pPr>
              <w:spacing w:after="0"/>
              <w:rPr>
                <w:sz w:val="1"/>
                <w:szCs w:val="1"/>
                <w:color w:val="auto"/>
              </w:rPr>
            </w:pPr>
          </w:p>
        </w:tc>
      </w:tr>
      <w:tr>
        <w:trPr>
          <w:trHeight w:val="197"/>
        </w:trPr>
        <w:tc>
          <w:tcPr>
            <w:tcW w:w="2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Employee stock purchase plan</w:t>
            </w:r>
          </w:p>
        </w:tc>
        <w:tc>
          <w:tcPr>
            <w:tcW w:w="8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869</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869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869</w:t>
            </w:r>
          </w:p>
        </w:tc>
        <w:tc>
          <w:tcPr>
            <w:tcW w:w="0" w:type="dxa"/>
            <w:vAlign w:val="bottom"/>
          </w:tcPr>
          <w:p>
            <w:pPr>
              <w:spacing w:after="0"/>
              <w:rPr>
                <w:sz w:val="1"/>
                <w:szCs w:val="1"/>
                <w:color w:val="auto"/>
              </w:rPr>
            </w:pPr>
          </w:p>
        </w:tc>
      </w:tr>
      <w:tr>
        <w:trPr>
          <w:trHeight w:val="80"/>
        </w:trPr>
        <w:tc>
          <w:tcPr>
            <w:tcW w:w="274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740" w:type="dxa"/>
            <w:vAlign w:val="bottom"/>
          </w:tcPr>
          <w:p>
            <w:pPr>
              <w:ind w:left="380"/>
              <w:spacing w:after="0"/>
              <w:rPr>
                <w:sz w:val="20"/>
                <w:szCs w:val="20"/>
                <w:color w:val="auto"/>
              </w:rPr>
            </w:pPr>
            <w:r>
              <w:rPr>
                <w:rFonts w:ascii="Arial" w:cs="Arial" w:eastAsia="Arial" w:hAnsi="Arial"/>
                <w:sz w:val="14"/>
                <w:szCs w:val="14"/>
                <w:color w:val="auto"/>
              </w:rPr>
              <w:t>Stock-based compensation expense</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rPr>
              <w:t>7,048</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7,048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7,048</w:t>
            </w:r>
          </w:p>
        </w:tc>
        <w:tc>
          <w:tcPr>
            <w:tcW w:w="0" w:type="dxa"/>
            <w:vAlign w:val="bottom"/>
          </w:tcPr>
          <w:p>
            <w:pPr>
              <w:spacing w:after="0"/>
              <w:rPr>
                <w:sz w:val="1"/>
                <w:szCs w:val="1"/>
                <w:color w:val="auto"/>
              </w:rPr>
            </w:pPr>
          </w:p>
        </w:tc>
      </w:tr>
      <w:tr>
        <w:trPr>
          <w:trHeight w:val="74"/>
        </w:trPr>
        <w:tc>
          <w:tcPr>
            <w:tcW w:w="2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Shares repurchased</w:t>
            </w:r>
          </w:p>
        </w:tc>
        <w:tc>
          <w:tcPr>
            <w:tcW w:w="8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(165)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(7,814)</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(7,814)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(7,814)</w:t>
            </w:r>
          </w:p>
        </w:tc>
        <w:tc>
          <w:tcPr>
            <w:tcW w:w="0" w:type="dxa"/>
            <w:vAlign w:val="bottom"/>
          </w:tcPr>
          <w:p>
            <w:pPr>
              <w:spacing w:after="0"/>
              <w:rPr>
                <w:sz w:val="1"/>
                <w:szCs w:val="1"/>
                <w:color w:val="auto"/>
              </w:rPr>
            </w:pPr>
          </w:p>
        </w:tc>
      </w:tr>
      <w:tr>
        <w:trPr>
          <w:trHeight w:val="80"/>
        </w:trPr>
        <w:tc>
          <w:tcPr>
            <w:tcW w:w="2740" w:type="dxa"/>
            <w:vAlign w:val="bottom"/>
            <w:shd w:val="clear" w:color="auto" w:fill="CCEEFF"/>
          </w:tcPr>
          <w:p>
            <w:pPr>
              <w:spacing w:after="0"/>
              <w:rPr>
                <w:sz w:val="6"/>
                <w:szCs w:val="6"/>
                <w:color w:val="auto"/>
              </w:rPr>
            </w:pPr>
          </w:p>
        </w:tc>
        <w:tc>
          <w:tcPr>
            <w:tcW w:w="8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8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20" w:type="dxa"/>
            <w:vAlign w:val="bottom"/>
            <w:tcBorders>
              <w:bottom w:val="single" w:sz="8" w:color="auto"/>
            </w:tcBorders>
            <w:shd w:val="clear" w:color="auto" w:fill="CCEEFF"/>
          </w:tcPr>
          <w:p>
            <w:pPr>
              <w:spacing w:after="0"/>
              <w:rPr>
                <w:sz w:val="6"/>
                <w:szCs w:val="6"/>
                <w:color w:val="auto"/>
              </w:rPr>
            </w:pPr>
          </w:p>
        </w:tc>
        <w:tc>
          <w:tcPr>
            <w:tcW w:w="960" w:type="dxa"/>
            <w:vAlign w:val="bottom"/>
            <w:tcBorders>
              <w:bottom w:val="single" w:sz="8" w:color="auto"/>
            </w:tcBorders>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1080" w:type="dxa"/>
            <w:vAlign w:val="bottom"/>
            <w:tcBorders>
              <w:bottom w:val="single" w:sz="8" w:color="auto"/>
            </w:tcBorders>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11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1120" w:type="dxa"/>
            <w:vAlign w:val="bottom"/>
            <w:tcBorders>
              <w:bottom w:val="single" w:sz="8" w:color="auto"/>
            </w:tcBorders>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2740" w:type="dxa"/>
            <w:vAlign w:val="bottom"/>
          </w:tcPr>
          <w:p>
            <w:pPr>
              <w:ind w:left="40"/>
              <w:spacing w:after="0"/>
              <w:rPr>
                <w:sz w:val="20"/>
                <w:szCs w:val="20"/>
                <w:color w:val="auto"/>
              </w:rPr>
            </w:pPr>
            <w:r>
              <w:rPr>
                <w:rFonts w:ascii="Arial" w:cs="Arial" w:eastAsia="Arial" w:hAnsi="Arial"/>
                <w:sz w:val="14"/>
                <w:szCs w:val="14"/>
                <w:color w:val="auto"/>
              </w:rPr>
              <w:t>Balances at March 31, 2019</w:t>
            </w:r>
          </w:p>
        </w:tc>
        <w:tc>
          <w:tcPr>
            <w:tcW w:w="820" w:type="dxa"/>
            <w:vAlign w:val="bottom"/>
            <w:vMerge w:val="restart"/>
          </w:tcPr>
          <w:p>
            <w:pPr>
              <w:jc w:val="right"/>
              <w:ind w:right="48"/>
              <w:spacing w:after="0"/>
              <w:rPr>
                <w:sz w:val="20"/>
                <w:szCs w:val="20"/>
                <w:color w:val="auto"/>
              </w:rPr>
            </w:pPr>
            <w:r>
              <w:rPr>
                <w:rFonts w:ascii="Arial" w:cs="Arial" w:eastAsia="Arial" w:hAnsi="Arial"/>
                <w:sz w:val="14"/>
                <w:szCs w:val="14"/>
                <w:color w:val="auto"/>
              </w:rPr>
              <w:t>39,693</w:t>
            </w:r>
          </w:p>
        </w:tc>
        <w:tc>
          <w:tcPr>
            <w:tcW w:w="120" w:type="dxa"/>
            <w:vAlign w:val="bottom"/>
          </w:tcPr>
          <w:p>
            <w:pPr>
              <w:spacing w:after="0"/>
              <w:rPr>
                <w:sz w:val="14"/>
                <w:szCs w:val="14"/>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rPr>
              <w:t>1,334,793</w:t>
            </w:r>
          </w:p>
        </w:tc>
        <w:tc>
          <w:tcPr>
            <w:tcW w:w="120" w:type="dxa"/>
            <w:vAlign w:val="bottom"/>
          </w:tcPr>
          <w:p>
            <w:pPr>
              <w:spacing w:after="0"/>
              <w:rPr>
                <w:sz w:val="14"/>
                <w:szCs w:val="14"/>
                <w:color w:val="auto"/>
              </w:rPr>
            </w:pPr>
          </w:p>
        </w:tc>
        <w:tc>
          <w:tcPr>
            <w:tcW w:w="420" w:type="dxa"/>
            <w:vAlign w:val="bottom"/>
            <w:vMerge w:val="restart"/>
          </w:tcPr>
          <w:p>
            <w:pPr>
              <w:jc w:val="right"/>
              <w:ind w:right="248"/>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(198,085)</w:t>
            </w:r>
          </w:p>
        </w:tc>
        <w:tc>
          <w:tcPr>
            <w:tcW w:w="12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(427,303)</w:t>
            </w:r>
          </w:p>
        </w:tc>
        <w:tc>
          <w:tcPr>
            <w:tcW w:w="10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709,405</w:t>
            </w:r>
          </w:p>
        </w:tc>
        <w:tc>
          <w:tcPr>
            <w:tcW w:w="12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22,626</w:t>
            </w:r>
          </w:p>
        </w:tc>
        <w:tc>
          <w:tcPr>
            <w:tcW w:w="10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732,031</w:t>
            </w:r>
          </w:p>
        </w:tc>
        <w:tc>
          <w:tcPr>
            <w:tcW w:w="0" w:type="dxa"/>
            <w:vAlign w:val="bottom"/>
          </w:tcPr>
          <w:p>
            <w:pPr>
              <w:spacing w:after="0"/>
              <w:rPr>
                <w:sz w:val="1"/>
                <w:szCs w:val="1"/>
                <w:color w:val="auto"/>
              </w:rPr>
            </w:pPr>
          </w:p>
        </w:tc>
      </w:tr>
      <w:tr>
        <w:trPr>
          <w:trHeight w:val="65"/>
        </w:trPr>
        <w:tc>
          <w:tcPr>
            <w:tcW w:w="2740" w:type="dxa"/>
            <w:vAlign w:val="bottom"/>
          </w:tcPr>
          <w:p>
            <w:pPr>
              <w:spacing w:after="0"/>
              <w:rPr>
                <w:sz w:val="5"/>
                <w:szCs w:val="5"/>
                <w:color w:val="auto"/>
              </w:rPr>
            </w:pPr>
          </w:p>
        </w:tc>
        <w:tc>
          <w:tcPr>
            <w:tcW w:w="82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Borders>
              <w:bottom w:val="single" w:sz="8" w:color="auto"/>
            </w:tcBorders>
            <w:vMerge w:val="continue"/>
          </w:tcPr>
          <w:p>
            <w:pPr>
              <w:spacing w:after="0"/>
              <w:rPr>
                <w:sz w:val="5"/>
                <w:szCs w:val="5"/>
                <w:color w:val="auto"/>
              </w:rPr>
            </w:pPr>
          </w:p>
        </w:tc>
        <w:tc>
          <w:tcPr>
            <w:tcW w:w="8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Borders>
              <w:bottom w:val="single" w:sz="8" w:color="auto"/>
            </w:tcBorders>
            <w:vMerge w:val="continue"/>
          </w:tcPr>
          <w:p>
            <w:pPr>
              <w:spacing w:after="0"/>
              <w:rPr>
                <w:sz w:val="5"/>
                <w:szCs w:val="5"/>
                <w:color w:val="auto"/>
              </w:rPr>
            </w:pPr>
          </w:p>
        </w:tc>
        <w:tc>
          <w:tcPr>
            <w:tcW w:w="96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Borders>
              <w:bottom w:val="single" w:sz="8" w:color="auto"/>
            </w:tcBorders>
            <w:vMerge w:val="continue"/>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Borders>
              <w:bottom w:val="single" w:sz="8" w:color="auto"/>
            </w:tcBorders>
            <w:vMerge w:val="continue"/>
          </w:tcPr>
          <w:p>
            <w:pPr>
              <w:spacing w:after="0"/>
              <w:rPr>
                <w:sz w:val="5"/>
                <w:szCs w:val="5"/>
                <w:color w:val="auto"/>
              </w:rPr>
            </w:pPr>
          </w:p>
        </w:tc>
        <w:tc>
          <w:tcPr>
            <w:tcW w:w="112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Borders>
              <w:bottom w:val="single" w:sz="8" w:color="auto"/>
            </w:tcBorders>
            <w:vMerge w:val="continue"/>
          </w:tcPr>
          <w:p>
            <w:pPr>
              <w:spacing w:after="0"/>
              <w:rPr>
                <w:sz w:val="5"/>
                <w:szCs w:val="5"/>
                <w:color w:val="auto"/>
              </w:rPr>
            </w:pPr>
          </w:p>
        </w:tc>
        <w:tc>
          <w:tcPr>
            <w:tcW w:w="112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Borders>
              <w:bottom w:val="single" w:sz="8" w:color="auto"/>
            </w:tcBorders>
            <w:vMerge w:val="continue"/>
          </w:tcPr>
          <w:p>
            <w:pPr>
              <w:spacing w:after="0"/>
              <w:rPr>
                <w:sz w:val="5"/>
                <w:szCs w:val="5"/>
                <w:color w:val="auto"/>
              </w:rPr>
            </w:pPr>
          </w:p>
        </w:tc>
        <w:tc>
          <w:tcPr>
            <w:tcW w:w="90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740" w:type="dxa"/>
            <w:vAlign w:val="bottom"/>
          </w:tcPr>
          <w:p>
            <w:pPr>
              <w:spacing w:after="0"/>
              <w:rPr>
                <w:sz w:val="14"/>
                <w:szCs w:val="14"/>
                <w:color w:val="auto"/>
              </w:rPr>
            </w:pPr>
          </w:p>
        </w:tc>
        <w:tc>
          <w:tcPr>
            <w:tcW w:w="210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1"/>
              </w:rPr>
              <w:t>Common Stock</w:t>
            </w: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Total Itron, Inc.</w:t>
            </w: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74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520" w:type="dxa"/>
            <w:vAlign w:val="bottom"/>
            <w:gridSpan w:val="3"/>
            <w:vMerge w:val="restart"/>
          </w:tcPr>
          <w:p>
            <w:pPr>
              <w:jc w:val="center"/>
              <w:ind w:right="100"/>
              <w:spacing w:after="0" w:line="139" w:lineRule="exact"/>
              <w:rPr>
                <w:sz w:val="20"/>
                <w:szCs w:val="20"/>
                <w:color w:val="auto"/>
              </w:rPr>
            </w:pPr>
            <w:r>
              <w:rPr>
                <w:rFonts w:ascii="Arial" w:cs="Arial" w:eastAsia="Arial" w:hAnsi="Arial"/>
                <w:sz w:val="14"/>
                <w:szCs w:val="14"/>
                <w:b w:val="1"/>
                <w:bCs w:val="1"/>
                <w:color w:val="auto"/>
                <w:w w:val="94"/>
              </w:rPr>
              <w:t>Accumulated Other</w:t>
            </w:r>
          </w:p>
        </w:tc>
        <w:tc>
          <w:tcPr>
            <w:tcW w:w="160" w:type="dxa"/>
            <w:vAlign w:val="bottom"/>
          </w:tcPr>
          <w:p>
            <w:pPr>
              <w:spacing w:after="0"/>
              <w:rPr>
                <w:sz w:val="4"/>
                <w:szCs w:val="4"/>
                <w:color w:val="auto"/>
              </w:rPr>
            </w:pPr>
          </w:p>
        </w:tc>
        <w:tc>
          <w:tcPr>
            <w:tcW w:w="1180" w:type="dxa"/>
            <w:vAlign w:val="bottom"/>
            <w:gridSpan w:val="2"/>
            <w:vMerge w:val="restart"/>
          </w:tcPr>
          <w:p>
            <w:pPr>
              <w:jc w:val="center"/>
              <w:ind w:right="280"/>
              <w:spacing w:after="0" w:line="139" w:lineRule="exact"/>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4"/>
                <w:szCs w:val="4"/>
                <w:color w:val="auto"/>
              </w:rPr>
            </w:pPr>
          </w:p>
        </w:tc>
        <w:tc>
          <w:tcPr>
            <w:tcW w:w="1220" w:type="dxa"/>
            <w:vAlign w:val="bottom"/>
            <w:gridSpan w:val="2"/>
            <w:vMerge w:val="restart"/>
          </w:tcPr>
          <w:p>
            <w:pPr>
              <w:jc w:val="center"/>
              <w:ind w:right="240"/>
              <w:spacing w:after="0" w:line="139" w:lineRule="exact"/>
              <w:rPr>
                <w:sz w:val="20"/>
                <w:szCs w:val="20"/>
                <w:color w:val="auto"/>
              </w:rPr>
            </w:pPr>
            <w:r>
              <w:rPr>
                <w:rFonts w:ascii="Arial" w:cs="Arial" w:eastAsia="Arial" w:hAnsi="Arial"/>
                <w:sz w:val="14"/>
                <w:szCs w:val="14"/>
                <w:b w:val="1"/>
                <w:bCs w:val="1"/>
                <w:color w:val="auto"/>
                <w:w w:val="92"/>
              </w:rPr>
              <w:t>Shareholders'</w:t>
            </w:r>
          </w:p>
        </w:tc>
        <w:tc>
          <w:tcPr>
            <w:tcW w:w="120" w:type="dxa"/>
            <w:vAlign w:val="bottom"/>
          </w:tcPr>
          <w:p>
            <w:pPr>
              <w:spacing w:after="0"/>
              <w:rPr>
                <w:sz w:val="4"/>
                <w:szCs w:val="4"/>
                <w:color w:val="auto"/>
              </w:rPr>
            </w:pPr>
          </w:p>
        </w:tc>
        <w:tc>
          <w:tcPr>
            <w:tcW w:w="1220" w:type="dxa"/>
            <w:vAlign w:val="bottom"/>
            <w:gridSpan w:val="2"/>
            <w:vMerge w:val="restart"/>
          </w:tcPr>
          <w:p>
            <w:pPr>
              <w:jc w:val="center"/>
              <w:ind w:right="240"/>
              <w:spacing w:after="0" w:line="139" w:lineRule="exact"/>
              <w:rPr>
                <w:sz w:val="20"/>
                <w:szCs w:val="20"/>
                <w:color w:val="auto"/>
              </w:rPr>
            </w:pPr>
            <w:r>
              <w:rPr>
                <w:rFonts w:ascii="Arial" w:cs="Arial" w:eastAsia="Arial" w:hAnsi="Arial"/>
                <w:sz w:val="14"/>
                <w:szCs w:val="14"/>
                <w:b w:val="1"/>
                <w:bCs w:val="1"/>
                <w:color w:val="auto"/>
                <w:w w:val="94"/>
              </w:rPr>
              <w:t>Noncontrolling</w:t>
            </w: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2740" w:type="dxa"/>
            <w:vAlign w:val="bottom"/>
          </w:tcPr>
          <w:p>
            <w:pPr>
              <w:spacing w:after="0"/>
              <w:rPr>
                <w:sz w:val="5"/>
                <w:szCs w:val="5"/>
                <w:color w:val="auto"/>
              </w:rPr>
            </w:pPr>
          </w:p>
        </w:tc>
        <w:tc>
          <w:tcPr>
            <w:tcW w:w="9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5"/>
                <w:szCs w:val="5"/>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1520" w:type="dxa"/>
            <w:vAlign w:val="bottom"/>
            <w:gridSpan w:val="3"/>
            <w:vMerge w:val="continue"/>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4"/>
              </w:rPr>
              <w:t>Total Equity</w:t>
            </w:r>
          </w:p>
        </w:tc>
        <w:tc>
          <w:tcPr>
            <w:tcW w:w="0" w:type="dxa"/>
            <w:vAlign w:val="bottom"/>
          </w:tcPr>
          <w:p>
            <w:pPr>
              <w:spacing w:after="0"/>
              <w:rPr>
                <w:sz w:val="1"/>
                <w:szCs w:val="1"/>
                <w:color w:val="auto"/>
              </w:rPr>
            </w:pPr>
          </w:p>
        </w:tc>
      </w:tr>
      <w:tr>
        <w:trPr>
          <w:trHeight w:val="192"/>
        </w:trPr>
        <w:tc>
          <w:tcPr>
            <w:tcW w:w="274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9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5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Comprehensive Loss</w:t>
            </w:r>
          </w:p>
        </w:tc>
        <w:tc>
          <w:tcPr>
            <w:tcW w:w="16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Deficit</w:t>
            </w:r>
          </w:p>
        </w:tc>
        <w:tc>
          <w:tcPr>
            <w:tcW w:w="12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Equity</w:t>
            </w:r>
          </w:p>
        </w:tc>
        <w:tc>
          <w:tcPr>
            <w:tcW w:w="12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Interests</w:t>
            </w:r>
          </w:p>
        </w:tc>
        <w:tc>
          <w:tcPr>
            <w:tcW w:w="1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Balances at January 1, 2018</w:t>
            </w:r>
          </w:p>
        </w:tc>
        <w:tc>
          <w:tcPr>
            <w:tcW w:w="82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38,771</w:t>
            </w: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$1,294,767</w:t>
            </w:r>
          </w:p>
        </w:tc>
        <w:tc>
          <w:tcPr>
            <w:tcW w:w="12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vMerge w:val="restart"/>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(170,478)</w:t>
            </w: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(337,873)</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786,416</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19,216</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805,632</w:t>
            </w:r>
          </w:p>
        </w:tc>
        <w:tc>
          <w:tcPr>
            <w:tcW w:w="0" w:type="dxa"/>
            <w:vAlign w:val="bottom"/>
          </w:tcPr>
          <w:p>
            <w:pPr>
              <w:spacing w:after="0"/>
              <w:rPr>
                <w:sz w:val="1"/>
                <w:szCs w:val="1"/>
                <w:color w:val="auto"/>
              </w:rPr>
            </w:pPr>
          </w:p>
        </w:tc>
      </w:tr>
      <w:tr>
        <w:trPr>
          <w:trHeight w:val="66"/>
        </w:trPr>
        <w:tc>
          <w:tcPr>
            <w:tcW w:w="2740" w:type="dxa"/>
            <w:vAlign w:val="bottom"/>
            <w:shd w:val="clear" w:color="auto" w:fill="CCEEFF"/>
          </w:tcPr>
          <w:p>
            <w:pPr>
              <w:spacing w:after="0"/>
              <w:rPr>
                <w:sz w:val="5"/>
                <w:szCs w:val="5"/>
                <w:color w:val="auto"/>
              </w:rPr>
            </w:pPr>
          </w:p>
        </w:tc>
        <w:tc>
          <w:tcPr>
            <w:tcW w:w="82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8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40" w:type="dxa"/>
            <w:vAlign w:val="bottom"/>
            <w:vMerge w:val="continue"/>
            <w:shd w:val="clear" w:color="auto" w:fill="CCEEFF"/>
          </w:tcPr>
          <w:p>
            <w:pPr>
              <w:spacing w:after="0"/>
              <w:rPr>
                <w:sz w:val="5"/>
                <w:szCs w:val="5"/>
                <w:color w:val="auto"/>
              </w:rPr>
            </w:pPr>
          </w:p>
        </w:tc>
        <w:tc>
          <w:tcPr>
            <w:tcW w:w="9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10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11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11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9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2740" w:type="dxa"/>
            <w:vAlign w:val="bottom"/>
          </w:tcPr>
          <w:p>
            <w:pPr>
              <w:ind w:left="20"/>
              <w:spacing w:after="0"/>
              <w:rPr>
                <w:sz w:val="20"/>
                <w:szCs w:val="20"/>
                <w:color w:val="auto"/>
              </w:rPr>
            </w:pPr>
            <w:r>
              <w:rPr>
                <w:rFonts w:ascii="Arial" w:cs="Arial" w:eastAsia="Arial" w:hAnsi="Arial"/>
                <w:sz w:val="14"/>
                <w:szCs w:val="14"/>
                <w:color w:val="auto"/>
              </w:rPr>
              <w:t>Net loss</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(145,666)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(145,666)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396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(145,270)</w:t>
            </w:r>
          </w:p>
        </w:tc>
        <w:tc>
          <w:tcPr>
            <w:tcW w:w="0" w:type="dxa"/>
            <w:vAlign w:val="bottom"/>
          </w:tcPr>
          <w:p>
            <w:pPr>
              <w:spacing w:after="0"/>
              <w:rPr>
                <w:sz w:val="1"/>
                <w:szCs w:val="1"/>
                <w:color w:val="auto"/>
              </w:rPr>
            </w:pPr>
          </w:p>
        </w:tc>
      </w:tr>
      <w:tr>
        <w:trPr>
          <w:trHeight w:val="74"/>
        </w:trPr>
        <w:tc>
          <w:tcPr>
            <w:tcW w:w="2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Cumulative effect of accounting change</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11,727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11,727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11,727</w:t>
            </w:r>
          </w:p>
        </w:tc>
        <w:tc>
          <w:tcPr>
            <w:tcW w:w="0" w:type="dxa"/>
            <w:vAlign w:val="bottom"/>
          </w:tcPr>
          <w:p>
            <w:pPr>
              <w:spacing w:after="0"/>
              <w:rPr>
                <w:sz w:val="1"/>
                <w:szCs w:val="1"/>
                <w:color w:val="auto"/>
              </w:rPr>
            </w:pPr>
          </w:p>
        </w:tc>
      </w:tr>
      <w:tr>
        <w:trPr>
          <w:trHeight w:val="80"/>
        </w:trPr>
        <w:tc>
          <w:tcPr>
            <w:tcW w:w="274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740" w:type="dxa"/>
            <w:vAlign w:val="bottom"/>
          </w:tcPr>
          <w:p>
            <w:pPr>
              <w:ind w:left="20"/>
              <w:spacing w:after="0"/>
              <w:rPr>
                <w:sz w:val="20"/>
                <w:szCs w:val="20"/>
                <w:color w:val="auto"/>
              </w:rPr>
            </w:pPr>
            <w:r>
              <w:rPr>
                <w:rFonts w:ascii="Arial" w:cs="Arial" w:eastAsia="Arial" w:hAnsi="Arial"/>
                <w:sz w:val="14"/>
                <w:szCs w:val="14"/>
                <w:color w:val="auto"/>
                <w:w w:val="94"/>
              </w:rPr>
              <w:t>Other comprehensive income (loss), net of tax</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17,883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17,883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17,883</w:t>
            </w:r>
          </w:p>
        </w:tc>
        <w:tc>
          <w:tcPr>
            <w:tcW w:w="0" w:type="dxa"/>
            <w:vAlign w:val="bottom"/>
          </w:tcPr>
          <w:p>
            <w:pPr>
              <w:spacing w:after="0"/>
              <w:rPr>
                <w:sz w:val="1"/>
                <w:szCs w:val="1"/>
                <w:color w:val="auto"/>
              </w:rPr>
            </w:pPr>
          </w:p>
        </w:tc>
      </w:tr>
      <w:tr>
        <w:trPr>
          <w:trHeight w:val="74"/>
        </w:trPr>
        <w:tc>
          <w:tcPr>
            <w:tcW w:w="2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Distributions to noncontrolling interests</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(981)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(981)</w:t>
            </w:r>
          </w:p>
        </w:tc>
        <w:tc>
          <w:tcPr>
            <w:tcW w:w="0" w:type="dxa"/>
            <w:vAlign w:val="bottom"/>
          </w:tcPr>
          <w:p>
            <w:pPr>
              <w:spacing w:after="0"/>
              <w:rPr>
                <w:sz w:val="1"/>
                <w:szCs w:val="1"/>
                <w:color w:val="auto"/>
              </w:rPr>
            </w:pPr>
          </w:p>
        </w:tc>
      </w:tr>
      <w:tr>
        <w:trPr>
          <w:trHeight w:val="80"/>
        </w:trPr>
        <w:tc>
          <w:tcPr>
            <w:tcW w:w="274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740" w:type="dxa"/>
            <w:vAlign w:val="bottom"/>
          </w:tcPr>
          <w:p>
            <w:pPr>
              <w:ind w:left="20"/>
              <w:spacing w:after="0"/>
              <w:rPr>
                <w:sz w:val="20"/>
                <w:szCs w:val="20"/>
                <w:color w:val="auto"/>
              </w:rPr>
            </w:pPr>
            <w:r>
              <w:rPr>
                <w:rFonts w:ascii="Arial" w:cs="Arial" w:eastAsia="Arial" w:hAnsi="Arial"/>
                <w:sz w:val="14"/>
                <w:szCs w:val="14"/>
                <w:color w:val="auto"/>
              </w:rPr>
              <w:t>Stock issues and repurchases:</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Options exercised</w:t>
            </w:r>
          </w:p>
        </w:tc>
        <w:tc>
          <w:tcPr>
            <w:tcW w:w="8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62</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2,883</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2,883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2,883</w:t>
            </w:r>
          </w:p>
        </w:tc>
        <w:tc>
          <w:tcPr>
            <w:tcW w:w="0" w:type="dxa"/>
            <w:vAlign w:val="bottom"/>
          </w:tcPr>
          <w:p>
            <w:pPr>
              <w:spacing w:after="0"/>
              <w:rPr>
                <w:sz w:val="1"/>
                <w:szCs w:val="1"/>
                <w:color w:val="auto"/>
              </w:rPr>
            </w:pPr>
          </w:p>
        </w:tc>
      </w:tr>
      <w:tr>
        <w:trPr>
          <w:trHeight w:val="80"/>
        </w:trPr>
        <w:tc>
          <w:tcPr>
            <w:tcW w:w="274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740" w:type="dxa"/>
            <w:vAlign w:val="bottom"/>
          </w:tcPr>
          <w:p>
            <w:pPr>
              <w:ind w:left="380"/>
              <w:spacing w:after="0"/>
              <w:rPr>
                <w:sz w:val="20"/>
                <w:szCs w:val="20"/>
                <w:color w:val="auto"/>
              </w:rPr>
            </w:pPr>
            <w:r>
              <w:rPr>
                <w:rFonts w:ascii="Arial" w:cs="Arial" w:eastAsia="Arial" w:hAnsi="Arial"/>
                <w:sz w:val="14"/>
                <w:szCs w:val="14"/>
                <w:color w:val="auto"/>
              </w:rPr>
              <w:t>Restricted stock awards released</w:t>
            </w:r>
          </w:p>
        </w:tc>
        <w:tc>
          <w:tcPr>
            <w:tcW w:w="820" w:type="dxa"/>
            <w:vAlign w:val="bottom"/>
            <w:vMerge w:val="restart"/>
          </w:tcPr>
          <w:p>
            <w:pPr>
              <w:jc w:val="right"/>
              <w:ind w:right="48"/>
              <w:spacing w:after="0"/>
              <w:rPr>
                <w:sz w:val="20"/>
                <w:szCs w:val="20"/>
                <w:color w:val="auto"/>
              </w:rPr>
            </w:pPr>
            <w:r>
              <w:rPr>
                <w:rFonts w:ascii="Arial" w:cs="Arial" w:eastAsia="Arial" w:hAnsi="Arial"/>
                <w:sz w:val="14"/>
                <w:szCs w:val="14"/>
                <w:color w:val="auto"/>
              </w:rPr>
              <w:t>338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274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44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2740" w:type="dxa"/>
            <w:vAlign w:val="bottom"/>
            <w:shd w:val="clear" w:color="auto" w:fill="CCEEFF"/>
          </w:tcPr>
          <w:p>
            <w:pPr>
              <w:ind w:left="380"/>
              <w:spacing w:after="0"/>
              <w:rPr>
                <w:sz w:val="20"/>
                <w:szCs w:val="20"/>
                <w:color w:val="auto"/>
              </w:rPr>
            </w:pPr>
            <w:r>
              <w:rPr>
                <w:rFonts w:ascii="Arial" w:cs="Arial" w:eastAsia="Arial" w:hAnsi="Arial"/>
                <w:sz w:val="14"/>
                <w:szCs w:val="14"/>
                <w:color w:val="auto"/>
                <w:w w:val="96"/>
              </w:rPr>
              <w:t>Issuance of stock-based compensation</w:t>
            </w: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awards</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207</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207</w:t>
            </w:r>
          </w:p>
        </w:tc>
        <w:tc>
          <w:tcPr>
            <w:tcW w:w="0" w:type="dxa"/>
            <w:vAlign w:val="bottom"/>
          </w:tcPr>
          <w:p>
            <w:pPr>
              <w:spacing w:after="0"/>
              <w:rPr>
                <w:sz w:val="1"/>
                <w:szCs w:val="1"/>
                <w:color w:val="auto"/>
              </w:rPr>
            </w:pPr>
          </w:p>
        </w:tc>
      </w:tr>
      <w:tr>
        <w:trPr>
          <w:trHeight w:val="191"/>
        </w:trPr>
        <w:tc>
          <w:tcPr>
            <w:tcW w:w="2740" w:type="dxa"/>
            <w:vAlign w:val="bottom"/>
          </w:tcPr>
          <w:p>
            <w:pPr>
              <w:ind w:left="380"/>
              <w:spacing w:after="0"/>
              <w:rPr>
                <w:sz w:val="20"/>
                <w:szCs w:val="20"/>
                <w:color w:val="auto"/>
              </w:rPr>
            </w:pPr>
            <w:r>
              <w:rPr>
                <w:rFonts w:ascii="Arial" w:cs="Arial" w:eastAsia="Arial" w:hAnsi="Arial"/>
                <w:sz w:val="14"/>
                <w:szCs w:val="14"/>
                <w:color w:val="auto"/>
              </w:rPr>
              <w:t>Employee stock purchase plan</w:t>
            </w:r>
          </w:p>
        </w:tc>
        <w:tc>
          <w:tcPr>
            <w:tcW w:w="820" w:type="dxa"/>
            <w:vAlign w:val="bottom"/>
            <w:vMerge w:val="restart"/>
          </w:tcPr>
          <w:p>
            <w:pPr>
              <w:jc w:val="right"/>
              <w:ind w:right="48"/>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vMerge w:val="restart"/>
          </w:tcPr>
          <w:p>
            <w:pPr>
              <w:jc w:val="right"/>
              <w:ind w:right="48"/>
              <w:spacing w:after="0"/>
              <w:rPr>
                <w:sz w:val="20"/>
                <w:szCs w:val="20"/>
                <w:color w:val="auto"/>
              </w:rPr>
            </w:pPr>
            <w:r>
              <w:rPr>
                <w:rFonts w:ascii="Arial" w:cs="Arial" w:eastAsia="Arial" w:hAnsi="Arial"/>
                <w:sz w:val="14"/>
                <w:szCs w:val="14"/>
                <w:color w:val="auto"/>
              </w:rPr>
              <w:t>501</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501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501</w:t>
            </w:r>
          </w:p>
        </w:tc>
        <w:tc>
          <w:tcPr>
            <w:tcW w:w="0" w:type="dxa"/>
            <w:vAlign w:val="bottom"/>
          </w:tcPr>
          <w:p>
            <w:pPr>
              <w:spacing w:after="0"/>
              <w:rPr>
                <w:sz w:val="1"/>
                <w:szCs w:val="1"/>
                <w:color w:val="auto"/>
              </w:rPr>
            </w:pPr>
          </w:p>
        </w:tc>
      </w:tr>
      <w:tr>
        <w:trPr>
          <w:trHeight w:val="74"/>
        </w:trPr>
        <w:tc>
          <w:tcPr>
            <w:tcW w:w="274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Stock-based compensation expense</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7,888</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7,888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7,888</w:t>
            </w:r>
          </w:p>
        </w:tc>
        <w:tc>
          <w:tcPr>
            <w:tcW w:w="0" w:type="dxa"/>
            <w:vAlign w:val="bottom"/>
          </w:tcPr>
          <w:p>
            <w:pPr>
              <w:spacing w:after="0"/>
              <w:rPr>
                <w:sz w:val="1"/>
                <w:szCs w:val="1"/>
                <w:color w:val="auto"/>
              </w:rPr>
            </w:pPr>
          </w:p>
        </w:tc>
      </w:tr>
      <w:tr>
        <w:trPr>
          <w:trHeight w:val="80"/>
        </w:trPr>
        <w:tc>
          <w:tcPr>
            <w:tcW w:w="274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740" w:type="dxa"/>
            <w:vAlign w:val="bottom"/>
          </w:tcPr>
          <w:p>
            <w:pPr>
              <w:ind w:left="380"/>
              <w:spacing w:after="0"/>
              <w:rPr>
                <w:sz w:val="20"/>
                <w:szCs w:val="20"/>
                <w:color w:val="auto"/>
              </w:rPr>
            </w:pPr>
            <w:r>
              <w:rPr>
                <w:rFonts w:ascii="Arial" w:cs="Arial" w:eastAsia="Arial" w:hAnsi="Arial"/>
                <w:sz w:val="14"/>
                <w:szCs w:val="14"/>
                <w:color w:val="auto"/>
              </w:rPr>
              <w:t>Registration fee</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74"/>
        </w:trPr>
        <w:tc>
          <w:tcPr>
            <w:tcW w:w="2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SSNI acquisition adjustments, net</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4,140</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4,140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4,140</w:t>
            </w:r>
          </w:p>
        </w:tc>
        <w:tc>
          <w:tcPr>
            <w:tcW w:w="0" w:type="dxa"/>
            <w:vAlign w:val="bottom"/>
          </w:tcPr>
          <w:p>
            <w:pPr>
              <w:spacing w:after="0"/>
              <w:rPr>
                <w:sz w:val="1"/>
                <w:szCs w:val="1"/>
                <w:color w:val="auto"/>
              </w:rPr>
            </w:pPr>
          </w:p>
        </w:tc>
      </w:tr>
      <w:tr>
        <w:trPr>
          <w:trHeight w:val="80"/>
        </w:trPr>
        <w:tc>
          <w:tcPr>
            <w:tcW w:w="2740" w:type="dxa"/>
            <w:vAlign w:val="bottom"/>
            <w:shd w:val="clear" w:color="auto" w:fill="CCEEFF"/>
          </w:tcPr>
          <w:p>
            <w:pPr>
              <w:spacing w:after="0"/>
              <w:rPr>
                <w:sz w:val="6"/>
                <w:szCs w:val="6"/>
                <w:color w:val="auto"/>
              </w:rPr>
            </w:pPr>
          </w:p>
        </w:tc>
        <w:tc>
          <w:tcPr>
            <w:tcW w:w="820" w:type="dxa"/>
            <w:vAlign w:val="bottom"/>
            <w:tcBorders>
              <w:bottom w:val="single" w:sz="8" w:color="auto"/>
            </w:tcBorders>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8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40" w:type="dxa"/>
            <w:vAlign w:val="bottom"/>
            <w:tcBorders>
              <w:bottom w:val="single" w:sz="8" w:color="auto"/>
            </w:tcBorders>
            <w:shd w:val="clear" w:color="auto" w:fill="CCEEFF"/>
          </w:tcPr>
          <w:p>
            <w:pPr>
              <w:spacing w:after="0"/>
              <w:rPr>
                <w:sz w:val="6"/>
                <w:szCs w:val="6"/>
                <w:color w:val="auto"/>
              </w:rPr>
            </w:pPr>
          </w:p>
        </w:tc>
        <w:tc>
          <w:tcPr>
            <w:tcW w:w="960" w:type="dxa"/>
            <w:vAlign w:val="bottom"/>
            <w:tcBorders>
              <w:bottom w:val="single" w:sz="8" w:color="auto"/>
            </w:tcBorders>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1080" w:type="dxa"/>
            <w:vAlign w:val="bottom"/>
            <w:tcBorders>
              <w:bottom w:val="single" w:sz="8" w:color="auto"/>
            </w:tcBorders>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11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1100" w:type="dxa"/>
            <w:vAlign w:val="bottom"/>
            <w:tcBorders>
              <w:bottom w:val="single" w:sz="8" w:color="auto"/>
            </w:tcBorders>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2740" w:type="dxa"/>
            <w:vAlign w:val="bottom"/>
          </w:tcPr>
          <w:p>
            <w:pPr>
              <w:ind w:left="20"/>
              <w:spacing w:after="0"/>
              <w:rPr>
                <w:sz w:val="20"/>
                <w:szCs w:val="20"/>
                <w:color w:val="auto"/>
              </w:rPr>
            </w:pPr>
            <w:r>
              <w:rPr>
                <w:rFonts w:ascii="Arial" w:cs="Arial" w:eastAsia="Arial" w:hAnsi="Arial"/>
                <w:sz w:val="14"/>
                <w:szCs w:val="14"/>
                <w:color w:val="auto"/>
              </w:rPr>
              <w:t>Balances at March 31, 2018</w:t>
            </w:r>
          </w:p>
        </w:tc>
        <w:tc>
          <w:tcPr>
            <w:tcW w:w="820" w:type="dxa"/>
            <w:vAlign w:val="bottom"/>
            <w:vMerge w:val="restart"/>
          </w:tcPr>
          <w:p>
            <w:pPr>
              <w:jc w:val="right"/>
              <w:ind w:right="48"/>
              <w:spacing w:after="0"/>
              <w:rPr>
                <w:sz w:val="20"/>
                <w:szCs w:val="20"/>
                <w:color w:val="auto"/>
              </w:rPr>
            </w:pPr>
            <w:r>
              <w:rPr>
                <w:rFonts w:ascii="Arial" w:cs="Arial" w:eastAsia="Arial" w:hAnsi="Arial"/>
                <w:sz w:val="14"/>
                <w:szCs w:val="14"/>
                <w:color w:val="auto"/>
              </w:rPr>
              <w:t>39,181</w:t>
            </w:r>
          </w:p>
        </w:tc>
        <w:tc>
          <w:tcPr>
            <w:tcW w:w="120" w:type="dxa"/>
            <w:vAlign w:val="bottom"/>
          </w:tcPr>
          <w:p>
            <w:pPr>
              <w:spacing w:after="0"/>
              <w:rPr>
                <w:sz w:val="14"/>
                <w:szCs w:val="14"/>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48"/>
              <w:spacing w:after="0"/>
              <w:rPr>
                <w:sz w:val="20"/>
                <w:szCs w:val="20"/>
                <w:color w:val="auto"/>
              </w:rPr>
            </w:pPr>
            <w:r>
              <w:rPr>
                <w:rFonts w:ascii="Arial" w:cs="Arial" w:eastAsia="Arial" w:hAnsi="Arial"/>
                <w:sz w:val="14"/>
                <w:szCs w:val="14"/>
                <w:color w:val="auto"/>
              </w:rPr>
              <w:t>1,310,379</w:t>
            </w:r>
          </w:p>
        </w:tc>
        <w:tc>
          <w:tcPr>
            <w:tcW w:w="120" w:type="dxa"/>
            <w:vAlign w:val="bottom"/>
          </w:tcPr>
          <w:p>
            <w:pPr>
              <w:spacing w:after="0"/>
              <w:rPr>
                <w:sz w:val="14"/>
                <w:szCs w:val="14"/>
                <w:color w:val="auto"/>
              </w:rPr>
            </w:pPr>
          </w:p>
        </w:tc>
        <w:tc>
          <w:tcPr>
            <w:tcW w:w="440" w:type="dxa"/>
            <w:vAlign w:val="bottom"/>
            <w:vMerge w:val="restart"/>
          </w:tcPr>
          <w:p>
            <w:pPr>
              <w:jc w:val="right"/>
              <w:ind w:right="268"/>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ind w:right="8"/>
              <w:spacing w:after="0"/>
              <w:rPr>
                <w:sz w:val="20"/>
                <w:szCs w:val="20"/>
                <w:color w:val="auto"/>
              </w:rPr>
            </w:pPr>
            <w:r>
              <w:rPr>
                <w:rFonts w:ascii="Arial" w:cs="Arial" w:eastAsia="Arial" w:hAnsi="Arial"/>
                <w:sz w:val="14"/>
                <w:szCs w:val="14"/>
                <w:color w:val="auto"/>
              </w:rPr>
              <w:t>(152,595)</w:t>
            </w:r>
          </w:p>
        </w:tc>
        <w:tc>
          <w:tcPr>
            <w:tcW w:w="12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(471,812)</w:t>
            </w:r>
          </w:p>
        </w:tc>
        <w:tc>
          <w:tcPr>
            <w:tcW w:w="10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685,972</w:t>
            </w:r>
          </w:p>
        </w:tc>
        <w:tc>
          <w:tcPr>
            <w:tcW w:w="12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18,631</w:t>
            </w:r>
          </w:p>
        </w:tc>
        <w:tc>
          <w:tcPr>
            <w:tcW w:w="120" w:type="dxa"/>
            <w:vAlign w:val="bottom"/>
          </w:tcPr>
          <w:p>
            <w:pPr>
              <w:spacing w:after="0"/>
              <w:rPr>
                <w:sz w:val="14"/>
                <w:szCs w:val="14"/>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704,603</w:t>
            </w:r>
          </w:p>
        </w:tc>
        <w:tc>
          <w:tcPr>
            <w:tcW w:w="0" w:type="dxa"/>
            <w:vAlign w:val="bottom"/>
          </w:tcPr>
          <w:p>
            <w:pPr>
              <w:spacing w:after="0"/>
              <w:rPr>
                <w:sz w:val="1"/>
                <w:szCs w:val="1"/>
                <w:color w:val="auto"/>
              </w:rPr>
            </w:pPr>
          </w:p>
        </w:tc>
      </w:tr>
      <w:tr>
        <w:trPr>
          <w:trHeight w:val="65"/>
        </w:trPr>
        <w:tc>
          <w:tcPr>
            <w:tcW w:w="2740" w:type="dxa"/>
            <w:vAlign w:val="bottom"/>
          </w:tcPr>
          <w:p>
            <w:pPr>
              <w:spacing w:after="0"/>
              <w:rPr>
                <w:sz w:val="5"/>
                <w:szCs w:val="5"/>
                <w:color w:val="auto"/>
              </w:rPr>
            </w:pPr>
          </w:p>
        </w:tc>
        <w:tc>
          <w:tcPr>
            <w:tcW w:w="82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Borders>
              <w:bottom w:val="single" w:sz="8" w:color="auto"/>
            </w:tcBorders>
            <w:vMerge w:val="continue"/>
          </w:tcPr>
          <w:p>
            <w:pPr>
              <w:spacing w:after="0"/>
              <w:rPr>
                <w:sz w:val="5"/>
                <w:szCs w:val="5"/>
                <w:color w:val="auto"/>
              </w:rPr>
            </w:pPr>
          </w:p>
        </w:tc>
        <w:tc>
          <w:tcPr>
            <w:tcW w:w="86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Borders>
              <w:bottom w:val="single" w:sz="8" w:color="auto"/>
            </w:tcBorders>
            <w:vMerge w:val="continue"/>
          </w:tcPr>
          <w:p>
            <w:pPr>
              <w:spacing w:after="0"/>
              <w:rPr>
                <w:sz w:val="5"/>
                <w:szCs w:val="5"/>
                <w:color w:val="auto"/>
              </w:rPr>
            </w:pPr>
          </w:p>
        </w:tc>
        <w:tc>
          <w:tcPr>
            <w:tcW w:w="96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Borders>
              <w:bottom w:val="single" w:sz="8" w:color="auto"/>
            </w:tcBorders>
            <w:vMerge w:val="continue"/>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Borders>
              <w:bottom w:val="single" w:sz="8" w:color="auto"/>
            </w:tcBorders>
            <w:vMerge w:val="continue"/>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Borders>
              <w:bottom w:val="single" w:sz="8" w:color="auto"/>
            </w:tcBorders>
            <w:vMerge w:val="continue"/>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Borders>
              <w:bottom w:val="single" w:sz="8" w:color="auto"/>
            </w:tcBorders>
            <w:vMerge w:val="continue"/>
          </w:tcPr>
          <w:p>
            <w:pPr>
              <w:spacing w:after="0"/>
              <w:rPr>
                <w:sz w:val="5"/>
                <w:szCs w:val="5"/>
                <w:color w:val="auto"/>
              </w:rPr>
            </w:pPr>
          </w:p>
        </w:tc>
        <w:tc>
          <w:tcPr>
            <w:tcW w:w="90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1" w:lineRule="exact"/>
        <w:rPr>
          <w:sz w:val="20"/>
          <w:szCs w:val="20"/>
          <w:color w:val="auto"/>
        </w:rPr>
      </w:pPr>
    </w:p>
    <w:p>
      <w:pPr>
        <w:ind w:left="8560"/>
        <w:spacing w:after="0"/>
        <w:rPr>
          <w:sz w:val="20"/>
          <w:szCs w:val="20"/>
          <w:color w:val="auto"/>
        </w:rPr>
      </w:pPr>
      <w:r>
        <w:rPr>
          <w:rFonts w:ascii="Arial" w:cs="Arial" w:eastAsia="Arial" w:hAnsi="Arial"/>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37465</wp:posOffset>
            </wp:positionV>
            <wp:extent cx="22383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90"/>
        </w:trPr>
        <w:tc>
          <w:tcPr>
            <w:tcW w:w="7900" w:type="dxa"/>
            <w:vAlign w:val="bottom"/>
          </w:tcPr>
          <w:p>
            <w:pPr>
              <w:ind w:left="40"/>
              <w:spacing w:after="0"/>
              <w:rPr>
                <w:sz w:val="20"/>
                <w:szCs w:val="20"/>
                <w:color w:val="auto"/>
              </w:rPr>
            </w:pPr>
            <w:r>
              <w:rPr>
                <w:rFonts w:ascii="Arial" w:cs="Arial" w:eastAsia="Arial" w:hAnsi="Arial"/>
                <w:sz w:val="14"/>
                <w:szCs w:val="14"/>
                <w:color w:val="auto"/>
              </w:rPr>
              <w:t>Operating activities</w:t>
            </w: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79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9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Net loss</w:t>
            </w:r>
          </w:p>
        </w:tc>
        <w:tc>
          <w:tcPr>
            <w:tcW w:w="400" w:type="dxa"/>
            <w:vAlign w:val="bottom"/>
            <w:vMerge w:val="restart"/>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(149)</w:t>
            </w:r>
          </w:p>
        </w:tc>
        <w:tc>
          <w:tcPr>
            <w:tcW w:w="120" w:type="dxa"/>
            <w:vAlign w:val="bottom"/>
            <w:shd w:val="clear" w:color="auto" w:fill="CCEEFF"/>
          </w:tcPr>
          <w:p>
            <w:pPr>
              <w:spacing w:after="0"/>
              <w:rPr>
                <w:sz w:val="16"/>
                <w:szCs w:val="16"/>
                <w:color w:val="auto"/>
              </w:rPr>
            </w:pPr>
          </w:p>
        </w:tc>
        <w:tc>
          <w:tcPr>
            <w:tcW w:w="400" w:type="dxa"/>
            <w:vAlign w:val="bottom"/>
            <w:vMerge w:val="restart"/>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(145,270)</w:t>
            </w:r>
          </w:p>
        </w:tc>
        <w:tc>
          <w:tcPr>
            <w:tcW w:w="0" w:type="dxa"/>
            <w:vAlign w:val="bottom"/>
          </w:tcPr>
          <w:p>
            <w:pPr>
              <w:spacing w:after="0"/>
              <w:rPr>
                <w:sz w:val="1"/>
                <w:szCs w:val="1"/>
                <w:color w:val="auto"/>
              </w:rPr>
            </w:pPr>
          </w:p>
        </w:tc>
      </w:tr>
      <w:tr>
        <w:trPr>
          <w:trHeight w:val="80"/>
        </w:trPr>
        <w:tc>
          <w:tcPr>
            <w:tcW w:w="7900" w:type="dxa"/>
            <w:vAlign w:val="bottom"/>
            <w:shd w:val="clear" w:color="auto" w:fill="CCEEFF"/>
          </w:tcPr>
          <w:p>
            <w:pPr>
              <w:spacing w:after="0"/>
              <w:rPr>
                <w:sz w:val="6"/>
                <w:szCs w:val="6"/>
                <w:color w:val="auto"/>
              </w:rPr>
            </w:pPr>
          </w:p>
        </w:tc>
        <w:tc>
          <w:tcPr>
            <w:tcW w:w="400" w:type="dxa"/>
            <w:vAlign w:val="bottom"/>
            <w:vMerge w:val="continue"/>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00" w:type="dxa"/>
            <w:vAlign w:val="bottom"/>
            <w:vMerge w:val="continue"/>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900" w:type="dxa"/>
            <w:vAlign w:val="bottom"/>
          </w:tcPr>
          <w:p>
            <w:pPr>
              <w:ind w:left="380"/>
              <w:spacing w:after="0"/>
              <w:rPr>
                <w:sz w:val="20"/>
                <w:szCs w:val="20"/>
                <w:color w:val="auto"/>
              </w:rPr>
            </w:pPr>
            <w:r>
              <w:rPr>
                <w:rFonts w:ascii="Arial" w:cs="Arial" w:eastAsia="Arial" w:hAnsi="Arial"/>
                <w:sz w:val="14"/>
                <w:szCs w:val="14"/>
                <w:color w:val="auto"/>
              </w:rPr>
              <w:t>Adjustments to reconcile net loss to net cash provided by (used in) operating activities:</w:t>
            </w: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79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9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Depreciation and amortization of intangible assets</w:t>
            </w:r>
          </w:p>
        </w:tc>
        <w:tc>
          <w:tcPr>
            <w:tcW w:w="400" w:type="dxa"/>
            <w:vAlign w:val="bottom"/>
            <w:shd w:val="clear" w:color="auto" w:fill="CCEEFF"/>
          </w:tcPr>
          <w:p>
            <w:pPr>
              <w:spacing w:after="0"/>
              <w:rPr>
                <w:sz w:val="16"/>
                <w:szCs w:val="16"/>
                <w:color w:val="auto"/>
              </w:rPr>
            </w:pPr>
          </w:p>
        </w:tc>
        <w:tc>
          <w:tcPr>
            <w:tcW w:w="13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28,427</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31,072</w:t>
            </w:r>
          </w:p>
        </w:tc>
        <w:tc>
          <w:tcPr>
            <w:tcW w:w="0" w:type="dxa"/>
            <w:vAlign w:val="bottom"/>
          </w:tcPr>
          <w:p>
            <w:pPr>
              <w:spacing w:after="0"/>
              <w:rPr>
                <w:sz w:val="1"/>
                <w:szCs w:val="1"/>
                <w:color w:val="auto"/>
              </w:rPr>
            </w:pPr>
          </w:p>
        </w:tc>
      </w:tr>
      <w:tr>
        <w:trPr>
          <w:trHeight w:val="80"/>
        </w:trPr>
        <w:tc>
          <w:tcPr>
            <w:tcW w:w="79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900" w:type="dxa"/>
            <w:vAlign w:val="bottom"/>
          </w:tcPr>
          <w:p>
            <w:pPr>
              <w:ind w:left="720"/>
              <w:spacing w:after="0"/>
              <w:rPr>
                <w:sz w:val="20"/>
                <w:szCs w:val="20"/>
                <w:color w:val="auto"/>
              </w:rPr>
            </w:pPr>
            <w:r>
              <w:rPr>
                <w:rFonts w:ascii="Arial" w:cs="Arial" w:eastAsia="Arial" w:hAnsi="Arial"/>
                <w:sz w:val="14"/>
                <w:szCs w:val="14"/>
                <w:color w:val="auto"/>
              </w:rPr>
              <w:t>Amortization of operating lease right-of-use assets</w:t>
            </w:r>
          </w:p>
        </w:tc>
        <w:tc>
          <w:tcPr>
            <w:tcW w:w="400" w:type="dxa"/>
            <w:vAlign w:val="bottom"/>
          </w:tcPr>
          <w:p>
            <w:pPr>
              <w:spacing w:after="0"/>
              <w:rPr>
                <w:sz w:val="16"/>
                <w:szCs w:val="16"/>
                <w:color w:val="auto"/>
              </w:rPr>
            </w:pPr>
          </w:p>
        </w:tc>
        <w:tc>
          <w:tcPr>
            <w:tcW w:w="1320" w:type="dxa"/>
            <w:vAlign w:val="bottom"/>
            <w:vMerge w:val="restart"/>
          </w:tcPr>
          <w:p>
            <w:pPr>
              <w:jc w:val="right"/>
              <w:ind w:right="48"/>
              <w:spacing w:after="0"/>
              <w:rPr>
                <w:sz w:val="20"/>
                <w:szCs w:val="20"/>
                <w:color w:val="auto"/>
              </w:rPr>
            </w:pPr>
            <w:r>
              <w:rPr>
                <w:rFonts w:ascii="Arial" w:cs="Arial" w:eastAsia="Arial" w:hAnsi="Arial"/>
                <w:sz w:val="14"/>
                <w:szCs w:val="14"/>
                <w:color w:val="auto"/>
              </w:rPr>
              <w:t>4,910</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79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9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Stock-based compensation</w:t>
            </w:r>
          </w:p>
        </w:tc>
        <w:tc>
          <w:tcPr>
            <w:tcW w:w="40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7,205</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8,095</w:t>
            </w:r>
          </w:p>
        </w:tc>
        <w:tc>
          <w:tcPr>
            <w:tcW w:w="0" w:type="dxa"/>
            <w:vAlign w:val="bottom"/>
          </w:tcPr>
          <w:p>
            <w:pPr>
              <w:spacing w:after="0"/>
              <w:rPr>
                <w:sz w:val="1"/>
                <w:szCs w:val="1"/>
                <w:color w:val="auto"/>
              </w:rPr>
            </w:pPr>
          </w:p>
        </w:tc>
      </w:tr>
      <w:tr>
        <w:trPr>
          <w:trHeight w:val="80"/>
        </w:trPr>
        <w:tc>
          <w:tcPr>
            <w:tcW w:w="79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900" w:type="dxa"/>
            <w:vAlign w:val="bottom"/>
          </w:tcPr>
          <w:p>
            <w:pPr>
              <w:ind w:left="720"/>
              <w:spacing w:after="0"/>
              <w:rPr>
                <w:sz w:val="20"/>
                <w:szCs w:val="20"/>
                <w:color w:val="auto"/>
              </w:rPr>
            </w:pPr>
            <w:r>
              <w:rPr>
                <w:rFonts w:ascii="Arial" w:cs="Arial" w:eastAsia="Arial" w:hAnsi="Arial"/>
                <w:sz w:val="14"/>
                <w:szCs w:val="14"/>
                <w:color w:val="auto"/>
              </w:rPr>
              <w:t>Amortization of prepaid debt fees</w:t>
            </w:r>
          </w:p>
        </w:tc>
        <w:tc>
          <w:tcPr>
            <w:tcW w:w="400" w:type="dxa"/>
            <w:vAlign w:val="bottom"/>
          </w:tcPr>
          <w:p>
            <w:pPr>
              <w:spacing w:after="0"/>
              <w:rPr>
                <w:sz w:val="16"/>
                <w:szCs w:val="16"/>
                <w:color w:val="auto"/>
              </w:rPr>
            </w:pPr>
          </w:p>
        </w:tc>
        <w:tc>
          <w:tcPr>
            <w:tcW w:w="1320" w:type="dxa"/>
            <w:vAlign w:val="bottom"/>
            <w:vMerge w:val="restart"/>
          </w:tcPr>
          <w:p>
            <w:pPr>
              <w:jc w:val="right"/>
              <w:ind w:right="48"/>
              <w:spacing w:after="0"/>
              <w:rPr>
                <w:sz w:val="20"/>
                <w:szCs w:val="20"/>
                <w:color w:val="auto"/>
              </w:rPr>
            </w:pPr>
            <w:r>
              <w:rPr>
                <w:rFonts w:ascii="Arial" w:cs="Arial" w:eastAsia="Arial" w:hAnsi="Arial"/>
                <w:sz w:val="14"/>
                <w:szCs w:val="14"/>
                <w:color w:val="auto"/>
              </w:rPr>
              <w:t>1,200</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vMerge w:val="restart"/>
          </w:tcPr>
          <w:p>
            <w:pPr>
              <w:jc w:val="right"/>
              <w:ind w:right="28"/>
              <w:spacing w:after="0"/>
              <w:rPr>
                <w:sz w:val="20"/>
                <w:szCs w:val="20"/>
                <w:color w:val="auto"/>
              </w:rPr>
            </w:pPr>
            <w:r>
              <w:rPr>
                <w:rFonts w:ascii="Arial" w:cs="Arial" w:eastAsia="Arial" w:hAnsi="Arial"/>
                <w:sz w:val="14"/>
                <w:szCs w:val="14"/>
                <w:color w:val="auto"/>
              </w:rPr>
              <w:t>3,386</w:t>
            </w:r>
          </w:p>
        </w:tc>
        <w:tc>
          <w:tcPr>
            <w:tcW w:w="0" w:type="dxa"/>
            <w:vAlign w:val="bottom"/>
          </w:tcPr>
          <w:p>
            <w:pPr>
              <w:spacing w:after="0"/>
              <w:rPr>
                <w:sz w:val="1"/>
                <w:szCs w:val="1"/>
                <w:color w:val="auto"/>
              </w:rPr>
            </w:pPr>
          </w:p>
        </w:tc>
      </w:tr>
      <w:tr>
        <w:trPr>
          <w:trHeight w:val="74"/>
        </w:trPr>
        <w:tc>
          <w:tcPr>
            <w:tcW w:w="79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9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Deferred taxes, net</w:t>
            </w:r>
          </w:p>
        </w:tc>
        <w:tc>
          <w:tcPr>
            <w:tcW w:w="40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(430)</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(16,508)</w:t>
            </w:r>
          </w:p>
        </w:tc>
        <w:tc>
          <w:tcPr>
            <w:tcW w:w="0" w:type="dxa"/>
            <w:vAlign w:val="bottom"/>
          </w:tcPr>
          <w:p>
            <w:pPr>
              <w:spacing w:after="0"/>
              <w:rPr>
                <w:sz w:val="1"/>
                <w:szCs w:val="1"/>
                <w:color w:val="auto"/>
              </w:rPr>
            </w:pPr>
          </w:p>
        </w:tc>
      </w:tr>
      <w:tr>
        <w:trPr>
          <w:trHeight w:val="80"/>
        </w:trPr>
        <w:tc>
          <w:tcPr>
            <w:tcW w:w="79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900" w:type="dxa"/>
            <w:vAlign w:val="bottom"/>
          </w:tcPr>
          <w:p>
            <w:pPr>
              <w:ind w:left="720"/>
              <w:spacing w:after="0"/>
              <w:rPr>
                <w:sz w:val="20"/>
                <w:szCs w:val="20"/>
                <w:color w:val="auto"/>
              </w:rPr>
            </w:pPr>
            <w:r>
              <w:rPr>
                <w:rFonts w:ascii="Arial" w:cs="Arial" w:eastAsia="Arial" w:hAnsi="Arial"/>
                <w:sz w:val="14"/>
                <w:szCs w:val="14"/>
                <w:color w:val="auto"/>
              </w:rPr>
              <w:t>Restructuring, non-cash</w:t>
            </w:r>
          </w:p>
        </w:tc>
        <w:tc>
          <w:tcPr>
            <w:tcW w:w="400" w:type="dxa"/>
            <w:vAlign w:val="bottom"/>
          </w:tcPr>
          <w:p>
            <w:pPr>
              <w:spacing w:after="0"/>
              <w:rPr>
                <w:sz w:val="16"/>
                <w:szCs w:val="16"/>
                <w:color w:val="auto"/>
              </w:rPr>
            </w:pPr>
          </w:p>
        </w:tc>
        <w:tc>
          <w:tcPr>
            <w:tcW w:w="1320" w:type="dxa"/>
            <w:vAlign w:val="bottom"/>
            <w:vMerge w:val="restart"/>
          </w:tcPr>
          <w:p>
            <w:pPr>
              <w:jc w:val="right"/>
              <w:ind w:right="48"/>
              <w:spacing w:after="0"/>
              <w:rPr>
                <w:sz w:val="20"/>
                <w:szCs w:val="20"/>
                <w:color w:val="auto"/>
              </w:rPr>
            </w:pPr>
            <w:r>
              <w:rPr>
                <w:rFonts w:ascii="Arial" w:cs="Arial" w:eastAsia="Arial" w:hAnsi="Arial"/>
                <w:sz w:val="14"/>
                <w:szCs w:val="14"/>
                <w:color w:val="auto"/>
              </w:rPr>
              <w:t>96</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vMerge w:val="restart"/>
          </w:tcPr>
          <w:p>
            <w:pPr>
              <w:jc w:val="right"/>
              <w:ind w:right="28"/>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74"/>
        </w:trPr>
        <w:tc>
          <w:tcPr>
            <w:tcW w:w="79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9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Other adjustments, net</w:t>
            </w:r>
          </w:p>
        </w:tc>
        <w:tc>
          <w:tcPr>
            <w:tcW w:w="40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44</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80"/>
        </w:trPr>
        <w:tc>
          <w:tcPr>
            <w:tcW w:w="79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900" w:type="dxa"/>
            <w:vAlign w:val="bottom"/>
          </w:tcPr>
          <w:p>
            <w:pPr>
              <w:ind w:left="40"/>
              <w:spacing w:after="0"/>
              <w:rPr>
                <w:sz w:val="20"/>
                <w:szCs w:val="20"/>
                <w:color w:val="auto"/>
              </w:rPr>
            </w:pPr>
            <w:r>
              <w:rPr>
                <w:rFonts w:ascii="Arial" w:cs="Arial" w:eastAsia="Arial" w:hAnsi="Arial"/>
                <w:sz w:val="14"/>
                <w:szCs w:val="14"/>
                <w:color w:val="auto"/>
              </w:rPr>
              <w:t>Changes in operating assets and liabilities, net of acquisitions:</w:t>
            </w: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79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9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Accounts receivable</w:t>
            </w:r>
          </w:p>
        </w:tc>
        <w:tc>
          <w:tcPr>
            <w:tcW w:w="400" w:type="dxa"/>
            <w:vAlign w:val="bottom"/>
            <w:shd w:val="clear" w:color="auto" w:fill="CCEEFF"/>
          </w:tcPr>
          <w:p>
            <w:pPr>
              <w:spacing w:after="0"/>
              <w:rPr>
                <w:sz w:val="16"/>
                <w:szCs w:val="16"/>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(37,977)</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(7,768)</w:t>
            </w:r>
          </w:p>
        </w:tc>
        <w:tc>
          <w:tcPr>
            <w:tcW w:w="0" w:type="dxa"/>
            <w:vAlign w:val="bottom"/>
          </w:tcPr>
          <w:p>
            <w:pPr>
              <w:spacing w:after="0"/>
              <w:rPr>
                <w:sz w:val="1"/>
                <w:szCs w:val="1"/>
                <w:color w:val="auto"/>
              </w:rPr>
            </w:pPr>
          </w:p>
        </w:tc>
      </w:tr>
      <w:tr>
        <w:trPr>
          <w:trHeight w:val="80"/>
        </w:trPr>
        <w:tc>
          <w:tcPr>
            <w:tcW w:w="79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900" w:type="dxa"/>
            <w:vAlign w:val="bottom"/>
          </w:tcPr>
          <w:p>
            <w:pPr>
              <w:ind w:left="380"/>
              <w:spacing w:after="0"/>
              <w:rPr>
                <w:sz w:val="20"/>
                <w:szCs w:val="20"/>
                <w:color w:val="auto"/>
              </w:rPr>
            </w:pPr>
            <w:r>
              <w:rPr>
                <w:rFonts w:ascii="Arial" w:cs="Arial" w:eastAsia="Arial" w:hAnsi="Arial"/>
                <w:sz w:val="14"/>
                <w:szCs w:val="14"/>
                <w:color w:val="auto"/>
              </w:rPr>
              <w:t>Inventories</w:t>
            </w:r>
          </w:p>
        </w:tc>
        <w:tc>
          <w:tcPr>
            <w:tcW w:w="400" w:type="dxa"/>
            <w:vAlign w:val="bottom"/>
          </w:tcPr>
          <w:p>
            <w:pPr>
              <w:spacing w:after="0"/>
              <w:rPr>
                <w:sz w:val="16"/>
                <w:szCs w:val="16"/>
                <w:color w:val="auto"/>
              </w:rPr>
            </w:pPr>
          </w:p>
        </w:tc>
        <w:tc>
          <w:tcPr>
            <w:tcW w:w="1320" w:type="dxa"/>
            <w:vAlign w:val="bottom"/>
            <w:vMerge w:val="restart"/>
          </w:tcPr>
          <w:p>
            <w:pPr>
              <w:jc w:val="right"/>
              <w:spacing w:after="0"/>
              <w:rPr>
                <w:sz w:val="20"/>
                <w:szCs w:val="20"/>
                <w:color w:val="auto"/>
              </w:rPr>
            </w:pPr>
            <w:r>
              <w:rPr>
                <w:rFonts w:ascii="Arial" w:cs="Arial" w:eastAsia="Arial" w:hAnsi="Arial"/>
                <w:sz w:val="14"/>
                <w:szCs w:val="14"/>
                <w:color w:val="auto"/>
              </w:rPr>
              <w:t>(1,659)</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color w:val="auto"/>
              </w:rPr>
              <w:t>(253)</w:t>
            </w:r>
          </w:p>
        </w:tc>
        <w:tc>
          <w:tcPr>
            <w:tcW w:w="0" w:type="dxa"/>
            <w:vAlign w:val="bottom"/>
          </w:tcPr>
          <w:p>
            <w:pPr>
              <w:spacing w:after="0"/>
              <w:rPr>
                <w:sz w:val="1"/>
                <w:szCs w:val="1"/>
                <w:color w:val="auto"/>
              </w:rPr>
            </w:pPr>
          </w:p>
        </w:tc>
      </w:tr>
      <w:tr>
        <w:trPr>
          <w:trHeight w:val="74"/>
        </w:trPr>
        <w:tc>
          <w:tcPr>
            <w:tcW w:w="79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9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 current assets</w:t>
            </w:r>
          </w:p>
        </w:tc>
        <w:tc>
          <w:tcPr>
            <w:tcW w:w="40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(11,030)</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(8,849)</w:t>
            </w:r>
          </w:p>
        </w:tc>
        <w:tc>
          <w:tcPr>
            <w:tcW w:w="0" w:type="dxa"/>
            <w:vAlign w:val="bottom"/>
          </w:tcPr>
          <w:p>
            <w:pPr>
              <w:spacing w:after="0"/>
              <w:rPr>
                <w:sz w:val="1"/>
                <w:szCs w:val="1"/>
                <w:color w:val="auto"/>
              </w:rPr>
            </w:pPr>
          </w:p>
        </w:tc>
      </w:tr>
      <w:tr>
        <w:trPr>
          <w:trHeight w:val="80"/>
        </w:trPr>
        <w:tc>
          <w:tcPr>
            <w:tcW w:w="79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900" w:type="dxa"/>
            <w:vAlign w:val="bottom"/>
          </w:tcPr>
          <w:p>
            <w:pPr>
              <w:ind w:left="380"/>
              <w:spacing w:after="0"/>
              <w:rPr>
                <w:sz w:val="20"/>
                <w:szCs w:val="20"/>
                <w:color w:val="auto"/>
              </w:rPr>
            </w:pPr>
            <w:r>
              <w:rPr>
                <w:rFonts w:ascii="Arial" w:cs="Arial" w:eastAsia="Arial" w:hAnsi="Arial"/>
                <w:sz w:val="14"/>
                <w:szCs w:val="14"/>
                <w:color w:val="auto"/>
              </w:rPr>
              <w:t>Other long-term assets</w:t>
            </w:r>
          </w:p>
        </w:tc>
        <w:tc>
          <w:tcPr>
            <w:tcW w:w="400" w:type="dxa"/>
            <w:vAlign w:val="bottom"/>
          </w:tcPr>
          <w:p>
            <w:pPr>
              <w:spacing w:after="0"/>
              <w:rPr>
                <w:sz w:val="16"/>
                <w:szCs w:val="16"/>
                <w:color w:val="auto"/>
              </w:rPr>
            </w:pPr>
          </w:p>
        </w:tc>
        <w:tc>
          <w:tcPr>
            <w:tcW w:w="1320" w:type="dxa"/>
            <w:vAlign w:val="bottom"/>
            <w:vMerge w:val="restart"/>
          </w:tcPr>
          <w:p>
            <w:pPr>
              <w:jc w:val="right"/>
              <w:ind w:right="48"/>
              <w:spacing w:after="0"/>
              <w:rPr>
                <w:sz w:val="20"/>
                <w:szCs w:val="20"/>
                <w:color w:val="auto"/>
              </w:rPr>
            </w:pPr>
            <w:r>
              <w:rPr>
                <w:rFonts w:ascii="Arial" w:cs="Arial" w:eastAsia="Arial" w:hAnsi="Arial"/>
                <w:sz w:val="14"/>
                <w:szCs w:val="14"/>
                <w:color w:val="auto"/>
              </w:rPr>
              <w:t>334</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vMerge w:val="restart"/>
          </w:tcPr>
          <w:p>
            <w:pPr>
              <w:jc w:val="right"/>
              <w:ind w:right="28"/>
              <w:spacing w:after="0"/>
              <w:rPr>
                <w:sz w:val="20"/>
                <w:szCs w:val="20"/>
                <w:color w:val="auto"/>
              </w:rPr>
            </w:pPr>
            <w:r>
              <w:rPr>
                <w:rFonts w:ascii="Arial" w:cs="Arial" w:eastAsia="Arial" w:hAnsi="Arial"/>
                <w:sz w:val="14"/>
                <w:szCs w:val="14"/>
                <w:color w:val="auto"/>
              </w:rPr>
              <w:t>4,509</w:t>
            </w:r>
          </w:p>
        </w:tc>
        <w:tc>
          <w:tcPr>
            <w:tcW w:w="0" w:type="dxa"/>
            <w:vAlign w:val="bottom"/>
          </w:tcPr>
          <w:p>
            <w:pPr>
              <w:spacing w:after="0"/>
              <w:rPr>
                <w:sz w:val="1"/>
                <w:szCs w:val="1"/>
                <w:color w:val="auto"/>
              </w:rPr>
            </w:pPr>
          </w:p>
        </w:tc>
      </w:tr>
      <w:tr>
        <w:trPr>
          <w:trHeight w:val="74"/>
        </w:trPr>
        <w:tc>
          <w:tcPr>
            <w:tcW w:w="79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9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Accounts payable, other current liabilities, and taxes payable</w:t>
            </w:r>
          </w:p>
        </w:tc>
        <w:tc>
          <w:tcPr>
            <w:tcW w:w="40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12,312</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7,826</w:t>
            </w:r>
          </w:p>
        </w:tc>
        <w:tc>
          <w:tcPr>
            <w:tcW w:w="0" w:type="dxa"/>
            <w:vAlign w:val="bottom"/>
          </w:tcPr>
          <w:p>
            <w:pPr>
              <w:spacing w:after="0"/>
              <w:rPr>
                <w:sz w:val="1"/>
                <w:szCs w:val="1"/>
                <w:color w:val="auto"/>
              </w:rPr>
            </w:pPr>
          </w:p>
        </w:tc>
      </w:tr>
      <w:tr>
        <w:trPr>
          <w:trHeight w:val="80"/>
        </w:trPr>
        <w:tc>
          <w:tcPr>
            <w:tcW w:w="79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900" w:type="dxa"/>
            <w:vAlign w:val="bottom"/>
          </w:tcPr>
          <w:p>
            <w:pPr>
              <w:ind w:left="380"/>
              <w:spacing w:after="0"/>
              <w:rPr>
                <w:sz w:val="20"/>
                <w:szCs w:val="20"/>
                <w:color w:val="auto"/>
              </w:rPr>
            </w:pPr>
            <w:r>
              <w:rPr>
                <w:rFonts w:ascii="Arial" w:cs="Arial" w:eastAsia="Arial" w:hAnsi="Arial"/>
                <w:sz w:val="14"/>
                <w:szCs w:val="14"/>
                <w:color w:val="auto"/>
              </w:rPr>
              <w:t>Wages and benefits payable</w:t>
            </w:r>
          </w:p>
        </w:tc>
        <w:tc>
          <w:tcPr>
            <w:tcW w:w="400" w:type="dxa"/>
            <w:vAlign w:val="bottom"/>
          </w:tcPr>
          <w:p>
            <w:pPr>
              <w:spacing w:after="0"/>
              <w:rPr>
                <w:sz w:val="16"/>
                <w:szCs w:val="16"/>
                <w:color w:val="auto"/>
              </w:rPr>
            </w:pPr>
          </w:p>
        </w:tc>
        <w:tc>
          <w:tcPr>
            <w:tcW w:w="1320" w:type="dxa"/>
            <w:vAlign w:val="bottom"/>
            <w:vMerge w:val="restart"/>
          </w:tcPr>
          <w:p>
            <w:pPr>
              <w:jc w:val="right"/>
              <w:ind w:right="48"/>
              <w:spacing w:after="0"/>
              <w:rPr>
                <w:sz w:val="20"/>
                <w:szCs w:val="20"/>
                <w:color w:val="auto"/>
              </w:rPr>
            </w:pPr>
            <w:r>
              <w:rPr>
                <w:rFonts w:ascii="Arial" w:cs="Arial" w:eastAsia="Arial" w:hAnsi="Arial"/>
                <w:sz w:val="14"/>
                <w:szCs w:val="14"/>
                <w:color w:val="auto"/>
              </w:rPr>
              <w:t>8,465</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vMerge w:val="restart"/>
          </w:tcPr>
          <w:p>
            <w:pPr>
              <w:jc w:val="right"/>
              <w:ind w:right="28"/>
              <w:spacing w:after="0"/>
              <w:rPr>
                <w:sz w:val="20"/>
                <w:szCs w:val="20"/>
                <w:color w:val="auto"/>
              </w:rPr>
            </w:pPr>
            <w:r>
              <w:rPr>
                <w:rFonts w:ascii="Arial" w:cs="Arial" w:eastAsia="Arial" w:hAnsi="Arial"/>
                <w:sz w:val="14"/>
                <w:szCs w:val="14"/>
                <w:color w:val="auto"/>
              </w:rPr>
              <w:t>16,438</w:t>
            </w:r>
          </w:p>
        </w:tc>
        <w:tc>
          <w:tcPr>
            <w:tcW w:w="0" w:type="dxa"/>
            <w:vAlign w:val="bottom"/>
          </w:tcPr>
          <w:p>
            <w:pPr>
              <w:spacing w:after="0"/>
              <w:rPr>
                <w:sz w:val="1"/>
                <w:szCs w:val="1"/>
                <w:color w:val="auto"/>
              </w:rPr>
            </w:pPr>
          </w:p>
        </w:tc>
      </w:tr>
      <w:tr>
        <w:trPr>
          <w:trHeight w:val="74"/>
        </w:trPr>
        <w:tc>
          <w:tcPr>
            <w:tcW w:w="79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9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Unearned revenue</w:t>
            </w:r>
          </w:p>
        </w:tc>
        <w:tc>
          <w:tcPr>
            <w:tcW w:w="40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8,235</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23,317</w:t>
            </w:r>
          </w:p>
        </w:tc>
        <w:tc>
          <w:tcPr>
            <w:tcW w:w="0" w:type="dxa"/>
            <w:vAlign w:val="bottom"/>
          </w:tcPr>
          <w:p>
            <w:pPr>
              <w:spacing w:after="0"/>
              <w:rPr>
                <w:sz w:val="1"/>
                <w:szCs w:val="1"/>
                <w:color w:val="auto"/>
              </w:rPr>
            </w:pPr>
          </w:p>
        </w:tc>
      </w:tr>
      <w:tr>
        <w:trPr>
          <w:trHeight w:val="80"/>
        </w:trPr>
        <w:tc>
          <w:tcPr>
            <w:tcW w:w="79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900" w:type="dxa"/>
            <w:vAlign w:val="bottom"/>
          </w:tcPr>
          <w:p>
            <w:pPr>
              <w:ind w:left="380"/>
              <w:spacing w:after="0"/>
              <w:rPr>
                <w:sz w:val="20"/>
                <w:szCs w:val="20"/>
                <w:color w:val="auto"/>
              </w:rPr>
            </w:pPr>
            <w:r>
              <w:rPr>
                <w:rFonts w:ascii="Arial" w:cs="Arial" w:eastAsia="Arial" w:hAnsi="Arial"/>
                <w:sz w:val="14"/>
                <w:szCs w:val="14"/>
                <w:color w:val="auto"/>
              </w:rPr>
              <w:t>Warranty</w:t>
            </w:r>
          </w:p>
        </w:tc>
        <w:tc>
          <w:tcPr>
            <w:tcW w:w="400" w:type="dxa"/>
            <w:vAlign w:val="bottom"/>
          </w:tcPr>
          <w:p>
            <w:pPr>
              <w:spacing w:after="0"/>
              <w:rPr>
                <w:sz w:val="16"/>
                <w:szCs w:val="16"/>
                <w:color w:val="auto"/>
              </w:rPr>
            </w:pPr>
          </w:p>
        </w:tc>
        <w:tc>
          <w:tcPr>
            <w:tcW w:w="1320" w:type="dxa"/>
            <w:vAlign w:val="bottom"/>
            <w:vMerge w:val="restart"/>
          </w:tcPr>
          <w:p>
            <w:pPr>
              <w:jc w:val="right"/>
              <w:spacing w:after="0"/>
              <w:rPr>
                <w:sz w:val="20"/>
                <w:szCs w:val="20"/>
                <w:color w:val="auto"/>
              </w:rPr>
            </w:pPr>
            <w:r>
              <w:rPr>
                <w:rFonts w:ascii="Arial" w:cs="Arial" w:eastAsia="Arial" w:hAnsi="Arial"/>
                <w:sz w:val="14"/>
                <w:szCs w:val="14"/>
                <w:color w:val="auto"/>
              </w:rPr>
              <w:t>(2,569)</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vMerge w:val="restart"/>
          </w:tcPr>
          <w:p>
            <w:pPr>
              <w:jc w:val="right"/>
              <w:ind w:right="28"/>
              <w:spacing w:after="0"/>
              <w:rPr>
                <w:sz w:val="20"/>
                <w:szCs w:val="20"/>
                <w:color w:val="auto"/>
              </w:rPr>
            </w:pPr>
            <w:r>
              <w:rPr>
                <w:rFonts w:ascii="Arial" w:cs="Arial" w:eastAsia="Arial" w:hAnsi="Arial"/>
                <w:sz w:val="14"/>
                <w:szCs w:val="14"/>
                <w:color w:val="auto"/>
              </w:rPr>
              <w:t>663</w:t>
            </w:r>
          </w:p>
        </w:tc>
        <w:tc>
          <w:tcPr>
            <w:tcW w:w="0" w:type="dxa"/>
            <w:vAlign w:val="bottom"/>
          </w:tcPr>
          <w:p>
            <w:pPr>
              <w:spacing w:after="0"/>
              <w:rPr>
                <w:sz w:val="1"/>
                <w:szCs w:val="1"/>
                <w:color w:val="auto"/>
              </w:rPr>
            </w:pPr>
          </w:p>
        </w:tc>
      </w:tr>
      <w:tr>
        <w:trPr>
          <w:trHeight w:val="74"/>
        </w:trPr>
        <w:tc>
          <w:tcPr>
            <w:tcW w:w="79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9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 operating, net</w:t>
            </w:r>
          </w:p>
        </w:tc>
        <w:tc>
          <w:tcPr>
            <w:tcW w:w="40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7,510</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58,953</w:t>
            </w:r>
          </w:p>
        </w:tc>
        <w:tc>
          <w:tcPr>
            <w:tcW w:w="0" w:type="dxa"/>
            <w:vAlign w:val="bottom"/>
          </w:tcPr>
          <w:p>
            <w:pPr>
              <w:spacing w:after="0"/>
              <w:rPr>
                <w:sz w:val="1"/>
                <w:szCs w:val="1"/>
                <w:color w:val="auto"/>
              </w:rPr>
            </w:pPr>
          </w:p>
        </w:tc>
      </w:tr>
      <w:tr>
        <w:trPr>
          <w:trHeight w:val="80"/>
        </w:trPr>
        <w:tc>
          <w:tcPr>
            <w:tcW w:w="7900" w:type="dxa"/>
            <w:vAlign w:val="bottom"/>
            <w:shd w:val="clear" w:color="auto" w:fill="CCEEFF"/>
          </w:tcPr>
          <w:p>
            <w:pPr>
              <w:spacing w:after="0"/>
              <w:rPr>
                <w:sz w:val="6"/>
                <w:szCs w:val="6"/>
                <w:color w:val="auto"/>
              </w:rPr>
            </w:pPr>
          </w:p>
        </w:tc>
        <w:tc>
          <w:tcPr>
            <w:tcW w:w="400" w:type="dxa"/>
            <w:vAlign w:val="bottom"/>
            <w:tcBorders>
              <w:bottom w:val="single" w:sz="8" w:color="auto"/>
            </w:tcBorders>
            <w:shd w:val="clear" w:color="auto" w:fill="CCEEFF"/>
          </w:tcPr>
          <w:p>
            <w:pPr>
              <w:spacing w:after="0"/>
              <w:rPr>
                <w:sz w:val="6"/>
                <w:szCs w:val="6"/>
                <w:color w:val="auto"/>
              </w:rPr>
            </w:pPr>
          </w:p>
        </w:tc>
        <w:tc>
          <w:tcPr>
            <w:tcW w:w="13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00" w:type="dxa"/>
            <w:vAlign w:val="bottom"/>
            <w:tcBorders>
              <w:bottom w:val="single" w:sz="8" w:color="auto"/>
            </w:tcBorders>
            <w:shd w:val="clear" w:color="auto" w:fill="CCEEFF"/>
          </w:tcPr>
          <w:p>
            <w:pPr>
              <w:spacing w:after="0"/>
              <w:rPr>
                <w:sz w:val="6"/>
                <w:szCs w:val="6"/>
                <w:color w:val="auto"/>
              </w:rPr>
            </w:pPr>
          </w:p>
        </w:tc>
        <w:tc>
          <w:tcPr>
            <w:tcW w:w="12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7900" w:type="dxa"/>
            <w:vAlign w:val="bottom"/>
          </w:tcPr>
          <w:p>
            <w:pPr>
              <w:ind w:left="720"/>
              <w:spacing w:after="0"/>
              <w:rPr>
                <w:sz w:val="20"/>
                <w:szCs w:val="20"/>
                <w:color w:val="auto"/>
              </w:rPr>
            </w:pPr>
            <w:r>
              <w:rPr>
                <w:rFonts w:ascii="Arial" w:cs="Arial" w:eastAsia="Arial" w:hAnsi="Arial"/>
                <w:sz w:val="14"/>
                <w:szCs w:val="14"/>
                <w:color w:val="auto"/>
              </w:rPr>
              <w:t>Net cash provided by (used in) operating activities</w:t>
            </w:r>
          </w:p>
        </w:tc>
        <w:tc>
          <w:tcPr>
            <w:tcW w:w="400" w:type="dxa"/>
            <w:vAlign w:val="bottom"/>
          </w:tcPr>
          <w:p>
            <w:pPr>
              <w:spacing w:after="0"/>
              <w:rPr>
                <w:sz w:val="14"/>
                <w:szCs w:val="14"/>
                <w:color w:val="auto"/>
              </w:rPr>
            </w:pPr>
          </w:p>
        </w:tc>
        <w:tc>
          <w:tcPr>
            <w:tcW w:w="1320" w:type="dxa"/>
            <w:vAlign w:val="bottom"/>
            <w:vMerge w:val="restart"/>
          </w:tcPr>
          <w:p>
            <w:pPr>
              <w:jc w:val="right"/>
              <w:ind w:right="48"/>
              <w:spacing w:after="0"/>
              <w:rPr>
                <w:sz w:val="20"/>
                <w:szCs w:val="20"/>
                <w:color w:val="auto"/>
              </w:rPr>
            </w:pPr>
            <w:r>
              <w:rPr>
                <w:rFonts w:ascii="Arial" w:cs="Arial" w:eastAsia="Arial" w:hAnsi="Arial"/>
                <w:sz w:val="14"/>
                <w:szCs w:val="14"/>
                <w:color w:val="auto"/>
              </w:rPr>
              <w:t>24,924</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color w:val="auto"/>
              </w:rPr>
              <w:t>(24,448)</w:t>
            </w:r>
          </w:p>
        </w:tc>
        <w:tc>
          <w:tcPr>
            <w:tcW w:w="0" w:type="dxa"/>
            <w:vAlign w:val="bottom"/>
          </w:tcPr>
          <w:p>
            <w:pPr>
              <w:spacing w:after="0"/>
              <w:rPr>
                <w:sz w:val="1"/>
                <w:szCs w:val="1"/>
                <w:color w:val="auto"/>
              </w:rPr>
            </w:pPr>
          </w:p>
        </w:tc>
      </w:tr>
      <w:tr>
        <w:trPr>
          <w:trHeight w:val="74"/>
        </w:trPr>
        <w:tc>
          <w:tcPr>
            <w:tcW w:w="79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6"/>
        </w:trPr>
        <w:tc>
          <w:tcPr>
            <w:tcW w:w="79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7900" w:type="dxa"/>
            <w:vAlign w:val="bottom"/>
          </w:tcPr>
          <w:p>
            <w:pPr>
              <w:ind w:left="40"/>
              <w:spacing w:after="0"/>
              <w:rPr>
                <w:sz w:val="20"/>
                <w:szCs w:val="20"/>
                <w:color w:val="auto"/>
              </w:rPr>
            </w:pPr>
            <w:r>
              <w:rPr>
                <w:rFonts w:ascii="Arial" w:cs="Arial" w:eastAsia="Arial" w:hAnsi="Arial"/>
                <w:sz w:val="14"/>
                <w:szCs w:val="14"/>
                <w:color w:val="auto"/>
              </w:rPr>
              <w:t>Investing activities</w:t>
            </w: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79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9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Acquisitions of property, plant, and equipment</w:t>
            </w:r>
          </w:p>
        </w:tc>
        <w:tc>
          <w:tcPr>
            <w:tcW w:w="400" w:type="dxa"/>
            <w:vAlign w:val="bottom"/>
            <w:shd w:val="clear" w:color="auto" w:fill="CCEEFF"/>
          </w:tcPr>
          <w:p>
            <w:pPr>
              <w:spacing w:after="0"/>
              <w:rPr>
                <w:sz w:val="16"/>
                <w:szCs w:val="16"/>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(11,415)</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(17,433)</w:t>
            </w:r>
          </w:p>
        </w:tc>
        <w:tc>
          <w:tcPr>
            <w:tcW w:w="0" w:type="dxa"/>
            <w:vAlign w:val="bottom"/>
          </w:tcPr>
          <w:p>
            <w:pPr>
              <w:spacing w:after="0"/>
              <w:rPr>
                <w:sz w:val="1"/>
                <w:szCs w:val="1"/>
                <w:color w:val="auto"/>
              </w:rPr>
            </w:pPr>
          </w:p>
        </w:tc>
      </w:tr>
      <w:tr>
        <w:trPr>
          <w:trHeight w:val="80"/>
        </w:trPr>
        <w:tc>
          <w:tcPr>
            <w:tcW w:w="79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900" w:type="dxa"/>
            <w:vAlign w:val="bottom"/>
          </w:tcPr>
          <w:p>
            <w:pPr>
              <w:ind w:left="380"/>
              <w:spacing w:after="0"/>
              <w:rPr>
                <w:sz w:val="20"/>
                <w:szCs w:val="20"/>
                <w:color w:val="auto"/>
              </w:rPr>
            </w:pPr>
            <w:r>
              <w:rPr>
                <w:rFonts w:ascii="Arial" w:cs="Arial" w:eastAsia="Arial" w:hAnsi="Arial"/>
                <w:sz w:val="14"/>
                <w:szCs w:val="14"/>
                <w:color w:val="auto"/>
              </w:rPr>
              <w:t>Business acquisitions, net of cash equivalents acquired</w:t>
            </w:r>
          </w:p>
        </w:tc>
        <w:tc>
          <w:tcPr>
            <w:tcW w:w="400" w:type="dxa"/>
            <w:vAlign w:val="bottom"/>
          </w:tcPr>
          <w:p>
            <w:pPr>
              <w:spacing w:after="0"/>
              <w:rPr>
                <w:sz w:val="16"/>
                <w:szCs w:val="16"/>
                <w:color w:val="auto"/>
              </w:rPr>
            </w:pPr>
          </w:p>
        </w:tc>
        <w:tc>
          <w:tcPr>
            <w:tcW w:w="14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color w:val="auto"/>
              </w:rPr>
              <w:t>(802,488)</w:t>
            </w:r>
          </w:p>
        </w:tc>
        <w:tc>
          <w:tcPr>
            <w:tcW w:w="0" w:type="dxa"/>
            <w:vAlign w:val="bottom"/>
          </w:tcPr>
          <w:p>
            <w:pPr>
              <w:spacing w:after="0"/>
              <w:rPr>
                <w:sz w:val="1"/>
                <w:szCs w:val="1"/>
                <w:color w:val="auto"/>
              </w:rPr>
            </w:pPr>
          </w:p>
        </w:tc>
      </w:tr>
      <w:tr>
        <w:trPr>
          <w:trHeight w:val="74"/>
        </w:trPr>
        <w:tc>
          <w:tcPr>
            <w:tcW w:w="79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440" w:type="dxa"/>
            <w:vAlign w:val="bottom"/>
            <w:gridSpan w:val="2"/>
            <w:vMerge w:val="continue"/>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9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 investing, net</w:t>
            </w:r>
          </w:p>
        </w:tc>
        <w:tc>
          <w:tcPr>
            <w:tcW w:w="40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299</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80"/>
        </w:trPr>
        <w:tc>
          <w:tcPr>
            <w:tcW w:w="7900" w:type="dxa"/>
            <w:vAlign w:val="bottom"/>
            <w:shd w:val="clear" w:color="auto" w:fill="CCEEFF"/>
          </w:tcPr>
          <w:p>
            <w:pPr>
              <w:spacing w:after="0"/>
              <w:rPr>
                <w:sz w:val="6"/>
                <w:szCs w:val="6"/>
                <w:color w:val="auto"/>
              </w:rPr>
            </w:pPr>
          </w:p>
        </w:tc>
        <w:tc>
          <w:tcPr>
            <w:tcW w:w="400" w:type="dxa"/>
            <w:vAlign w:val="bottom"/>
            <w:tcBorders>
              <w:bottom w:val="single" w:sz="8" w:color="auto"/>
            </w:tcBorders>
            <w:shd w:val="clear" w:color="auto" w:fill="CCEEFF"/>
          </w:tcPr>
          <w:p>
            <w:pPr>
              <w:spacing w:after="0"/>
              <w:rPr>
                <w:sz w:val="6"/>
                <w:szCs w:val="6"/>
                <w:color w:val="auto"/>
              </w:rPr>
            </w:pPr>
          </w:p>
        </w:tc>
        <w:tc>
          <w:tcPr>
            <w:tcW w:w="13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00" w:type="dxa"/>
            <w:vAlign w:val="bottom"/>
            <w:tcBorders>
              <w:bottom w:val="single" w:sz="8" w:color="auto"/>
            </w:tcBorders>
            <w:shd w:val="clear" w:color="auto" w:fill="CCEEFF"/>
          </w:tcPr>
          <w:p>
            <w:pPr>
              <w:spacing w:after="0"/>
              <w:rPr>
                <w:sz w:val="6"/>
                <w:szCs w:val="6"/>
                <w:color w:val="auto"/>
              </w:rPr>
            </w:pPr>
          </w:p>
        </w:tc>
        <w:tc>
          <w:tcPr>
            <w:tcW w:w="12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7900" w:type="dxa"/>
            <w:vAlign w:val="bottom"/>
          </w:tcPr>
          <w:p>
            <w:pPr>
              <w:ind w:left="720"/>
              <w:spacing w:after="0"/>
              <w:rPr>
                <w:sz w:val="20"/>
                <w:szCs w:val="20"/>
                <w:color w:val="auto"/>
              </w:rPr>
            </w:pPr>
            <w:r>
              <w:rPr>
                <w:rFonts w:ascii="Arial" w:cs="Arial" w:eastAsia="Arial" w:hAnsi="Arial"/>
                <w:sz w:val="14"/>
                <w:szCs w:val="14"/>
                <w:color w:val="auto"/>
              </w:rPr>
              <w:t>Net cash used in investing activities</w:t>
            </w:r>
          </w:p>
        </w:tc>
        <w:tc>
          <w:tcPr>
            <w:tcW w:w="40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Arial" w:cs="Arial" w:eastAsia="Arial" w:hAnsi="Arial"/>
                <w:sz w:val="14"/>
                <w:szCs w:val="14"/>
                <w:color w:val="auto"/>
              </w:rPr>
              <w:t>(11,116)</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color w:val="auto"/>
              </w:rPr>
              <w:t>(819,821)</w:t>
            </w:r>
          </w:p>
        </w:tc>
        <w:tc>
          <w:tcPr>
            <w:tcW w:w="0" w:type="dxa"/>
            <w:vAlign w:val="bottom"/>
          </w:tcPr>
          <w:p>
            <w:pPr>
              <w:spacing w:after="0"/>
              <w:rPr>
                <w:sz w:val="1"/>
                <w:szCs w:val="1"/>
                <w:color w:val="auto"/>
              </w:rPr>
            </w:pPr>
          </w:p>
        </w:tc>
      </w:tr>
      <w:tr>
        <w:trPr>
          <w:trHeight w:val="74"/>
        </w:trPr>
        <w:tc>
          <w:tcPr>
            <w:tcW w:w="79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6"/>
        </w:trPr>
        <w:tc>
          <w:tcPr>
            <w:tcW w:w="79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7900" w:type="dxa"/>
            <w:vAlign w:val="bottom"/>
          </w:tcPr>
          <w:p>
            <w:pPr>
              <w:ind w:left="40"/>
              <w:spacing w:after="0"/>
              <w:rPr>
                <w:sz w:val="20"/>
                <w:szCs w:val="20"/>
                <w:color w:val="auto"/>
              </w:rPr>
            </w:pPr>
            <w:r>
              <w:rPr>
                <w:rFonts w:ascii="Arial" w:cs="Arial" w:eastAsia="Arial" w:hAnsi="Arial"/>
                <w:sz w:val="14"/>
                <w:szCs w:val="14"/>
                <w:color w:val="auto"/>
              </w:rPr>
              <w:t>Financing activities</w:t>
            </w: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79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Proceeds from borrowings</w:t>
            </w: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30,000</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705,938</w:t>
            </w:r>
          </w:p>
        </w:tc>
        <w:tc>
          <w:tcPr>
            <w:tcW w:w="0" w:type="dxa"/>
            <w:vAlign w:val="bottom"/>
          </w:tcPr>
          <w:p>
            <w:pPr>
              <w:spacing w:after="0"/>
              <w:rPr>
                <w:sz w:val="1"/>
                <w:szCs w:val="1"/>
                <w:color w:val="auto"/>
              </w:rPr>
            </w:pPr>
          </w:p>
        </w:tc>
      </w:tr>
      <w:tr>
        <w:trPr>
          <w:trHeight w:val="191"/>
        </w:trPr>
        <w:tc>
          <w:tcPr>
            <w:tcW w:w="7900" w:type="dxa"/>
            <w:vAlign w:val="bottom"/>
          </w:tcPr>
          <w:p>
            <w:pPr>
              <w:ind w:left="380"/>
              <w:spacing w:after="0"/>
              <w:rPr>
                <w:sz w:val="20"/>
                <w:szCs w:val="20"/>
                <w:color w:val="auto"/>
              </w:rPr>
            </w:pPr>
            <w:r>
              <w:rPr>
                <w:rFonts w:ascii="Arial" w:cs="Arial" w:eastAsia="Arial" w:hAnsi="Arial"/>
                <w:sz w:val="14"/>
                <w:szCs w:val="14"/>
                <w:color w:val="auto"/>
              </w:rPr>
              <w:t>Payments on debt</w:t>
            </w:r>
          </w:p>
        </w:tc>
        <w:tc>
          <w:tcPr>
            <w:tcW w:w="400" w:type="dxa"/>
            <w:vAlign w:val="bottom"/>
          </w:tcPr>
          <w:p>
            <w:pPr>
              <w:spacing w:after="0"/>
              <w:rPr>
                <w:sz w:val="16"/>
                <w:szCs w:val="16"/>
                <w:color w:val="auto"/>
              </w:rPr>
            </w:pPr>
          </w:p>
        </w:tc>
        <w:tc>
          <w:tcPr>
            <w:tcW w:w="1320" w:type="dxa"/>
            <w:vAlign w:val="bottom"/>
            <w:vMerge w:val="restart"/>
          </w:tcPr>
          <w:p>
            <w:pPr>
              <w:jc w:val="right"/>
              <w:spacing w:after="0"/>
              <w:rPr>
                <w:sz w:val="20"/>
                <w:szCs w:val="20"/>
                <w:color w:val="auto"/>
              </w:rPr>
            </w:pPr>
            <w:r>
              <w:rPr>
                <w:rFonts w:ascii="Arial" w:cs="Arial" w:eastAsia="Arial" w:hAnsi="Arial"/>
                <w:sz w:val="14"/>
                <w:szCs w:val="14"/>
                <w:color w:val="auto"/>
              </w:rPr>
              <w:t>(44,063)</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color w:val="auto"/>
              </w:rPr>
              <w:t>(182,395)</w:t>
            </w:r>
          </w:p>
        </w:tc>
        <w:tc>
          <w:tcPr>
            <w:tcW w:w="0" w:type="dxa"/>
            <w:vAlign w:val="bottom"/>
          </w:tcPr>
          <w:p>
            <w:pPr>
              <w:spacing w:after="0"/>
              <w:rPr>
                <w:sz w:val="1"/>
                <w:szCs w:val="1"/>
                <w:color w:val="auto"/>
              </w:rPr>
            </w:pPr>
          </w:p>
        </w:tc>
      </w:tr>
      <w:tr>
        <w:trPr>
          <w:trHeight w:val="74"/>
        </w:trPr>
        <w:tc>
          <w:tcPr>
            <w:tcW w:w="79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9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Issuance of common stock</w:t>
            </w:r>
          </w:p>
        </w:tc>
        <w:tc>
          <w:tcPr>
            <w:tcW w:w="40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1,758</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3,384</w:t>
            </w:r>
          </w:p>
        </w:tc>
        <w:tc>
          <w:tcPr>
            <w:tcW w:w="0" w:type="dxa"/>
            <w:vAlign w:val="bottom"/>
          </w:tcPr>
          <w:p>
            <w:pPr>
              <w:spacing w:after="0"/>
              <w:rPr>
                <w:sz w:val="1"/>
                <w:szCs w:val="1"/>
                <w:color w:val="auto"/>
              </w:rPr>
            </w:pPr>
          </w:p>
        </w:tc>
      </w:tr>
      <w:tr>
        <w:trPr>
          <w:trHeight w:val="80"/>
        </w:trPr>
        <w:tc>
          <w:tcPr>
            <w:tcW w:w="79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900" w:type="dxa"/>
            <w:vAlign w:val="bottom"/>
          </w:tcPr>
          <w:p>
            <w:pPr>
              <w:ind w:left="380"/>
              <w:spacing w:after="0"/>
              <w:rPr>
                <w:sz w:val="20"/>
                <w:szCs w:val="20"/>
                <w:color w:val="auto"/>
              </w:rPr>
            </w:pPr>
            <w:r>
              <w:rPr>
                <w:rFonts w:ascii="Arial" w:cs="Arial" w:eastAsia="Arial" w:hAnsi="Arial"/>
                <w:sz w:val="14"/>
                <w:szCs w:val="14"/>
                <w:color w:val="auto"/>
              </w:rPr>
              <w:t>Repurchase of common stock</w:t>
            </w:r>
          </w:p>
        </w:tc>
        <w:tc>
          <w:tcPr>
            <w:tcW w:w="400" w:type="dxa"/>
            <w:vAlign w:val="bottom"/>
          </w:tcPr>
          <w:p>
            <w:pPr>
              <w:spacing w:after="0"/>
              <w:rPr>
                <w:sz w:val="16"/>
                <w:szCs w:val="16"/>
                <w:color w:val="auto"/>
              </w:rPr>
            </w:pPr>
          </w:p>
        </w:tc>
        <w:tc>
          <w:tcPr>
            <w:tcW w:w="1320" w:type="dxa"/>
            <w:vAlign w:val="bottom"/>
            <w:vMerge w:val="restart"/>
          </w:tcPr>
          <w:p>
            <w:pPr>
              <w:jc w:val="right"/>
              <w:spacing w:after="0"/>
              <w:rPr>
                <w:sz w:val="20"/>
                <w:szCs w:val="20"/>
                <w:color w:val="auto"/>
              </w:rPr>
            </w:pPr>
            <w:r>
              <w:rPr>
                <w:rFonts w:ascii="Arial" w:cs="Arial" w:eastAsia="Arial" w:hAnsi="Arial"/>
                <w:sz w:val="14"/>
                <w:szCs w:val="14"/>
                <w:color w:val="auto"/>
              </w:rPr>
              <w:t>(8,534)</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79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9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Prepaid debt fees</w:t>
            </w:r>
          </w:p>
        </w:tc>
        <w:tc>
          <w:tcPr>
            <w:tcW w:w="40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(175)</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(24,042)</w:t>
            </w:r>
          </w:p>
        </w:tc>
        <w:tc>
          <w:tcPr>
            <w:tcW w:w="0" w:type="dxa"/>
            <w:vAlign w:val="bottom"/>
          </w:tcPr>
          <w:p>
            <w:pPr>
              <w:spacing w:after="0"/>
              <w:rPr>
                <w:sz w:val="1"/>
                <w:szCs w:val="1"/>
                <w:color w:val="auto"/>
              </w:rPr>
            </w:pPr>
          </w:p>
        </w:tc>
      </w:tr>
      <w:tr>
        <w:trPr>
          <w:trHeight w:val="80"/>
        </w:trPr>
        <w:tc>
          <w:tcPr>
            <w:tcW w:w="79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900" w:type="dxa"/>
            <w:vAlign w:val="bottom"/>
          </w:tcPr>
          <w:p>
            <w:pPr>
              <w:ind w:left="380"/>
              <w:spacing w:after="0"/>
              <w:rPr>
                <w:sz w:val="20"/>
                <w:szCs w:val="20"/>
                <w:color w:val="auto"/>
              </w:rPr>
            </w:pPr>
            <w:r>
              <w:rPr>
                <w:rFonts w:ascii="Arial" w:cs="Arial" w:eastAsia="Arial" w:hAnsi="Arial"/>
                <w:sz w:val="14"/>
                <w:szCs w:val="14"/>
                <w:color w:val="auto"/>
              </w:rPr>
              <w:t>Other financing, net</w:t>
            </w:r>
          </w:p>
        </w:tc>
        <w:tc>
          <w:tcPr>
            <w:tcW w:w="400" w:type="dxa"/>
            <w:vAlign w:val="bottom"/>
          </w:tcPr>
          <w:p>
            <w:pPr>
              <w:spacing w:after="0"/>
              <w:rPr>
                <w:sz w:val="16"/>
                <w:szCs w:val="16"/>
                <w:color w:val="auto"/>
              </w:rPr>
            </w:pPr>
          </w:p>
        </w:tc>
        <w:tc>
          <w:tcPr>
            <w:tcW w:w="1320" w:type="dxa"/>
            <w:vAlign w:val="bottom"/>
            <w:vMerge w:val="restart"/>
          </w:tcPr>
          <w:p>
            <w:pPr>
              <w:jc w:val="right"/>
              <w:spacing w:after="0"/>
              <w:rPr>
                <w:sz w:val="20"/>
                <w:szCs w:val="20"/>
                <w:color w:val="auto"/>
              </w:rPr>
            </w:pPr>
            <w:r>
              <w:rPr>
                <w:rFonts w:ascii="Arial" w:cs="Arial" w:eastAsia="Arial" w:hAnsi="Arial"/>
                <w:sz w:val="14"/>
                <w:szCs w:val="14"/>
                <w:color w:val="auto"/>
              </w:rPr>
              <w:t>(2,229)</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color w:val="auto"/>
              </w:rPr>
              <w:t>(1,046)</w:t>
            </w:r>
          </w:p>
        </w:tc>
        <w:tc>
          <w:tcPr>
            <w:tcW w:w="0" w:type="dxa"/>
            <w:vAlign w:val="bottom"/>
          </w:tcPr>
          <w:p>
            <w:pPr>
              <w:spacing w:after="0"/>
              <w:rPr>
                <w:sz w:val="1"/>
                <w:szCs w:val="1"/>
                <w:color w:val="auto"/>
              </w:rPr>
            </w:pPr>
          </w:p>
        </w:tc>
      </w:tr>
      <w:tr>
        <w:trPr>
          <w:trHeight w:val="74"/>
        </w:trPr>
        <w:tc>
          <w:tcPr>
            <w:tcW w:w="790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79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Net cash provided by (used in) financing activities</w:t>
            </w:r>
          </w:p>
        </w:tc>
        <w:tc>
          <w:tcPr>
            <w:tcW w:w="40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(23,243)</w:t>
            </w: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501,839</w:t>
            </w:r>
          </w:p>
        </w:tc>
        <w:tc>
          <w:tcPr>
            <w:tcW w:w="0" w:type="dxa"/>
            <w:vAlign w:val="bottom"/>
          </w:tcPr>
          <w:p>
            <w:pPr>
              <w:spacing w:after="0"/>
              <w:rPr>
                <w:sz w:val="1"/>
                <w:szCs w:val="1"/>
                <w:color w:val="auto"/>
              </w:rPr>
            </w:pPr>
          </w:p>
        </w:tc>
      </w:tr>
      <w:tr>
        <w:trPr>
          <w:trHeight w:val="80"/>
        </w:trPr>
        <w:tc>
          <w:tcPr>
            <w:tcW w:w="79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79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1"/>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Effect of foreign exchange rate changes on cash, cash equivalents, and restricted cash</w:t>
            </w:r>
          </w:p>
        </w:tc>
        <w:tc>
          <w:tcPr>
            <w:tcW w:w="400" w:type="dxa"/>
            <w:vAlign w:val="bottom"/>
            <w:shd w:val="clear" w:color="auto" w:fill="CCEEFF"/>
          </w:tcPr>
          <w:p>
            <w:pPr>
              <w:spacing w:after="0"/>
              <w:rPr>
                <w:sz w:val="16"/>
                <w:szCs w:val="16"/>
                <w:color w:val="auto"/>
              </w:rPr>
            </w:pPr>
          </w:p>
        </w:tc>
        <w:tc>
          <w:tcPr>
            <w:tcW w:w="13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72</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563</w:t>
            </w:r>
          </w:p>
        </w:tc>
        <w:tc>
          <w:tcPr>
            <w:tcW w:w="0" w:type="dxa"/>
            <w:vAlign w:val="bottom"/>
          </w:tcPr>
          <w:p>
            <w:pPr>
              <w:spacing w:after="0"/>
              <w:rPr>
                <w:sz w:val="1"/>
                <w:szCs w:val="1"/>
                <w:color w:val="auto"/>
              </w:rPr>
            </w:pPr>
          </w:p>
        </w:tc>
      </w:tr>
      <w:tr>
        <w:trPr>
          <w:trHeight w:val="80"/>
        </w:trPr>
        <w:tc>
          <w:tcPr>
            <w:tcW w:w="7900" w:type="dxa"/>
            <w:vAlign w:val="bottom"/>
            <w:shd w:val="clear" w:color="auto" w:fill="CCEEFF"/>
          </w:tcPr>
          <w:p>
            <w:pPr>
              <w:spacing w:after="0"/>
              <w:rPr>
                <w:sz w:val="6"/>
                <w:szCs w:val="6"/>
                <w:color w:val="auto"/>
              </w:rPr>
            </w:pPr>
          </w:p>
        </w:tc>
        <w:tc>
          <w:tcPr>
            <w:tcW w:w="400" w:type="dxa"/>
            <w:vAlign w:val="bottom"/>
            <w:tcBorders>
              <w:bottom w:val="single" w:sz="8" w:color="auto"/>
            </w:tcBorders>
            <w:shd w:val="clear" w:color="auto" w:fill="CCEEFF"/>
          </w:tcPr>
          <w:p>
            <w:pPr>
              <w:spacing w:after="0"/>
              <w:rPr>
                <w:sz w:val="6"/>
                <w:szCs w:val="6"/>
                <w:color w:val="auto"/>
              </w:rPr>
            </w:pPr>
          </w:p>
        </w:tc>
        <w:tc>
          <w:tcPr>
            <w:tcW w:w="13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00" w:type="dxa"/>
            <w:vAlign w:val="bottom"/>
            <w:tcBorders>
              <w:bottom w:val="single" w:sz="8" w:color="auto"/>
            </w:tcBorders>
            <w:shd w:val="clear" w:color="auto" w:fill="CCEEFF"/>
          </w:tcPr>
          <w:p>
            <w:pPr>
              <w:spacing w:after="0"/>
              <w:rPr>
                <w:sz w:val="6"/>
                <w:szCs w:val="6"/>
                <w:color w:val="auto"/>
              </w:rPr>
            </w:pPr>
          </w:p>
        </w:tc>
        <w:tc>
          <w:tcPr>
            <w:tcW w:w="12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7900" w:type="dxa"/>
            <w:vAlign w:val="bottom"/>
          </w:tcPr>
          <w:p>
            <w:pPr>
              <w:ind w:left="40"/>
              <w:spacing w:after="0"/>
              <w:rPr>
                <w:sz w:val="20"/>
                <w:szCs w:val="20"/>
                <w:color w:val="auto"/>
              </w:rPr>
            </w:pPr>
            <w:r>
              <w:rPr>
                <w:rFonts w:ascii="Arial" w:cs="Arial" w:eastAsia="Arial" w:hAnsi="Arial"/>
                <w:sz w:val="14"/>
                <w:szCs w:val="14"/>
                <w:color w:val="auto"/>
              </w:rPr>
              <w:t>Decrease in cash, cash equivalents, and restricted cash</w:t>
            </w:r>
          </w:p>
        </w:tc>
        <w:tc>
          <w:tcPr>
            <w:tcW w:w="40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Arial" w:cs="Arial" w:eastAsia="Arial" w:hAnsi="Arial"/>
                <w:sz w:val="14"/>
                <w:szCs w:val="14"/>
                <w:color w:val="auto"/>
              </w:rPr>
              <w:t>(9,363)</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color w:val="auto"/>
              </w:rPr>
              <w:t>(341,867)</w:t>
            </w:r>
          </w:p>
        </w:tc>
        <w:tc>
          <w:tcPr>
            <w:tcW w:w="0" w:type="dxa"/>
            <w:vAlign w:val="bottom"/>
          </w:tcPr>
          <w:p>
            <w:pPr>
              <w:spacing w:after="0"/>
              <w:rPr>
                <w:sz w:val="1"/>
                <w:szCs w:val="1"/>
                <w:color w:val="auto"/>
              </w:rPr>
            </w:pPr>
          </w:p>
        </w:tc>
      </w:tr>
      <w:tr>
        <w:trPr>
          <w:trHeight w:val="74"/>
        </w:trPr>
        <w:tc>
          <w:tcPr>
            <w:tcW w:w="79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cash equivalents, and restricted cash at beginning of period</w:t>
            </w:r>
          </w:p>
        </w:tc>
        <w:tc>
          <w:tcPr>
            <w:tcW w:w="40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122,328</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487,335</w:t>
            </w:r>
          </w:p>
        </w:tc>
        <w:tc>
          <w:tcPr>
            <w:tcW w:w="0" w:type="dxa"/>
            <w:vAlign w:val="bottom"/>
          </w:tcPr>
          <w:p>
            <w:pPr>
              <w:spacing w:after="0"/>
              <w:rPr>
                <w:sz w:val="1"/>
                <w:szCs w:val="1"/>
                <w:color w:val="auto"/>
              </w:rPr>
            </w:pPr>
          </w:p>
        </w:tc>
      </w:tr>
      <w:tr>
        <w:trPr>
          <w:trHeight w:val="80"/>
        </w:trPr>
        <w:tc>
          <w:tcPr>
            <w:tcW w:w="7900" w:type="dxa"/>
            <w:vAlign w:val="bottom"/>
            <w:shd w:val="clear" w:color="auto" w:fill="CCEEFF"/>
          </w:tcPr>
          <w:p>
            <w:pPr>
              <w:spacing w:after="0"/>
              <w:rPr>
                <w:sz w:val="6"/>
                <w:szCs w:val="6"/>
                <w:color w:val="auto"/>
              </w:rPr>
            </w:pPr>
          </w:p>
        </w:tc>
        <w:tc>
          <w:tcPr>
            <w:tcW w:w="400" w:type="dxa"/>
            <w:vAlign w:val="bottom"/>
            <w:tcBorders>
              <w:bottom w:val="single" w:sz="8" w:color="auto"/>
            </w:tcBorders>
            <w:shd w:val="clear" w:color="auto" w:fill="CCEEFF"/>
          </w:tcPr>
          <w:p>
            <w:pPr>
              <w:spacing w:after="0"/>
              <w:rPr>
                <w:sz w:val="6"/>
                <w:szCs w:val="6"/>
                <w:color w:val="auto"/>
              </w:rPr>
            </w:pPr>
          </w:p>
        </w:tc>
        <w:tc>
          <w:tcPr>
            <w:tcW w:w="13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00" w:type="dxa"/>
            <w:vAlign w:val="bottom"/>
            <w:tcBorders>
              <w:bottom w:val="single" w:sz="8" w:color="auto"/>
            </w:tcBorders>
            <w:shd w:val="clear" w:color="auto" w:fill="CCEEFF"/>
          </w:tcPr>
          <w:p>
            <w:pPr>
              <w:spacing w:after="0"/>
              <w:rPr>
                <w:sz w:val="6"/>
                <w:szCs w:val="6"/>
                <w:color w:val="auto"/>
              </w:rPr>
            </w:pPr>
          </w:p>
        </w:tc>
        <w:tc>
          <w:tcPr>
            <w:tcW w:w="12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7900" w:type="dxa"/>
            <w:vAlign w:val="bottom"/>
          </w:tcPr>
          <w:p>
            <w:pPr>
              <w:ind w:left="40"/>
              <w:spacing w:after="0"/>
              <w:rPr>
                <w:sz w:val="20"/>
                <w:szCs w:val="20"/>
                <w:color w:val="auto"/>
              </w:rPr>
            </w:pPr>
            <w:r>
              <w:rPr>
                <w:rFonts w:ascii="Arial" w:cs="Arial" w:eastAsia="Arial" w:hAnsi="Arial"/>
                <w:sz w:val="14"/>
                <w:szCs w:val="14"/>
                <w:color w:val="auto"/>
              </w:rPr>
              <w:t>Cash, cash equivalents, and restricted cash at end of period</w:t>
            </w:r>
          </w:p>
        </w:tc>
        <w:tc>
          <w:tcPr>
            <w:tcW w:w="400" w:type="dxa"/>
            <w:vAlign w:val="bottom"/>
            <w:vMerge w:val="restart"/>
          </w:tcPr>
          <w:p>
            <w:pPr>
              <w:jc w:val="right"/>
              <w:ind w:right="228"/>
              <w:spacing w:after="0"/>
              <w:rPr>
                <w:sz w:val="20"/>
                <w:szCs w:val="20"/>
                <w:color w:val="auto"/>
              </w:rPr>
            </w:pPr>
            <w:r>
              <w:rPr>
                <w:rFonts w:ascii="Arial" w:cs="Arial" w:eastAsia="Arial" w:hAnsi="Arial"/>
                <w:sz w:val="14"/>
                <w:szCs w:val="14"/>
                <w:color w:val="auto"/>
              </w:rPr>
              <w:t>$</w:t>
            </w:r>
          </w:p>
        </w:tc>
        <w:tc>
          <w:tcPr>
            <w:tcW w:w="1320" w:type="dxa"/>
            <w:vAlign w:val="bottom"/>
            <w:vMerge w:val="restart"/>
          </w:tcPr>
          <w:p>
            <w:pPr>
              <w:jc w:val="right"/>
              <w:ind w:right="48"/>
              <w:spacing w:after="0"/>
              <w:rPr>
                <w:sz w:val="20"/>
                <w:szCs w:val="20"/>
                <w:color w:val="auto"/>
              </w:rPr>
            </w:pPr>
            <w:r>
              <w:rPr>
                <w:rFonts w:ascii="Arial" w:cs="Arial" w:eastAsia="Arial" w:hAnsi="Arial"/>
                <w:sz w:val="14"/>
                <w:szCs w:val="14"/>
                <w:color w:val="auto"/>
              </w:rPr>
              <w:t>112,965</w:t>
            </w:r>
          </w:p>
        </w:tc>
        <w:tc>
          <w:tcPr>
            <w:tcW w:w="120" w:type="dxa"/>
            <w:vAlign w:val="bottom"/>
          </w:tcPr>
          <w:p>
            <w:pPr>
              <w:spacing w:after="0"/>
              <w:rPr>
                <w:sz w:val="14"/>
                <w:szCs w:val="14"/>
                <w:color w:val="auto"/>
              </w:rPr>
            </w:pPr>
          </w:p>
        </w:tc>
        <w:tc>
          <w:tcPr>
            <w:tcW w:w="400" w:type="dxa"/>
            <w:vAlign w:val="bottom"/>
            <w:vMerge w:val="restart"/>
          </w:tcPr>
          <w:p>
            <w:pPr>
              <w:jc w:val="right"/>
              <w:ind w:right="228"/>
              <w:spacing w:after="0"/>
              <w:rPr>
                <w:sz w:val="20"/>
                <w:szCs w:val="20"/>
                <w:color w:val="auto"/>
              </w:rPr>
            </w:pPr>
            <w:r>
              <w:rPr>
                <w:rFonts w:ascii="Arial" w:cs="Arial" w:eastAsia="Arial" w:hAnsi="Arial"/>
                <w:sz w:val="14"/>
                <w:szCs w:val="14"/>
                <w:color w:val="auto"/>
              </w:rPr>
              <w:t>$</w:t>
            </w:r>
          </w:p>
        </w:tc>
        <w:tc>
          <w:tcPr>
            <w:tcW w:w="1280" w:type="dxa"/>
            <w:vAlign w:val="bottom"/>
            <w:vMerge w:val="restart"/>
          </w:tcPr>
          <w:p>
            <w:pPr>
              <w:jc w:val="right"/>
              <w:ind w:right="28"/>
              <w:spacing w:after="0"/>
              <w:rPr>
                <w:sz w:val="20"/>
                <w:szCs w:val="20"/>
                <w:color w:val="auto"/>
              </w:rPr>
            </w:pPr>
            <w:r>
              <w:rPr>
                <w:rFonts w:ascii="Arial" w:cs="Arial" w:eastAsia="Arial" w:hAnsi="Arial"/>
                <w:sz w:val="14"/>
                <w:szCs w:val="14"/>
                <w:color w:val="auto"/>
              </w:rPr>
              <w:t>145,468</w:t>
            </w:r>
          </w:p>
        </w:tc>
        <w:tc>
          <w:tcPr>
            <w:tcW w:w="0" w:type="dxa"/>
            <w:vAlign w:val="bottom"/>
          </w:tcPr>
          <w:p>
            <w:pPr>
              <w:spacing w:after="0"/>
              <w:rPr>
                <w:sz w:val="1"/>
                <w:szCs w:val="1"/>
                <w:color w:val="auto"/>
              </w:rPr>
            </w:pPr>
          </w:p>
        </w:tc>
      </w:tr>
      <w:tr>
        <w:trPr>
          <w:trHeight w:val="100"/>
        </w:trPr>
        <w:tc>
          <w:tcPr>
            <w:tcW w:w="7900" w:type="dxa"/>
            <w:vAlign w:val="bottom"/>
            <w:tcBorders>
              <w:bottom w:val="single" w:sz="8" w:color="CCEEFF"/>
            </w:tcBorders>
          </w:tcPr>
          <w:p>
            <w:pPr>
              <w:spacing w:after="0"/>
              <w:rPr>
                <w:sz w:val="8"/>
                <w:szCs w:val="8"/>
                <w:color w:val="auto"/>
              </w:rPr>
            </w:pPr>
          </w:p>
        </w:tc>
        <w:tc>
          <w:tcPr>
            <w:tcW w:w="400" w:type="dxa"/>
            <w:vAlign w:val="bottom"/>
            <w:tcBorders>
              <w:bottom w:val="single" w:sz="8" w:color="auto"/>
            </w:tcBorders>
            <w:vMerge w:val="continue"/>
          </w:tcPr>
          <w:p>
            <w:pPr>
              <w:spacing w:after="0"/>
              <w:rPr>
                <w:sz w:val="8"/>
                <w:szCs w:val="8"/>
                <w:color w:val="auto"/>
              </w:rPr>
            </w:pPr>
          </w:p>
        </w:tc>
        <w:tc>
          <w:tcPr>
            <w:tcW w:w="132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400" w:type="dxa"/>
            <w:vAlign w:val="bottom"/>
            <w:tcBorders>
              <w:bottom w:val="single" w:sz="8" w:color="auto"/>
            </w:tcBorders>
            <w:vMerge w:val="continue"/>
          </w:tcPr>
          <w:p>
            <w:pPr>
              <w:spacing w:after="0"/>
              <w:rPr>
                <w:sz w:val="8"/>
                <w:szCs w:val="8"/>
                <w:color w:val="auto"/>
              </w:rPr>
            </w:pPr>
          </w:p>
        </w:tc>
        <w:tc>
          <w:tcPr>
            <w:tcW w:w="128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57"/>
        </w:trPr>
        <w:tc>
          <w:tcPr>
            <w:tcW w:w="79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8" w:lineRule="exact"/>
        <w:rPr>
          <w:sz w:val="20"/>
          <w:szCs w:val="20"/>
          <w:color w:val="auto"/>
        </w:rPr>
      </w:pPr>
    </w:p>
    <w:p>
      <w:pPr>
        <w:sectPr>
          <w:pgSz w:w="11900" w:h="16838" w:orient="portrait"/>
          <w:cols w:equalWidth="0" w:num="1">
            <w:col w:w="11420"/>
          </w:cols>
          <w:pgMar w:left="240" w:top="125" w:right="239" w:bottom="1070" w:gutter="0" w:footer="0" w:header="0"/>
        </w:sectPr>
      </w:pPr>
    </w:p>
    <w:p>
      <w:pPr>
        <w:ind w:left="40"/>
        <w:spacing w:after="0"/>
        <w:rPr>
          <w:sz w:val="20"/>
          <w:szCs w:val="20"/>
          <w:color w:val="auto"/>
        </w:rPr>
      </w:pPr>
      <w:r>
        <w:rPr>
          <w:rFonts w:ascii="Arial" w:cs="Arial" w:eastAsia="Arial" w:hAnsi="Arial"/>
          <w:sz w:val="13"/>
          <w:szCs w:val="13"/>
          <w:i w:val="1"/>
          <w:iCs w:val="1"/>
          <w:color w:val="auto"/>
        </w:rPr>
        <w:t>Supplemental disclosure of cash flow information:</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4"/>
          <w:szCs w:val="14"/>
          <w:color w:val="auto"/>
        </w:rPr>
        <w:t>Cash paid during the period for:</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Income taxes, net</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Interest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640" w:type="dxa"/>
            <w:vAlign w:val="bottom"/>
          </w:tcPr>
          <w:p>
            <w:pPr>
              <w:jc w:val="right"/>
              <w:ind w:right="48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3,241</w:t>
            </w:r>
          </w:p>
        </w:tc>
        <w:tc>
          <w:tcPr>
            <w:tcW w:w="760" w:type="dxa"/>
            <w:vAlign w:val="bottom"/>
          </w:tcPr>
          <w:p>
            <w:pPr>
              <w:jc w:val="right"/>
              <w:ind w:right="48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1,498</w:t>
            </w:r>
          </w:p>
        </w:tc>
      </w:tr>
      <w:tr>
        <w:trPr>
          <w:trHeight w:val="270"/>
        </w:trPr>
        <w:tc>
          <w:tcPr>
            <w:tcW w:w="640" w:type="dxa"/>
            <w:vAlign w:val="bottom"/>
          </w:tcPr>
          <w:p>
            <w:pPr>
              <w:spacing w:after="0"/>
              <w:rPr>
                <w:sz w:val="23"/>
                <w:szCs w:val="23"/>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16,628</w:t>
            </w:r>
          </w:p>
        </w:tc>
        <w:tc>
          <w:tcPr>
            <w:tcW w:w="7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6,878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-5023485</wp:posOffset>
            </wp:positionH>
            <wp:positionV relativeFrom="paragraph">
              <wp:posOffset>-506095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-5023485</wp:posOffset>
            </wp:positionH>
            <wp:positionV relativeFrom="paragraph">
              <wp:posOffset>-163195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200" w:space="720"/>
            <w:col w:w="3500"/>
          </w:cols>
          <w:pgMar w:left="240" w:top="125" w:right="239" w:bottom="1070" w:gutter="0" w:footer="0" w:header="0"/>
          <w:type w:val="continuous"/>
        </w:sectPr>
      </w:pP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The accompanying notes are an integral part of these condensed consolidated financial statements.</w:t>
      </w:r>
    </w:p>
    <w:p>
      <w:pPr>
        <w:sectPr>
          <w:pgSz w:w="11900" w:h="16838" w:orient="portrait"/>
          <w:cols w:equalWidth="0" w:num="1">
            <w:col w:w="11420"/>
          </w:cols>
          <w:pgMar w:left="240" w:top="125" w:right="239" w:bottom="1070" w:gutter="0" w:footer="0" w:header="0"/>
          <w:type w:val="continuous"/>
        </w:sect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25" w:right="239" w:bottom="1070" w:gutter="0" w:footer="0" w:header="0"/>
          <w:type w:val="continuous"/>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In this Quarterly Report on Form 10-Q, the terms "we," "us," "our," "Itron," and the "Company" refer to Itron, Inc.</w:t>
      </w:r>
    </w:p>
    <w:p>
      <w:pPr>
        <w:spacing w:after="0" w:line="221"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6"/>
          <w:szCs w:val="16"/>
          <w:b w:val="1"/>
          <w:bCs w:val="1"/>
          <w:color w:val="auto"/>
        </w:rPr>
        <w:t>Summary of Significant Accounting Policies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Financial Statement Preparation</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condensed consolidated financial statements presented in this Quarterly Report on Form 10-Q are unaudited and reflect entries necessary for the fair presentation of the Consolidated Statements of Operations, the Consolidated Statements of Comprehensive Income (Loss), Consolidated Statements of Equity, and Consolidated Statements of Cash Flows for the three months ended March 31, 2019 and 2018, and the Consolidated Balance Sheets as of March 31, 2019 and December 31, 2018, of Itron, Inc. and its subsidiaries. All entries required for the fair presentation of the financial statements are of a normal recurring nature, except as disclosed. The results of operations for the three months ended March 31, 2019 are not necessarily indicative of the results expected for the full year or for any other period.</w:t>
      </w:r>
    </w:p>
    <w:p>
      <w:pPr>
        <w:spacing w:after="0" w:line="19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Certain information and notes normally included in financial statements prepared in accordance with U.S. generally accepted accounting principles (GAAP) have been condensed or omitted pursuant to the rules and regulations of the Securities and Exchange Commission (SEC) regarding interim results. These condensed consolidated financial statements should be read in conjunction with the audited financial statements and notes included in our 2018 Annual Report on Form 10-K filed with the SEC on February 28, 2019. There have been no significant changes in financial statement preparation or significant accounting policies since December 31, 2018 other than the adoption of Accounting Standards Codification (ASC) 842, </w:t>
      </w:r>
      <w:r>
        <w:rPr>
          <w:rFonts w:ascii="Arial" w:cs="Arial" w:eastAsia="Arial" w:hAnsi="Arial"/>
          <w:sz w:val="16"/>
          <w:szCs w:val="16"/>
          <w:i w:val="1"/>
          <w:iCs w:val="1"/>
          <w:color w:val="auto"/>
        </w:rPr>
        <w:t>Leases</w:t>
      </w:r>
      <w:r>
        <w:rPr>
          <w:rFonts w:ascii="Arial" w:cs="Arial" w:eastAsia="Arial" w:hAnsi="Arial"/>
          <w:sz w:val="16"/>
          <w:szCs w:val="16"/>
          <w:color w:val="auto"/>
        </w:rPr>
        <w:t>.</w:t>
      </w:r>
    </w:p>
    <w:p>
      <w:pPr>
        <w:spacing w:after="0" w:line="15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Restricted Cash and Cash Equivalents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that are contractually restricted from operating use are classified as restricted cash and cash equivalents.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Consolidated Balance Sheets that sum to the total of the same such amounts shown in the Consolidated Statements of Cash Flows: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Pr>
          <w:p>
            <w:pPr>
              <w:spacing w:after="0"/>
              <w:rPr>
                <w:sz w:val="20"/>
                <w:szCs w:val="20"/>
                <w:color w:val="auto"/>
              </w:rPr>
            </w:pPr>
          </w:p>
        </w:tc>
        <w:tc>
          <w:tcPr>
            <w:tcW w:w="1740" w:type="dxa"/>
            <w:vAlign w:val="bottom"/>
            <w:gridSpan w:val="2"/>
          </w:tcPr>
          <w:p>
            <w:pPr>
              <w:ind w:left="140"/>
              <w:spacing w:after="0"/>
              <w:rPr>
                <w:sz w:val="20"/>
                <w:szCs w:val="20"/>
                <w:color w:val="auto"/>
              </w:rPr>
            </w:pPr>
            <w:r>
              <w:rPr>
                <w:rFonts w:ascii="Arial" w:cs="Arial" w:eastAsia="Arial" w:hAnsi="Arial"/>
                <w:sz w:val="16"/>
                <w:szCs w:val="16"/>
                <w:b w:val="1"/>
                <w:bCs w:val="1"/>
                <w:color w:val="auto"/>
              </w:rPr>
              <w:t>March 31, 2019</w:t>
            </w:r>
          </w:p>
        </w:tc>
        <w:tc>
          <w:tcPr>
            <w:tcW w:w="180" w:type="dxa"/>
            <w:vAlign w:val="bottom"/>
          </w:tcPr>
          <w:p>
            <w:pPr>
              <w:spacing w:after="0"/>
              <w:rPr>
                <w:sz w:val="20"/>
                <w:szCs w:val="20"/>
                <w:color w:val="auto"/>
              </w:rPr>
            </w:pPr>
          </w:p>
        </w:tc>
        <w:tc>
          <w:tcPr>
            <w:tcW w:w="1740" w:type="dxa"/>
            <w:vAlign w:val="bottom"/>
            <w:gridSpan w:val="2"/>
          </w:tcPr>
          <w:p>
            <w:pPr>
              <w:ind w:left="60"/>
              <w:spacing w:after="0"/>
              <w:rPr>
                <w:sz w:val="20"/>
                <w:szCs w:val="20"/>
                <w:color w:val="auto"/>
              </w:rPr>
            </w:pPr>
            <w:r>
              <w:rPr>
                <w:rFonts w:ascii="Arial" w:cs="Arial" w:eastAsia="Arial" w:hAnsi="Arial"/>
                <w:sz w:val="16"/>
                <w:szCs w:val="16"/>
                <w:b w:val="1"/>
                <w:bCs w:val="1"/>
                <w:color w:val="auto"/>
              </w:rPr>
              <w:t>December 31, 2018</w:t>
            </w:r>
          </w:p>
        </w:tc>
        <w:tc>
          <w:tcPr>
            <w:tcW w:w="220" w:type="dxa"/>
            <w:vAlign w:val="bottom"/>
          </w:tcPr>
          <w:p>
            <w:pPr>
              <w:spacing w:after="0"/>
              <w:rPr>
                <w:sz w:val="20"/>
                <w:szCs w:val="20"/>
                <w:color w:val="auto"/>
              </w:rPr>
            </w:pPr>
          </w:p>
        </w:tc>
        <w:tc>
          <w:tcPr>
            <w:tcW w:w="1580" w:type="dxa"/>
            <w:vAlign w:val="bottom"/>
          </w:tcPr>
          <w:p>
            <w:pPr>
              <w:jc w:val="right"/>
              <w:ind w:right="279"/>
              <w:spacing w:after="0"/>
              <w:rPr>
                <w:sz w:val="20"/>
                <w:szCs w:val="20"/>
                <w:color w:val="auto"/>
              </w:rPr>
            </w:pPr>
            <w:r>
              <w:rPr>
                <w:rFonts w:ascii="Arial" w:cs="Arial" w:eastAsia="Arial" w:hAnsi="Arial"/>
                <w:sz w:val="16"/>
                <w:szCs w:val="16"/>
                <w:b w:val="1"/>
                <w:bCs w:val="1"/>
                <w:color w:val="auto"/>
              </w:rPr>
              <w:t>March 31, 2018</w:t>
            </w:r>
          </w:p>
        </w:tc>
      </w:tr>
      <w:tr>
        <w:trPr>
          <w:trHeight w:val="27"/>
        </w:trPr>
        <w:tc>
          <w:tcPr>
            <w:tcW w:w="57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110,828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120,221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143,951</w:t>
            </w:r>
          </w:p>
        </w:tc>
      </w:tr>
      <w:tr>
        <w:trPr>
          <w:trHeight w:val="237"/>
        </w:trPr>
        <w:tc>
          <w:tcPr>
            <w:tcW w:w="5720" w:type="dxa"/>
            <w:vAlign w:val="bottom"/>
          </w:tcPr>
          <w:p>
            <w:pPr>
              <w:ind w:left="40"/>
              <w:spacing w:after="0"/>
              <w:rPr>
                <w:sz w:val="20"/>
                <w:szCs w:val="20"/>
                <w:color w:val="auto"/>
              </w:rPr>
            </w:pPr>
            <w:r>
              <w:rPr>
                <w:rFonts w:ascii="Arial" w:cs="Arial" w:eastAsia="Arial" w:hAnsi="Arial"/>
                <w:sz w:val="16"/>
                <w:szCs w:val="16"/>
                <w:color w:val="auto"/>
              </w:rPr>
              <w:t>Current restricted cash included in other current assets</w:t>
            </w:r>
          </w:p>
        </w:tc>
        <w:tc>
          <w:tcPr>
            <w:tcW w:w="240" w:type="dxa"/>
            <w:vAlign w:val="bottom"/>
          </w:tcPr>
          <w:p>
            <w:pPr>
              <w:spacing w:after="0"/>
              <w:rPr>
                <w:sz w:val="20"/>
                <w:szCs w:val="20"/>
                <w:color w:val="auto"/>
              </w:rPr>
            </w:pPr>
          </w:p>
        </w:tc>
        <w:tc>
          <w:tcPr>
            <w:tcW w:w="1620" w:type="dxa"/>
            <w:vAlign w:val="bottom"/>
          </w:tcPr>
          <w:p>
            <w:pPr>
              <w:jc w:val="right"/>
              <w:ind w:right="59"/>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51</w:t>
            </w:r>
          </w:p>
        </w:tc>
      </w:tr>
      <w:tr>
        <w:trPr>
          <w:trHeight w:val="33"/>
        </w:trPr>
        <w:tc>
          <w:tcPr>
            <w:tcW w:w="5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restricted cash</w:t>
            </w:r>
          </w:p>
        </w:tc>
        <w:tc>
          <w:tcPr>
            <w:tcW w:w="24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2,086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2,056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1,466</w:t>
            </w:r>
          </w:p>
        </w:tc>
      </w:tr>
      <w:tr>
        <w:trPr>
          <w:trHeight w:val="244"/>
        </w:trPr>
        <w:tc>
          <w:tcPr>
            <w:tcW w:w="5720" w:type="dxa"/>
            <w:vAlign w:val="bottom"/>
          </w:tcPr>
          <w:p>
            <w:pPr>
              <w:ind w:left="380"/>
              <w:spacing w:after="0"/>
              <w:rPr>
                <w:sz w:val="20"/>
                <w:szCs w:val="20"/>
                <w:color w:val="auto"/>
              </w:rPr>
            </w:pPr>
            <w:r>
              <w:rPr>
                <w:rFonts w:ascii="Arial" w:cs="Arial" w:eastAsia="Arial" w:hAnsi="Arial"/>
                <w:sz w:val="16"/>
                <w:szCs w:val="16"/>
                <w:color w:val="auto"/>
              </w:rPr>
              <w:t>Total cash, cash equivalents, and restricted cash</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112,965</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122,328</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145,468</w:t>
            </w:r>
          </w:p>
        </w:tc>
      </w:tr>
      <w:tr>
        <w:trPr>
          <w:trHeight w:val="20"/>
        </w:trPr>
        <w:tc>
          <w:tcPr>
            <w:tcW w:w="5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18" w:lineRule="exact"/>
        <w:rPr>
          <w:sz w:val="20"/>
          <w:szCs w:val="20"/>
          <w:color w:val="auto"/>
        </w:rPr>
      </w:pPr>
      <w:r>
        <w:rPr>
          <w:rFonts w:ascii="Arial" w:cs="Arial" w:eastAsia="Arial" w:hAnsi="Arial"/>
          <w:sz w:val="16"/>
          <w:szCs w:val="16"/>
          <w:color w:val="auto"/>
        </w:rPr>
        <w:t>Subsequent to the issuance of our March 31, 2018 consolidated financial statements, we determined $150 million of proceeds from borrowings and payments on debt, originally transacted during the first quarter of 2018, had been improperly netted within the financing activities section of the Consolidated Statements of Cash Flows for the first three quarters of 2018. We corrected this presentation for the 2018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The accompanying Consolidated Statement of Cash Flows for the three months ended March 31, 2018 has been revised from amounts previously reported to separately present the $150 million of proceeds from borrowings and the payments on debt. We assessed the significance of the misstatement and concluded that it was not material to any prior periods. There were no changes to net cash flows from operating, investing, or financing activities as a result of this change.</w:t>
      </w:r>
    </w:p>
    <w:p>
      <w:pPr>
        <w:spacing w:after="0" w:line="20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Leases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determine if an arrangement is a lease at inception. A lease exists when a contract conveys to the customer the right to control the use of identified property, plant, or equipment for a period of time in exchange for consideration. The definition of a lease embodies two conditions: (1) there is an identified asset in the contract that is land or a depreciable asset (i.e., property, plant, and equipment), and (2) the customer has the right to control the use of the identified asset.</w:t>
      </w:r>
    </w:p>
    <w:p>
      <w:pPr>
        <w:spacing w:after="0" w:line="1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Operating leases are included in operating lease right-of-use ("ROU") assets, other current liabilities, and operating lease liabilities on our Consolidated Balance Sheets. Finance leases are included in property, plant, and equipment, other current liabilities, and other long-term liabilities on our Consolidated Balance Sheets.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ROU assets represent our right to use an underlying asset for the lease term and lease liabilities represent our obligation to make lease payments arising from the lease. Operating lease ROU assets and liabilities are recognized at commencement date based on the present value of lease payments over the lease term. We use the implicit rate when readily determinable. As most of our leases do not provide an implicit rate, we use our incremental borrowing rate based on the information available at commencement date in determining the present value of lease payments. The Operating ROU asset also includes any lease payments made and excludes lease incentives received and initial direct costs incurred. Our lease terms may include options to extend or terminate the lease when it is reasonably certain that we will exercise that option. Lease expense for operating lease payments is recognized on a straight-line basis over the lease term.</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lease agreements, which include lease and nonlease components. For each of our existing asset classes, we have elected the practical expedient to account for the lease and nonlease components as a single lease component when the nonlease components are fixed.</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have not elected to utilize the short-term lease exemption for any leased asset class. All leases with a lease term that is greater than one month will be subject to recognition and measurement on the balance sheet.</w:t>
      </w:r>
    </w:p>
    <w:p>
      <w:pPr>
        <w:spacing w:after="0" w:line="170"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Lease expense for variable lease payments, where the timing or amount of the payment is not fixed, are recognized when the obligation is incurred. Variable lease payments generally arise in our net lease arrangements where executory and other lease-related costs are billed to Itron when incurred by the lessor.</w:t>
      </w:r>
    </w:p>
    <w:p>
      <w:pPr>
        <w:spacing w:after="0" w:line="12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Recently Adopted Accounting Standards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In February 2016, the Financial Accounting Standards Board (FASB) issued Accounting Standards Update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(ASU 2016-02), which required substantially all leases be recognized by lessees on their balance sheet as a right-of-use asset and corresponding lease liability, including leases previously accounted for as operating leases. The new standard also resulted in enhanced quantitative and qualitative disclosures, including significant judgments made by management, to provide greater insight into the extent of revenue and expense recognized and expected to be recognized from existing leases. The standard required modified retrospective adoption and was effective for annual reporting periods beginning after December 15, 2018, with early adoption permitted. In July 2018, the FASB issued ASU 2018-10, </w:t>
      </w:r>
      <w:r>
        <w:rPr>
          <w:rFonts w:ascii="Arial" w:cs="Arial" w:eastAsia="Arial" w:hAnsi="Arial"/>
          <w:sz w:val="16"/>
          <w:szCs w:val="16"/>
          <w:i w:val="1"/>
          <w:iCs w:val="1"/>
          <w:color w:val="auto"/>
        </w:rPr>
        <w:t>Codification Improvements to Topic 842, Leases</w:t>
      </w:r>
      <w:r>
        <w:rPr>
          <w:rFonts w:ascii="Arial" w:cs="Arial" w:eastAsia="Arial" w:hAnsi="Arial"/>
          <w:sz w:val="16"/>
          <w:szCs w:val="16"/>
          <w:color w:val="auto"/>
        </w:rPr>
        <w:t xml:space="preserve"> (ASU 2018-10), to clarify, improve, and correct various aspects of ASU 2016-02, and also issued ASU 2018-11, </w:t>
      </w:r>
      <w:r>
        <w:rPr>
          <w:rFonts w:ascii="Arial" w:cs="Arial" w:eastAsia="Arial" w:hAnsi="Arial"/>
          <w:sz w:val="16"/>
          <w:szCs w:val="16"/>
          <w:i w:val="1"/>
          <w:iCs w:val="1"/>
          <w:color w:val="auto"/>
        </w:rPr>
        <w:t>Targeted Improvements to Topic 842, Leases</w:t>
      </w:r>
      <w:r>
        <w:rPr>
          <w:rFonts w:ascii="Arial" w:cs="Arial" w:eastAsia="Arial" w:hAnsi="Arial"/>
          <w:sz w:val="16"/>
          <w:szCs w:val="16"/>
          <w:color w:val="auto"/>
        </w:rPr>
        <w:t xml:space="preserve"> (ASU 2018-11), to simplify transition requirements and, for lessors, provide a practical expedient for the separation of nonlease components from lease components. In March 2019, the FASB issued a second </w:t>
      </w:r>
      <w:r>
        <w:rPr>
          <w:rFonts w:ascii="Arial" w:cs="Arial" w:eastAsia="Arial" w:hAnsi="Arial"/>
          <w:sz w:val="16"/>
          <w:szCs w:val="16"/>
          <w:i w:val="1"/>
          <w:iCs w:val="1"/>
          <w:color w:val="auto"/>
        </w:rPr>
        <w:t>Codification Improvements to Topic 842, Leases</w:t>
      </w:r>
      <w:r>
        <w:rPr>
          <w:rFonts w:ascii="Arial" w:cs="Arial" w:eastAsia="Arial" w:hAnsi="Arial"/>
          <w:sz w:val="16"/>
          <w:szCs w:val="16"/>
          <w:color w:val="auto"/>
        </w:rPr>
        <w:t xml:space="preserve"> (ASU 2019-01) to provide further guidance and clarity on several topics of ASU 2016-02. The effective date and transition requirements in ASU 2018-10, ASU 2018-11, and ASU 2019-01 are the same as the effective date and transition requirements of ASU 2016-02. We adopted Accounting Standards Codification (ASC) 842 on January 1, 2019 and it resulted in an increase to operating lease right-of-use assets, other current liabilities, and operating lease liabilities of $74.6 million, $14.5 million, and $61.5 million, respectively, and a decrease in other current assets and other long-term obligations of $1.5 million and $2.9 million, respectively.</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October 2018, the FASB issued ASU 2018-16, </w:t>
      </w:r>
      <w:r>
        <w:rPr>
          <w:rFonts w:ascii="Arial" w:cs="Arial" w:eastAsia="Arial" w:hAnsi="Arial"/>
          <w:sz w:val="18"/>
          <w:szCs w:val="18"/>
          <w:i w:val="1"/>
          <w:iCs w:val="1"/>
          <w:color w:val="auto"/>
        </w:rPr>
        <w:t>Inclusion of the Secured Overnight Financing Rate (SOFR) Overnight Index Swap (OIS) Rate as a</w:t>
      </w:r>
      <w:r>
        <w:rPr>
          <w:rFonts w:ascii="Arial" w:cs="Arial" w:eastAsia="Arial" w:hAnsi="Arial"/>
          <w:sz w:val="18"/>
          <w:szCs w:val="18"/>
          <w:color w:val="auto"/>
        </w:rPr>
        <w:t xml:space="preserve"> </w:t>
      </w:r>
      <w:r>
        <w:rPr>
          <w:rFonts w:ascii="Arial" w:cs="Arial" w:eastAsia="Arial" w:hAnsi="Arial"/>
          <w:sz w:val="18"/>
          <w:szCs w:val="18"/>
          <w:i w:val="1"/>
          <w:iCs w:val="1"/>
          <w:color w:val="auto"/>
        </w:rPr>
        <w:t>Benchmark Interest Rate for Hedge Accounting Purposes</w:t>
      </w:r>
      <w:r>
        <w:rPr>
          <w:rFonts w:ascii="Arial" w:cs="Arial" w:eastAsia="Arial" w:hAnsi="Arial"/>
          <w:sz w:val="18"/>
          <w:szCs w:val="18"/>
          <w:color w:val="auto"/>
        </w:rPr>
        <w:t>. We adopted this standard on January 1, 2019, and it did not materially impact our consolidated</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statements. This update establishes OIS rates based on SOFR as an approved benchmark interest rate in addition to existing rates such as the LIBOR swap rate.</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Recent Accounting Standards Not Yet Adopted</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 - Credit Losses (Topic 326)</w:t>
      </w:r>
      <w:r>
        <w:rPr>
          <w:rFonts w:ascii="Arial" w:cs="Arial" w:eastAsia="Arial" w:hAnsi="Arial"/>
          <w:sz w:val="18"/>
          <w:szCs w:val="18"/>
          <w:color w:val="auto"/>
        </w:rPr>
        <w:t xml:space="preserve"> (ASU 2016-13), which replaces the incurred loss impairment methodology in current GAAP with a methodology based on expected credit losses. This estimate of expected credit losses uses a broader range of reasonable and supportable information. This change will result in earlier recognition of credit losses. ASU 2016-13 is effective for annual reporting periods, and interim periods within those years, beginning after December 15, 2019. We are currently evaluating the impact of this standard on our consolidated financial statements, including accounting policies, processes, and systems.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August 2018, the FASB issued ASU 2018-13, </w:t>
      </w:r>
      <w:r>
        <w:rPr>
          <w:rFonts w:ascii="Arial" w:cs="Arial" w:eastAsia="Arial" w:hAnsi="Arial"/>
          <w:sz w:val="18"/>
          <w:szCs w:val="18"/>
          <w:i w:val="1"/>
          <w:iCs w:val="1"/>
          <w:color w:val="auto"/>
        </w:rPr>
        <w:t>Disclosure Framework-Changes to the Disclosure Requirements for Fair Value Measurement</w:t>
      </w:r>
      <w:r>
        <w:rPr>
          <w:rFonts w:ascii="Arial" w:cs="Arial" w:eastAsia="Arial" w:hAnsi="Arial"/>
          <w:sz w:val="18"/>
          <w:szCs w:val="18"/>
          <w:color w:val="auto"/>
        </w:rPr>
        <w:t xml:space="preserve"> (ASU 2018-13), which amends the disclosure requirements under ASC 820, </w:t>
      </w:r>
      <w:r>
        <w:rPr>
          <w:rFonts w:ascii="Arial" w:cs="Arial" w:eastAsia="Arial" w:hAnsi="Arial"/>
          <w:sz w:val="18"/>
          <w:szCs w:val="18"/>
          <w:i w:val="1"/>
          <w:iCs w:val="1"/>
          <w:color w:val="auto"/>
        </w:rPr>
        <w:t>Fair Value Measurements</w:t>
      </w:r>
      <w:r>
        <w:rPr>
          <w:rFonts w:ascii="Arial" w:cs="Arial" w:eastAsia="Arial" w:hAnsi="Arial"/>
          <w:sz w:val="18"/>
          <w:szCs w:val="18"/>
          <w:color w:val="auto"/>
        </w:rPr>
        <w:t>. ASU 2018-13 is effective for us beginning with our interim financial reports for the first quarter of 2020. We are currently evaluating the impact this standard will have on our consolidated financial statement disclosures related to assets and liabilities subject to fair value measurement.</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 xml:space="preserve">In August 2018, the FASB issued ASU 2018-14, </w:t>
      </w:r>
      <w:r>
        <w:rPr>
          <w:rFonts w:ascii="Arial" w:cs="Arial" w:eastAsia="Arial" w:hAnsi="Arial"/>
          <w:sz w:val="16"/>
          <w:szCs w:val="16"/>
          <w:i w:val="1"/>
          <w:iCs w:val="1"/>
          <w:color w:val="auto"/>
        </w:rPr>
        <w:t>Disclosure Framework-Changes to the Disclosure Requirements for Defined Benefit Plans</w:t>
      </w:r>
      <w:r>
        <w:rPr>
          <w:rFonts w:ascii="Arial" w:cs="Arial" w:eastAsia="Arial" w:hAnsi="Arial"/>
          <w:sz w:val="16"/>
          <w:szCs w:val="16"/>
          <w:color w:val="auto"/>
        </w:rPr>
        <w:t xml:space="preserve"> (ASU 2018-14), which amends the disclosure requirements under ASC 715-20, </w:t>
      </w:r>
      <w:r>
        <w:rPr>
          <w:rFonts w:ascii="Arial" w:cs="Arial" w:eastAsia="Arial" w:hAnsi="Arial"/>
          <w:sz w:val="16"/>
          <w:szCs w:val="16"/>
          <w:i w:val="1"/>
          <w:iCs w:val="1"/>
          <w:color w:val="auto"/>
        </w:rPr>
        <w:t>Compensation-Retirement Benefits-Defined Benefit Plans</w:t>
      </w:r>
      <w:r>
        <w:rPr>
          <w:rFonts w:ascii="Arial" w:cs="Arial" w:eastAsia="Arial" w:hAnsi="Arial"/>
          <w:sz w:val="16"/>
          <w:szCs w:val="16"/>
          <w:color w:val="auto"/>
        </w:rPr>
        <w:t>. ASU 2018-14 is effective for our financial reporting in 2020. We are currently evaluating the impact this standard will have on our financial statement disclosures for our defined benefit plan.</w:t>
      </w:r>
    </w:p>
    <w:p>
      <w:pPr>
        <w:spacing w:after="0" w:line="143"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6"/>
          <w:szCs w:val="16"/>
          <w:b w:val="1"/>
          <w:bCs w:val="1"/>
          <w:color w:val="auto"/>
        </w:rPr>
        <w:t>Earnings Per Share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earnings (loss) per share (EPS):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140" w:type="dxa"/>
            <w:vAlign w:val="bottom"/>
            <w:gridSpan w:val="4"/>
          </w:tcPr>
          <w:p>
            <w:pPr>
              <w:jc w:val="right"/>
              <w:ind w:right="559"/>
              <w:spacing w:after="0"/>
              <w:rPr>
                <w:sz w:val="20"/>
                <w:szCs w:val="20"/>
                <w:color w:val="auto"/>
              </w:rPr>
            </w:pPr>
            <w:r>
              <w:rPr>
                <w:rFonts w:ascii="Arial" w:cs="Arial" w:eastAsia="Arial" w:hAnsi="Arial"/>
                <w:sz w:val="16"/>
                <w:szCs w:val="16"/>
                <w:b w:val="1"/>
                <w:bCs w:val="1"/>
                <w:color w:val="auto"/>
              </w:rPr>
              <w:t>Three Months Ended March 31,</w:t>
            </w:r>
          </w:p>
        </w:tc>
      </w:tr>
      <w:tr>
        <w:trPr>
          <w:trHeight w:val="33"/>
        </w:trPr>
        <w:tc>
          <w:tcPr>
            <w:tcW w:w="79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7900" w:type="dxa"/>
            <w:vAlign w:val="bottom"/>
          </w:tcPr>
          <w:p>
            <w:pPr>
              <w:ind w:left="40"/>
              <w:spacing w:after="0"/>
              <w:rPr>
                <w:sz w:val="20"/>
                <w:szCs w:val="20"/>
                <w:color w:val="auto"/>
              </w:rPr>
            </w:pPr>
            <w:r>
              <w:rPr>
                <w:rFonts w:ascii="Arial" w:cs="Arial" w:eastAsia="Arial" w:hAnsi="Arial"/>
                <w:sz w:val="16"/>
                <w:szCs w:val="16"/>
                <w:i w:val="1"/>
                <w:iCs w:val="1"/>
                <w:color w:val="auto"/>
              </w:rPr>
              <w:t>In thousands, except per share data</w:t>
            </w:r>
          </w:p>
        </w:tc>
        <w:tc>
          <w:tcPr>
            <w:tcW w:w="380" w:type="dxa"/>
            <w:vAlign w:val="bottom"/>
          </w:tcPr>
          <w:p>
            <w:pPr>
              <w:spacing w:after="0"/>
              <w:rPr>
                <w:sz w:val="20"/>
                <w:szCs w:val="20"/>
                <w:color w:val="auto"/>
              </w:rPr>
            </w:pPr>
          </w:p>
        </w:tc>
        <w:tc>
          <w:tcPr>
            <w:tcW w:w="1340" w:type="dxa"/>
            <w:vAlign w:val="bottom"/>
          </w:tcPr>
          <w:p>
            <w:pPr>
              <w:jc w:val="right"/>
              <w:ind w:right="61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2018</w:t>
            </w:r>
          </w:p>
        </w:tc>
      </w:tr>
      <w:tr>
        <w:trPr>
          <w:trHeight w:val="33"/>
        </w:trPr>
        <w:tc>
          <w:tcPr>
            <w:tcW w:w="7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available to common shareholders</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(1,907)</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(145,666)</w:t>
            </w:r>
          </w:p>
        </w:tc>
      </w:tr>
      <w:tr>
        <w:trPr>
          <w:trHeight w:val="297"/>
        </w:trPr>
        <w:tc>
          <w:tcPr>
            <w:tcW w:w="7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 average common shares outstanding - Basic</w:t>
            </w:r>
          </w:p>
        </w:tc>
        <w:tc>
          <w:tcPr>
            <w:tcW w:w="3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39,658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38,945</w:t>
            </w: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Dilutive effect of stock-based awards</w:t>
            </w:r>
          </w:p>
        </w:tc>
        <w:tc>
          <w:tcPr>
            <w:tcW w:w="380" w:type="dxa"/>
            <w:vAlign w:val="bottom"/>
          </w:tcPr>
          <w:p>
            <w:pPr>
              <w:spacing w:after="0"/>
              <w:rPr>
                <w:sz w:val="20"/>
                <w:szCs w:val="20"/>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9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 average common shares outstanding - Diluted</w:t>
            </w:r>
          </w:p>
        </w:tc>
        <w:tc>
          <w:tcPr>
            <w:tcW w:w="3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39,658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38,945</w:t>
            </w:r>
          </w:p>
        </w:tc>
      </w:tr>
      <w:tr>
        <w:trPr>
          <w:trHeight w:val="284"/>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loss per common share - Basic</w:t>
            </w: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(0.05)</w:t>
            </w:r>
          </w:p>
        </w:tc>
        <w:tc>
          <w:tcPr>
            <w:tcW w:w="1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(3.74)</w:t>
            </w:r>
          </w:p>
        </w:tc>
      </w:tr>
      <w:tr>
        <w:trPr>
          <w:trHeight w:val="23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per common share - Diluted</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(0.05)</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(3.74)</w:t>
            </w:r>
          </w:p>
        </w:tc>
      </w:tr>
      <w:tr>
        <w:trPr>
          <w:trHeight w:val="20"/>
        </w:trPr>
        <w:tc>
          <w:tcPr>
            <w:tcW w:w="79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Stock-based Awards</w:t>
      </w:r>
    </w:p>
    <w:p>
      <w:pPr>
        <w:spacing w:after="0" w:line="2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For stock-based awards, the dilutive effect is calculated using the treasury stock method. Under this method, the dilutive effect is computed as if the awards were exercised at the beginning of the period (or at time of issuance, if later) and assumes the related proceeds were used to repurchase common stock at the average market price during the period. Related proceeds include the amount the employee must pay upon exercise and the future compensation cost associated with the stock award. Approximately 1.0 million and 1.0 million stock-based awards were excluded from the calculation of diluted EPS for the three months ended March 31, 2019 and 2018 because they were anti-dilutive. These stock-based awards could be dilutive in future periods.</w:t>
      </w:r>
    </w:p>
    <w:p>
      <w:pPr>
        <w:spacing w:after="0" w:line="159"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6"/>
          <w:szCs w:val="16"/>
          <w:b w:val="1"/>
          <w:bCs w:val="1"/>
          <w:color w:val="auto"/>
        </w:rPr>
        <w:t>Certain Balance Sheet Components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summary of accounts receivable from contracts with customers is as follows:</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Accounts receivable, net</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ind w:left="40"/>
              <w:spacing w:after="0"/>
              <w:rPr>
                <w:sz w:val="20"/>
                <w:szCs w:val="20"/>
                <w:color w:val="auto"/>
              </w:rPr>
            </w:pPr>
            <w:r>
              <w:rPr>
                <w:rFonts w:ascii="Arial" w:cs="Arial" w:eastAsia="Arial" w:hAnsi="Arial"/>
                <w:sz w:val="16"/>
                <w:szCs w:val="16"/>
                <w:i w:val="1"/>
                <w:iCs w:val="1"/>
                <w:color w:val="auto"/>
              </w:rPr>
              <w:t>In thousands</w:t>
            </w:r>
          </w:p>
        </w:tc>
        <w:tc>
          <w:tcPr>
            <w:tcW w:w="360" w:type="dxa"/>
            <w:vAlign w:val="bottom"/>
          </w:tcPr>
          <w:p>
            <w:pPr>
              <w:spacing w:after="0"/>
              <w:rPr>
                <w:sz w:val="18"/>
                <w:szCs w:val="18"/>
                <w:color w:val="auto"/>
              </w:rPr>
            </w:pPr>
          </w:p>
        </w:tc>
        <w:tc>
          <w:tcPr>
            <w:tcW w:w="2040" w:type="dxa"/>
            <w:vAlign w:val="bottom"/>
            <w:gridSpan w:val="2"/>
          </w:tcPr>
          <w:p>
            <w:pPr>
              <w:ind w:left="240"/>
              <w:spacing w:after="0"/>
              <w:rPr>
                <w:sz w:val="20"/>
                <w:szCs w:val="20"/>
                <w:color w:val="auto"/>
              </w:rPr>
            </w:pPr>
            <w:r>
              <w:rPr>
                <w:rFonts w:ascii="Arial" w:cs="Arial" w:eastAsia="Arial" w:hAnsi="Arial"/>
                <w:sz w:val="16"/>
                <w:szCs w:val="16"/>
                <w:b w:val="1"/>
                <w:bCs w:val="1"/>
                <w:color w:val="auto"/>
              </w:rPr>
              <w:t>March 31, 2019</w:t>
            </w:r>
          </w:p>
        </w:tc>
        <w:tc>
          <w:tcPr>
            <w:tcW w:w="280" w:type="dxa"/>
            <w:vAlign w:val="bottom"/>
          </w:tcPr>
          <w:p>
            <w:pPr>
              <w:spacing w:after="0"/>
              <w:rPr>
                <w:sz w:val="18"/>
                <w:szCs w:val="18"/>
                <w:color w:val="auto"/>
              </w:rPr>
            </w:pPr>
          </w:p>
        </w:tc>
        <w:tc>
          <w:tcPr>
            <w:tcW w:w="1980" w:type="dxa"/>
            <w:vAlign w:val="bottom"/>
          </w:tcPr>
          <w:p>
            <w:pPr>
              <w:jc w:val="right"/>
              <w:ind w:right="399"/>
              <w:spacing w:after="0"/>
              <w:rPr>
                <w:sz w:val="20"/>
                <w:szCs w:val="20"/>
                <w:color w:val="auto"/>
              </w:rPr>
            </w:pPr>
            <w:r>
              <w:rPr>
                <w:rFonts w:ascii="Arial" w:cs="Arial" w:eastAsia="Arial" w:hAnsi="Arial"/>
                <w:sz w:val="16"/>
                <w:szCs w:val="16"/>
                <w:b w:val="1"/>
                <w:bCs w:val="1"/>
                <w:color w:val="auto"/>
              </w:rPr>
              <w:t>December 31, 2018</w:t>
            </w:r>
          </w:p>
        </w:tc>
      </w:tr>
      <w:tr>
        <w:trPr>
          <w:trHeight w:val="33"/>
        </w:trPr>
        <w:tc>
          <w:tcPr>
            <w:tcW w:w="6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3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Trade receivables (net of allowance of $4,046 and $6,331)</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438,692</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416,503</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Unbilled receivables</w:t>
            </w:r>
          </w:p>
        </w:tc>
        <w:tc>
          <w:tcPr>
            <w:tcW w:w="360" w:type="dxa"/>
            <w:vAlign w:val="bottom"/>
          </w:tcPr>
          <w:p>
            <w:pPr>
              <w:spacing w:after="0"/>
              <w:rPr>
                <w:sz w:val="20"/>
                <w:szCs w:val="20"/>
                <w:color w:val="auto"/>
              </w:rPr>
            </w:pPr>
          </w:p>
        </w:tc>
        <w:tc>
          <w:tcPr>
            <w:tcW w:w="1920" w:type="dxa"/>
            <w:vAlign w:val="bottom"/>
          </w:tcPr>
          <w:p>
            <w:pPr>
              <w:jc w:val="right"/>
              <w:ind w:right="39"/>
              <w:spacing w:after="0"/>
              <w:rPr>
                <w:sz w:val="20"/>
                <w:szCs w:val="20"/>
                <w:color w:val="auto"/>
              </w:rPr>
            </w:pPr>
            <w:r>
              <w:rPr>
                <w:rFonts w:ascii="Arial" w:cs="Arial" w:eastAsia="Arial" w:hAnsi="Arial"/>
                <w:sz w:val="16"/>
                <w:szCs w:val="16"/>
                <w:color w:val="auto"/>
              </w:rPr>
              <w:t>34,385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80" w:type="dxa"/>
            <w:vAlign w:val="bottom"/>
          </w:tcPr>
          <w:p>
            <w:pPr>
              <w:jc w:val="right"/>
              <w:ind w:right="39"/>
              <w:spacing w:after="0"/>
              <w:rPr>
                <w:sz w:val="20"/>
                <w:szCs w:val="20"/>
                <w:color w:val="auto"/>
              </w:rPr>
            </w:pPr>
            <w:r>
              <w:rPr>
                <w:rFonts w:ascii="Arial" w:cs="Arial" w:eastAsia="Arial" w:hAnsi="Arial"/>
                <w:sz w:val="16"/>
                <w:szCs w:val="16"/>
                <w:color w:val="auto"/>
              </w:rPr>
              <w:t>20,658</w:t>
            </w: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accounts receivable, net</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473,077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437,161</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80" w:type="dxa"/>
            <w:vAlign w:val="bottom"/>
          </w:tcPr>
          <w:p>
            <w:pPr>
              <w:ind w:left="40"/>
              <w:spacing w:after="0"/>
              <w:rPr>
                <w:sz w:val="20"/>
                <w:szCs w:val="20"/>
                <w:color w:val="auto"/>
              </w:rPr>
            </w:pPr>
            <w:r>
              <w:rPr>
                <w:rFonts w:ascii="Arial" w:cs="Arial" w:eastAsia="Arial" w:hAnsi="Arial"/>
                <w:sz w:val="18"/>
                <w:szCs w:val="18"/>
                <w:i w:val="1"/>
                <w:iCs w:val="1"/>
                <w:color w:val="auto"/>
              </w:rPr>
              <w:t>Allowance for doubtful accounts activity</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60" w:type="dxa"/>
            <w:vAlign w:val="bottom"/>
            <w:gridSpan w:val="7"/>
          </w:tcPr>
          <w:p>
            <w:pPr>
              <w:jc w:val="right"/>
              <w:ind w:right="439"/>
              <w:spacing w:after="0"/>
              <w:rPr>
                <w:sz w:val="20"/>
                <w:szCs w:val="20"/>
                <w:color w:val="auto"/>
              </w:rPr>
            </w:pPr>
            <w:r>
              <w:rPr>
                <w:rFonts w:ascii="Arial" w:cs="Arial" w:eastAsia="Arial" w:hAnsi="Arial"/>
                <w:sz w:val="16"/>
                <w:szCs w:val="16"/>
                <w:b w:val="1"/>
                <w:bCs w:val="1"/>
                <w:color w:val="auto"/>
              </w:rPr>
              <w:t>Three Months Ended March 31,</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980" w:type="dxa"/>
            <w:vAlign w:val="bottom"/>
          </w:tcPr>
          <w:p>
            <w:pPr>
              <w:ind w:left="40"/>
              <w:spacing w:after="0"/>
              <w:rPr>
                <w:sz w:val="20"/>
                <w:szCs w:val="20"/>
                <w:color w:val="auto"/>
              </w:rPr>
            </w:pPr>
            <w:r>
              <w:rPr>
                <w:rFonts w:ascii="Arial" w:cs="Arial" w:eastAsia="Arial" w:hAnsi="Arial"/>
                <w:sz w:val="16"/>
                <w:szCs w:val="16"/>
                <w:i w:val="1"/>
                <w:iCs w:val="1"/>
                <w:color w:val="auto"/>
              </w:rPr>
              <w:t>In thousands</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9"/>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33"/>
        </w:trPr>
        <w:tc>
          <w:tcPr>
            <w:tcW w:w="69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Beginning balance</w:t>
            </w:r>
          </w:p>
        </w:tc>
        <w:tc>
          <w:tcPr>
            <w:tcW w:w="1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6,331</w:t>
            </w:r>
          </w:p>
        </w:tc>
        <w:tc>
          <w:tcPr>
            <w:tcW w:w="52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3,957</w:t>
            </w:r>
          </w:p>
        </w:tc>
        <w:tc>
          <w:tcPr>
            <w:tcW w:w="0" w:type="dxa"/>
            <w:vAlign w:val="bottom"/>
          </w:tcPr>
          <w:p>
            <w:pPr>
              <w:spacing w:after="0"/>
              <w:rPr>
                <w:sz w:val="1"/>
                <w:szCs w:val="1"/>
                <w:color w:val="auto"/>
              </w:rPr>
            </w:pPr>
          </w:p>
        </w:tc>
      </w:tr>
      <w:tr>
        <w:trPr>
          <w:trHeight w:val="237"/>
        </w:trPr>
        <w:tc>
          <w:tcPr>
            <w:tcW w:w="6980" w:type="dxa"/>
            <w:vAlign w:val="bottom"/>
          </w:tcPr>
          <w:p>
            <w:pPr>
              <w:ind w:left="380"/>
              <w:spacing w:after="0"/>
              <w:rPr>
                <w:sz w:val="20"/>
                <w:szCs w:val="20"/>
                <w:color w:val="auto"/>
              </w:rPr>
            </w:pPr>
            <w:r>
              <w:rPr>
                <w:rFonts w:ascii="Arial" w:cs="Arial" w:eastAsia="Arial" w:hAnsi="Arial"/>
                <w:sz w:val="16"/>
                <w:szCs w:val="16"/>
                <w:color w:val="auto"/>
              </w:rPr>
              <w:t>Provision for doubtful accounts, net</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20" w:type="dxa"/>
            <w:vAlign w:val="bottom"/>
            <w:gridSpan w:val="2"/>
          </w:tcPr>
          <w:p>
            <w:pPr>
              <w:jc w:val="right"/>
              <w:spacing w:after="0"/>
              <w:rPr>
                <w:sz w:val="20"/>
                <w:szCs w:val="20"/>
                <w:color w:val="auto"/>
              </w:rPr>
            </w:pPr>
            <w:r>
              <w:rPr>
                <w:rFonts w:ascii="Arial" w:cs="Arial" w:eastAsia="Arial" w:hAnsi="Arial"/>
                <w:sz w:val="16"/>
                <w:szCs w:val="16"/>
                <w:color w:val="auto"/>
                <w:w w:val="94"/>
              </w:rPr>
              <w:t>(2,103)</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920</w:t>
            </w: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Accounts written-off</w:t>
            </w:r>
          </w:p>
        </w:tc>
        <w:tc>
          <w:tcPr>
            <w:tcW w:w="1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(192)</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(258)</w:t>
            </w:r>
          </w:p>
        </w:tc>
        <w:tc>
          <w:tcPr>
            <w:tcW w:w="0" w:type="dxa"/>
            <w:vAlign w:val="bottom"/>
          </w:tcPr>
          <w:p>
            <w:pPr>
              <w:spacing w:after="0"/>
              <w:rPr>
                <w:sz w:val="1"/>
                <w:szCs w:val="1"/>
                <w:color w:val="auto"/>
              </w:rPr>
            </w:pPr>
          </w:p>
        </w:tc>
      </w:tr>
      <w:tr>
        <w:trPr>
          <w:trHeight w:val="237"/>
        </w:trPr>
        <w:tc>
          <w:tcPr>
            <w:tcW w:w="6980" w:type="dxa"/>
            <w:vAlign w:val="bottom"/>
          </w:tcPr>
          <w:p>
            <w:pPr>
              <w:ind w:left="380"/>
              <w:spacing w:after="0"/>
              <w:rPr>
                <w:sz w:val="20"/>
                <w:szCs w:val="20"/>
                <w:color w:val="auto"/>
              </w:rPr>
            </w:pPr>
            <w:r>
              <w:rPr>
                <w:rFonts w:ascii="Arial" w:cs="Arial" w:eastAsia="Arial" w:hAnsi="Arial"/>
                <w:sz w:val="16"/>
                <w:szCs w:val="16"/>
                <w:color w:val="auto"/>
              </w:rPr>
              <w:t>Effect of change in exchange rates</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20" w:type="dxa"/>
            <w:vAlign w:val="bottom"/>
            <w:gridSpan w:val="2"/>
          </w:tcPr>
          <w:p>
            <w:pPr>
              <w:jc w:val="right"/>
              <w:spacing w:after="0"/>
              <w:rPr>
                <w:sz w:val="20"/>
                <w:szCs w:val="20"/>
                <w:color w:val="auto"/>
              </w:rPr>
            </w:pPr>
            <w:r>
              <w:rPr>
                <w:rFonts w:ascii="Arial" w:cs="Arial" w:eastAsia="Arial" w:hAnsi="Arial"/>
                <w:sz w:val="16"/>
                <w:szCs w:val="16"/>
                <w:color w:val="auto"/>
              </w:rPr>
              <w:t>10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155</w:t>
            </w:r>
          </w:p>
        </w:tc>
        <w:tc>
          <w:tcPr>
            <w:tcW w:w="0" w:type="dxa"/>
            <w:vAlign w:val="bottom"/>
          </w:tcPr>
          <w:p>
            <w:pPr>
              <w:spacing w:after="0"/>
              <w:rPr>
                <w:sz w:val="1"/>
                <w:szCs w:val="1"/>
                <w:color w:val="auto"/>
              </w:rPr>
            </w:pPr>
          </w:p>
        </w:tc>
      </w:tr>
      <w:tr>
        <w:trPr>
          <w:trHeight w:val="33"/>
        </w:trPr>
        <w:tc>
          <w:tcPr>
            <w:tcW w:w="698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Ending balance</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spacing w:after="0"/>
              <w:rPr>
                <w:sz w:val="21"/>
                <w:szCs w:val="21"/>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4,046</w:t>
            </w:r>
          </w:p>
        </w:tc>
        <w:tc>
          <w:tcPr>
            <w:tcW w:w="52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4,774</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i w:val="1"/>
                <w:iCs w:val="1"/>
                <w:color w:val="auto"/>
              </w:rPr>
              <w:t>Inventories</w:t>
            </w:r>
          </w:p>
        </w:tc>
        <w:tc>
          <w:tcPr>
            <w:tcW w:w="1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3"/>
        </w:trPr>
        <w:tc>
          <w:tcPr>
            <w:tcW w:w="698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980" w:type="dxa"/>
            <w:vAlign w:val="bottom"/>
          </w:tcPr>
          <w:p>
            <w:pPr>
              <w:ind w:left="40"/>
              <w:spacing w:after="0"/>
              <w:rPr>
                <w:sz w:val="20"/>
                <w:szCs w:val="20"/>
                <w:color w:val="auto"/>
              </w:rPr>
            </w:pPr>
            <w:r>
              <w:rPr>
                <w:rFonts w:ascii="Arial" w:cs="Arial" w:eastAsia="Arial" w:hAnsi="Arial"/>
                <w:sz w:val="16"/>
                <w:szCs w:val="16"/>
                <w:i w:val="1"/>
                <w:iCs w:val="1"/>
                <w:color w:val="auto"/>
              </w:rPr>
              <w:t>In thousands</w:t>
            </w:r>
          </w:p>
        </w:tc>
        <w:tc>
          <w:tcPr>
            <w:tcW w:w="2180" w:type="dxa"/>
            <w:vAlign w:val="bottom"/>
            <w:gridSpan w:val="3"/>
          </w:tcPr>
          <w:p>
            <w:pPr>
              <w:jc w:val="right"/>
              <w:ind w:right="479"/>
              <w:spacing w:after="0"/>
              <w:rPr>
                <w:sz w:val="20"/>
                <w:szCs w:val="20"/>
                <w:color w:val="auto"/>
              </w:rPr>
            </w:pPr>
            <w:r>
              <w:rPr>
                <w:rFonts w:ascii="Arial" w:cs="Arial" w:eastAsia="Arial" w:hAnsi="Arial"/>
                <w:sz w:val="16"/>
                <w:szCs w:val="16"/>
                <w:b w:val="1"/>
                <w:bCs w:val="1"/>
                <w:color w:val="auto"/>
              </w:rPr>
              <w:t>March 31, 2019</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740" w:type="dxa"/>
            <w:vAlign w:val="bottom"/>
            <w:gridSpan w:val="4"/>
          </w:tcPr>
          <w:p>
            <w:pPr>
              <w:jc w:val="right"/>
              <w:ind w:right="339"/>
              <w:spacing w:after="0"/>
              <w:rPr>
                <w:sz w:val="20"/>
                <w:szCs w:val="20"/>
                <w:color w:val="auto"/>
              </w:rPr>
            </w:pPr>
            <w:r>
              <w:rPr>
                <w:rFonts w:ascii="Arial" w:cs="Arial" w:eastAsia="Arial" w:hAnsi="Arial"/>
                <w:sz w:val="16"/>
                <w:szCs w:val="16"/>
                <w:b w:val="1"/>
                <w:bCs w:val="1"/>
                <w:color w:val="auto"/>
                <w:w w:val="90"/>
              </w:rPr>
              <w:t>December 31, 2018</w:t>
            </w:r>
          </w:p>
        </w:tc>
        <w:tc>
          <w:tcPr>
            <w:tcW w:w="0" w:type="dxa"/>
            <w:vAlign w:val="bottom"/>
          </w:tcPr>
          <w:p>
            <w:pPr>
              <w:spacing w:after="0"/>
              <w:rPr>
                <w:sz w:val="1"/>
                <w:szCs w:val="1"/>
                <w:color w:val="auto"/>
              </w:rPr>
            </w:pPr>
          </w:p>
        </w:tc>
      </w:tr>
      <w:tr>
        <w:trPr>
          <w:trHeight w:val="33"/>
        </w:trPr>
        <w:tc>
          <w:tcPr>
            <w:tcW w:w="69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Materials</w:t>
            </w:r>
          </w:p>
        </w:tc>
        <w:tc>
          <w:tcPr>
            <w:tcW w:w="1140" w:type="dxa"/>
            <w:vAlign w:val="bottom"/>
            <w:tcBorders>
              <w:bottom w:val="single" w:sz="8" w:color="CCEEFF"/>
            </w:tcBorders>
            <w:shd w:val="clear" w:color="auto" w:fill="CCEEFF"/>
          </w:tcPr>
          <w:p>
            <w:pPr>
              <w:jc w:val="right"/>
              <w:ind w:right="959"/>
              <w:spacing w:after="0"/>
              <w:rPr>
                <w:sz w:val="20"/>
                <w:szCs w:val="20"/>
                <w:color w:val="auto"/>
              </w:rPr>
            </w:pPr>
            <w:r>
              <w:rPr>
                <w:rFonts w:ascii="Arial" w:cs="Arial" w:eastAsia="Arial" w:hAnsi="Arial"/>
                <w:sz w:val="16"/>
                <w:szCs w:val="16"/>
                <w:color w:val="auto"/>
                <w:w w:val="89"/>
              </w:rPr>
              <w:t>$</w:t>
            </w: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132,050</w:t>
            </w:r>
          </w:p>
        </w:tc>
        <w:tc>
          <w:tcPr>
            <w:tcW w:w="520" w:type="dxa"/>
            <w:vAlign w:val="bottom"/>
            <w:tcBorders>
              <w:bottom w:val="single" w:sz="8" w:color="CCEEFF"/>
            </w:tcBorders>
            <w:gridSpan w:val="2"/>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133,398</w:t>
            </w:r>
          </w:p>
        </w:tc>
        <w:tc>
          <w:tcPr>
            <w:tcW w:w="0" w:type="dxa"/>
            <w:vAlign w:val="bottom"/>
          </w:tcPr>
          <w:p>
            <w:pPr>
              <w:spacing w:after="0"/>
              <w:rPr>
                <w:sz w:val="1"/>
                <w:szCs w:val="1"/>
                <w:color w:val="auto"/>
              </w:rPr>
            </w:pPr>
          </w:p>
        </w:tc>
      </w:tr>
      <w:tr>
        <w:trPr>
          <w:trHeight w:val="237"/>
        </w:trPr>
        <w:tc>
          <w:tcPr>
            <w:tcW w:w="6980" w:type="dxa"/>
            <w:vAlign w:val="bottom"/>
          </w:tcPr>
          <w:p>
            <w:pPr>
              <w:ind w:left="40"/>
              <w:spacing w:after="0"/>
              <w:rPr>
                <w:sz w:val="20"/>
                <w:szCs w:val="20"/>
                <w:color w:val="auto"/>
              </w:rPr>
            </w:pPr>
            <w:r>
              <w:rPr>
                <w:rFonts w:ascii="Arial" w:cs="Arial" w:eastAsia="Arial" w:hAnsi="Arial"/>
                <w:sz w:val="16"/>
                <w:szCs w:val="16"/>
                <w:color w:val="auto"/>
              </w:rPr>
              <w:t>Work in process</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9,106</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9,744</w:t>
            </w: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Finished goods</w:t>
            </w:r>
          </w:p>
        </w:tc>
        <w:tc>
          <w:tcPr>
            <w:tcW w:w="11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79,941</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77,532</w:t>
            </w:r>
          </w:p>
        </w:tc>
        <w:tc>
          <w:tcPr>
            <w:tcW w:w="0" w:type="dxa"/>
            <w:vAlign w:val="bottom"/>
          </w:tcPr>
          <w:p>
            <w:pPr>
              <w:spacing w:after="0"/>
              <w:rPr>
                <w:sz w:val="1"/>
                <w:szCs w:val="1"/>
                <w:color w:val="auto"/>
              </w:rPr>
            </w:pPr>
          </w:p>
        </w:tc>
      </w:tr>
      <w:tr>
        <w:trPr>
          <w:trHeight w:val="244"/>
        </w:trPr>
        <w:tc>
          <w:tcPr>
            <w:tcW w:w="6980" w:type="dxa"/>
            <w:vAlign w:val="bottom"/>
          </w:tcPr>
          <w:p>
            <w:pPr>
              <w:ind w:left="380"/>
              <w:spacing w:after="0"/>
              <w:rPr>
                <w:sz w:val="20"/>
                <w:szCs w:val="20"/>
                <w:color w:val="auto"/>
              </w:rPr>
            </w:pPr>
            <w:r>
              <w:rPr>
                <w:rFonts w:ascii="Arial" w:cs="Arial" w:eastAsia="Arial" w:hAnsi="Arial"/>
                <w:sz w:val="16"/>
                <w:szCs w:val="16"/>
                <w:color w:val="auto"/>
              </w:rPr>
              <w:t>Total inventories</w:t>
            </w:r>
          </w:p>
        </w:tc>
        <w:tc>
          <w:tcPr>
            <w:tcW w:w="1140" w:type="dxa"/>
            <w:vAlign w:val="bottom"/>
            <w:tcBorders>
              <w:top w:val="single" w:sz="8" w:color="auto"/>
              <w:bottom w:val="single" w:sz="8" w:color="auto"/>
            </w:tcBorders>
          </w:tcPr>
          <w:p>
            <w:pPr>
              <w:jc w:val="right"/>
              <w:ind w:right="959"/>
              <w:spacing w:after="0"/>
              <w:rPr>
                <w:sz w:val="20"/>
                <w:szCs w:val="20"/>
                <w:color w:val="auto"/>
              </w:rPr>
            </w:pPr>
            <w:r>
              <w:rPr>
                <w:rFonts w:ascii="Arial" w:cs="Arial" w:eastAsia="Arial" w:hAnsi="Arial"/>
                <w:sz w:val="16"/>
                <w:szCs w:val="16"/>
                <w:color w:val="auto"/>
                <w:w w:val="89"/>
              </w:rPr>
              <w:t>$</w:t>
            </w:r>
          </w:p>
        </w:tc>
        <w:tc>
          <w:tcPr>
            <w:tcW w:w="24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221,097</w:t>
            </w:r>
          </w:p>
        </w:tc>
        <w:tc>
          <w:tcPr>
            <w:tcW w:w="120" w:type="dxa"/>
            <w:vAlign w:val="bottom"/>
          </w:tcPr>
          <w:p>
            <w:pPr>
              <w:spacing w:after="0"/>
              <w:rPr>
                <w:sz w:val="21"/>
                <w:szCs w:val="21"/>
                <w:color w:val="auto"/>
              </w:rPr>
            </w:pP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6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220,674</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125" w:right="23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Property, plant, and equipment, net</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ind w:left="40"/>
              <w:spacing w:after="0"/>
              <w:rPr>
                <w:sz w:val="20"/>
                <w:szCs w:val="20"/>
                <w:color w:val="auto"/>
              </w:rPr>
            </w:pPr>
            <w:r>
              <w:rPr>
                <w:rFonts w:ascii="Arial" w:cs="Arial" w:eastAsia="Arial" w:hAnsi="Arial"/>
                <w:sz w:val="16"/>
                <w:szCs w:val="16"/>
                <w:i w:val="1"/>
                <w:iCs w:val="1"/>
                <w:color w:val="auto"/>
              </w:rPr>
              <w:t>In thousands</w:t>
            </w:r>
          </w:p>
        </w:tc>
        <w:tc>
          <w:tcPr>
            <w:tcW w:w="360" w:type="dxa"/>
            <w:vAlign w:val="bottom"/>
          </w:tcPr>
          <w:p>
            <w:pPr>
              <w:spacing w:after="0"/>
              <w:rPr>
                <w:sz w:val="18"/>
                <w:szCs w:val="18"/>
                <w:color w:val="auto"/>
              </w:rPr>
            </w:pPr>
          </w:p>
        </w:tc>
        <w:tc>
          <w:tcPr>
            <w:tcW w:w="2040" w:type="dxa"/>
            <w:vAlign w:val="bottom"/>
            <w:gridSpan w:val="2"/>
          </w:tcPr>
          <w:p>
            <w:pPr>
              <w:ind w:left="240"/>
              <w:spacing w:after="0"/>
              <w:rPr>
                <w:sz w:val="20"/>
                <w:szCs w:val="20"/>
                <w:color w:val="auto"/>
              </w:rPr>
            </w:pPr>
            <w:r>
              <w:rPr>
                <w:rFonts w:ascii="Arial" w:cs="Arial" w:eastAsia="Arial" w:hAnsi="Arial"/>
                <w:sz w:val="16"/>
                <w:szCs w:val="16"/>
                <w:b w:val="1"/>
                <w:bCs w:val="1"/>
                <w:color w:val="auto"/>
              </w:rPr>
              <w:t>March 31, 2019</w:t>
            </w:r>
          </w:p>
        </w:tc>
        <w:tc>
          <w:tcPr>
            <w:tcW w:w="280" w:type="dxa"/>
            <w:vAlign w:val="bottom"/>
          </w:tcPr>
          <w:p>
            <w:pPr>
              <w:spacing w:after="0"/>
              <w:rPr>
                <w:sz w:val="18"/>
                <w:szCs w:val="18"/>
                <w:color w:val="auto"/>
              </w:rPr>
            </w:pPr>
          </w:p>
        </w:tc>
        <w:tc>
          <w:tcPr>
            <w:tcW w:w="1980" w:type="dxa"/>
            <w:vAlign w:val="bottom"/>
          </w:tcPr>
          <w:p>
            <w:pPr>
              <w:jc w:val="right"/>
              <w:ind w:right="399"/>
              <w:spacing w:after="0"/>
              <w:rPr>
                <w:sz w:val="20"/>
                <w:szCs w:val="20"/>
                <w:color w:val="auto"/>
              </w:rPr>
            </w:pPr>
            <w:r>
              <w:rPr>
                <w:rFonts w:ascii="Arial" w:cs="Arial" w:eastAsia="Arial" w:hAnsi="Arial"/>
                <w:sz w:val="16"/>
                <w:szCs w:val="16"/>
                <w:b w:val="1"/>
                <w:bCs w:val="1"/>
                <w:color w:val="auto"/>
              </w:rPr>
              <w:t>December 31, 2018</w:t>
            </w:r>
          </w:p>
        </w:tc>
      </w:tr>
      <w:tr>
        <w:trPr>
          <w:trHeight w:val="33"/>
        </w:trPr>
        <w:tc>
          <w:tcPr>
            <w:tcW w:w="6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3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Machinery and equipment</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318,695</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315,974</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Computers and software</w:t>
            </w:r>
          </w:p>
        </w:tc>
        <w:tc>
          <w:tcPr>
            <w:tcW w:w="360" w:type="dxa"/>
            <w:vAlign w:val="bottom"/>
          </w:tcPr>
          <w:p>
            <w:pPr>
              <w:spacing w:after="0"/>
              <w:rPr>
                <w:sz w:val="20"/>
                <w:szCs w:val="20"/>
                <w:color w:val="auto"/>
              </w:rPr>
            </w:pPr>
          </w:p>
        </w:tc>
        <w:tc>
          <w:tcPr>
            <w:tcW w:w="1920" w:type="dxa"/>
            <w:vAlign w:val="bottom"/>
          </w:tcPr>
          <w:p>
            <w:pPr>
              <w:jc w:val="right"/>
              <w:ind w:right="39"/>
              <w:spacing w:after="0"/>
              <w:rPr>
                <w:sz w:val="20"/>
                <w:szCs w:val="20"/>
                <w:color w:val="auto"/>
              </w:rPr>
            </w:pPr>
            <w:r>
              <w:rPr>
                <w:rFonts w:ascii="Arial" w:cs="Arial" w:eastAsia="Arial" w:hAnsi="Arial"/>
                <w:sz w:val="16"/>
                <w:szCs w:val="16"/>
                <w:color w:val="auto"/>
              </w:rPr>
              <w:t>107,703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80" w:type="dxa"/>
            <w:vAlign w:val="bottom"/>
          </w:tcPr>
          <w:p>
            <w:pPr>
              <w:jc w:val="right"/>
              <w:ind w:right="39"/>
              <w:spacing w:after="0"/>
              <w:rPr>
                <w:sz w:val="20"/>
                <w:szCs w:val="20"/>
                <w:color w:val="auto"/>
              </w:rPr>
            </w:pPr>
            <w:r>
              <w:rPr>
                <w:rFonts w:ascii="Arial" w:cs="Arial" w:eastAsia="Arial" w:hAnsi="Arial"/>
                <w:sz w:val="16"/>
                <w:szCs w:val="16"/>
                <w:color w:val="auto"/>
              </w:rPr>
              <w:t>104,290</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Buildings, furniture, and improvements</w:t>
            </w:r>
          </w:p>
        </w:tc>
        <w:tc>
          <w:tcPr>
            <w:tcW w:w="3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147,320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146,071</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Land</w:t>
            </w:r>
          </w:p>
        </w:tc>
        <w:tc>
          <w:tcPr>
            <w:tcW w:w="360" w:type="dxa"/>
            <w:vAlign w:val="bottom"/>
          </w:tcPr>
          <w:p>
            <w:pPr>
              <w:spacing w:after="0"/>
              <w:rPr>
                <w:sz w:val="20"/>
                <w:szCs w:val="20"/>
                <w:color w:val="auto"/>
              </w:rPr>
            </w:pPr>
          </w:p>
        </w:tc>
        <w:tc>
          <w:tcPr>
            <w:tcW w:w="1920" w:type="dxa"/>
            <w:vAlign w:val="bottom"/>
          </w:tcPr>
          <w:p>
            <w:pPr>
              <w:jc w:val="right"/>
              <w:ind w:right="39"/>
              <w:spacing w:after="0"/>
              <w:rPr>
                <w:sz w:val="20"/>
                <w:szCs w:val="20"/>
                <w:color w:val="auto"/>
              </w:rPr>
            </w:pPr>
            <w:r>
              <w:rPr>
                <w:rFonts w:ascii="Arial" w:cs="Arial" w:eastAsia="Arial" w:hAnsi="Arial"/>
                <w:sz w:val="16"/>
                <w:szCs w:val="16"/>
                <w:color w:val="auto"/>
              </w:rPr>
              <w:t>15,063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80" w:type="dxa"/>
            <w:vAlign w:val="bottom"/>
          </w:tcPr>
          <w:p>
            <w:pPr>
              <w:jc w:val="right"/>
              <w:ind w:right="39"/>
              <w:spacing w:after="0"/>
              <w:rPr>
                <w:sz w:val="20"/>
                <w:szCs w:val="20"/>
                <w:color w:val="auto"/>
              </w:rPr>
            </w:pPr>
            <w:r>
              <w:rPr>
                <w:rFonts w:ascii="Arial" w:cs="Arial" w:eastAsia="Arial" w:hAnsi="Arial"/>
                <w:sz w:val="16"/>
                <w:szCs w:val="16"/>
                <w:color w:val="auto"/>
              </w:rPr>
              <w:t>14,980</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Construction in progress, including purchased equipment</w:t>
            </w:r>
          </w:p>
        </w:tc>
        <w:tc>
          <w:tcPr>
            <w:tcW w:w="36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45,237</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49,682</w:t>
            </w:r>
          </w:p>
        </w:tc>
      </w:tr>
      <w:tr>
        <w:trPr>
          <w:trHeight w:val="217"/>
        </w:trPr>
        <w:tc>
          <w:tcPr>
            <w:tcW w:w="6740" w:type="dxa"/>
            <w:vAlign w:val="bottom"/>
          </w:tcPr>
          <w:p>
            <w:pPr>
              <w:ind w:left="380"/>
              <w:spacing w:after="0"/>
              <w:rPr>
                <w:sz w:val="20"/>
                <w:szCs w:val="20"/>
                <w:color w:val="auto"/>
              </w:rPr>
            </w:pPr>
            <w:r>
              <w:rPr>
                <w:rFonts w:ascii="Arial" w:cs="Arial" w:eastAsia="Arial" w:hAnsi="Arial"/>
                <w:sz w:val="16"/>
                <w:szCs w:val="16"/>
                <w:color w:val="auto"/>
              </w:rPr>
              <w:t>Total cost</w:t>
            </w:r>
          </w:p>
        </w:tc>
        <w:tc>
          <w:tcPr>
            <w:tcW w:w="360" w:type="dxa"/>
            <w:vAlign w:val="bottom"/>
            <w:tcBorders>
              <w:top w:val="single" w:sz="8" w:color="auto"/>
            </w:tcBorders>
          </w:tcPr>
          <w:p>
            <w:pPr>
              <w:spacing w:after="0"/>
              <w:rPr>
                <w:sz w:val="18"/>
                <w:szCs w:val="18"/>
                <w:color w:val="auto"/>
              </w:rPr>
            </w:pPr>
          </w:p>
        </w:tc>
        <w:tc>
          <w:tcPr>
            <w:tcW w:w="19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634,018</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9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630,997</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Accumulated depreciation</w:t>
            </w:r>
          </w:p>
        </w:tc>
        <w:tc>
          <w:tcPr>
            <w:tcW w:w="36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(409,080)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(404,446)</w:t>
            </w:r>
          </w:p>
        </w:tc>
      </w:tr>
      <w:tr>
        <w:trPr>
          <w:trHeight w:val="244"/>
        </w:trPr>
        <w:tc>
          <w:tcPr>
            <w:tcW w:w="6740" w:type="dxa"/>
            <w:vAlign w:val="bottom"/>
          </w:tcPr>
          <w:p>
            <w:pPr>
              <w:ind w:left="720"/>
              <w:spacing w:after="0"/>
              <w:rPr>
                <w:sz w:val="20"/>
                <w:szCs w:val="20"/>
                <w:color w:val="auto"/>
              </w:rPr>
            </w:pPr>
            <w:r>
              <w:rPr>
                <w:rFonts w:ascii="Arial" w:cs="Arial" w:eastAsia="Arial" w:hAnsi="Arial"/>
                <w:sz w:val="16"/>
                <w:szCs w:val="16"/>
                <w:color w:val="auto"/>
              </w:rPr>
              <w:t>Property, plant, and equipment, net</w:t>
            </w: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9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224,938</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9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226,551</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0" w:type="dxa"/>
            <w:vAlign w:val="bottom"/>
          </w:tcPr>
          <w:p>
            <w:pPr>
              <w:ind w:left="40"/>
              <w:spacing w:after="0"/>
              <w:rPr>
                <w:sz w:val="20"/>
                <w:szCs w:val="20"/>
                <w:color w:val="auto"/>
              </w:rPr>
            </w:pPr>
            <w:r>
              <w:rPr>
                <w:rFonts w:ascii="Arial" w:cs="Arial" w:eastAsia="Arial" w:hAnsi="Arial"/>
                <w:sz w:val="18"/>
                <w:szCs w:val="18"/>
                <w:i w:val="1"/>
                <w:iCs w:val="1"/>
                <w:color w:val="auto"/>
              </w:rPr>
              <w:t>Depreciation expense</w:t>
            </w:r>
          </w:p>
        </w:tc>
        <w:tc>
          <w:tcPr>
            <w:tcW w:w="360" w:type="dxa"/>
            <w:vAlign w:val="bottom"/>
          </w:tcPr>
          <w:p>
            <w:pPr>
              <w:spacing w:after="0"/>
              <w:rPr>
                <w:sz w:val="20"/>
                <w:szCs w:val="20"/>
                <w:color w:val="auto"/>
              </w:rPr>
            </w:pPr>
          </w:p>
        </w:tc>
        <w:tc>
          <w:tcPr>
            <w:tcW w:w="3060" w:type="dxa"/>
            <w:vAlign w:val="bottom"/>
            <w:gridSpan w:val="4"/>
          </w:tcPr>
          <w:p>
            <w:pPr>
              <w:jc w:val="right"/>
              <w:ind w:right="499"/>
              <w:spacing w:after="0"/>
              <w:rPr>
                <w:sz w:val="20"/>
                <w:szCs w:val="20"/>
                <w:color w:val="auto"/>
              </w:rPr>
            </w:pPr>
            <w:r>
              <w:rPr>
                <w:rFonts w:ascii="Arial" w:cs="Arial" w:eastAsia="Arial" w:hAnsi="Arial"/>
                <w:sz w:val="16"/>
                <w:szCs w:val="16"/>
                <w:b w:val="1"/>
                <w:bCs w:val="1"/>
                <w:color w:val="auto"/>
              </w:rPr>
              <w:t>Three Months Ended March 31,</w:t>
            </w:r>
          </w:p>
        </w:tc>
      </w:tr>
      <w:tr>
        <w:trPr>
          <w:trHeight w:val="27"/>
        </w:trPr>
        <w:tc>
          <w:tcPr>
            <w:tcW w:w="80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8000" w:type="dxa"/>
            <w:vAlign w:val="bottom"/>
          </w:tcPr>
          <w:p>
            <w:pPr>
              <w:ind w:left="40"/>
              <w:spacing w:after="0"/>
              <w:rPr>
                <w:sz w:val="20"/>
                <w:szCs w:val="20"/>
                <w:color w:val="auto"/>
              </w:rPr>
            </w:pPr>
            <w:r>
              <w:rPr>
                <w:rFonts w:ascii="Arial" w:cs="Arial" w:eastAsia="Arial" w:hAnsi="Arial"/>
                <w:sz w:val="16"/>
                <w:szCs w:val="16"/>
                <w:i w:val="1"/>
                <w:iCs w:val="1"/>
                <w:color w:val="auto"/>
              </w:rPr>
              <w:t>In thousands</w:t>
            </w:r>
          </w:p>
        </w:tc>
        <w:tc>
          <w:tcPr>
            <w:tcW w:w="360" w:type="dxa"/>
            <w:vAlign w:val="bottom"/>
          </w:tcPr>
          <w:p>
            <w:pPr>
              <w:spacing w:after="0"/>
              <w:rPr>
                <w:sz w:val="20"/>
                <w:szCs w:val="20"/>
                <w:color w:val="auto"/>
              </w:rPr>
            </w:pPr>
          </w:p>
        </w:tc>
        <w:tc>
          <w:tcPr>
            <w:tcW w:w="1260" w:type="dxa"/>
            <w:vAlign w:val="bottom"/>
          </w:tcPr>
          <w:p>
            <w:pPr>
              <w:jc w:val="right"/>
              <w:ind w:right="55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2018</w:t>
            </w:r>
          </w:p>
        </w:tc>
      </w:tr>
      <w:tr>
        <w:trPr>
          <w:trHeight w:val="33"/>
        </w:trPr>
        <w:tc>
          <w:tcPr>
            <w:tcW w:w="8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8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Depreciation expense</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12,384</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13,332</w:t>
            </w:r>
          </w:p>
        </w:tc>
      </w:tr>
      <w:tr>
        <w:trPr>
          <w:trHeight w:val="33"/>
        </w:trPr>
        <w:tc>
          <w:tcPr>
            <w:tcW w:w="80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Subsequent to March 31, 2019, we entered into sales contracts for properties in Massy, France and Stretford, United Kingdom, which properties are classified as held-for-sale within other long-term assets. The estimated gains on sale are $1.5 million and $5.0 million, respectively. The Massy, France gain will be classified within operating expenses as a gain on sale of assets, and the Stretford, United Kingdom gain will offset restructuring expense as this property was included in a previous restructuring plan.</w:t>
      </w:r>
    </w:p>
    <w:p>
      <w:pPr>
        <w:spacing w:after="0" w:line="183"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6"/>
          <w:szCs w:val="16"/>
          <w:b w:val="1"/>
          <w:bCs w:val="1"/>
          <w:color w:val="auto"/>
        </w:rPr>
        <w:t>Intangible Assets and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gross carrying amount and accumulated amortization (accretion) of our intangible assets and liabilities, other than goodwill, were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4"/>
              </w:rPr>
              <w:t>March 31, 2019</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December 31, 2018</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33"/>
        </w:trPr>
        <w:tc>
          <w:tcPr>
            <w:tcW w:w="28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9"/>
        </w:trPr>
        <w:tc>
          <w:tcPr>
            <w:tcW w:w="2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Accumulated</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Accumulated</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03"/>
        </w:trPr>
        <w:tc>
          <w:tcPr>
            <w:tcW w:w="2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5"/>
              </w:rPr>
              <w:t>(Amortization)</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(Amortization)</w:t>
            </w: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0"/>
        </w:trPr>
        <w:tc>
          <w:tcPr>
            <w:tcW w:w="2880" w:type="dxa"/>
            <w:vAlign w:val="bottom"/>
          </w:tcPr>
          <w:p>
            <w:pPr>
              <w:ind w:left="40"/>
              <w:spacing w:after="0"/>
              <w:rPr>
                <w:sz w:val="20"/>
                <w:szCs w:val="20"/>
                <w:color w:val="auto"/>
              </w:rPr>
            </w:pPr>
            <w:r>
              <w:rPr>
                <w:rFonts w:ascii="Arial" w:cs="Arial" w:eastAsia="Arial" w:hAnsi="Arial"/>
                <w:sz w:val="16"/>
                <w:szCs w:val="16"/>
                <w:i w:val="1"/>
                <w:iCs w:val="1"/>
                <w:color w:val="auto"/>
              </w:rPr>
              <w:t>In thousands</w:t>
            </w:r>
          </w:p>
        </w:tc>
        <w:tc>
          <w:tcPr>
            <w:tcW w:w="260" w:type="dxa"/>
            <w:vAlign w:val="bottom"/>
          </w:tcPr>
          <w:p>
            <w:pPr>
              <w:spacing w:after="0"/>
              <w:rPr>
                <w:sz w:val="18"/>
                <w:szCs w:val="18"/>
                <w:color w:val="auto"/>
              </w:rPr>
            </w:pPr>
          </w:p>
        </w:tc>
        <w:tc>
          <w:tcPr>
            <w:tcW w:w="1140" w:type="dxa"/>
            <w:vAlign w:val="bottom"/>
            <w:gridSpan w:val="2"/>
          </w:tcPr>
          <w:p>
            <w:pPr>
              <w:ind w:left="180"/>
              <w:spacing w:after="0"/>
              <w:rPr>
                <w:sz w:val="20"/>
                <w:szCs w:val="20"/>
                <w:color w:val="auto"/>
              </w:rPr>
            </w:pPr>
            <w:r>
              <w:rPr>
                <w:rFonts w:ascii="Arial" w:cs="Arial" w:eastAsia="Arial" w:hAnsi="Arial"/>
                <w:sz w:val="16"/>
                <w:szCs w:val="16"/>
                <w:b w:val="1"/>
                <w:bCs w:val="1"/>
                <w:color w:val="auto"/>
              </w:rPr>
              <w:t>Gross</w:t>
            </w:r>
          </w:p>
        </w:tc>
        <w:tc>
          <w:tcPr>
            <w:tcW w:w="160" w:type="dxa"/>
            <w:vAlign w:val="bottom"/>
          </w:tcPr>
          <w:p>
            <w:pPr>
              <w:spacing w:after="0"/>
              <w:rPr>
                <w:sz w:val="18"/>
                <w:szCs w:val="18"/>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Accretion</w:t>
            </w:r>
          </w:p>
        </w:tc>
        <w:tc>
          <w:tcPr>
            <w:tcW w:w="300" w:type="dxa"/>
            <w:vAlign w:val="bottom"/>
          </w:tcPr>
          <w:p>
            <w:pPr>
              <w:spacing w:after="0"/>
              <w:rPr>
                <w:sz w:val="18"/>
                <w:szCs w:val="18"/>
                <w:color w:val="auto"/>
              </w:rPr>
            </w:pPr>
          </w:p>
        </w:tc>
        <w:tc>
          <w:tcPr>
            <w:tcW w:w="1060" w:type="dxa"/>
            <w:vAlign w:val="bottom"/>
            <w:gridSpan w:val="2"/>
          </w:tcPr>
          <w:p>
            <w:pPr>
              <w:ind w:left="200"/>
              <w:spacing w:after="0"/>
              <w:rPr>
                <w:sz w:val="20"/>
                <w:szCs w:val="20"/>
                <w:color w:val="auto"/>
              </w:rPr>
            </w:pPr>
            <w:r>
              <w:rPr>
                <w:rFonts w:ascii="Arial" w:cs="Arial" w:eastAsia="Arial" w:hAnsi="Arial"/>
                <w:sz w:val="16"/>
                <w:szCs w:val="16"/>
                <w:b w:val="1"/>
                <w:bCs w:val="1"/>
                <w:color w:val="auto"/>
              </w:rPr>
              <w:t>Net</w:t>
            </w:r>
          </w:p>
        </w:tc>
        <w:tc>
          <w:tcPr>
            <w:tcW w:w="260" w:type="dxa"/>
            <w:vAlign w:val="bottom"/>
          </w:tcPr>
          <w:p>
            <w:pPr>
              <w:spacing w:after="0"/>
              <w:rPr>
                <w:sz w:val="18"/>
                <w:szCs w:val="18"/>
                <w:color w:val="auto"/>
              </w:rPr>
            </w:pPr>
          </w:p>
        </w:tc>
        <w:tc>
          <w:tcPr>
            <w:tcW w:w="1100" w:type="dxa"/>
            <w:vAlign w:val="bottom"/>
            <w:gridSpan w:val="2"/>
          </w:tcPr>
          <w:p>
            <w:pPr>
              <w:ind w:left="160"/>
              <w:spacing w:after="0"/>
              <w:rPr>
                <w:sz w:val="20"/>
                <w:szCs w:val="20"/>
                <w:color w:val="auto"/>
              </w:rPr>
            </w:pPr>
            <w:r>
              <w:rPr>
                <w:rFonts w:ascii="Arial" w:cs="Arial" w:eastAsia="Arial" w:hAnsi="Arial"/>
                <w:sz w:val="16"/>
                <w:szCs w:val="16"/>
                <w:b w:val="1"/>
                <w:bCs w:val="1"/>
                <w:color w:val="auto"/>
              </w:rPr>
              <w:t>Gross</w:t>
            </w:r>
          </w:p>
        </w:tc>
        <w:tc>
          <w:tcPr>
            <w:tcW w:w="16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Accretion</w:t>
            </w:r>
          </w:p>
        </w:tc>
        <w:tc>
          <w:tcPr>
            <w:tcW w:w="300" w:type="dxa"/>
            <w:vAlign w:val="bottom"/>
          </w:tcPr>
          <w:p>
            <w:pPr>
              <w:spacing w:after="0"/>
              <w:rPr>
                <w:sz w:val="18"/>
                <w:szCs w:val="18"/>
                <w:color w:val="auto"/>
              </w:rPr>
            </w:pPr>
          </w:p>
        </w:tc>
        <w:tc>
          <w:tcPr>
            <w:tcW w:w="940" w:type="dxa"/>
            <w:vAlign w:val="bottom"/>
          </w:tcPr>
          <w:p>
            <w:pPr>
              <w:jc w:val="right"/>
              <w:ind w:right="419"/>
              <w:spacing w:after="0"/>
              <w:rPr>
                <w:sz w:val="20"/>
                <w:szCs w:val="20"/>
                <w:color w:val="auto"/>
              </w:rPr>
            </w:pPr>
            <w:r>
              <w:rPr>
                <w:rFonts w:ascii="Arial" w:cs="Arial" w:eastAsia="Arial" w:hAnsi="Arial"/>
                <w:sz w:val="16"/>
                <w:szCs w:val="16"/>
                <w:b w:val="1"/>
                <w:bCs w:val="1"/>
                <w:color w:val="auto"/>
              </w:rPr>
              <w:t>Net</w:t>
            </w:r>
          </w:p>
        </w:tc>
      </w:tr>
      <w:tr>
        <w:trPr>
          <w:trHeight w:val="33"/>
        </w:trPr>
        <w:tc>
          <w:tcPr>
            <w:tcW w:w="2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1"/>
        </w:trPr>
        <w:tc>
          <w:tcPr>
            <w:tcW w:w="2880" w:type="dxa"/>
            <w:vAlign w:val="bottom"/>
          </w:tcPr>
          <w:p>
            <w:pPr>
              <w:ind w:left="40"/>
              <w:spacing w:after="0"/>
              <w:rPr>
                <w:sz w:val="20"/>
                <w:szCs w:val="20"/>
                <w:color w:val="auto"/>
              </w:rPr>
            </w:pPr>
            <w:r>
              <w:rPr>
                <w:rFonts w:ascii="Arial" w:cs="Arial" w:eastAsia="Arial" w:hAnsi="Arial"/>
                <w:sz w:val="16"/>
                <w:szCs w:val="16"/>
                <w:b w:val="1"/>
                <w:bCs w:val="1"/>
                <w:color w:val="auto"/>
              </w:rPr>
              <w:t>Intangible Assets</w:t>
            </w: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3"/>
        </w:trPr>
        <w:tc>
          <w:tcPr>
            <w:tcW w:w="2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Core-developed technology</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507,023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(436,829)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70,194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507,100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(429,955)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77,145</w:t>
            </w:r>
          </w:p>
        </w:tc>
      </w:tr>
      <w:tr>
        <w:trPr>
          <w:trHeight w:val="237"/>
        </w:trPr>
        <w:tc>
          <w:tcPr>
            <w:tcW w:w="2880" w:type="dxa"/>
            <w:vAlign w:val="bottom"/>
          </w:tcPr>
          <w:p>
            <w:pPr>
              <w:ind w:left="40"/>
              <w:spacing w:after="0"/>
              <w:rPr>
                <w:sz w:val="20"/>
                <w:szCs w:val="20"/>
                <w:color w:val="auto"/>
              </w:rPr>
            </w:pPr>
            <w:r>
              <w:rPr>
                <w:rFonts w:ascii="Arial" w:cs="Arial" w:eastAsia="Arial" w:hAnsi="Arial"/>
                <w:sz w:val="16"/>
                <w:szCs w:val="16"/>
                <w:color w:val="auto"/>
              </w:rPr>
              <w:t>Customer contracts and relationships</w:t>
            </w:r>
          </w:p>
        </w:tc>
        <w:tc>
          <w:tcPr>
            <w:tcW w:w="26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382,504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(224,312)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158,192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379,614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(212,538)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167,076</w:t>
            </w:r>
          </w:p>
        </w:tc>
      </w:tr>
      <w:tr>
        <w:trPr>
          <w:trHeight w:val="33"/>
        </w:trPr>
        <w:tc>
          <w:tcPr>
            <w:tcW w:w="2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Trademarks and trade names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79,071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(71,145)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7,926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78,746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(69,879)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8,867</w:t>
            </w:r>
          </w:p>
        </w:tc>
      </w:tr>
      <w:tr>
        <w:trPr>
          <w:trHeight w:val="237"/>
        </w:trPr>
        <w:tc>
          <w:tcPr>
            <w:tcW w:w="2880" w:type="dxa"/>
            <w:vAlign w:val="bottom"/>
          </w:tcPr>
          <w:p>
            <w:pPr>
              <w:ind w:left="40"/>
              <w:spacing w:after="0"/>
              <w:rPr>
                <w:sz w:val="20"/>
                <w:szCs w:val="20"/>
                <w:color w:val="auto"/>
              </w:rPr>
            </w:pPr>
            <w:r>
              <w:rPr>
                <w:rFonts w:ascii="Arial" w:cs="Arial" w:eastAsia="Arial" w:hAnsi="Arial"/>
                <w:sz w:val="16"/>
                <w:szCs w:val="16"/>
                <w:color w:val="auto"/>
              </w:rPr>
              <w:t>Other</w:t>
            </w:r>
          </w:p>
        </w:tc>
        <w:tc>
          <w:tcPr>
            <w:tcW w:w="26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12,021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(11,245)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776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12,600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(11,205)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1,395</w:t>
            </w:r>
          </w:p>
        </w:tc>
      </w:tr>
      <w:tr>
        <w:trPr>
          <w:trHeight w:val="33"/>
        </w:trPr>
        <w:tc>
          <w:tcPr>
            <w:tcW w:w="28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0"/>
        </w:trPr>
        <w:tc>
          <w:tcPr>
            <w:tcW w:w="2880" w:type="dxa"/>
            <w:vAlign w:val="bottom"/>
            <w:shd w:val="clear" w:color="auto" w:fill="CCEEFF"/>
          </w:tcPr>
          <w:p>
            <w:pPr>
              <w:ind w:left="540"/>
              <w:spacing w:after="0"/>
              <w:rPr>
                <w:sz w:val="20"/>
                <w:szCs w:val="20"/>
                <w:color w:val="auto"/>
              </w:rPr>
            </w:pPr>
            <w:r>
              <w:rPr>
                <w:rFonts w:ascii="Arial" w:cs="Arial" w:eastAsia="Arial" w:hAnsi="Arial"/>
                <w:sz w:val="16"/>
                <w:szCs w:val="16"/>
                <w:color w:val="auto"/>
                <w:w w:val="99"/>
              </w:rPr>
              <w:t>Total intangible assets subject to</w:t>
            </w: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19"/>
        </w:trPr>
        <w:tc>
          <w:tcPr>
            <w:tcW w:w="28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amortization</w:t>
            </w:r>
          </w:p>
        </w:tc>
        <w:tc>
          <w:tcPr>
            <w:tcW w:w="2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980,619</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(743,531)</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237,088</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978,060</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(723,577)</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254,483</w:t>
            </w:r>
          </w:p>
        </w:tc>
      </w:tr>
      <w:tr>
        <w:trPr>
          <w:trHeight w:val="220"/>
        </w:trPr>
        <w:tc>
          <w:tcPr>
            <w:tcW w:w="2880" w:type="dxa"/>
            <w:vAlign w:val="bottom"/>
          </w:tcPr>
          <w:p>
            <w:pPr>
              <w:ind w:left="440"/>
              <w:spacing w:after="0"/>
              <w:rPr>
                <w:sz w:val="20"/>
                <w:szCs w:val="20"/>
                <w:color w:val="auto"/>
              </w:rPr>
            </w:pPr>
            <w:r>
              <w:rPr>
                <w:rFonts w:ascii="Arial" w:cs="Arial" w:eastAsia="Arial" w:hAnsi="Arial"/>
                <w:sz w:val="16"/>
                <w:szCs w:val="16"/>
                <w:color w:val="auto"/>
              </w:rPr>
              <w:t>In-process research and</w:t>
            </w: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06"/>
        </w:trPr>
        <w:tc>
          <w:tcPr>
            <w:tcW w:w="2880" w:type="dxa"/>
            <w:vAlign w:val="bottom"/>
          </w:tcPr>
          <w:p>
            <w:pPr>
              <w:ind w:left="440"/>
              <w:spacing w:after="0"/>
              <w:rPr>
                <w:sz w:val="20"/>
                <w:szCs w:val="20"/>
                <w:color w:val="auto"/>
              </w:rPr>
            </w:pPr>
            <w:r>
              <w:rPr>
                <w:rFonts w:ascii="Arial" w:cs="Arial" w:eastAsia="Arial" w:hAnsi="Arial"/>
                <w:sz w:val="16"/>
                <w:szCs w:val="16"/>
                <w:color w:val="auto"/>
              </w:rPr>
              <w:t>development</w:t>
            </w:r>
          </w:p>
        </w:tc>
        <w:tc>
          <w:tcPr>
            <w:tcW w:w="260" w:type="dxa"/>
            <w:vAlign w:val="bottom"/>
          </w:tcPr>
          <w:p>
            <w:pPr>
              <w:spacing w:after="0"/>
              <w:rPr>
                <w:sz w:val="17"/>
                <w:szCs w:val="17"/>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2,900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2,900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3,100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3,100</w:t>
            </w:r>
          </w:p>
        </w:tc>
      </w:tr>
      <w:tr>
        <w:trPr>
          <w:trHeight w:val="33"/>
        </w:trPr>
        <w:tc>
          <w:tcPr>
            <w:tcW w:w="28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28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Total intangible assets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983,519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(743,531)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239,988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981,160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(723,577)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257,583</w:t>
            </w:r>
          </w:p>
        </w:tc>
      </w:tr>
      <w:tr>
        <w:trPr>
          <w:trHeight w:val="20"/>
        </w:trPr>
        <w:tc>
          <w:tcPr>
            <w:tcW w:w="2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84"/>
        </w:trPr>
        <w:tc>
          <w:tcPr>
            <w:tcW w:w="2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Intangible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50"/>
        </w:trPr>
        <w:tc>
          <w:tcPr>
            <w:tcW w:w="2880" w:type="dxa"/>
            <w:vAlign w:val="bottom"/>
          </w:tcPr>
          <w:p>
            <w:pPr>
              <w:ind w:left="40"/>
              <w:spacing w:after="0"/>
              <w:rPr>
                <w:sz w:val="20"/>
                <w:szCs w:val="20"/>
                <w:color w:val="auto"/>
              </w:rPr>
            </w:pPr>
            <w:r>
              <w:rPr>
                <w:rFonts w:ascii="Arial" w:cs="Arial" w:eastAsia="Arial" w:hAnsi="Arial"/>
                <w:sz w:val="16"/>
                <w:szCs w:val="16"/>
                <w:color w:val="auto"/>
              </w:rPr>
              <w:t>Customer contracts and relationships</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(23,900)</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7,275</w:t>
            </w: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(16,625)</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(23,900)</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5,217</w:t>
            </w: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(18,683)</w:t>
            </w:r>
          </w:p>
        </w:tc>
      </w:tr>
      <w:tr>
        <w:trPr>
          <w:trHeight w:val="20"/>
        </w:trPr>
        <w:tc>
          <w:tcPr>
            <w:tcW w:w="2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 summary of intangible assets and liabilities activity is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140" w:type="dxa"/>
            <w:vAlign w:val="bottom"/>
            <w:gridSpan w:val="4"/>
          </w:tcPr>
          <w:p>
            <w:pPr>
              <w:jc w:val="right"/>
              <w:ind w:right="559"/>
              <w:spacing w:after="0"/>
              <w:rPr>
                <w:sz w:val="20"/>
                <w:szCs w:val="20"/>
                <w:color w:val="auto"/>
              </w:rPr>
            </w:pPr>
            <w:r>
              <w:rPr>
                <w:rFonts w:ascii="Arial" w:cs="Arial" w:eastAsia="Arial" w:hAnsi="Arial"/>
                <w:sz w:val="16"/>
                <w:szCs w:val="16"/>
                <w:b w:val="1"/>
                <w:bCs w:val="1"/>
                <w:color w:val="auto"/>
              </w:rPr>
              <w:t>Three Months Ended March 31,</w:t>
            </w:r>
          </w:p>
        </w:tc>
      </w:tr>
      <w:tr>
        <w:trPr>
          <w:trHeight w:val="33"/>
        </w:trPr>
        <w:tc>
          <w:tcPr>
            <w:tcW w:w="79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7900" w:type="dxa"/>
            <w:vAlign w:val="bottom"/>
          </w:tcPr>
          <w:p>
            <w:pPr>
              <w:ind w:left="40"/>
              <w:spacing w:after="0"/>
              <w:rPr>
                <w:sz w:val="20"/>
                <w:szCs w:val="20"/>
                <w:color w:val="auto"/>
              </w:rPr>
            </w:pPr>
            <w:r>
              <w:rPr>
                <w:rFonts w:ascii="Arial" w:cs="Arial" w:eastAsia="Arial" w:hAnsi="Arial"/>
                <w:sz w:val="16"/>
                <w:szCs w:val="16"/>
                <w:i w:val="1"/>
                <w:iCs w:val="1"/>
                <w:color w:val="auto"/>
              </w:rPr>
              <w:t>In thousands</w:t>
            </w:r>
          </w:p>
        </w:tc>
        <w:tc>
          <w:tcPr>
            <w:tcW w:w="380" w:type="dxa"/>
            <w:vAlign w:val="bottom"/>
          </w:tcPr>
          <w:p>
            <w:pPr>
              <w:spacing w:after="0"/>
              <w:rPr>
                <w:sz w:val="20"/>
                <w:szCs w:val="20"/>
                <w:color w:val="auto"/>
              </w:rPr>
            </w:pPr>
          </w:p>
        </w:tc>
        <w:tc>
          <w:tcPr>
            <w:tcW w:w="1340" w:type="dxa"/>
            <w:vAlign w:val="bottom"/>
          </w:tcPr>
          <w:p>
            <w:pPr>
              <w:jc w:val="right"/>
              <w:ind w:right="61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2018</w:t>
            </w:r>
          </w:p>
        </w:tc>
      </w:tr>
      <w:tr>
        <w:trPr>
          <w:trHeight w:val="33"/>
        </w:trPr>
        <w:tc>
          <w:tcPr>
            <w:tcW w:w="7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Beginning balance, intangible assets, gross</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981,160</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769,851</w:t>
            </w: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Intangible assets acquired</w:t>
            </w:r>
          </w:p>
        </w:tc>
        <w:tc>
          <w:tcPr>
            <w:tcW w:w="380" w:type="dxa"/>
            <w:vAlign w:val="bottom"/>
          </w:tcPr>
          <w:p>
            <w:pPr>
              <w:spacing w:after="0"/>
              <w:rPr>
                <w:sz w:val="20"/>
                <w:szCs w:val="20"/>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240,600</w:t>
            </w:r>
          </w:p>
        </w:tc>
      </w:tr>
      <w:tr>
        <w:trPr>
          <w:trHeight w:val="33"/>
        </w:trPr>
        <w:tc>
          <w:tcPr>
            <w:tcW w:w="7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Effect of change in exchange rates</w:t>
            </w:r>
          </w:p>
        </w:tc>
        <w:tc>
          <w:tcPr>
            <w:tcW w:w="3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2,359</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22,979</w:t>
            </w:r>
          </w:p>
        </w:tc>
      </w:tr>
      <w:tr>
        <w:trPr>
          <w:trHeight w:val="217"/>
        </w:trPr>
        <w:tc>
          <w:tcPr>
            <w:tcW w:w="7900" w:type="dxa"/>
            <w:vAlign w:val="bottom"/>
          </w:tcPr>
          <w:p>
            <w:pPr>
              <w:ind w:left="40"/>
              <w:spacing w:after="0"/>
              <w:rPr>
                <w:sz w:val="20"/>
                <w:szCs w:val="20"/>
                <w:color w:val="auto"/>
              </w:rPr>
            </w:pPr>
            <w:r>
              <w:rPr>
                <w:rFonts w:ascii="Arial" w:cs="Arial" w:eastAsia="Arial" w:hAnsi="Arial"/>
                <w:sz w:val="16"/>
                <w:szCs w:val="16"/>
                <w:color w:val="auto"/>
              </w:rPr>
              <w:t>Ending balance, intangible assets, gross</w:t>
            </w: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983,519</w:t>
            </w:r>
          </w:p>
        </w:tc>
        <w:tc>
          <w:tcPr>
            <w:tcW w:w="120" w:type="dxa"/>
            <w:vAlign w:val="bottom"/>
          </w:tcPr>
          <w:p>
            <w:pPr>
              <w:spacing w:after="0"/>
              <w:rPr>
                <w:sz w:val="18"/>
                <w:szCs w:val="18"/>
                <w:color w:val="auto"/>
              </w:rPr>
            </w:pP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1,033,430</w:t>
            </w:r>
          </w:p>
        </w:tc>
      </w:tr>
      <w:tr>
        <w:trPr>
          <w:trHeight w:val="73"/>
        </w:trPr>
        <w:tc>
          <w:tcPr>
            <w:tcW w:w="790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r>
      <w:tr>
        <w:trPr>
          <w:trHeight w:val="278"/>
        </w:trPr>
        <w:tc>
          <w:tcPr>
            <w:tcW w:w="79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Beginning balance, intangible liabilities, gross</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(23,900)</w:t>
            </w:r>
          </w:p>
        </w:tc>
        <w:tc>
          <w:tcPr>
            <w:tcW w:w="12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Intangible liabilities acquired</w:t>
            </w:r>
          </w:p>
        </w:tc>
        <w:tc>
          <w:tcPr>
            <w:tcW w:w="3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(23,900)</w:t>
            </w: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Effect of change in exchange rates</w:t>
            </w:r>
          </w:p>
        </w:tc>
        <w:tc>
          <w:tcPr>
            <w:tcW w:w="380" w:type="dxa"/>
            <w:vAlign w:val="bottom"/>
          </w:tcPr>
          <w:p>
            <w:pPr>
              <w:spacing w:after="0"/>
              <w:rPr>
                <w:sz w:val="20"/>
                <w:szCs w:val="20"/>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9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5"/>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Ending balance, intangible liabilities, gross</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(23,900)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(23,900)</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January 5, 2018, we completed our acquisition of Silver Spring Networks, Inc. (SSNI) by purchasing 100% of the voting stock. Acquired intangible assets include in-process research and development (IPR&amp;D), which is not amortized until such time as the associated development projects are completed. Of these projects, $0.2 million were completed during the three months ended March 31, 2019 and are included in core-developed technology. The remaining IPR&amp;D is expected to be completed in 2019. Acquired intangible liabilities reflect the present value of the projected cash outflows for an existing contract where remaining costs are expected to exceed projected revenues.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Estimated future annual amortization (accretion) is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jc w:val="right"/>
              <w:ind w:right="79"/>
              <w:spacing w:after="0"/>
              <w:rPr>
                <w:sz w:val="20"/>
                <w:szCs w:val="20"/>
                <w:color w:val="auto"/>
              </w:rPr>
            </w:pPr>
            <w:r>
              <w:rPr>
                <w:rFonts w:ascii="Arial" w:cs="Arial" w:eastAsia="Arial" w:hAnsi="Arial"/>
                <w:sz w:val="16"/>
                <w:szCs w:val="16"/>
                <w:b w:val="1"/>
                <w:bCs w:val="1"/>
                <w:color w:val="auto"/>
                <w:w w:val="93"/>
              </w:rPr>
              <w:t>Estimated Annual</w:t>
            </w:r>
          </w:p>
        </w:tc>
      </w:tr>
      <w:tr>
        <w:trPr>
          <w:trHeight w:val="210"/>
        </w:trPr>
        <w:tc>
          <w:tcPr>
            <w:tcW w:w="6400" w:type="dxa"/>
            <w:vAlign w:val="bottom"/>
            <w:gridSpan w:val="2"/>
          </w:tcPr>
          <w:p>
            <w:pPr>
              <w:ind w:left="40"/>
              <w:spacing w:after="0"/>
              <w:rPr>
                <w:sz w:val="20"/>
                <w:szCs w:val="20"/>
                <w:color w:val="auto"/>
              </w:rPr>
            </w:pPr>
            <w:r>
              <w:rPr>
                <w:rFonts w:ascii="Arial" w:cs="Arial" w:eastAsia="Arial" w:hAnsi="Arial"/>
                <w:sz w:val="16"/>
                <w:szCs w:val="16"/>
                <w:b w:val="1"/>
                <w:bCs w:val="1"/>
                <w:color w:val="auto"/>
              </w:rPr>
              <w:t>Year Ending December 31,</w:t>
            </w:r>
          </w:p>
        </w:tc>
        <w:tc>
          <w:tcPr>
            <w:tcW w:w="240" w:type="dxa"/>
            <w:vAlign w:val="bottom"/>
          </w:tcPr>
          <w:p>
            <w:pPr>
              <w:spacing w:after="0"/>
              <w:rPr>
                <w:sz w:val="18"/>
                <w:szCs w:val="18"/>
                <w:color w:val="auto"/>
              </w:rPr>
            </w:pPr>
          </w:p>
        </w:tc>
        <w:tc>
          <w:tcPr>
            <w:tcW w:w="1520" w:type="dxa"/>
            <w:vAlign w:val="bottom"/>
            <w:gridSpan w:val="2"/>
          </w:tcPr>
          <w:p>
            <w:pPr>
              <w:ind w:left="120"/>
              <w:spacing w:after="0"/>
              <w:rPr>
                <w:sz w:val="20"/>
                <w:szCs w:val="20"/>
                <w:color w:val="auto"/>
              </w:rPr>
            </w:pPr>
            <w:r>
              <w:rPr>
                <w:rFonts w:ascii="Arial" w:cs="Arial" w:eastAsia="Arial" w:hAnsi="Arial"/>
                <w:sz w:val="16"/>
                <w:szCs w:val="16"/>
                <w:b w:val="1"/>
                <w:bCs w:val="1"/>
                <w:color w:val="auto"/>
              </w:rPr>
              <w:t>Amortization</w:t>
            </w:r>
          </w:p>
        </w:tc>
        <w:tc>
          <w:tcPr>
            <w:tcW w:w="280" w:type="dxa"/>
            <w:vAlign w:val="bottom"/>
          </w:tcPr>
          <w:p>
            <w:pPr>
              <w:spacing w:after="0"/>
              <w:rPr>
                <w:sz w:val="18"/>
                <w:szCs w:val="18"/>
                <w:color w:val="auto"/>
              </w:rPr>
            </w:pPr>
          </w:p>
        </w:tc>
        <w:tc>
          <w:tcPr>
            <w:tcW w:w="1400" w:type="dxa"/>
            <w:vAlign w:val="bottom"/>
            <w:gridSpan w:val="2"/>
          </w:tcPr>
          <w:p>
            <w:pPr>
              <w:ind w:left="160"/>
              <w:spacing w:after="0"/>
              <w:rPr>
                <w:sz w:val="20"/>
                <w:szCs w:val="20"/>
                <w:color w:val="auto"/>
              </w:rPr>
            </w:pPr>
            <w:r>
              <w:rPr>
                <w:rFonts w:ascii="Arial" w:cs="Arial" w:eastAsia="Arial" w:hAnsi="Arial"/>
                <w:sz w:val="16"/>
                <w:szCs w:val="16"/>
                <w:b w:val="1"/>
                <w:bCs w:val="1"/>
                <w:color w:val="auto"/>
              </w:rPr>
              <w:t>Accretion</w:t>
            </w:r>
          </w:p>
        </w:tc>
        <w:tc>
          <w:tcPr>
            <w:tcW w:w="140" w:type="dxa"/>
            <w:vAlign w:val="bottom"/>
          </w:tcPr>
          <w:p>
            <w:pPr>
              <w:spacing w:after="0"/>
              <w:rPr>
                <w:sz w:val="18"/>
                <w:szCs w:val="18"/>
                <w:color w:val="auto"/>
              </w:rPr>
            </w:pPr>
          </w:p>
        </w:tc>
        <w:tc>
          <w:tcPr>
            <w:tcW w:w="1440" w:type="dxa"/>
            <w:vAlign w:val="bottom"/>
          </w:tcPr>
          <w:p>
            <w:pPr>
              <w:jc w:val="right"/>
              <w:ind w:right="99"/>
              <w:spacing w:after="0"/>
              <w:rPr>
                <w:sz w:val="20"/>
                <w:szCs w:val="20"/>
                <w:color w:val="auto"/>
              </w:rPr>
            </w:pPr>
            <w:r>
              <w:rPr>
                <w:rFonts w:ascii="Arial" w:cs="Arial" w:eastAsia="Arial" w:hAnsi="Arial"/>
                <w:sz w:val="16"/>
                <w:szCs w:val="16"/>
                <w:b w:val="1"/>
                <w:bCs w:val="1"/>
                <w:color w:val="auto"/>
                <w:w w:val="94"/>
              </w:rPr>
              <w:t>Amortization, net</w:t>
            </w:r>
          </w:p>
        </w:tc>
      </w:tr>
      <w:tr>
        <w:trPr>
          <w:trHeight w:val="33"/>
        </w:trPr>
        <w:tc>
          <w:tcPr>
            <w:tcW w:w="6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1"/>
        </w:trPr>
        <w:tc>
          <w:tcPr>
            <w:tcW w:w="640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w:t>
            </w:r>
          </w:p>
        </w:tc>
        <w:tc>
          <w:tcPr>
            <w:tcW w:w="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33"/>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2019 (amount remaining at March 31, 2019)</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54,492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48,317</w:t>
            </w:r>
          </w:p>
        </w:tc>
      </w:tr>
      <w:tr>
        <w:trPr>
          <w:trHeight w:val="237"/>
        </w:trPr>
        <w:tc>
          <w:tcPr>
            <w:tcW w:w="6280" w:type="dxa"/>
            <w:vAlign w:val="bottom"/>
          </w:tcPr>
          <w:p>
            <w:pPr>
              <w:ind w:left="40"/>
              <w:spacing w:after="0"/>
              <w:rPr>
                <w:sz w:val="20"/>
                <w:szCs w:val="20"/>
                <w:color w:val="auto"/>
              </w:rPr>
            </w:pPr>
            <w:r>
              <w:rPr>
                <w:rFonts w:ascii="Arial" w:cs="Arial" w:eastAsia="Arial" w:hAnsi="Arial"/>
                <w:sz w:val="16"/>
                <w:szCs w:val="16"/>
                <w:color w:val="auto"/>
              </w:rPr>
              <w:t>2020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52,891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(8,028)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44,863</w:t>
            </w:r>
          </w:p>
        </w:tc>
      </w:tr>
      <w:tr>
        <w:trPr>
          <w:trHeight w:val="33"/>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37,209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(1,963)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35,246</w:t>
            </w:r>
          </w:p>
        </w:tc>
      </w:tr>
      <w:tr>
        <w:trPr>
          <w:trHeight w:val="237"/>
        </w:trPr>
        <w:tc>
          <w:tcPr>
            <w:tcW w:w="6280" w:type="dxa"/>
            <w:vAlign w:val="bottom"/>
          </w:tcPr>
          <w:p>
            <w:pPr>
              <w:ind w:left="40"/>
              <w:spacing w:after="0"/>
              <w:rPr>
                <w:sz w:val="20"/>
                <w:szCs w:val="20"/>
                <w:color w:val="auto"/>
              </w:rPr>
            </w:pPr>
            <w:r>
              <w:rPr>
                <w:rFonts w:ascii="Arial" w:cs="Arial" w:eastAsia="Arial" w:hAnsi="Arial"/>
                <w:sz w:val="16"/>
                <w:szCs w:val="16"/>
                <w:color w:val="auto"/>
              </w:rPr>
              <w:t>2022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27,015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(459)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26,556</w:t>
            </w:r>
          </w:p>
        </w:tc>
      </w:tr>
      <w:tr>
        <w:trPr>
          <w:trHeight w:val="33"/>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19,366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19,366</w:t>
            </w:r>
          </w:p>
        </w:tc>
      </w:tr>
      <w:tr>
        <w:trPr>
          <w:trHeight w:val="237"/>
        </w:trPr>
        <w:tc>
          <w:tcPr>
            <w:tcW w:w="6400" w:type="dxa"/>
            <w:vAlign w:val="bottom"/>
            <w:gridSpan w:val="2"/>
          </w:tcPr>
          <w:p>
            <w:pPr>
              <w:ind w:left="40"/>
              <w:spacing w:after="0"/>
              <w:rPr>
                <w:sz w:val="20"/>
                <w:szCs w:val="20"/>
                <w:color w:val="auto"/>
              </w:rPr>
            </w:pPr>
            <w:r>
              <w:rPr>
                <w:rFonts w:ascii="Arial" w:cs="Arial" w:eastAsia="Arial" w:hAnsi="Arial"/>
                <w:sz w:val="16"/>
                <w:szCs w:val="16"/>
                <w:color w:val="auto"/>
              </w:rPr>
              <w:t>Beyond 2023</w:t>
            </w:r>
          </w:p>
        </w:tc>
        <w:tc>
          <w:tcPr>
            <w:tcW w:w="240" w:type="dxa"/>
            <w:vAlign w:val="bottom"/>
          </w:tcPr>
          <w:p>
            <w:pPr>
              <w:spacing w:after="0"/>
              <w:rPr>
                <w:sz w:val="20"/>
                <w:szCs w:val="20"/>
                <w:color w:val="auto"/>
              </w:rPr>
            </w:pP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46,115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46,115</w:t>
            </w:r>
          </w:p>
        </w:tc>
      </w:tr>
      <w:tr>
        <w:trPr>
          <w:trHeight w:val="33"/>
        </w:trPr>
        <w:tc>
          <w:tcPr>
            <w:tcW w:w="6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5"/>
        </w:trPr>
        <w:tc>
          <w:tcPr>
            <w:tcW w:w="64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Total intangible assets subject to amortization (accretion)</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237,088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(16,625)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220,463</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recognized $16.0 million and $17.7 million of net amortization of intangible assets for the three months ended March 31, 2019 and 2018, respectively, within operating expenses in the Consolidated Statement of Operations. These expenses relate to intangible assets and liabilities acquired as part of business combinations.</w:t>
      </w:r>
    </w:p>
    <w:p>
      <w:pPr>
        <w:spacing w:after="0" w:line="258"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6"/>
          <w:szCs w:val="16"/>
          <w:b w:val="1"/>
          <w:bCs w:val="1"/>
          <w:color w:val="auto"/>
        </w:rPr>
        <w:t>Goodwill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goodwill allocated to each reporting unit: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ind w:left="40"/>
              <w:spacing w:after="0"/>
              <w:rPr>
                <w:sz w:val="20"/>
                <w:szCs w:val="20"/>
                <w:color w:val="auto"/>
              </w:rPr>
            </w:pPr>
            <w:r>
              <w:rPr>
                <w:rFonts w:ascii="Arial" w:cs="Arial" w:eastAsia="Arial" w:hAnsi="Arial"/>
                <w:sz w:val="16"/>
                <w:szCs w:val="16"/>
                <w:i w:val="1"/>
                <w:iCs w:val="1"/>
                <w:color w:val="auto"/>
              </w:rPr>
              <w:t>In thousands</w:t>
            </w:r>
          </w:p>
        </w:tc>
        <w:tc>
          <w:tcPr>
            <w:tcW w:w="160" w:type="dxa"/>
            <w:vAlign w:val="bottom"/>
          </w:tcPr>
          <w:p>
            <w:pPr>
              <w:spacing w:after="0"/>
              <w:rPr>
                <w:sz w:val="18"/>
                <w:szCs w:val="18"/>
                <w:color w:val="auto"/>
              </w:rPr>
            </w:pPr>
          </w:p>
        </w:tc>
        <w:tc>
          <w:tcPr>
            <w:tcW w:w="1580" w:type="dxa"/>
            <w:vAlign w:val="bottom"/>
            <w:gridSpan w:val="2"/>
          </w:tcPr>
          <w:p>
            <w:pPr>
              <w:ind w:left="80"/>
              <w:spacing w:after="0"/>
              <w:rPr>
                <w:sz w:val="20"/>
                <w:szCs w:val="20"/>
                <w:color w:val="auto"/>
              </w:rPr>
            </w:pPr>
            <w:r>
              <w:rPr>
                <w:rFonts w:ascii="Arial" w:cs="Arial" w:eastAsia="Arial" w:hAnsi="Arial"/>
                <w:sz w:val="16"/>
                <w:szCs w:val="16"/>
                <w:b w:val="1"/>
                <w:bCs w:val="1"/>
                <w:color w:val="auto"/>
              </w:rPr>
              <w:t>Device Solutions</w:t>
            </w:r>
          </w:p>
        </w:tc>
        <w:tc>
          <w:tcPr>
            <w:tcW w:w="1720" w:type="dxa"/>
            <w:vAlign w:val="bottom"/>
            <w:gridSpan w:val="3"/>
          </w:tcPr>
          <w:p>
            <w:pPr>
              <w:ind w:left="80"/>
              <w:spacing w:after="0"/>
              <w:rPr>
                <w:sz w:val="20"/>
                <w:szCs w:val="20"/>
                <w:color w:val="auto"/>
              </w:rPr>
            </w:pPr>
            <w:r>
              <w:rPr>
                <w:rFonts w:ascii="Arial" w:cs="Arial" w:eastAsia="Arial" w:hAnsi="Arial"/>
                <w:sz w:val="16"/>
                <w:szCs w:val="16"/>
                <w:b w:val="1"/>
                <w:bCs w:val="1"/>
                <w:color w:val="auto"/>
              </w:rPr>
              <w:t>Networked Solutions</w:t>
            </w:r>
          </w:p>
        </w:tc>
        <w:tc>
          <w:tcPr>
            <w:tcW w:w="260" w:type="dxa"/>
            <w:vAlign w:val="bottom"/>
          </w:tcPr>
          <w:p>
            <w:pPr>
              <w:spacing w:after="0"/>
              <w:rPr>
                <w:sz w:val="18"/>
                <w:szCs w:val="18"/>
                <w:color w:val="auto"/>
              </w:rPr>
            </w:pPr>
          </w:p>
        </w:tc>
        <w:tc>
          <w:tcPr>
            <w:tcW w:w="1420" w:type="dxa"/>
            <w:vAlign w:val="bottom"/>
            <w:gridSpan w:val="2"/>
          </w:tcPr>
          <w:p>
            <w:pPr>
              <w:ind w:left="180"/>
              <w:spacing w:after="0"/>
              <w:rPr>
                <w:sz w:val="20"/>
                <w:szCs w:val="20"/>
                <w:color w:val="auto"/>
              </w:rPr>
            </w:pPr>
            <w:r>
              <w:rPr>
                <w:rFonts w:ascii="Arial" w:cs="Arial" w:eastAsia="Arial" w:hAnsi="Arial"/>
                <w:sz w:val="16"/>
                <w:szCs w:val="16"/>
                <w:b w:val="1"/>
                <w:bCs w:val="1"/>
                <w:color w:val="auto"/>
              </w:rPr>
              <w:t>Outcomes</w:t>
            </w:r>
          </w:p>
        </w:tc>
        <w:tc>
          <w:tcPr>
            <w:tcW w:w="180" w:type="dxa"/>
            <w:vAlign w:val="bottom"/>
          </w:tcPr>
          <w:p>
            <w:pPr>
              <w:spacing w:after="0"/>
              <w:rPr>
                <w:sz w:val="18"/>
                <w:szCs w:val="18"/>
                <w:color w:val="auto"/>
              </w:rPr>
            </w:pPr>
          </w:p>
        </w:tc>
        <w:tc>
          <w:tcPr>
            <w:tcW w:w="1400" w:type="dxa"/>
            <w:vAlign w:val="bottom"/>
          </w:tcPr>
          <w:p>
            <w:pPr>
              <w:jc w:val="right"/>
              <w:ind w:right="179"/>
              <w:spacing w:after="0"/>
              <w:rPr>
                <w:sz w:val="20"/>
                <w:szCs w:val="20"/>
                <w:color w:val="auto"/>
              </w:rPr>
            </w:pPr>
            <w:r>
              <w:rPr>
                <w:rFonts w:ascii="Arial" w:cs="Arial" w:eastAsia="Arial" w:hAnsi="Arial"/>
                <w:sz w:val="16"/>
                <w:szCs w:val="16"/>
                <w:b w:val="1"/>
                <w:bCs w:val="1"/>
                <w:color w:val="auto"/>
                <w:w w:val="96"/>
              </w:rPr>
              <w:t>Total Company</w:t>
            </w:r>
          </w:p>
        </w:tc>
      </w:tr>
      <w:tr>
        <w:trPr>
          <w:trHeight w:val="33"/>
        </w:trPr>
        <w:tc>
          <w:tcPr>
            <w:tcW w:w="47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 balance at January 1, 2019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55,259</w:t>
            </w: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918,495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142,779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1,116,533</w:t>
            </w:r>
          </w:p>
        </w:tc>
      </w:tr>
      <w:tr>
        <w:trPr>
          <w:trHeight w:val="297"/>
        </w:trPr>
        <w:tc>
          <w:tcPr>
            <w:tcW w:w="4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Measurement period adjustments to goodwill acquired</w:t>
            </w:r>
          </w:p>
        </w:tc>
        <w:tc>
          <w:tcPr>
            <w:tcW w:w="1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(4,938)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(5,978)</w:t>
            </w:r>
          </w:p>
        </w:tc>
      </w:tr>
      <w:tr>
        <w:trPr>
          <w:trHeight w:val="237"/>
        </w:trPr>
        <w:tc>
          <w:tcPr>
            <w:tcW w:w="4700" w:type="dxa"/>
            <w:vAlign w:val="bottom"/>
          </w:tcPr>
          <w:p>
            <w:pPr>
              <w:ind w:left="380"/>
              <w:spacing w:after="0"/>
              <w:rPr>
                <w:sz w:val="20"/>
                <w:szCs w:val="20"/>
                <w:color w:val="auto"/>
              </w:rPr>
            </w:pPr>
            <w:r>
              <w:rPr>
                <w:rFonts w:ascii="Arial" w:cs="Arial" w:eastAsia="Arial" w:hAnsi="Arial"/>
                <w:sz w:val="16"/>
                <w:szCs w:val="16"/>
                <w:color w:val="auto"/>
              </w:rPr>
              <w:t>Effect of change in exchange rates</w:t>
            </w: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(210)</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(3,496)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(544)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(4,250)</w:t>
            </w:r>
          </w:p>
        </w:tc>
      </w:tr>
      <w:tr>
        <w:trPr>
          <w:trHeight w:val="33"/>
        </w:trPr>
        <w:tc>
          <w:tcPr>
            <w:tcW w:w="4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91"/>
        </w:trPr>
        <w:tc>
          <w:tcPr>
            <w:tcW w:w="47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r>
      <w:tr>
        <w:trPr>
          <w:trHeight w:val="224"/>
        </w:trPr>
        <w:tc>
          <w:tcPr>
            <w:tcW w:w="4700" w:type="dxa"/>
            <w:vAlign w:val="bottom"/>
          </w:tcPr>
          <w:p>
            <w:pPr>
              <w:ind w:left="40"/>
              <w:spacing w:after="0"/>
              <w:rPr>
                <w:sz w:val="20"/>
                <w:szCs w:val="20"/>
                <w:color w:val="auto"/>
              </w:rPr>
            </w:pPr>
            <w:r>
              <w:rPr>
                <w:rFonts w:ascii="Arial" w:cs="Arial" w:eastAsia="Arial" w:hAnsi="Arial"/>
                <w:sz w:val="16"/>
                <w:szCs w:val="16"/>
                <w:color w:val="auto"/>
              </w:rPr>
              <w:t>Goodwill balance at March 31, 2019</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55,049</w:t>
            </w:r>
          </w:p>
        </w:tc>
        <w:tc>
          <w:tcPr>
            <w:tcW w:w="120" w:type="dxa"/>
            <w:vAlign w:val="bottom"/>
          </w:tcPr>
          <w:p>
            <w:pPr>
              <w:spacing w:after="0"/>
              <w:rPr>
                <w:sz w:val="19"/>
                <w:szCs w:val="19"/>
                <w:color w:val="auto"/>
              </w:rPr>
            </w:pP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910,061</w:t>
            </w:r>
          </w:p>
        </w:tc>
        <w:tc>
          <w:tcPr>
            <w:tcW w:w="12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141,195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1,106,305</w:t>
            </w:r>
          </w:p>
        </w:tc>
      </w:tr>
      <w:tr>
        <w:trPr>
          <w:trHeight w:val="33"/>
        </w:trPr>
        <w:tc>
          <w:tcPr>
            <w:tcW w:w="47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
        </w:trPr>
        <w:tc>
          <w:tcPr>
            <w:tcW w:w="4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Silver Spring Networks, Inc. Acquisition</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On January 5, 2018, we completed the acquisition of SSNI by purchasing 100% of SSNI's outstanding stock. The acquisition was financed through incremental borrowings and cash on hand. Refer to "Note 6: Debt" for further discussion of our debt. SSNI provided smart network and data platform solutions for electricity, gas, water and smart cities including advanced metering, distribution automation, demand-side management, and street lights.</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fair values for the identified trademarks and core-developed technology intangible assets were estimated using the relief from royalty method. The fair value of customer contract and relationship were estimated using the income approach. The IPR&amp;D was valued utilizing the replacement cost method. These consolidated financial statements should be read in conjunction with the audited financial statements and notes included in our 2018 Annual Report on Form 10-K filed with the SEC on February 28, 2019.</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purchase price of SSNI was $809.2 million, which is net of $97.8 million of acquired cash and cash equivalents. Of the total consideration, $802.5 million was paid in cash. The remaining $6.7 million relates to the fair value of pre-acquisition service for replacement awards of unvested SSNI options and restricted stock unit awards with an Itron equivalent award. We allocated the purchase price to the assets acquired and liabilities assumed based on estimated fair value assessments. During the three months ended March 31, 2019, we recognized additional contract assets totaling $8.0 million and additional deferred tax liabilities of $2.0 million, for a net reduction in goodwill of $6.0 million. As of the first quarter of 2019, the measurement period for the acquisition of SSNI is complete, and any further adjustments to assets acquired or liabilities assumed will be recognized through the Consolidated Statement of Operations.</w:t>
      </w:r>
    </w:p>
    <w:p>
      <w:pPr>
        <w:spacing w:after="0" w:line="161"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7"/>
          <w:szCs w:val="17"/>
          <w:b w:val="1"/>
          <w:bCs w:val="1"/>
          <w:color w:val="auto"/>
        </w:rPr>
        <w:t>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our borrowings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ind w:left="40"/>
              <w:spacing w:after="0"/>
              <w:rPr>
                <w:sz w:val="20"/>
                <w:szCs w:val="20"/>
                <w:color w:val="auto"/>
              </w:rPr>
            </w:pPr>
            <w:r>
              <w:rPr>
                <w:rFonts w:ascii="Arial" w:cs="Arial" w:eastAsia="Arial" w:hAnsi="Arial"/>
                <w:sz w:val="16"/>
                <w:szCs w:val="16"/>
                <w:i w:val="1"/>
                <w:iCs w:val="1"/>
                <w:color w:val="auto"/>
              </w:rPr>
              <w:t>In thousands</w:t>
            </w:r>
          </w:p>
        </w:tc>
        <w:tc>
          <w:tcPr>
            <w:tcW w:w="360" w:type="dxa"/>
            <w:vAlign w:val="bottom"/>
          </w:tcPr>
          <w:p>
            <w:pPr>
              <w:spacing w:after="0"/>
              <w:rPr>
                <w:sz w:val="18"/>
                <w:szCs w:val="18"/>
                <w:color w:val="auto"/>
              </w:rPr>
            </w:pPr>
          </w:p>
        </w:tc>
        <w:tc>
          <w:tcPr>
            <w:tcW w:w="2060" w:type="dxa"/>
            <w:vAlign w:val="bottom"/>
            <w:gridSpan w:val="2"/>
          </w:tcPr>
          <w:p>
            <w:pPr>
              <w:ind w:left="260"/>
              <w:spacing w:after="0"/>
              <w:rPr>
                <w:sz w:val="20"/>
                <w:szCs w:val="20"/>
                <w:color w:val="auto"/>
              </w:rPr>
            </w:pPr>
            <w:r>
              <w:rPr>
                <w:rFonts w:ascii="Arial" w:cs="Arial" w:eastAsia="Arial" w:hAnsi="Arial"/>
                <w:sz w:val="16"/>
                <w:szCs w:val="16"/>
                <w:b w:val="1"/>
                <w:bCs w:val="1"/>
                <w:color w:val="auto"/>
              </w:rPr>
              <w:t>March 31, 2019</w:t>
            </w:r>
          </w:p>
        </w:tc>
        <w:tc>
          <w:tcPr>
            <w:tcW w:w="280" w:type="dxa"/>
            <w:vAlign w:val="bottom"/>
          </w:tcPr>
          <w:p>
            <w:pPr>
              <w:spacing w:after="0"/>
              <w:rPr>
                <w:sz w:val="18"/>
                <w:szCs w:val="18"/>
                <w:color w:val="auto"/>
              </w:rPr>
            </w:pPr>
          </w:p>
        </w:tc>
        <w:tc>
          <w:tcPr>
            <w:tcW w:w="1980" w:type="dxa"/>
            <w:vAlign w:val="bottom"/>
          </w:tcPr>
          <w:p>
            <w:pPr>
              <w:jc w:val="right"/>
              <w:ind w:right="399"/>
              <w:spacing w:after="0"/>
              <w:rPr>
                <w:sz w:val="20"/>
                <w:szCs w:val="20"/>
                <w:color w:val="auto"/>
              </w:rPr>
            </w:pPr>
            <w:r>
              <w:rPr>
                <w:rFonts w:ascii="Arial" w:cs="Arial" w:eastAsia="Arial" w:hAnsi="Arial"/>
                <w:sz w:val="16"/>
                <w:szCs w:val="16"/>
                <w:b w:val="1"/>
                <w:bCs w:val="1"/>
                <w:color w:val="auto"/>
              </w:rPr>
              <w:t>December 31, 2018</w:t>
            </w:r>
          </w:p>
        </w:tc>
      </w:tr>
      <w:tr>
        <w:trPr>
          <w:trHeight w:val="33"/>
        </w:trPr>
        <w:tc>
          <w:tcPr>
            <w:tcW w:w="6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ind w:left="520"/>
              <w:spacing w:after="0"/>
              <w:rPr>
                <w:sz w:val="20"/>
                <w:szCs w:val="20"/>
                <w:color w:val="auto"/>
              </w:rPr>
            </w:pPr>
            <w:r>
              <w:rPr>
                <w:rFonts w:ascii="Arial" w:cs="Arial" w:eastAsia="Arial" w:hAnsi="Arial"/>
                <w:sz w:val="16"/>
                <w:szCs w:val="16"/>
                <w:color w:val="auto"/>
              </w:rPr>
              <w:t>Credit facility:</w:t>
            </w:r>
          </w:p>
        </w:tc>
        <w:tc>
          <w:tcPr>
            <w:tcW w:w="3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47"/>
        </w:trPr>
        <w:tc>
          <w:tcPr>
            <w:tcW w:w="67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980" w:type="dxa"/>
            <w:vAlign w:val="bottom"/>
          </w:tcPr>
          <w:p>
            <w:pPr>
              <w:spacing w:after="0"/>
              <w:rPr>
                <w:sz w:val="4"/>
                <w:szCs w:val="4"/>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USD denominated term loan</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623,750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637,813</w:t>
            </w:r>
          </w:p>
        </w:tc>
      </w:tr>
      <w:tr>
        <w:trPr>
          <w:trHeight w:val="224"/>
        </w:trPr>
        <w:tc>
          <w:tcPr>
            <w:tcW w:w="6740" w:type="dxa"/>
            <w:vAlign w:val="bottom"/>
          </w:tcPr>
          <w:p>
            <w:pPr>
              <w:ind w:left="280"/>
              <w:spacing w:after="0"/>
              <w:rPr>
                <w:sz w:val="20"/>
                <w:szCs w:val="20"/>
                <w:color w:val="auto"/>
              </w:rPr>
            </w:pPr>
            <w:r>
              <w:rPr>
                <w:rFonts w:ascii="Arial" w:cs="Arial" w:eastAsia="Arial" w:hAnsi="Arial"/>
                <w:sz w:val="16"/>
                <w:szCs w:val="16"/>
                <w:color w:val="auto"/>
              </w:rPr>
              <w:t>Multicurrency revolving line of credit</w:t>
            </w:r>
          </w:p>
        </w:tc>
        <w:tc>
          <w:tcPr>
            <w:tcW w:w="360" w:type="dxa"/>
            <w:vAlign w:val="bottom"/>
          </w:tcPr>
          <w:p>
            <w:pPr>
              <w:spacing w:after="0"/>
              <w:rPr>
                <w:sz w:val="19"/>
                <w:szCs w:val="19"/>
                <w:color w:val="auto"/>
              </w:rPr>
            </w:pPr>
          </w:p>
        </w:tc>
        <w:tc>
          <w:tcPr>
            <w:tcW w:w="2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19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47"/>
        </w:trPr>
        <w:tc>
          <w:tcPr>
            <w:tcW w:w="67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980" w:type="dxa"/>
            <w:vAlign w:val="bottom"/>
          </w:tcPr>
          <w:p>
            <w:pPr>
              <w:spacing w:after="0"/>
              <w:rPr>
                <w:sz w:val="4"/>
                <w:szCs w:val="4"/>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Senior notes</w:t>
            </w:r>
          </w:p>
        </w:tc>
        <w:tc>
          <w:tcPr>
            <w:tcW w:w="36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400,000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400,000</w:t>
            </w:r>
          </w:p>
        </w:tc>
      </w:tr>
      <w:tr>
        <w:trPr>
          <w:trHeight w:val="217"/>
        </w:trPr>
        <w:tc>
          <w:tcPr>
            <w:tcW w:w="6740" w:type="dxa"/>
            <w:vAlign w:val="bottom"/>
          </w:tcPr>
          <w:p>
            <w:pPr>
              <w:ind w:left="380"/>
              <w:spacing w:after="0"/>
              <w:rPr>
                <w:sz w:val="20"/>
                <w:szCs w:val="20"/>
                <w:color w:val="auto"/>
              </w:rPr>
            </w:pPr>
            <w:r>
              <w:rPr>
                <w:rFonts w:ascii="Arial" w:cs="Arial" w:eastAsia="Arial" w:hAnsi="Arial"/>
                <w:sz w:val="16"/>
                <w:szCs w:val="16"/>
                <w:color w:val="auto"/>
              </w:rPr>
              <w:t>Total debt</w:t>
            </w:r>
          </w:p>
        </w:tc>
        <w:tc>
          <w:tcPr>
            <w:tcW w:w="360" w:type="dxa"/>
            <w:vAlign w:val="bottom"/>
            <w:tcBorders>
              <w:top w:val="single" w:sz="8" w:color="auto"/>
            </w:tcBorders>
          </w:tcPr>
          <w:p>
            <w:pPr>
              <w:spacing w:after="0"/>
              <w:rPr>
                <w:sz w:val="18"/>
                <w:szCs w:val="18"/>
                <w:color w:val="auto"/>
              </w:rPr>
            </w:pPr>
          </w:p>
        </w:tc>
        <w:tc>
          <w:tcPr>
            <w:tcW w:w="1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1,023,750</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1,037,813</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Less: current portion of debt</w:t>
            </w:r>
          </w:p>
        </w:tc>
        <w:tc>
          <w:tcPr>
            <w:tcW w:w="36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22,500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28,438</w:t>
            </w:r>
          </w:p>
        </w:tc>
      </w:tr>
      <w:tr>
        <w:trPr>
          <w:trHeight w:val="237"/>
        </w:trPr>
        <w:tc>
          <w:tcPr>
            <w:tcW w:w="6740" w:type="dxa"/>
            <w:vAlign w:val="bottom"/>
          </w:tcPr>
          <w:p>
            <w:pPr>
              <w:ind w:left="520"/>
              <w:spacing w:after="0"/>
              <w:rPr>
                <w:sz w:val="20"/>
                <w:szCs w:val="20"/>
                <w:color w:val="auto"/>
              </w:rPr>
            </w:pPr>
            <w:r>
              <w:rPr>
                <w:rFonts w:ascii="Arial" w:cs="Arial" w:eastAsia="Arial" w:hAnsi="Arial"/>
                <w:sz w:val="16"/>
                <w:szCs w:val="16"/>
                <w:color w:val="auto"/>
              </w:rPr>
              <w:t>Less: unamortized prepaid debt fees - term loan</w:t>
            </w:r>
          </w:p>
        </w:tc>
        <w:tc>
          <w:tcPr>
            <w:tcW w:w="360" w:type="dxa"/>
            <w:vAlign w:val="bottom"/>
          </w:tcPr>
          <w:p>
            <w:pPr>
              <w:spacing w:after="0"/>
              <w:rPr>
                <w:sz w:val="20"/>
                <w:szCs w:val="20"/>
                <w:color w:val="auto"/>
              </w:rPr>
            </w:pPr>
          </w:p>
        </w:tc>
        <w:tc>
          <w:tcPr>
            <w:tcW w:w="1940" w:type="dxa"/>
            <w:vAlign w:val="bottom"/>
          </w:tcPr>
          <w:p>
            <w:pPr>
              <w:jc w:val="right"/>
              <w:ind w:right="19"/>
              <w:spacing w:after="0"/>
              <w:rPr>
                <w:sz w:val="20"/>
                <w:szCs w:val="20"/>
                <w:color w:val="auto"/>
              </w:rPr>
            </w:pPr>
            <w:r>
              <w:rPr>
                <w:rFonts w:ascii="Arial" w:cs="Arial" w:eastAsia="Arial" w:hAnsi="Arial"/>
                <w:sz w:val="16"/>
                <w:szCs w:val="16"/>
                <w:color w:val="auto"/>
              </w:rPr>
              <w:t>4,512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80" w:type="dxa"/>
            <w:vAlign w:val="bottom"/>
          </w:tcPr>
          <w:p>
            <w:pPr>
              <w:jc w:val="right"/>
              <w:ind w:right="19"/>
              <w:spacing w:after="0"/>
              <w:rPr>
                <w:sz w:val="20"/>
                <w:szCs w:val="20"/>
                <w:color w:val="auto"/>
              </w:rPr>
            </w:pPr>
            <w:r>
              <w:rPr>
                <w:rFonts w:ascii="Arial" w:cs="Arial" w:eastAsia="Arial" w:hAnsi="Arial"/>
                <w:sz w:val="16"/>
                <w:szCs w:val="16"/>
                <w:color w:val="auto"/>
              </w:rPr>
              <w:t>4,859</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Less: unamortized prepaid debt fees - senior notes</w:t>
            </w:r>
          </w:p>
        </w:tc>
        <w:tc>
          <w:tcPr>
            <w:tcW w:w="36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15,759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16,331</w:t>
            </w:r>
          </w:p>
        </w:tc>
      </w:tr>
      <w:tr>
        <w:trPr>
          <w:trHeight w:val="217"/>
        </w:trPr>
        <w:tc>
          <w:tcPr>
            <w:tcW w:w="6740" w:type="dxa"/>
            <w:vAlign w:val="bottom"/>
          </w:tcPr>
          <w:p>
            <w:pPr>
              <w:ind w:left="380"/>
              <w:spacing w:after="0"/>
              <w:rPr>
                <w:sz w:val="20"/>
                <w:szCs w:val="20"/>
                <w:color w:val="auto"/>
              </w:rPr>
            </w:pPr>
            <w:r>
              <w:rPr>
                <w:rFonts w:ascii="Arial" w:cs="Arial" w:eastAsia="Arial" w:hAnsi="Arial"/>
                <w:sz w:val="16"/>
                <w:szCs w:val="16"/>
                <w:color w:val="auto"/>
              </w:rPr>
              <w:t>Long-term debt</w:t>
            </w: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980,979</w:t>
            </w:r>
          </w:p>
        </w:tc>
        <w:tc>
          <w:tcPr>
            <w:tcW w:w="120" w:type="dxa"/>
            <w:vAlign w:val="bottom"/>
          </w:tcPr>
          <w:p>
            <w:pPr>
              <w:spacing w:after="0"/>
              <w:rPr>
                <w:sz w:val="18"/>
                <w:szCs w:val="18"/>
                <w:color w:val="auto"/>
              </w:rPr>
            </w:pP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988,185</w:t>
            </w:r>
          </w:p>
        </w:tc>
      </w:tr>
      <w:tr>
        <w:trPr>
          <w:trHeight w:val="33"/>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Credit Facility</w:t>
      </w:r>
    </w:p>
    <w:p>
      <w:pPr>
        <w:spacing w:after="0" w:line="2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January 5, 2018, we entered into a credit agreement providing for committed credit facilities in the amount of $1.2 billion U.S. dollars (the 2018 credit facility), which amended and restated in its entirety our credit agreement dated June 23, 2015 and replaced committed facilities in the amount of $725 million. The 2018 credit facility consists of a $650 million U.S. dollar term loan (the term loan) and a multicurrency revolving line of credit (the revolver) with a principal amount of up to $500 million. The revolver also contains a $300 million standby letter of credit sub-facility and a $50 million swingline sub-facility. Both the term loan and the revolver mature on January 5, 2023 and can be repaid without penalty. Amounts repaid on the term loan may not be reborrowed and amounts borrowed under the revolver may be repaid and reborrowed until the revolver's maturity, at which time all outstanding loans together with all accrued and unpaid interest must be repaid. Amounts not borrowed under the revolver are subject to a commitment fee, which is paid in arrears on the last day of each fiscal quarter, ranging from 0.18% to 0.35% per annum depending on our total leverage ratio as of the most recently ended fiscal quarter.</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2018 credit facility permits us and certain of our foreign subsidiaries to borrow in U.S. dollars, euros, British pounds, or, with lender approval, other currencies readily convertible into U.S. dollars. All obligations under the 2018 credit facility are guaranteed by Itron, Inc. and material U.S. domestic subsidiaries and are secured by a pledge of substantially all of the assets of Itron, Inc. and material U.S. domestic subsidiaries, including a pledge of their related assets. This includes a pledge of 100% of the capital stock of material U.S. domestic subsidiaries and up to 66% of the voting stock (100% of the non-voting stock) of first-tier foreign subsidiaries. In addition, the obligations of any foreign subsidiary who is a foreign borrower, as defined by the 2018 credit facility, are guaranteed by the foreign subsidiary and by its direct and indirect foreign parents. The 2018 credit facility includes debt covenants, which contain certain financial thresholds and place certain restrictions on the incurrence of debt, investments, and the issuance of dividends. We were in compliance with the debt covenants under the 2018 credit facility at March 31, 2019.</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Under the 2018 credit facility, we elect applicable market interest rates for both the term loan and any outstanding revolving loans. We also pay an applicable margin, which is based on our total leverage ratio as defined in the credit agreement. The applicable rates per annum may be based on either: (1) the LIBOR rate or EURIBOR rate (subject to a floor of 0%), plus an applicable margin, or (2) the Alternate Base Rate, plus an applicable margin. The Alternate Base Rate election is equal to the greatest of three rates: (i) the prime rate, (ii) the Federal Reserve effective rate plus 0.50%, or (iii) one-month LIBOR plus 1.00%. At March 31, 2019, the interest rate for both the term loan and revolver was 4.50%, which includes the LIBOR rate plus a margin of 2.00%.</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Senior Notes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December 22, 2017 and January 19, 2018, we issued $300 million and $100 million, respectively, of aggregate principal amount of 5.00% senior notes maturing January 15, 2026 (Notes). The proceeds were used to refinance existing indebtedness related to the acquisition of SSNI, pay related fees and expenses, and for general corporate purposes. Interest on the Notes is payable semi-annually in arrears on January 15 and July 15, commencing on July 15, 2018. The Notes are fully and unconditionally guaranteed, jointly and severally, on a senior unsecured basis by each of our subsidiaries that guarantee the senior credit facilities.</w:t>
      </w:r>
    </w:p>
    <w:p>
      <w:pPr>
        <w:spacing w:after="0" w:line="19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Prior to maturity we may redeem some or all of the Notes, together with accrued and unpaid interest, if any, plus a "make-whole" premium. On or after January 15, 2021, we may redeem some or all of the Notes at any time at declining redemption prices equal to 102.50% beginning on January 15, 2021, 101.25% beginning on January 15, 2022 and 100.00% beginning on January15, 2023 and thereafter to the applicable redemption date. In addition, before January 15, 2021, and subject to certain conditions, we may redeem up to 35% of the aggregate principal amount of Notes with the net proceeds of certain equity offerings at 105.00% of the principal amount thereof to the date of redemption; provided that (i) at least 65% of the aggregate principal amount of Notes remains outstanding after such redemption and (ii) the redemption occurs within 60 days of the closing of any such equity offering.</w:t>
      </w:r>
    </w:p>
    <w:p>
      <w:pPr>
        <w:spacing w:after="0" w:line="16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Debt Maturities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amount of required minimum principal payments on our long-term debt in aggregate over the next five years, are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480" w:type="dxa"/>
            <w:vAlign w:val="bottom"/>
            <w:gridSpan w:val="2"/>
          </w:tcPr>
          <w:p>
            <w:pPr>
              <w:ind w:left="40"/>
              <w:spacing w:after="0"/>
              <w:rPr>
                <w:sz w:val="20"/>
                <w:szCs w:val="20"/>
                <w:color w:val="auto"/>
              </w:rPr>
            </w:pPr>
            <w:r>
              <w:rPr>
                <w:rFonts w:ascii="Arial" w:cs="Arial" w:eastAsia="Arial" w:hAnsi="Arial"/>
                <w:sz w:val="16"/>
                <w:szCs w:val="16"/>
                <w:b w:val="1"/>
                <w:bCs w:val="1"/>
                <w:color w:val="auto"/>
              </w:rPr>
              <w:t>Year Ending December 31,</w:t>
            </w:r>
          </w:p>
        </w:tc>
        <w:tc>
          <w:tcPr>
            <w:tcW w:w="200" w:type="dxa"/>
            <w:vAlign w:val="bottom"/>
          </w:tcPr>
          <w:p>
            <w:pPr>
              <w:spacing w:after="0"/>
              <w:rPr>
                <w:sz w:val="18"/>
                <w:szCs w:val="18"/>
                <w:color w:val="auto"/>
              </w:rPr>
            </w:pPr>
          </w:p>
        </w:tc>
        <w:tc>
          <w:tcPr>
            <w:tcW w:w="1740" w:type="dxa"/>
            <w:vAlign w:val="bottom"/>
          </w:tcPr>
          <w:p>
            <w:pPr>
              <w:jc w:val="right"/>
              <w:ind w:right="179"/>
              <w:spacing w:after="0"/>
              <w:rPr>
                <w:sz w:val="20"/>
                <w:szCs w:val="20"/>
                <w:color w:val="auto"/>
              </w:rPr>
            </w:pPr>
            <w:r>
              <w:rPr>
                <w:rFonts w:ascii="Arial" w:cs="Arial" w:eastAsia="Arial" w:hAnsi="Arial"/>
                <w:sz w:val="16"/>
                <w:szCs w:val="16"/>
                <w:b w:val="1"/>
                <w:bCs w:val="1"/>
                <w:color w:val="auto"/>
                <w:w w:val="97"/>
              </w:rPr>
              <w:t>Minimum Payments</w:t>
            </w:r>
          </w:p>
        </w:tc>
      </w:tr>
      <w:tr>
        <w:trPr>
          <w:trHeight w:val="33"/>
        </w:trPr>
        <w:tc>
          <w:tcPr>
            <w:tcW w:w="9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31"/>
        </w:trPr>
        <w:tc>
          <w:tcPr>
            <w:tcW w:w="948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w:t>
            </w: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33"/>
        </w:trPr>
        <w:tc>
          <w:tcPr>
            <w:tcW w:w="9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9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2019 (amount remaining at March 31, 2019)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14,375</w:t>
            </w:r>
          </w:p>
        </w:tc>
      </w:tr>
      <w:tr>
        <w:trPr>
          <w:trHeight w:val="237"/>
        </w:trPr>
        <w:tc>
          <w:tcPr>
            <w:tcW w:w="9360" w:type="dxa"/>
            <w:vAlign w:val="bottom"/>
          </w:tcPr>
          <w:p>
            <w:pPr>
              <w:ind w:left="40"/>
              <w:spacing w:after="0"/>
              <w:rPr>
                <w:sz w:val="20"/>
                <w:szCs w:val="20"/>
                <w:color w:val="auto"/>
              </w:rPr>
            </w:pPr>
            <w:r>
              <w:rPr>
                <w:rFonts w:ascii="Arial" w:cs="Arial" w:eastAsia="Arial" w:hAnsi="Arial"/>
                <w:sz w:val="16"/>
                <w:szCs w:val="16"/>
                <w:color w:val="auto"/>
              </w:rPr>
              <w:t>2020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jc w:val="right"/>
              <w:ind w:right="19"/>
              <w:spacing w:after="0"/>
              <w:rPr>
                <w:sz w:val="20"/>
                <w:szCs w:val="20"/>
                <w:color w:val="auto"/>
              </w:rPr>
            </w:pPr>
            <w:r>
              <w:rPr>
                <w:rFonts w:ascii="Arial" w:cs="Arial" w:eastAsia="Arial" w:hAnsi="Arial"/>
                <w:sz w:val="16"/>
                <w:szCs w:val="16"/>
                <w:color w:val="auto"/>
              </w:rPr>
              <w:t>44,688</w:t>
            </w:r>
          </w:p>
        </w:tc>
      </w:tr>
      <w:tr>
        <w:trPr>
          <w:trHeight w:val="33"/>
        </w:trPr>
        <w:tc>
          <w:tcPr>
            <w:tcW w:w="9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60,937</w:t>
            </w:r>
          </w:p>
        </w:tc>
      </w:tr>
      <w:tr>
        <w:trPr>
          <w:trHeight w:val="237"/>
        </w:trPr>
        <w:tc>
          <w:tcPr>
            <w:tcW w:w="9360" w:type="dxa"/>
            <w:vAlign w:val="bottom"/>
          </w:tcPr>
          <w:p>
            <w:pPr>
              <w:ind w:left="40"/>
              <w:spacing w:after="0"/>
              <w:rPr>
                <w:sz w:val="20"/>
                <w:szCs w:val="20"/>
                <w:color w:val="auto"/>
              </w:rPr>
            </w:pPr>
            <w:r>
              <w:rPr>
                <w:rFonts w:ascii="Arial" w:cs="Arial" w:eastAsia="Arial" w:hAnsi="Arial"/>
                <w:sz w:val="16"/>
                <w:szCs w:val="16"/>
                <w:color w:val="auto"/>
              </w:rPr>
              <w:t>2022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jc w:val="right"/>
              <w:ind w:right="19"/>
              <w:spacing w:after="0"/>
              <w:rPr>
                <w:sz w:val="20"/>
                <w:szCs w:val="20"/>
                <w:color w:val="auto"/>
              </w:rPr>
            </w:pPr>
            <w:r>
              <w:rPr>
                <w:rFonts w:ascii="Arial" w:cs="Arial" w:eastAsia="Arial" w:hAnsi="Arial"/>
                <w:sz w:val="16"/>
                <w:szCs w:val="16"/>
                <w:color w:val="auto"/>
              </w:rPr>
              <w:t>65,000</w:t>
            </w:r>
          </w:p>
        </w:tc>
      </w:tr>
      <w:tr>
        <w:trPr>
          <w:trHeight w:val="33"/>
        </w:trPr>
        <w:tc>
          <w:tcPr>
            <w:tcW w:w="9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438,750</w:t>
            </w:r>
          </w:p>
        </w:tc>
      </w:tr>
      <w:tr>
        <w:trPr>
          <w:trHeight w:val="237"/>
        </w:trPr>
        <w:tc>
          <w:tcPr>
            <w:tcW w:w="9360" w:type="dxa"/>
            <w:vAlign w:val="bottom"/>
          </w:tcPr>
          <w:p>
            <w:pPr>
              <w:ind w:left="40"/>
              <w:spacing w:after="0"/>
              <w:rPr>
                <w:sz w:val="20"/>
                <w:szCs w:val="20"/>
                <w:color w:val="auto"/>
              </w:rPr>
            </w:pPr>
            <w:r>
              <w:rPr>
                <w:rFonts w:ascii="Arial" w:cs="Arial" w:eastAsia="Arial" w:hAnsi="Arial"/>
                <w:sz w:val="16"/>
                <w:szCs w:val="16"/>
                <w:color w:val="auto"/>
              </w:rPr>
              <w:t>2024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9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4"/>
        </w:trPr>
        <w:tc>
          <w:tcPr>
            <w:tcW w:w="94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Total minimum payments on debt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623,750</w:t>
            </w:r>
          </w:p>
        </w:tc>
      </w:tr>
      <w:tr>
        <w:trPr>
          <w:trHeight w:val="20"/>
        </w:trPr>
        <w:tc>
          <w:tcPr>
            <w:tcW w:w="9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6"/>
          <w:szCs w:val="16"/>
          <w:b w:val="1"/>
          <w:bCs w:val="1"/>
          <w:color w:val="auto"/>
        </w:rPr>
        <w:t>Derivative Financial Instruments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As part of our risk management strategy, we use derivative instruments to hedge certain foreign currency and interest rate exposures. Refer to "Note 13:</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Shareholder's Equity" and "Note 14: Fair Values of Financial Instruments" for additional disclosures on our derivative instruments.</w:t>
      </w:r>
    </w:p>
    <w:p>
      <w:pPr>
        <w:spacing w:after="0" w:line="21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fair values of our derivative instruments are determined using the income approach and significant other observable inputs (also known as "Level 2"). We have used observable market inputs based on the type of derivative and the nature of the underlying instrument. The key inputs include interest rate yield curves (swap rates and futures) and foreign exchange spot and forward rates, all of which are available in an active market. We have utilized the mid-market pricing convention for these inputs. We include, as a discount to the derivative asset, the effect of our counterparty credit risk based on current published credit default swap rates when the net fair value of our derivative instruments is in a net asset position. We consider our own nonperformance risk when the net fair value of our derivative instruments is in a net liability position by discounting our derivative liabilities to reflect the potential credit risk to our counterparty through applying a current market indicative credit spread to all cash flows.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our derivative instruments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0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0" w:type="dxa"/>
            <w:vAlign w:val="bottom"/>
            <w:gridSpan w:val="3"/>
          </w:tcPr>
          <w:p>
            <w:pPr>
              <w:jc w:val="right"/>
              <w:spacing w:after="0"/>
              <w:rPr>
                <w:sz w:val="20"/>
                <w:szCs w:val="20"/>
                <w:color w:val="auto"/>
              </w:rPr>
            </w:pPr>
            <w:r>
              <w:rPr>
                <w:rFonts w:ascii="Arial" w:cs="Arial" w:eastAsia="Arial" w:hAnsi="Arial"/>
                <w:sz w:val="16"/>
                <w:szCs w:val="16"/>
                <w:b w:val="1"/>
                <w:bCs w:val="1"/>
                <w:color w:val="auto"/>
              </w:rPr>
              <w:t>Fair Value</w:t>
            </w:r>
          </w:p>
        </w:tc>
        <w:tc>
          <w:tcPr>
            <w:tcW w:w="1700" w:type="dxa"/>
            <w:vAlign w:val="bottom"/>
          </w:tcPr>
          <w:p>
            <w:pPr>
              <w:spacing w:after="0"/>
              <w:rPr>
                <w:sz w:val="18"/>
                <w:szCs w:val="18"/>
                <w:color w:val="auto"/>
              </w:rPr>
            </w:pPr>
          </w:p>
        </w:tc>
      </w:tr>
      <w:tr>
        <w:trPr>
          <w:trHeight w:val="33"/>
        </w:trPr>
        <w:tc>
          <w:tcPr>
            <w:tcW w:w="3500" w:type="dxa"/>
            <w:vAlign w:val="bottom"/>
          </w:tcPr>
          <w:p>
            <w:pPr>
              <w:spacing w:after="0"/>
              <w:rPr>
                <w:sz w:val="2"/>
                <w:szCs w:val="2"/>
                <w:color w:val="auto"/>
              </w:rPr>
            </w:pPr>
          </w:p>
        </w:tc>
        <w:tc>
          <w:tcPr>
            <w:tcW w:w="3740" w:type="dxa"/>
            <w:vAlign w:val="bottom"/>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31"/>
        </w:trPr>
        <w:tc>
          <w:tcPr>
            <w:tcW w:w="3500" w:type="dxa"/>
            <w:vAlign w:val="bottom"/>
          </w:tcPr>
          <w:p>
            <w:pPr>
              <w:ind w:left="40"/>
              <w:spacing w:after="0"/>
              <w:rPr>
                <w:sz w:val="20"/>
                <w:szCs w:val="20"/>
                <w:color w:val="auto"/>
              </w:rPr>
            </w:pPr>
            <w:r>
              <w:rPr>
                <w:rFonts w:ascii="Arial" w:cs="Arial" w:eastAsia="Arial" w:hAnsi="Arial"/>
                <w:sz w:val="16"/>
                <w:szCs w:val="16"/>
                <w:b w:val="1"/>
                <w:bCs w:val="1"/>
                <w:color w:val="auto"/>
              </w:rPr>
              <w:t>Derivative Assets</w:t>
            </w:r>
          </w:p>
        </w:tc>
        <w:tc>
          <w:tcPr>
            <w:tcW w:w="3740" w:type="dxa"/>
            <w:vAlign w:val="bottom"/>
            <w:gridSpan w:val="2"/>
          </w:tcPr>
          <w:p>
            <w:pPr>
              <w:ind w:left="1000"/>
              <w:spacing w:after="0"/>
              <w:rPr>
                <w:sz w:val="20"/>
                <w:szCs w:val="20"/>
                <w:color w:val="auto"/>
              </w:rPr>
            </w:pPr>
            <w:r>
              <w:rPr>
                <w:rFonts w:ascii="Arial" w:cs="Arial" w:eastAsia="Arial" w:hAnsi="Arial"/>
                <w:sz w:val="16"/>
                <w:szCs w:val="16"/>
                <w:b w:val="1"/>
                <w:bCs w:val="1"/>
                <w:color w:val="auto"/>
              </w:rPr>
              <w:t>Balance Sheet Location</w:t>
            </w:r>
          </w:p>
        </w:tc>
        <w:tc>
          <w:tcPr>
            <w:tcW w:w="280" w:type="dxa"/>
            <w:vAlign w:val="bottom"/>
          </w:tcPr>
          <w:p>
            <w:pPr>
              <w:spacing w:after="0"/>
              <w:rPr>
                <w:sz w:val="20"/>
                <w:szCs w:val="20"/>
                <w:color w:val="auto"/>
              </w:rPr>
            </w:pPr>
          </w:p>
        </w:tc>
        <w:tc>
          <w:tcPr>
            <w:tcW w:w="1860" w:type="dxa"/>
            <w:vAlign w:val="bottom"/>
            <w:gridSpan w:val="2"/>
          </w:tcPr>
          <w:p>
            <w:pPr>
              <w:ind w:left="200"/>
              <w:spacing w:after="0"/>
              <w:rPr>
                <w:sz w:val="20"/>
                <w:szCs w:val="20"/>
                <w:color w:val="auto"/>
              </w:rPr>
            </w:pPr>
            <w:r>
              <w:rPr>
                <w:rFonts w:ascii="Arial" w:cs="Arial" w:eastAsia="Arial" w:hAnsi="Arial"/>
                <w:sz w:val="16"/>
                <w:szCs w:val="16"/>
                <w:b w:val="1"/>
                <w:bCs w:val="1"/>
                <w:color w:val="auto"/>
              </w:rPr>
              <w:t>March 31, 2019</w:t>
            </w:r>
          </w:p>
        </w:tc>
        <w:tc>
          <w:tcPr>
            <w:tcW w:w="340" w:type="dxa"/>
            <w:vAlign w:val="bottom"/>
          </w:tcPr>
          <w:p>
            <w:pPr>
              <w:spacing w:after="0"/>
              <w:rPr>
                <w:sz w:val="20"/>
                <w:szCs w:val="20"/>
                <w:color w:val="auto"/>
              </w:rPr>
            </w:pPr>
          </w:p>
        </w:tc>
        <w:tc>
          <w:tcPr>
            <w:tcW w:w="1700" w:type="dxa"/>
            <w:vAlign w:val="bottom"/>
          </w:tcPr>
          <w:p>
            <w:pPr>
              <w:jc w:val="right"/>
              <w:ind w:right="279"/>
              <w:spacing w:after="0"/>
              <w:rPr>
                <w:sz w:val="20"/>
                <w:szCs w:val="20"/>
                <w:color w:val="auto"/>
              </w:rPr>
            </w:pPr>
            <w:r>
              <w:rPr>
                <w:rFonts w:ascii="Arial" w:cs="Arial" w:eastAsia="Arial" w:hAnsi="Arial"/>
                <w:sz w:val="16"/>
                <w:szCs w:val="16"/>
                <w:b w:val="1"/>
                <w:bCs w:val="1"/>
                <w:color w:val="auto"/>
                <w:w w:val="91"/>
              </w:rPr>
              <w:t>December 31, 2018</w:t>
            </w:r>
          </w:p>
        </w:tc>
      </w:tr>
      <w:tr>
        <w:trPr>
          <w:trHeight w:val="33"/>
        </w:trPr>
        <w:tc>
          <w:tcPr>
            <w:tcW w:w="712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900" w:type="dxa"/>
            <w:vAlign w:val="bottom"/>
            <w:tcBorders>
              <w:bottom w:val="single" w:sz="8" w:color="auto"/>
            </w:tcBorders>
            <w:gridSpan w:val="4"/>
          </w:tcPr>
          <w:p>
            <w:pPr>
              <w:spacing w:after="0"/>
              <w:rPr>
                <w:sz w:val="2"/>
                <w:szCs w:val="2"/>
                <w:color w:val="auto"/>
              </w:rPr>
            </w:pPr>
          </w:p>
        </w:tc>
      </w:tr>
      <w:tr>
        <w:trPr>
          <w:trHeight w:val="217"/>
        </w:trPr>
        <w:tc>
          <w:tcPr>
            <w:tcW w:w="7240" w:type="dxa"/>
            <w:vAlign w:val="bottom"/>
            <w:gridSpan w:val="3"/>
          </w:tcPr>
          <w:p>
            <w:pPr>
              <w:ind w:left="40"/>
              <w:spacing w:after="0"/>
              <w:rPr>
                <w:sz w:val="20"/>
                <w:szCs w:val="20"/>
                <w:color w:val="auto"/>
              </w:rPr>
            </w:pPr>
            <w:r>
              <w:rPr>
                <w:rFonts w:ascii="Arial" w:cs="Arial" w:eastAsia="Arial" w:hAnsi="Arial"/>
                <w:sz w:val="16"/>
                <w:szCs w:val="16"/>
                <w:b w:val="1"/>
                <w:bCs w:val="1"/>
                <w:color w:val="auto"/>
              </w:rPr>
              <w:t>Derivatives designated as hedging instruments under Subtopic 815-20</w:t>
            </w:r>
          </w:p>
        </w:tc>
        <w:tc>
          <w:tcPr>
            <w:tcW w:w="280" w:type="dxa"/>
            <w:vAlign w:val="bottom"/>
          </w:tcPr>
          <w:p>
            <w:pPr>
              <w:spacing w:after="0"/>
              <w:rPr>
                <w:sz w:val="18"/>
                <w:szCs w:val="18"/>
                <w:color w:val="auto"/>
              </w:rPr>
            </w:pPr>
          </w:p>
        </w:tc>
        <w:tc>
          <w:tcPr>
            <w:tcW w:w="3900" w:type="dxa"/>
            <w:vAlign w:val="bottom"/>
            <w:gridSpan w:val="4"/>
          </w:tcPr>
          <w:p>
            <w:pPr>
              <w:jc w:val="right"/>
              <w:ind w:right="1539"/>
              <w:spacing w:after="0"/>
              <w:rPr>
                <w:sz w:val="20"/>
                <w:szCs w:val="20"/>
                <w:color w:val="auto"/>
              </w:rPr>
            </w:pPr>
            <w:r>
              <w:rPr>
                <w:rFonts w:ascii="Arial" w:cs="Arial" w:eastAsia="Arial" w:hAnsi="Arial"/>
                <w:sz w:val="16"/>
                <w:szCs w:val="16"/>
                <w:color w:val="auto"/>
              </w:rPr>
              <w:t>(in thousands)</w:t>
            </w:r>
          </w:p>
        </w:tc>
      </w:tr>
      <w:tr>
        <w:trPr>
          <w:trHeight w:val="33"/>
        </w:trPr>
        <w:tc>
          <w:tcPr>
            <w:tcW w:w="350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Interest rate swap contract</w:t>
            </w:r>
          </w:p>
        </w:tc>
        <w:tc>
          <w:tcPr>
            <w:tcW w:w="374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6"/>
                <w:szCs w:val="16"/>
                <w:color w:val="auto"/>
              </w:rPr>
              <w:t>Other current assets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1,568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1,866</w:t>
            </w:r>
          </w:p>
        </w:tc>
      </w:tr>
      <w:tr>
        <w:trPr>
          <w:trHeight w:val="237"/>
        </w:trPr>
        <w:tc>
          <w:tcPr>
            <w:tcW w:w="3500" w:type="dxa"/>
            <w:vAlign w:val="bottom"/>
          </w:tcPr>
          <w:p>
            <w:pPr>
              <w:ind w:left="180"/>
              <w:spacing w:after="0"/>
              <w:rPr>
                <w:sz w:val="20"/>
                <w:szCs w:val="20"/>
                <w:color w:val="auto"/>
              </w:rPr>
            </w:pPr>
            <w:r>
              <w:rPr>
                <w:rFonts w:ascii="Arial" w:cs="Arial" w:eastAsia="Arial" w:hAnsi="Arial"/>
                <w:sz w:val="16"/>
                <w:szCs w:val="16"/>
                <w:color w:val="auto"/>
              </w:rPr>
              <w:t>Interest rate cap contracts</w:t>
            </w:r>
          </w:p>
        </w:tc>
        <w:tc>
          <w:tcPr>
            <w:tcW w:w="3740" w:type="dxa"/>
            <w:vAlign w:val="bottom"/>
            <w:gridSpan w:val="2"/>
          </w:tcPr>
          <w:p>
            <w:pPr>
              <w:ind w:left="1000"/>
              <w:spacing w:after="0"/>
              <w:rPr>
                <w:sz w:val="20"/>
                <w:szCs w:val="20"/>
                <w:color w:val="auto"/>
              </w:rPr>
            </w:pPr>
            <w:r>
              <w:rPr>
                <w:rFonts w:ascii="Arial" w:cs="Arial" w:eastAsia="Arial" w:hAnsi="Arial"/>
                <w:sz w:val="16"/>
                <w:szCs w:val="16"/>
                <w:color w:val="auto"/>
              </w:rPr>
              <w:t>Other current assets</w:t>
            </w:r>
          </w:p>
        </w:tc>
        <w:tc>
          <w:tcPr>
            <w:tcW w:w="280" w:type="dxa"/>
            <w:vAlign w:val="bottom"/>
          </w:tcPr>
          <w:p>
            <w:pPr>
              <w:spacing w:after="0"/>
              <w:rPr>
                <w:sz w:val="20"/>
                <w:szCs w:val="20"/>
                <w:color w:val="auto"/>
              </w:rPr>
            </w:pPr>
          </w:p>
        </w:tc>
        <w:tc>
          <w:tcPr>
            <w:tcW w:w="1760" w:type="dxa"/>
            <w:vAlign w:val="bottom"/>
          </w:tcPr>
          <w:p>
            <w:pPr>
              <w:jc w:val="right"/>
              <w:ind w:right="39"/>
              <w:spacing w:after="0"/>
              <w:rPr>
                <w:sz w:val="20"/>
                <w:szCs w:val="20"/>
                <w:color w:val="auto"/>
              </w:rPr>
            </w:pPr>
            <w:r>
              <w:rPr>
                <w:rFonts w:ascii="Arial" w:cs="Arial" w:eastAsia="Arial" w:hAnsi="Arial"/>
                <w:sz w:val="16"/>
                <w:szCs w:val="16"/>
                <w:color w:val="auto"/>
              </w:rPr>
              <w:t>420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535</w:t>
            </w:r>
          </w:p>
        </w:tc>
      </w:tr>
      <w:tr>
        <w:trPr>
          <w:trHeight w:val="33"/>
        </w:trPr>
        <w:tc>
          <w:tcPr>
            <w:tcW w:w="350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Foreign exchange options</w:t>
            </w:r>
          </w:p>
        </w:tc>
        <w:tc>
          <w:tcPr>
            <w:tcW w:w="374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6"/>
                <w:szCs w:val="16"/>
                <w:color w:val="auto"/>
              </w:rPr>
              <w:t>Other 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1,407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3500" w:type="dxa"/>
            <w:vAlign w:val="bottom"/>
          </w:tcPr>
          <w:p>
            <w:pPr>
              <w:ind w:left="180"/>
              <w:spacing w:after="0"/>
              <w:rPr>
                <w:sz w:val="20"/>
                <w:szCs w:val="20"/>
                <w:color w:val="auto"/>
              </w:rPr>
            </w:pPr>
            <w:r>
              <w:rPr>
                <w:rFonts w:ascii="Arial" w:cs="Arial" w:eastAsia="Arial" w:hAnsi="Arial"/>
                <w:sz w:val="16"/>
                <w:szCs w:val="16"/>
                <w:color w:val="auto"/>
              </w:rPr>
              <w:t>Cross currency swap contract</w:t>
            </w:r>
          </w:p>
        </w:tc>
        <w:tc>
          <w:tcPr>
            <w:tcW w:w="3740" w:type="dxa"/>
            <w:vAlign w:val="bottom"/>
            <w:gridSpan w:val="2"/>
          </w:tcPr>
          <w:p>
            <w:pPr>
              <w:ind w:left="1000"/>
              <w:spacing w:after="0"/>
              <w:rPr>
                <w:sz w:val="20"/>
                <w:szCs w:val="20"/>
                <w:color w:val="auto"/>
              </w:rPr>
            </w:pPr>
            <w:r>
              <w:rPr>
                <w:rFonts w:ascii="Arial" w:cs="Arial" w:eastAsia="Arial" w:hAnsi="Arial"/>
                <w:sz w:val="16"/>
                <w:szCs w:val="16"/>
                <w:color w:val="auto"/>
              </w:rPr>
              <w:t>Other current assets</w:t>
            </w:r>
          </w:p>
        </w:tc>
        <w:tc>
          <w:tcPr>
            <w:tcW w:w="280" w:type="dxa"/>
            <w:vAlign w:val="bottom"/>
          </w:tcPr>
          <w:p>
            <w:pPr>
              <w:spacing w:after="0"/>
              <w:rPr>
                <w:sz w:val="20"/>
                <w:szCs w:val="20"/>
                <w:color w:val="auto"/>
              </w:rPr>
            </w:pPr>
          </w:p>
        </w:tc>
        <w:tc>
          <w:tcPr>
            <w:tcW w:w="1760" w:type="dxa"/>
            <w:vAlign w:val="bottom"/>
          </w:tcPr>
          <w:p>
            <w:pPr>
              <w:jc w:val="right"/>
              <w:ind w:right="39"/>
              <w:spacing w:after="0"/>
              <w:rPr>
                <w:sz w:val="20"/>
                <w:szCs w:val="20"/>
                <w:color w:val="auto"/>
              </w:rPr>
            </w:pPr>
            <w:r>
              <w:rPr>
                <w:rFonts w:ascii="Arial" w:cs="Arial" w:eastAsia="Arial" w:hAnsi="Arial"/>
                <w:sz w:val="16"/>
                <w:szCs w:val="16"/>
                <w:color w:val="auto"/>
              </w:rPr>
              <w:t>1,608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1,631</w:t>
            </w:r>
          </w:p>
        </w:tc>
      </w:tr>
      <w:tr>
        <w:trPr>
          <w:trHeight w:val="33"/>
        </w:trPr>
        <w:tc>
          <w:tcPr>
            <w:tcW w:w="350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Interest rate swap contract</w:t>
            </w:r>
          </w:p>
        </w:tc>
        <w:tc>
          <w:tcPr>
            <w:tcW w:w="374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6"/>
                <w:szCs w:val="16"/>
                <w:color w:val="auto"/>
              </w:rPr>
              <w:t>Other long-term assets</w:t>
            </w:r>
          </w:p>
        </w:tc>
        <w:tc>
          <w:tcPr>
            <w:tcW w:w="2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746</w:t>
            </w:r>
          </w:p>
        </w:tc>
      </w:tr>
      <w:tr>
        <w:trPr>
          <w:trHeight w:val="224"/>
        </w:trPr>
        <w:tc>
          <w:tcPr>
            <w:tcW w:w="3500" w:type="dxa"/>
            <w:vAlign w:val="bottom"/>
          </w:tcPr>
          <w:p>
            <w:pPr>
              <w:ind w:left="180"/>
              <w:spacing w:after="0"/>
              <w:rPr>
                <w:sz w:val="20"/>
                <w:szCs w:val="20"/>
                <w:color w:val="auto"/>
              </w:rPr>
            </w:pPr>
            <w:r>
              <w:rPr>
                <w:rFonts w:ascii="Arial" w:cs="Arial" w:eastAsia="Arial" w:hAnsi="Arial"/>
                <w:sz w:val="16"/>
                <w:szCs w:val="16"/>
                <w:color w:val="auto"/>
              </w:rPr>
              <w:t>Interest rate cap contracts</w:t>
            </w:r>
          </w:p>
        </w:tc>
        <w:tc>
          <w:tcPr>
            <w:tcW w:w="3740" w:type="dxa"/>
            <w:vAlign w:val="bottom"/>
            <w:gridSpan w:val="2"/>
          </w:tcPr>
          <w:p>
            <w:pPr>
              <w:ind w:left="1000"/>
              <w:spacing w:after="0"/>
              <w:rPr>
                <w:sz w:val="20"/>
                <w:szCs w:val="20"/>
                <w:color w:val="auto"/>
              </w:rPr>
            </w:pPr>
            <w:r>
              <w:rPr>
                <w:rFonts w:ascii="Arial" w:cs="Arial" w:eastAsia="Arial" w:hAnsi="Arial"/>
                <w:sz w:val="16"/>
                <w:szCs w:val="16"/>
                <w:color w:val="auto"/>
              </w:rPr>
              <w:t>Other long-term assets</w:t>
            </w:r>
          </w:p>
        </w:tc>
        <w:tc>
          <w:tcPr>
            <w:tcW w:w="280" w:type="dxa"/>
            <w:vAlign w:val="bottom"/>
          </w:tcPr>
          <w:p>
            <w:pPr>
              <w:spacing w:after="0"/>
              <w:rPr>
                <w:sz w:val="19"/>
                <w:szCs w:val="19"/>
                <w:color w:val="auto"/>
              </w:rPr>
            </w:pPr>
          </w:p>
        </w:tc>
        <w:tc>
          <w:tcPr>
            <w:tcW w:w="1760" w:type="dxa"/>
            <w:vAlign w:val="bottom"/>
          </w:tcPr>
          <w:p>
            <w:pPr>
              <w:jc w:val="right"/>
              <w:ind w:right="39"/>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251</w:t>
            </w:r>
          </w:p>
        </w:tc>
      </w:tr>
      <w:tr>
        <w:trPr>
          <w:trHeight w:val="47"/>
        </w:trPr>
        <w:tc>
          <w:tcPr>
            <w:tcW w:w="3500" w:type="dxa"/>
            <w:vAlign w:val="bottom"/>
          </w:tcPr>
          <w:p>
            <w:pPr>
              <w:spacing w:after="0"/>
              <w:rPr>
                <w:sz w:val="4"/>
                <w:szCs w:val="4"/>
                <w:color w:val="auto"/>
              </w:rPr>
            </w:pPr>
          </w:p>
        </w:tc>
        <w:tc>
          <w:tcPr>
            <w:tcW w:w="3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700" w:type="dxa"/>
            <w:vAlign w:val="bottom"/>
          </w:tcPr>
          <w:p>
            <w:pPr>
              <w:spacing w:after="0"/>
              <w:rPr>
                <w:sz w:val="4"/>
                <w:szCs w:val="4"/>
                <w:color w:val="auto"/>
              </w:rPr>
            </w:pPr>
          </w:p>
        </w:tc>
      </w:tr>
      <w:tr>
        <w:trPr>
          <w:trHeight w:val="250"/>
        </w:trPr>
        <w:tc>
          <w:tcPr>
            <w:tcW w:w="3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Cross currency swap contract</w:t>
            </w:r>
          </w:p>
        </w:tc>
        <w:tc>
          <w:tcPr>
            <w:tcW w:w="374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6"/>
                <w:szCs w:val="16"/>
                <w:color w:val="auto"/>
              </w:rPr>
              <w:t>Other long-term assets</w:t>
            </w:r>
          </w:p>
        </w:tc>
        <w:tc>
          <w:tcPr>
            <w:tcW w:w="2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2,587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1,339</w:t>
            </w:r>
          </w:p>
        </w:tc>
      </w:tr>
      <w:tr>
        <w:trPr>
          <w:trHeight w:val="224"/>
        </w:trPr>
        <w:tc>
          <w:tcPr>
            <w:tcW w:w="7240" w:type="dxa"/>
            <w:vAlign w:val="bottom"/>
            <w:gridSpan w:val="3"/>
          </w:tcPr>
          <w:p>
            <w:pPr>
              <w:ind w:left="40"/>
              <w:spacing w:after="0"/>
              <w:rPr>
                <w:sz w:val="20"/>
                <w:szCs w:val="20"/>
                <w:color w:val="auto"/>
              </w:rPr>
            </w:pPr>
            <w:r>
              <w:rPr>
                <w:rFonts w:ascii="Arial" w:cs="Arial" w:eastAsia="Arial" w:hAnsi="Arial"/>
                <w:sz w:val="16"/>
                <w:szCs w:val="16"/>
                <w:b w:val="1"/>
                <w:bCs w:val="1"/>
                <w:color w:val="auto"/>
              </w:rPr>
              <w:t>Derivatives not designated as hedging instruments under Subtopic 815-20</w:t>
            </w:r>
          </w:p>
        </w:tc>
        <w:tc>
          <w:tcPr>
            <w:tcW w:w="2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47"/>
        </w:trPr>
        <w:tc>
          <w:tcPr>
            <w:tcW w:w="3500" w:type="dxa"/>
            <w:vAlign w:val="bottom"/>
          </w:tcPr>
          <w:p>
            <w:pPr>
              <w:spacing w:after="0"/>
              <w:rPr>
                <w:sz w:val="4"/>
                <w:szCs w:val="4"/>
                <w:color w:val="auto"/>
              </w:rPr>
            </w:pPr>
          </w:p>
        </w:tc>
        <w:tc>
          <w:tcPr>
            <w:tcW w:w="3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700" w:type="dxa"/>
            <w:vAlign w:val="bottom"/>
          </w:tcPr>
          <w:p>
            <w:pPr>
              <w:spacing w:after="0"/>
              <w:rPr>
                <w:sz w:val="4"/>
                <w:szCs w:val="4"/>
                <w:color w:val="auto"/>
              </w:rPr>
            </w:pPr>
          </w:p>
        </w:tc>
      </w:tr>
      <w:tr>
        <w:trPr>
          <w:trHeight w:val="270"/>
        </w:trPr>
        <w:tc>
          <w:tcPr>
            <w:tcW w:w="3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Foreign exchange forward contracts</w:t>
            </w:r>
          </w:p>
        </w:tc>
        <w:tc>
          <w:tcPr>
            <w:tcW w:w="374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6"/>
                <w:szCs w:val="16"/>
                <w:color w:val="auto"/>
              </w:rPr>
              <w:t>Other current assets</w:t>
            </w:r>
          </w:p>
        </w:tc>
        <w:tc>
          <w:tcPr>
            <w:tcW w:w="28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157</w:t>
            </w:r>
          </w:p>
        </w:tc>
      </w:tr>
      <w:tr>
        <w:trPr>
          <w:trHeight w:val="217"/>
        </w:trPr>
        <w:tc>
          <w:tcPr>
            <w:tcW w:w="3500" w:type="dxa"/>
            <w:vAlign w:val="bottom"/>
          </w:tcPr>
          <w:p>
            <w:pPr>
              <w:ind w:left="420"/>
              <w:spacing w:after="0"/>
              <w:rPr>
                <w:sz w:val="20"/>
                <w:szCs w:val="20"/>
                <w:color w:val="auto"/>
              </w:rPr>
            </w:pPr>
            <w:r>
              <w:rPr>
                <w:rFonts w:ascii="Arial" w:cs="Arial" w:eastAsia="Arial" w:hAnsi="Arial"/>
                <w:sz w:val="16"/>
                <w:szCs w:val="16"/>
                <w:b w:val="1"/>
                <w:bCs w:val="1"/>
                <w:color w:val="auto"/>
              </w:rPr>
              <w:t>Total asset derivatives</w:t>
            </w:r>
          </w:p>
        </w:tc>
        <w:tc>
          <w:tcPr>
            <w:tcW w:w="3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7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8,010</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6,525</w:t>
            </w:r>
          </w:p>
        </w:tc>
      </w:tr>
      <w:tr>
        <w:trPr>
          <w:trHeight w:val="73"/>
        </w:trPr>
        <w:tc>
          <w:tcPr>
            <w:tcW w:w="3500" w:type="dxa"/>
            <w:vAlign w:val="bottom"/>
            <w:tcBorders>
              <w:bottom w:val="single" w:sz="8" w:color="CCEEFF"/>
            </w:tcBorders>
          </w:tcPr>
          <w:p>
            <w:pPr>
              <w:spacing w:after="0"/>
              <w:rPr>
                <w:sz w:val="6"/>
                <w:szCs w:val="6"/>
                <w:color w:val="auto"/>
              </w:rPr>
            </w:pPr>
          </w:p>
        </w:tc>
        <w:tc>
          <w:tcPr>
            <w:tcW w:w="362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7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700" w:type="dxa"/>
            <w:vAlign w:val="bottom"/>
            <w:tcBorders>
              <w:bottom w:val="single" w:sz="8" w:color="auto"/>
            </w:tcBorders>
          </w:tcPr>
          <w:p>
            <w:pPr>
              <w:spacing w:after="0"/>
              <w:rPr>
                <w:sz w:val="6"/>
                <w:szCs w:val="6"/>
                <w:color w:val="auto"/>
              </w:rPr>
            </w:pPr>
          </w:p>
        </w:tc>
      </w:tr>
      <w:tr>
        <w:trPr>
          <w:trHeight w:val="278"/>
        </w:trPr>
        <w:tc>
          <w:tcPr>
            <w:tcW w:w="3500" w:type="dxa"/>
            <w:vAlign w:val="bottom"/>
            <w:shd w:val="clear" w:color="auto" w:fill="CCEEFF"/>
          </w:tcPr>
          <w:p>
            <w:pPr>
              <w:spacing w:after="0"/>
              <w:rPr>
                <w:sz w:val="24"/>
                <w:szCs w:val="24"/>
                <w:color w:val="auto"/>
              </w:rPr>
            </w:pPr>
          </w:p>
        </w:tc>
        <w:tc>
          <w:tcPr>
            <w:tcW w:w="3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r>
      <w:tr>
        <w:trPr>
          <w:trHeight w:val="224"/>
        </w:trPr>
        <w:tc>
          <w:tcPr>
            <w:tcW w:w="3500" w:type="dxa"/>
            <w:vAlign w:val="bottom"/>
          </w:tcPr>
          <w:p>
            <w:pPr>
              <w:ind w:left="40"/>
              <w:spacing w:after="0"/>
              <w:rPr>
                <w:sz w:val="20"/>
                <w:szCs w:val="20"/>
                <w:color w:val="auto"/>
              </w:rPr>
            </w:pPr>
            <w:r>
              <w:rPr>
                <w:rFonts w:ascii="Arial" w:cs="Arial" w:eastAsia="Arial" w:hAnsi="Arial"/>
                <w:sz w:val="16"/>
                <w:szCs w:val="16"/>
                <w:b w:val="1"/>
                <w:bCs w:val="1"/>
                <w:color w:val="auto"/>
              </w:rPr>
              <w:t>Derivative Liabilities</w:t>
            </w:r>
          </w:p>
        </w:tc>
        <w:tc>
          <w:tcPr>
            <w:tcW w:w="3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47"/>
        </w:trPr>
        <w:tc>
          <w:tcPr>
            <w:tcW w:w="7120" w:type="dxa"/>
            <w:vAlign w:val="bottom"/>
            <w:tcBorders>
              <w:bottom w:val="single" w:sz="8" w:color="auto"/>
            </w:tcBorders>
            <w:gridSpan w:val="2"/>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176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40" w:type="dxa"/>
            <w:vAlign w:val="bottom"/>
            <w:tcBorders>
              <w:bottom w:val="single" w:sz="8" w:color="CCEEFF"/>
            </w:tcBorders>
          </w:tcPr>
          <w:p>
            <w:pPr>
              <w:spacing w:after="0"/>
              <w:rPr>
                <w:sz w:val="4"/>
                <w:szCs w:val="4"/>
                <w:color w:val="auto"/>
              </w:rPr>
            </w:pPr>
          </w:p>
        </w:tc>
        <w:tc>
          <w:tcPr>
            <w:tcW w:w="1700" w:type="dxa"/>
            <w:vAlign w:val="bottom"/>
            <w:tcBorders>
              <w:bottom w:val="single" w:sz="8" w:color="CCEEFF"/>
            </w:tcBorders>
          </w:tcPr>
          <w:p>
            <w:pPr>
              <w:spacing w:after="0"/>
              <w:rPr>
                <w:sz w:val="4"/>
                <w:szCs w:val="4"/>
                <w:color w:val="auto"/>
              </w:rPr>
            </w:pPr>
          </w:p>
        </w:tc>
      </w:tr>
      <w:tr>
        <w:trPr>
          <w:trHeight w:val="250"/>
        </w:trPr>
        <w:tc>
          <w:tcPr>
            <w:tcW w:w="7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Derivatives not designated as hedging instruments under Subtopic 815-20</w:t>
            </w:r>
          </w:p>
        </w:tc>
        <w:tc>
          <w:tcPr>
            <w:tcW w:w="2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r>
      <w:tr>
        <w:trPr>
          <w:trHeight w:val="217"/>
        </w:trPr>
        <w:tc>
          <w:tcPr>
            <w:tcW w:w="3500" w:type="dxa"/>
            <w:vAlign w:val="bottom"/>
          </w:tcPr>
          <w:p>
            <w:pPr>
              <w:ind w:left="180"/>
              <w:spacing w:after="0"/>
              <w:rPr>
                <w:sz w:val="20"/>
                <w:szCs w:val="20"/>
                <w:color w:val="auto"/>
              </w:rPr>
            </w:pPr>
            <w:r>
              <w:rPr>
                <w:rFonts w:ascii="Arial" w:cs="Arial" w:eastAsia="Arial" w:hAnsi="Arial"/>
                <w:sz w:val="16"/>
                <w:szCs w:val="16"/>
                <w:color w:val="auto"/>
              </w:rPr>
              <w:t>Foreign exchange forward contracts</w:t>
            </w:r>
          </w:p>
        </w:tc>
        <w:tc>
          <w:tcPr>
            <w:tcW w:w="3740" w:type="dxa"/>
            <w:vAlign w:val="bottom"/>
            <w:gridSpan w:val="2"/>
          </w:tcPr>
          <w:p>
            <w:pPr>
              <w:ind w:left="1000"/>
              <w:spacing w:after="0"/>
              <w:rPr>
                <w:sz w:val="20"/>
                <w:szCs w:val="20"/>
                <w:color w:val="auto"/>
              </w:rPr>
            </w:pPr>
            <w:r>
              <w:rPr>
                <w:rFonts w:ascii="Arial" w:cs="Arial" w:eastAsia="Arial" w:hAnsi="Arial"/>
                <w:sz w:val="16"/>
                <w:szCs w:val="16"/>
                <w:color w:val="auto"/>
              </w:rPr>
              <w:t>Other current liabilities</w:t>
            </w: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7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127</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337</w:t>
            </w:r>
          </w:p>
        </w:tc>
      </w:tr>
      <w:tr>
        <w:trPr>
          <w:trHeight w:val="33"/>
        </w:trPr>
        <w:tc>
          <w:tcPr>
            <w:tcW w:w="350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0"/>
        </w:trPr>
        <w:tc>
          <w:tcPr>
            <w:tcW w:w="35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changes in accumulated other comprehensive income (loss) (AOCI), net of tax, for our derivative and nonderivative hedging instruments designated as hedging instruments, net of tax, were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ind w:left="40"/>
              <w:spacing w:after="0"/>
              <w:rPr>
                <w:sz w:val="20"/>
                <w:szCs w:val="20"/>
                <w:color w:val="auto"/>
              </w:rPr>
            </w:pPr>
            <w:r>
              <w:rPr>
                <w:rFonts w:ascii="Arial" w:cs="Arial" w:eastAsia="Arial" w:hAnsi="Arial"/>
                <w:sz w:val="16"/>
                <w:szCs w:val="16"/>
                <w:i w:val="1"/>
                <w:iCs w:val="1"/>
                <w:color w:val="auto"/>
              </w:rPr>
              <w:t>In thousands</w:t>
            </w:r>
          </w:p>
        </w:tc>
        <w:tc>
          <w:tcPr>
            <w:tcW w:w="400" w:type="dxa"/>
            <w:vAlign w:val="bottom"/>
          </w:tcPr>
          <w:p>
            <w:pPr>
              <w:spacing w:after="0"/>
              <w:rPr>
                <w:sz w:val="18"/>
                <w:szCs w:val="18"/>
                <w:color w:val="auto"/>
              </w:rPr>
            </w:pPr>
          </w:p>
        </w:tc>
        <w:tc>
          <w:tcPr>
            <w:tcW w:w="1320" w:type="dxa"/>
            <w:vAlign w:val="bottom"/>
          </w:tcPr>
          <w:p>
            <w:pPr>
              <w:jc w:val="right"/>
              <w:ind w:right="61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2018</w:t>
            </w:r>
          </w:p>
        </w:tc>
      </w:tr>
      <w:tr>
        <w:trPr>
          <w:trHeight w:val="33"/>
        </w:trPr>
        <w:tc>
          <w:tcPr>
            <w:tcW w:w="7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unrealized loss on hedging instruments at January 1,</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(13,179)</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(13,414)</w:t>
            </w:r>
          </w:p>
        </w:tc>
      </w:tr>
      <w:tr>
        <w:trPr>
          <w:trHeight w:val="224"/>
        </w:trPr>
        <w:tc>
          <w:tcPr>
            <w:tcW w:w="7900" w:type="dxa"/>
            <w:vAlign w:val="bottom"/>
          </w:tcPr>
          <w:p>
            <w:pPr>
              <w:ind w:left="180"/>
              <w:spacing w:after="0"/>
              <w:rPr>
                <w:sz w:val="20"/>
                <w:szCs w:val="20"/>
                <w:color w:val="auto"/>
              </w:rPr>
            </w:pPr>
            <w:r>
              <w:rPr>
                <w:rFonts w:ascii="Arial" w:cs="Arial" w:eastAsia="Arial" w:hAnsi="Arial"/>
                <w:sz w:val="16"/>
                <w:szCs w:val="16"/>
                <w:color w:val="auto"/>
              </w:rPr>
              <w:t>Unrealized gain (loss) on hedging instruments</w:t>
            </w:r>
          </w:p>
        </w:tc>
        <w:tc>
          <w:tcPr>
            <w:tcW w:w="400" w:type="dxa"/>
            <w:vAlign w:val="bottom"/>
          </w:tcPr>
          <w:p>
            <w:pPr>
              <w:spacing w:after="0"/>
              <w:rPr>
                <w:sz w:val="19"/>
                <w:szCs w:val="19"/>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211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1,183</w:t>
            </w:r>
          </w:p>
        </w:tc>
      </w:tr>
      <w:tr>
        <w:trPr>
          <w:trHeight w:val="47"/>
        </w:trPr>
        <w:tc>
          <w:tcPr>
            <w:tcW w:w="79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7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Realized (gains) losses reclassified into net income (loss)</w:t>
            </w: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17"/>
        </w:trPr>
        <w:tc>
          <w:tcPr>
            <w:tcW w:w="7900" w:type="dxa"/>
            <w:vAlign w:val="bottom"/>
          </w:tcPr>
          <w:p>
            <w:pPr>
              <w:ind w:left="40"/>
              <w:spacing w:after="0"/>
              <w:rPr>
                <w:sz w:val="20"/>
                <w:szCs w:val="20"/>
                <w:color w:val="auto"/>
              </w:rPr>
            </w:pPr>
            <w:r>
              <w:rPr>
                <w:rFonts w:ascii="Arial" w:cs="Arial" w:eastAsia="Arial" w:hAnsi="Arial"/>
                <w:sz w:val="16"/>
                <w:szCs w:val="16"/>
                <w:color w:val="auto"/>
              </w:rPr>
              <w:t>Net unrealized loss on hedging instruments at March 31,</w:t>
            </w:r>
          </w:p>
        </w:tc>
        <w:tc>
          <w:tcPr>
            <w:tcW w:w="40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(13,044)</w:t>
            </w:r>
          </w:p>
        </w:tc>
        <w:tc>
          <w:tcPr>
            <w:tcW w:w="120" w:type="dxa"/>
            <w:vAlign w:val="bottom"/>
          </w:tcPr>
          <w:p>
            <w:pPr>
              <w:spacing w:after="0"/>
              <w:rPr>
                <w:sz w:val="18"/>
                <w:szCs w:val="18"/>
                <w:color w:val="auto"/>
              </w:rPr>
            </w:pP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(12,245)</w:t>
            </w:r>
          </w:p>
        </w:tc>
      </w:tr>
      <w:tr>
        <w:trPr>
          <w:trHeight w:val="33"/>
        </w:trPr>
        <w:tc>
          <w:tcPr>
            <w:tcW w:w="79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79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Reclassification of amounts related to hedging instruments are included in interest expense in the Consolidated Statements of Operations for the periods ended March 31, 2019 and 2018. Included in the net unrealized gain (loss) on hedging instruments at March 31, 2019 and 2018 is a loss of $14.4 million, net of tax, related to our nonderivative net investment hedge, which terminated in 2011. This loss on our net investment hedge will remain in AOCI until such time when earnings are impacted by a sale or liquidation of the associated foreign operation.</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summary of the effect of netting arrangements on our financial position related to the offsetting of our recognized derivative assets and liabilities under master netting arrangements or similar agreements is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9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0"/>
              </w:rPr>
              <w:t>Gross Amounts of</w:t>
            </w:r>
          </w:p>
        </w:tc>
        <w:tc>
          <w:tcPr>
            <w:tcW w:w="160" w:type="dxa"/>
            <w:vAlign w:val="bottom"/>
          </w:tcPr>
          <w:p>
            <w:pPr>
              <w:spacing w:after="0"/>
              <w:rPr>
                <w:sz w:val="18"/>
                <w:szCs w:val="18"/>
                <w:color w:val="auto"/>
              </w:rPr>
            </w:pPr>
          </w:p>
        </w:tc>
        <w:tc>
          <w:tcPr>
            <w:tcW w:w="4140" w:type="dxa"/>
            <w:vAlign w:val="bottom"/>
            <w:gridSpan w:val="5"/>
            <w:vMerge w:val="restart"/>
          </w:tcPr>
          <w:p>
            <w:pPr>
              <w:jc w:val="center"/>
              <w:ind w:right="260"/>
              <w:spacing w:after="0"/>
              <w:rPr>
                <w:sz w:val="20"/>
                <w:szCs w:val="20"/>
                <w:color w:val="auto"/>
              </w:rPr>
            </w:pPr>
            <w:r>
              <w:rPr>
                <w:rFonts w:ascii="Arial" w:cs="Arial" w:eastAsia="Arial" w:hAnsi="Arial"/>
                <w:sz w:val="16"/>
                <w:szCs w:val="16"/>
                <w:b w:val="1"/>
                <w:bCs w:val="1"/>
                <w:color w:val="auto"/>
                <w:w w:val="90"/>
              </w:rPr>
              <w:t>Gross Amounts Not Offset in the Consolidated Balance</w:t>
            </w:r>
          </w:p>
        </w:tc>
        <w:tc>
          <w:tcPr>
            <w:tcW w:w="3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480" w:type="dxa"/>
            <w:vAlign w:val="bottom"/>
          </w:tcPr>
          <w:p>
            <w:pPr>
              <w:spacing w:after="0"/>
              <w:rPr>
                <w:sz w:val="4"/>
                <w:szCs w:val="4"/>
                <w:color w:val="auto"/>
              </w:rPr>
            </w:pPr>
          </w:p>
        </w:tc>
        <w:tc>
          <w:tcPr>
            <w:tcW w:w="2600" w:type="dxa"/>
            <w:vAlign w:val="bottom"/>
            <w:gridSpan w:val="3"/>
            <w:vMerge w:val="restart"/>
          </w:tcPr>
          <w:p>
            <w:pPr>
              <w:jc w:val="center"/>
              <w:ind w:left="179"/>
              <w:spacing w:after="0"/>
              <w:rPr>
                <w:sz w:val="20"/>
                <w:szCs w:val="20"/>
                <w:color w:val="auto"/>
              </w:rPr>
            </w:pPr>
            <w:r>
              <w:rPr>
                <w:rFonts w:ascii="Arial" w:cs="Arial" w:eastAsia="Arial" w:hAnsi="Arial"/>
                <w:sz w:val="16"/>
                <w:szCs w:val="16"/>
                <w:b w:val="1"/>
                <w:bCs w:val="1"/>
                <w:color w:val="auto"/>
                <w:w w:val="86"/>
              </w:rPr>
              <w:t>Recognized Assets Presented</w:t>
            </w:r>
          </w:p>
        </w:tc>
        <w:tc>
          <w:tcPr>
            <w:tcW w:w="160" w:type="dxa"/>
            <w:vAlign w:val="bottom"/>
          </w:tcPr>
          <w:p>
            <w:pPr>
              <w:spacing w:after="0"/>
              <w:rPr>
                <w:sz w:val="4"/>
                <w:szCs w:val="4"/>
                <w:color w:val="auto"/>
              </w:rPr>
            </w:pPr>
          </w:p>
        </w:tc>
        <w:tc>
          <w:tcPr>
            <w:tcW w:w="4140" w:type="dxa"/>
            <w:vAlign w:val="bottom"/>
            <w:gridSpan w:val="5"/>
            <w:vMerge w:val="continue"/>
          </w:tcPr>
          <w:p>
            <w:pPr>
              <w:spacing w:after="0"/>
              <w:rPr>
                <w:sz w:val="4"/>
                <w:szCs w:val="4"/>
                <w:color w:val="auto"/>
              </w:rPr>
            </w:pPr>
          </w:p>
        </w:tc>
        <w:tc>
          <w:tcPr>
            <w:tcW w:w="360" w:type="dxa"/>
            <w:vAlign w:val="bottom"/>
          </w:tcPr>
          <w:p>
            <w:pPr>
              <w:spacing w:after="0"/>
              <w:rPr>
                <w:sz w:val="4"/>
                <w:szCs w:val="4"/>
                <w:color w:val="auto"/>
              </w:rPr>
            </w:pPr>
          </w:p>
        </w:tc>
        <w:tc>
          <w:tcPr>
            <w:tcW w:w="1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480" w:type="dxa"/>
            <w:vAlign w:val="bottom"/>
            <w:vMerge w:val="restart"/>
          </w:tcPr>
          <w:p>
            <w:pPr>
              <w:ind w:left="40"/>
              <w:spacing w:after="0"/>
              <w:rPr>
                <w:sz w:val="20"/>
                <w:szCs w:val="20"/>
                <w:color w:val="auto"/>
              </w:rPr>
            </w:pPr>
            <w:r>
              <w:rPr>
                <w:rFonts w:ascii="Arial" w:cs="Arial" w:eastAsia="Arial" w:hAnsi="Arial"/>
                <w:sz w:val="16"/>
                <w:szCs w:val="16"/>
                <w:b w:val="1"/>
                <w:bCs w:val="1"/>
                <w:i w:val="1"/>
                <w:iCs w:val="1"/>
                <w:color w:val="auto"/>
              </w:rPr>
              <w:t>Offsetting of Derivative Assets</w:t>
            </w:r>
          </w:p>
        </w:tc>
        <w:tc>
          <w:tcPr>
            <w:tcW w:w="260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4140" w:type="dxa"/>
            <w:vAlign w:val="bottom"/>
            <w:gridSpan w:val="5"/>
            <w:vMerge w:val="restart"/>
          </w:tcPr>
          <w:p>
            <w:pPr>
              <w:jc w:val="center"/>
              <w:ind w:right="260"/>
              <w:spacing w:after="0"/>
              <w:rPr>
                <w:sz w:val="20"/>
                <w:szCs w:val="20"/>
                <w:color w:val="auto"/>
              </w:rPr>
            </w:pPr>
            <w:r>
              <w:rPr>
                <w:rFonts w:ascii="Arial" w:cs="Arial" w:eastAsia="Arial" w:hAnsi="Arial"/>
                <w:sz w:val="16"/>
                <w:szCs w:val="16"/>
                <w:b w:val="1"/>
                <w:bCs w:val="1"/>
                <w:color w:val="auto"/>
                <w:w w:val="83"/>
              </w:rPr>
              <w:t>Sheets</w:t>
            </w:r>
          </w:p>
        </w:tc>
        <w:tc>
          <w:tcPr>
            <w:tcW w:w="3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480" w:type="dxa"/>
            <w:vAlign w:val="bottom"/>
            <w:vMerge w:val="continue"/>
          </w:tcPr>
          <w:p>
            <w:pPr>
              <w:spacing w:after="0"/>
              <w:rPr>
                <w:sz w:val="4"/>
                <w:szCs w:val="4"/>
                <w:color w:val="auto"/>
              </w:rPr>
            </w:pPr>
          </w:p>
        </w:tc>
        <w:tc>
          <w:tcPr>
            <w:tcW w:w="660" w:type="dxa"/>
            <w:vAlign w:val="bottom"/>
          </w:tcPr>
          <w:p>
            <w:pPr>
              <w:spacing w:after="0"/>
              <w:rPr>
                <w:sz w:val="4"/>
                <w:szCs w:val="4"/>
                <w:color w:val="auto"/>
              </w:rPr>
            </w:pPr>
          </w:p>
        </w:tc>
        <w:tc>
          <w:tcPr>
            <w:tcW w:w="1940" w:type="dxa"/>
            <w:vAlign w:val="bottom"/>
            <w:gridSpan w:val="2"/>
            <w:vMerge w:val="restart"/>
          </w:tcPr>
          <w:p>
            <w:pPr>
              <w:jc w:val="center"/>
              <w:ind w:right="400"/>
              <w:spacing w:after="0"/>
              <w:rPr>
                <w:sz w:val="20"/>
                <w:szCs w:val="20"/>
                <w:color w:val="auto"/>
              </w:rPr>
            </w:pPr>
            <w:r>
              <w:rPr>
                <w:rFonts w:ascii="Arial" w:cs="Arial" w:eastAsia="Arial" w:hAnsi="Arial"/>
                <w:sz w:val="16"/>
                <w:szCs w:val="16"/>
                <w:b w:val="1"/>
                <w:bCs w:val="1"/>
                <w:color w:val="auto"/>
                <w:w w:val="98"/>
              </w:rPr>
              <w:t>in</w:t>
            </w:r>
          </w:p>
        </w:tc>
        <w:tc>
          <w:tcPr>
            <w:tcW w:w="160" w:type="dxa"/>
            <w:vAlign w:val="bottom"/>
          </w:tcPr>
          <w:p>
            <w:pPr>
              <w:spacing w:after="0"/>
              <w:rPr>
                <w:sz w:val="4"/>
                <w:szCs w:val="4"/>
                <w:color w:val="auto"/>
              </w:rPr>
            </w:pPr>
          </w:p>
        </w:tc>
        <w:tc>
          <w:tcPr>
            <w:tcW w:w="4140" w:type="dxa"/>
            <w:vAlign w:val="bottom"/>
            <w:gridSpan w:val="5"/>
            <w:vMerge w:val="continue"/>
          </w:tcPr>
          <w:p>
            <w:pPr>
              <w:spacing w:after="0"/>
              <w:rPr>
                <w:sz w:val="4"/>
                <w:szCs w:val="4"/>
                <w:color w:val="auto"/>
              </w:rPr>
            </w:pPr>
          </w:p>
        </w:tc>
        <w:tc>
          <w:tcPr>
            <w:tcW w:w="360" w:type="dxa"/>
            <w:vAlign w:val="bottom"/>
          </w:tcPr>
          <w:p>
            <w:pPr>
              <w:spacing w:after="0"/>
              <w:rPr>
                <w:sz w:val="4"/>
                <w:szCs w:val="4"/>
                <w:color w:val="auto"/>
              </w:rPr>
            </w:pPr>
          </w:p>
        </w:tc>
        <w:tc>
          <w:tcPr>
            <w:tcW w:w="1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
        </w:trPr>
        <w:tc>
          <w:tcPr>
            <w:tcW w:w="2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940" w:type="dxa"/>
            <w:vAlign w:val="bottom"/>
            <w:gridSpan w:val="2"/>
            <w:vMerge w:val="continue"/>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2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94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9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0"/>
              </w:rPr>
              <w:t>the Consolidated</w:t>
            </w:r>
          </w:p>
        </w:tc>
        <w:tc>
          <w:tcPr>
            <w:tcW w:w="160" w:type="dxa"/>
            <w:vAlign w:val="bottom"/>
          </w:tcPr>
          <w:p>
            <w:pPr>
              <w:spacing w:after="0"/>
              <w:rPr>
                <w:sz w:val="17"/>
                <w:szCs w:val="17"/>
                <w:color w:val="auto"/>
              </w:rPr>
            </w:pPr>
          </w:p>
        </w:tc>
        <w:tc>
          <w:tcPr>
            <w:tcW w:w="20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Derivative Financial</w:t>
            </w:r>
          </w:p>
        </w:tc>
        <w:tc>
          <w:tcPr>
            <w:tcW w:w="1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480" w:type="dxa"/>
            <w:vAlign w:val="bottom"/>
          </w:tcPr>
          <w:p>
            <w:pPr>
              <w:ind w:left="40"/>
              <w:spacing w:after="0"/>
              <w:rPr>
                <w:sz w:val="20"/>
                <w:szCs w:val="20"/>
                <w:color w:val="auto"/>
              </w:rPr>
            </w:pPr>
            <w:r>
              <w:rPr>
                <w:rFonts w:ascii="Arial" w:cs="Arial" w:eastAsia="Arial" w:hAnsi="Arial"/>
                <w:sz w:val="16"/>
                <w:szCs w:val="16"/>
                <w:i w:val="1"/>
                <w:iCs w:val="1"/>
                <w:color w:val="auto"/>
              </w:rPr>
              <w:t>In thousands</w:t>
            </w:r>
          </w:p>
        </w:tc>
        <w:tc>
          <w:tcPr>
            <w:tcW w:w="660" w:type="dxa"/>
            <w:vAlign w:val="bottom"/>
          </w:tcPr>
          <w:p>
            <w:pPr>
              <w:spacing w:after="0"/>
              <w:rPr>
                <w:sz w:val="18"/>
                <w:szCs w:val="18"/>
                <w:color w:val="auto"/>
              </w:rPr>
            </w:pPr>
          </w:p>
        </w:tc>
        <w:tc>
          <w:tcPr>
            <w:tcW w:w="19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6"/>
              </w:rPr>
              <w:t>Balance Sheets</w:t>
            </w:r>
          </w:p>
        </w:tc>
        <w:tc>
          <w:tcPr>
            <w:tcW w:w="160" w:type="dxa"/>
            <w:vAlign w:val="bottom"/>
          </w:tcPr>
          <w:p>
            <w:pPr>
              <w:spacing w:after="0"/>
              <w:rPr>
                <w:sz w:val="18"/>
                <w:szCs w:val="18"/>
                <w:color w:val="auto"/>
              </w:rPr>
            </w:pPr>
          </w:p>
        </w:tc>
        <w:tc>
          <w:tcPr>
            <w:tcW w:w="20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Instruments</w:t>
            </w:r>
          </w:p>
        </w:tc>
        <w:tc>
          <w:tcPr>
            <w:tcW w:w="120" w:type="dxa"/>
            <w:vAlign w:val="bottom"/>
          </w:tcPr>
          <w:p>
            <w:pPr>
              <w:spacing w:after="0"/>
              <w:rPr>
                <w:sz w:val="18"/>
                <w:szCs w:val="18"/>
                <w:color w:val="auto"/>
              </w:rPr>
            </w:pPr>
          </w:p>
        </w:tc>
        <w:tc>
          <w:tcPr>
            <w:tcW w:w="2020" w:type="dxa"/>
            <w:vAlign w:val="bottom"/>
            <w:gridSpan w:val="2"/>
          </w:tcPr>
          <w:p>
            <w:pPr>
              <w:ind w:left="20"/>
              <w:spacing w:after="0"/>
              <w:rPr>
                <w:sz w:val="20"/>
                <w:szCs w:val="20"/>
                <w:color w:val="auto"/>
              </w:rPr>
            </w:pPr>
            <w:r>
              <w:rPr>
                <w:rFonts w:ascii="Arial" w:cs="Arial" w:eastAsia="Arial" w:hAnsi="Arial"/>
                <w:sz w:val="16"/>
                <w:szCs w:val="16"/>
                <w:b w:val="1"/>
                <w:bCs w:val="1"/>
                <w:color w:val="auto"/>
              </w:rPr>
              <w:t>Cash Collateral Received</w:t>
            </w:r>
          </w:p>
        </w:tc>
        <w:tc>
          <w:tcPr>
            <w:tcW w:w="360" w:type="dxa"/>
            <w:vAlign w:val="bottom"/>
          </w:tcPr>
          <w:p>
            <w:pPr>
              <w:spacing w:after="0"/>
              <w:rPr>
                <w:sz w:val="18"/>
                <w:szCs w:val="18"/>
                <w:color w:val="auto"/>
              </w:rPr>
            </w:pPr>
          </w:p>
        </w:tc>
        <w:tc>
          <w:tcPr>
            <w:tcW w:w="1680" w:type="dxa"/>
            <w:vAlign w:val="bottom"/>
          </w:tcPr>
          <w:p>
            <w:pPr>
              <w:jc w:val="right"/>
              <w:ind w:right="519"/>
              <w:spacing w:after="0"/>
              <w:rPr>
                <w:sz w:val="20"/>
                <w:szCs w:val="20"/>
                <w:color w:val="auto"/>
              </w:rPr>
            </w:pPr>
            <w:r>
              <w:rPr>
                <w:rFonts w:ascii="Arial" w:cs="Arial" w:eastAsia="Arial" w:hAnsi="Arial"/>
                <w:sz w:val="16"/>
                <w:szCs w:val="16"/>
                <w:b w:val="1"/>
                <w:bCs w:val="1"/>
                <w:color w:val="auto"/>
              </w:rPr>
              <w:t>Net Amount</w:t>
            </w:r>
          </w:p>
        </w:tc>
        <w:tc>
          <w:tcPr>
            <w:tcW w:w="0" w:type="dxa"/>
            <w:vAlign w:val="bottom"/>
          </w:tcPr>
          <w:p>
            <w:pPr>
              <w:spacing w:after="0"/>
              <w:rPr>
                <w:sz w:val="1"/>
                <w:szCs w:val="1"/>
                <w:color w:val="auto"/>
              </w:rPr>
            </w:pPr>
          </w:p>
        </w:tc>
      </w:tr>
      <w:tr>
        <w:trPr>
          <w:trHeight w:val="33"/>
        </w:trPr>
        <w:tc>
          <w:tcPr>
            <w:tcW w:w="24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March 31, 2019</w:t>
            </w:r>
          </w:p>
        </w:tc>
        <w:tc>
          <w:tcPr>
            <w:tcW w:w="6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8,010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020" w:type="dxa"/>
            <w:vAlign w:val="bottom"/>
            <w:tcBorders>
              <w:bottom w:val="single" w:sz="8" w:color="CCEEFF"/>
            </w:tcBorders>
            <w:gridSpan w:val="2"/>
            <w:shd w:val="clear" w:color="auto" w:fill="CCEEFF"/>
          </w:tcPr>
          <w:p>
            <w:pPr>
              <w:ind w:left="164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7,898</w:t>
            </w:r>
          </w:p>
        </w:tc>
        <w:tc>
          <w:tcPr>
            <w:tcW w:w="0" w:type="dxa"/>
            <w:vAlign w:val="bottom"/>
          </w:tcPr>
          <w:p>
            <w:pPr>
              <w:spacing w:after="0"/>
              <w:rPr>
                <w:sz w:val="1"/>
                <w:szCs w:val="1"/>
                <w:color w:val="auto"/>
              </w:rPr>
            </w:pPr>
          </w:p>
        </w:tc>
      </w:tr>
      <w:tr>
        <w:trPr>
          <w:trHeight w:val="297"/>
        </w:trPr>
        <w:tc>
          <w:tcPr>
            <w:tcW w:w="2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48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December 31, 2018</w:t>
            </w:r>
          </w:p>
        </w:tc>
        <w:tc>
          <w:tcPr>
            <w:tcW w:w="6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8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6,525</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020" w:type="dxa"/>
            <w:vAlign w:val="bottom"/>
            <w:gridSpan w:val="2"/>
            <w:shd w:val="clear" w:color="auto" w:fill="CCEEFF"/>
          </w:tcPr>
          <w:p>
            <w:pPr>
              <w:ind w:left="164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6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6,422</w:t>
            </w:r>
          </w:p>
        </w:tc>
        <w:tc>
          <w:tcPr>
            <w:tcW w:w="0" w:type="dxa"/>
            <w:vAlign w:val="bottom"/>
          </w:tcPr>
          <w:p>
            <w:pPr>
              <w:spacing w:after="0"/>
              <w:rPr>
                <w:sz w:val="1"/>
                <w:szCs w:val="1"/>
                <w:color w:val="auto"/>
              </w:rPr>
            </w:pPr>
          </w:p>
        </w:tc>
      </w:tr>
      <w:tr>
        <w:trPr>
          <w:trHeight w:val="33"/>
        </w:trPr>
        <w:tc>
          <w:tcPr>
            <w:tcW w:w="248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20" w:type="dxa"/>
            <w:vAlign w:val="bottom"/>
            <w:gridSpan w:val="2"/>
            <w:vMerge w:val="restart"/>
          </w:tcPr>
          <w:p>
            <w:pPr>
              <w:jc w:val="center"/>
              <w:ind w:right="320"/>
              <w:spacing w:after="0"/>
              <w:rPr>
                <w:sz w:val="20"/>
                <w:szCs w:val="20"/>
                <w:color w:val="auto"/>
              </w:rPr>
            </w:pPr>
            <w:r>
              <w:rPr>
                <w:rFonts w:ascii="Arial" w:cs="Arial" w:eastAsia="Arial" w:hAnsi="Arial"/>
                <w:sz w:val="16"/>
                <w:szCs w:val="16"/>
                <w:b w:val="1"/>
                <w:bCs w:val="1"/>
                <w:color w:val="auto"/>
                <w:w w:val="90"/>
              </w:rPr>
              <w:t>Gross Amounts of</w:t>
            </w:r>
          </w:p>
        </w:tc>
        <w:tc>
          <w:tcPr>
            <w:tcW w:w="160" w:type="dxa"/>
            <w:vAlign w:val="bottom"/>
          </w:tcPr>
          <w:p>
            <w:pPr>
              <w:spacing w:after="0"/>
              <w:rPr>
                <w:sz w:val="17"/>
                <w:szCs w:val="17"/>
                <w:color w:val="auto"/>
              </w:rPr>
            </w:pPr>
          </w:p>
        </w:tc>
        <w:tc>
          <w:tcPr>
            <w:tcW w:w="4140" w:type="dxa"/>
            <w:vAlign w:val="bottom"/>
            <w:gridSpan w:val="5"/>
          </w:tcPr>
          <w:p>
            <w:pPr>
              <w:jc w:val="right"/>
              <w:ind w:right="300"/>
              <w:spacing w:after="0"/>
              <w:rPr>
                <w:sz w:val="20"/>
                <w:szCs w:val="20"/>
                <w:color w:val="auto"/>
              </w:rPr>
            </w:pPr>
            <w:r>
              <w:rPr>
                <w:rFonts w:ascii="Arial" w:cs="Arial" w:eastAsia="Arial" w:hAnsi="Arial"/>
                <w:sz w:val="16"/>
                <w:szCs w:val="16"/>
                <w:b w:val="1"/>
                <w:bCs w:val="1"/>
                <w:color w:val="auto"/>
                <w:w w:val="90"/>
              </w:rPr>
              <w:t>Gross Amounts Not Offset in the Consolidated Balance</w:t>
            </w:r>
          </w:p>
        </w:tc>
        <w:tc>
          <w:tcPr>
            <w:tcW w:w="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2600" w:type="dxa"/>
            <w:vAlign w:val="bottom"/>
            <w:vMerge w:val="restart"/>
          </w:tcPr>
          <w:p>
            <w:pPr>
              <w:ind w:left="40"/>
              <w:spacing w:after="0"/>
              <w:rPr>
                <w:sz w:val="20"/>
                <w:szCs w:val="20"/>
                <w:color w:val="auto"/>
              </w:rPr>
            </w:pPr>
            <w:r>
              <w:rPr>
                <w:rFonts w:ascii="Arial" w:cs="Arial" w:eastAsia="Arial" w:hAnsi="Arial"/>
                <w:sz w:val="16"/>
                <w:szCs w:val="16"/>
                <w:b w:val="1"/>
                <w:bCs w:val="1"/>
                <w:i w:val="1"/>
                <w:iCs w:val="1"/>
                <w:color w:val="auto"/>
                <w:w w:val="99"/>
              </w:rPr>
              <w:t>Offsetting of Derivative Liabilities</w:t>
            </w:r>
          </w:p>
        </w:tc>
        <w:tc>
          <w:tcPr>
            <w:tcW w:w="460" w:type="dxa"/>
            <w:vAlign w:val="bottom"/>
          </w:tcPr>
          <w:p>
            <w:pPr>
              <w:spacing w:after="0"/>
              <w:rPr>
                <w:sz w:val="5"/>
                <w:szCs w:val="5"/>
                <w:color w:val="auto"/>
              </w:rPr>
            </w:pPr>
          </w:p>
        </w:tc>
        <w:tc>
          <w:tcPr>
            <w:tcW w:w="20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2180" w:type="dxa"/>
            <w:vAlign w:val="bottom"/>
            <w:gridSpan w:val="3"/>
            <w:vMerge w:val="restart"/>
          </w:tcPr>
          <w:p>
            <w:pPr>
              <w:jc w:val="right"/>
              <w:spacing w:after="0"/>
              <w:rPr>
                <w:sz w:val="20"/>
                <w:szCs w:val="20"/>
                <w:color w:val="auto"/>
              </w:rPr>
            </w:pPr>
            <w:r>
              <w:rPr>
                <w:rFonts w:ascii="Arial" w:cs="Arial" w:eastAsia="Arial" w:hAnsi="Arial"/>
                <w:sz w:val="16"/>
                <w:szCs w:val="16"/>
                <w:b w:val="1"/>
                <w:bCs w:val="1"/>
                <w:color w:val="auto"/>
              </w:rPr>
              <w:t>Sheets</w:t>
            </w:r>
          </w:p>
        </w:tc>
        <w:tc>
          <w:tcPr>
            <w:tcW w:w="1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260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2020" w:type="dxa"/>
            <w:vAlign w:val="bottom"/>
            <w:gridSpan w:val="2"/>
            <w:vMerge w:val="restart"/>
          </w:tcPr>
          <w:p>
            <w:pPr>
              <w:jc w:val="center"/>
              <w:ind w:right="320"/>
              <w:spacing w:after="0" w:line="176" w:lineRule="exact"/>
              <w:rPr>
                <w:sz w:val="20"/>
                <w:szCs w:val="20"/>
                <w:color w:val="auto"/>
              </w:rPr>
            </w:pPr>
            <w:r>
              <w:rPr>
                <w:rFonts w:ascii="Arial" w:cs="Arial" w:eastAsia="Arial" w:hAnsi="Arial"/>
                <w:sz w:val="16"/>
                <w:szCs w:val="16"/>
                <w:b w:val="1"/>
                <w:bCs w:val="1"/>
                <w:color w:val="auto"/>
                <w:w w:val="91"/>
              </w:rPr>
              <w:t>Recognized Liabilities</w:t>
            </w:r>
          </w:p>
        </w:tc>
        <w:tc>
          <w:tcPr>
            <w:tcW w:w="160" w:type="dxa"/>
            <w:vAlign w:val="bottom"/>
          </w:tcPr>
          <w:p>
            <w:pPr>
              <w:spacing w:after="0"/>
              <w:rPr>
                <w:sz w:val="12"/>
                <w:szCs w:val="12"/>
                <w:color w:val="auto"/>
              </w:rPr>
            </w:pPr>
          </w:p>
        </w:tc>
        <w:tc>
          <w:tcPr>
            <w:tcW w:w="2180" w:type="dxa"/>
            <w:vAlign w:val="bottom"/>
            <w:gridSpan w:val="3"/>
            <w:vMerge w:val="continue"/>
          </w:tcPr>
          <w:p>
            <w:pPr>
              <w:spacing w:after="0"/>
              <w:rPr>
                <w:sz w:val="12"/>
                <w:szCs w:val="12"/>
                <w:color w:val="auto"/>
              </w:rPr>
            </w:pPr>
          </w:p>
        </w:tc>
        <w:tc>
          <w:tcPr>
            <w:tcW w:w="1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
        </w:trPr>
        <w:tc>
          <w:tcPr>
            <w:tcW w:w="2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20" w:type="dxa"/>
            <w:vAlign w:val="bottom"/>
            <w:gridSpan w:val="2"/>
            <w:vMerge w:val="continue"/>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8"/>
              </w:rPr>
              <w:t>Presented in the</w:t>
            </w:r>
          </w:p>
        </w:tc>
        <w:tc>
          <w:tcPr>
            <w:tcW w:w="160" w:type="dxa"/>
            <w:vAlign w:val="bottom"/>
          </w:tcPr>
          <w:p>
            <w:pPr>
              <w:spacing w:after="0"/>
              <w:rPr>
                <w:sz w:val="18"/>
                <w:szCs w:val="18"/>
                <w:color w:val="auto"/>
              </w:rPr>
            </w:pPr>
          </w:p>
        </w:tc>
        <w:tc>
          <w:tcPr>
            <w:tcW w:w="20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Derivative Financial</w:t>
            </w:r>
          </w:p>
        </w:tc>
        <w:tc>
          <w:tcPr>
            <w:tcW w:w="1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00" w:type="dxa"/>
            <w:vAlign w:val="bottom"/>
          </w:tcPr>
          <w:p>
            <w:pPr>
              <w:ind w:left="40"/>
              <w:spacing w:after="0"/>
              <w:rPr>
                <w:sz w:val="20"/>
                <w:szCs w:val="20"/>
                <w:color w:val="auto"/>
              </w:rPr>
            </w:pPr>
            <w:r>
              <w:rPr>
                <w:rFonts w:ascii="Arial" w:cs="Arial" w:eastAsia="Arial" w:hAnsi="Arial"/>
                <w:sz w:val="16"/>
                <w:szCs w:val="16"/>
                <w:i w:val="1"/>
                <w:iCs w:val="1"/>
                <w:color w:val="auto"/>
              </w:rPr>
              <w:t>In thousands</w:t>
            </w:r>
          </w:p>
        </w:tc>
        <w:tc>
          <w:tcPr>
            <w:tcW w:w="2480" w:type="dxa"/>
            <w:vAlign w:val="bottom"/>
            <w:gridSpan w:val="3"/>
          </w:tcPr>
          <w:p>
            <w:pPr>
              <w:jc w:val="center"/>
              <w:ind w:left="59"/>
              <w:spacing w:after="0"/>
              <w:rPr>
                <w:sz w:val="20"/>
                <w:szCs w:val="20"/>
                <w:color w:val="auto"/>
              </w:rPr>
            </w:pPr>
            <w:r>
              <w:rPr>
                <w:rFonts w:ascii="Arial" w:cs="Arial" w:eastAsia="Arial" w:hAnsi="Arial"/>
                <w:sz w:val="16"/>
                <w:szCs w:val="16"/>
                <w:b w:val="1"/>
                <w:bCs w:val="1"/>
                <w:color w:val="auto"/>
                <w:w w:val="88"/>
              </w:rPr>
              <w:t>Consolidated Balance Sheets</w:t>
            </w:r>
          </w:p>
        </w:tc>
        <w:tc>
          <w:tcPr>
            <w:tcW w:w="160" w:type="dxa"/>
            <w:vAlign w:val="bottom"/>
          </w:tcPr>
          <w:p>
            <w:pPr>
              <w:spacing w:after="0"/>
              <w:rPr>
                <w:sz w:val="18"/>
                <w:szCs w:val="18"/>
                <w:color w:val="auto"/>
              </w:rPr>
            </w:pPr>
          </w:p>
        </w:tc>
        <w:tc>
          <w:tcPr>
            <w:tcW w:w="20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Instruments</w:t>
            </w:r>
          </w:p>
        </w:tc>
        <w:tc>
          <w:tcPr>
            <w:tcW w:w="180" w:type="dxa"/>
            <w:vAlign w:val="bottom"/>
          </w:tcPr>
          <w:p>
            <w:pPr>
              <w:spacing w:after="0"/>
              <w:rPr>
                <w:sz w:val="18"/>
                <w:szCs w:val="18"/>
                <w:color w:val="auto"/>
              </w:rPr>
            </w:pPr>
          </w:p>
        </w:tc>
        <w:tc>
          <w:tcPr>
            <w:tcW w:w="196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w w:val="90"/>
              </w:rPr>
              <w:t>Cash Collateral Pledged</w:t>
            </w:r>
          </w:p>
        </w:tc>
        <w:tc>
          <w:tcPr>
            <w:tcW w:w="360" w:type="dxa"/>
            <w:vAlign w:val="bottom"/>
          </w:tcPr>
          <w:p>
            <w:pPr>
              <w:spacing w:after="0"/>
              <w:rPr>
                <w:sz w:val="18"/>
                <w:szCs w:val="18"/>
                <w:color w:val="auto"/>
              </w:rPr>
            </w:pPr>
          </w:p>
        </w:tc>
        <w:tc>
          <w:tcPr>
            <w:tcW w:w="1680" w:type="dxa"/>
            <w:vAlign w:val="bottom"/>
          </w:tcPr>
          <w:p>
            <w:pPr>
              <w:jc w:val="right"/>
              <w:ind w:right="519"/>
              <w:spacing w:after="0"/>
              <w:rPr>
                <w:sz w:val="20"/>
                <w:szCs w:val="20"/>
                <w:color w:val="auto"/>
              </w:rPr>
            </w:pPr>
            <w:r>
              <w:rPr>
                <w:rFonts w:ascii="Arial" w:cs="Arial" w:eastAsia="Arial" w:hAnsi="Arial"/>
                <w:sz w:val="16"/>
                <w:szCs w:val="16"/>
                <w:b w:val="1"/>
                <w:bCs w:val="1"/>
                <w:color w:val="auto"/>
              </w:rPr>
              <w:t>Net Amount</w:t>
            </w:r>
          </w:p>
        </w:tc>
        <w:tc>
          <w:tcPr>
            <w:tcW w:w="0" w:type="dxa"/>
            <w:vAlign w:val="bottom"/>
          </w:tcPr>
          <w:p>
            <w:pPr>
              <w:spacing w:after="0"/>
              <w:rPr>
                <w:sz w:val="1"/>
                <w:szCs w:val="1"/>
                <w:color w:val="auto"/>
              </w:rPr>
            </w:pPr>
          </w:p>
        </w:tc>
      </w:tr>
      <w:tr>
        <w:trPr>
          <w:trHeight w:val="33"/>
        </w:trPr>
        <w:tc>
          <w:tcPr>
            <w:tcW w:w="26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March 31, 2019</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60" w:type="dxa"/>
            <w:vAlign w:val="bottom"/>
            <w:tcBorders>
              <w:bottom w:val="single" w:sz="8" w:color="CCEEFF"/>
            </w:tcBorders>
            <w:gridSpan w:val="2"/>
            <w:shd w:val="clear" w:color="auto" w:fill="CCEEFF"/>
          </w:tcPr>
          <w:p>
            <w:pPr>
              <w:ind w:left="158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84"/>
        </w:trPr>
        <w:tc>
          <w:tcPr>
            <w:tcW w:w="2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60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December 31, 2018</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9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337</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60" w:type="dxa"/>
            <w:vAlign w:val="bottom"/>
            <w:gridSpan w:val="2"/>
            <w:shd w:val="clear" w:color="auto" w:fill="CCEEFF"/>
          </w:tcPr>
          <w:p>
            <w:pPr>
              <w:ind w:left="15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6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234</w:t>
            </w:r>
          </w:p>
        </w:tc>
        <w:tc>
          <w:tcPr>
            <w:tcW w:w="0" w:type="dxa"/>
            <w:vAlign w:val="bottom"/>
          </w:tcPr>
          <w:p>
            <w:pPr>
              <w:spacing w:after="0"/>
              <w:rPr>
                <w:sz w:val="1"/>
                <w:szCs w:val="1"/>
                <w:color w:val="auto"/>
              </w:rPr>
            </w:pPr>
          </w:p>
        </w:tc>
      </w:tr>
      <w:tr>
        <w:trPr>
          <w:trHeight w:val="33"/>
        </w:trPr>
        <w:tc>
          <w:tcPr>
            <w:tcW w:w="26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derivative assets and liabilities subject to netting arrangements consist of foreign exchange forwards and options and interest rate contracts with six counterparties at March 31, 2019 and five counterparties at December 31, 2018. No derivative asset or liability balance with any of our counterparties was individually significant at March 31, 2019 or December 31, 2018. Our derivative contracts with each of these counterparties exist under agreements that provide for the net settlement of all contracts through a single payment in a single currency in the event of default. We have no pledges of cash collateral against our obligations nor have we received pledges of cash collateral from our counterparties under the associated derivative contracts.</w:t>
      </w:r>
    </w:p>
    <w:p>
      <w:pPr>
        <w:spacing w:after="0" w:line="17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Cash Flow Hedges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a result of our floating rate debt, we are exposed to variability in our cash flows from changes in the applicable interest rate index. We enter into interest rate caps and swaps to reduce the variability of cash flows from increases in the LIBOR based borrowing rates on our floating rate credit facility. These instruments do not protect us from changes to the applicable margin under our credit facility. At March 31, 2019, our LIBOR-based debt balance was $623.8 million.</w:t>
      </w:r>
    </w:p>
    <w:p>
      <w:pPr>
        <w:spacing w:after="0" w:line="1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October 2015, we entered into an interest rate swap, which is effective from August 31, 2016 to June 23, 2020, and converts $214 million of our LIBOR based debt from a floating LIBOR interest rate to a fixed interest rate of 1.42% (excluding the applicable margin on the debt). The notional balance will amortize to maturity at the same rate as required minimum payments on our term loan. Changes in the fair value of the interest rate swap are recognized as a component of other comprehensive income (OCI) and are recognized in earnings when the hedged item affects earnings. The amounts paid or received on the hedge are recognized as an adjustment to interest expense along with the earnings effect of the hedged item. The amount of net gains expected to be reclassified into earnings in the next 12 months is $1.6 million.</w:t>
      </w:r>
    </w:p>
    <w:p>
      <w:pPr>
        <w:spacing w:after="0" w:line="19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November 2015, we entered into three interest rate cap contracts with a total notional amount of $100 million at a cost of $1.7 million. The interest rate cap contracts expire on June 23, 2020 and were entered into in order to limit our interest rate exposure on $100 million of our variable LIBOR based debt up to 2.00%. In the event LIBOR is higher than 2.00%, we will pay interest at the capped rate of 2.00% with respect to the $100 million notional amount of such agreements. As of December 31, 2016, due to the accelerated revolver payments from surplus cash, we elected to de-designate two of the interest rate cap contracts as cash flow hedges and discontinued the use of cash flow hedge accounting. The amounts recognized in AOCI from de-designated interest rate cap contracts were maintained in AOCI as the forecasted transactions were still probable to occur, and subsequent changes in fair value were recognized within interest expense. In April 2018, due to increases in our total LIBOR-based debt, we elected to re-designate the two interest rate cap contracts as cash flow hedges. Future changes in the fair value of these instruments will be recognized as a component of OCI, and these changes together with amounts previously maintained in AOCI will be recognized in earnings when the hedged item affects earnings. The amounts paid or received on the hedge are recognized as an adjustment to interest expense along with the earnings effect of the hedged item. The amount of net losses expected to be reclassified into earnings for all interest rate cap contracts in the next 12 months is $0.3 million.</w:t>
      </w:r>
    </w:p>
    <w:p>
      <w:pPr>
        <w:spacing w:after="0" w:line="1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April 2018, we entered into a cross-currency swap, which converts $56.0 million of floating LIBOR-based U.S. Dollar denominated debt into 1.38% fixed rate euro denominated debt. This cross-currency swap matures on April 30, 2021 and mitigates the risk associated with fluctuations in currency rates impacting cash flows related to U.S. Dollar denominated debt in a euro functional currency entity. Changes in the fair value of the cross-currency swap are recognized as a component of OCI and will be recognized in earnings when the hedged item affects earnings. The amounts paid or received on the hedge are recognized as an adjustment to interest expense along with the earnings effect of the hedged item. The amount of net gains expected to be reclassified into earnings in the next 12 months is $1.6 million.</w:t>
      </w:r>
    </w:p>
    <w:p>
      <w:pPr>
        <w:spacing w:after="0" w:line="19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a result of our forecasted purchases in non-functional currency, we are exposed to foreign exchange risk. We hedge portions of our forecasted foreign currency inventory purchases. During January 2019, we entered into foreign exchange option contracts for a total notional amount of $72 million at a cost of $1.3 million. The contracts will mature ratably through the year with final maturity in October 2019. Changes in the fair value of the option contracts are recognized as a component of OCI and will be recognized in product cost of revenues when the hedged item affects earnings.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before-tax effects of our accounting for derivative instruments designated as hedges on AOCI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Derivatives in Subtopic 815-20</w:t>
            </w:r>
          </w:p>
        </w:tc>
        <w:tc>
          <w:tcPr>
            <w:tcW w:w="2400" w:type="dxa"/>
            <w:vAlign w:val="bottom"/>
            <w:gridSpan w:val="4"/>
            <w:vMerge w:val="restart"/>
          </w:tcPr>
          <w:p>
            <w:pPr>
              <w:jc w:val="center"/>
              <w:ind w:left="448"/>
              <w:spacing w:after="0"/>
              <w:rPr>
                <w:sz w:val="20"/>
                <w:szCs w:val="20"/>
                <w:color w:val="auto"/>
              </w:rPr>
            </w:pPr>
            <w:r>
              <w:rPr>
                <w:rFonts w:ascii="Arial" w:cs="Arial" w:eastAsia="Arial" w:hAnsi="Arial"/>
                <w:sz w:val="14"/>
                <w:szCs w:val="14"/>
                <w:b w:val="1"/>
                <w:bCs w:val="1"/>
                <w:color w:val="auto"/>
                <w:w w:val="92"/>
              </w:rPr>
              <w:t>Amount of Gain (Loss)</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960" w:type="dxa"/>
            <w:vAlign w:val="bottom"/>
            <w:gridSpan w:val="6"/>
          </w:tcPr>
          <w:p>
            <w:pPr>
              <w:jc w:val="center"/>
              <w:ind w:left="1348"/>
              <w:spacing w:after="0"/>
              <w:rPr>
                <w:sz w:val="20"/>
                <w:szCs w:val="20"/>
                <w:color w:val="auto"/>
              </w:rPr>
            </w:pPr>
            <w:r>
              <w:rPr>
                <w:rFonts w:ascii="Arial" w:cs="Arial" w:eastAsia="Arial" w:hAnsi="Arial"/>
                <w:sz w:val="14"/>
                <w:szCs w:val="14"/>
                <w:b w:val="1"/>
                <w:bCs w:val="1"/>
                <w:color w:val="auto"/>
                <w:w w:val="92"/>
              </w:rPr>
              <w:t>Gain (Loss) Reclassified from</w:t>
            </w:r>
          </w:p>
        </w:tc>
        <w:tc>
          <w:tcPr>
            <w:tcW w:w="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3000" w:type="dxa"/>
            <w:vAlign w:val="bottom"/>
            <w:gridSpan w:val="2"/>
            <w:vMerge w:val="continue"/>
          </w:tcPr>
          <w:p>
            <w:pPr>
              <w:spacing w:after="0"/>
              <w:rPr>
                <w:sz w:val="12"/>
                <w:szCs w:val="12"/>
                <w:color w:val="auto"/>
              </w:rPr>
            </w:pPr>
          </w:p>
        </w:tc>
        <w:tc>
          <w:tcPr>
            <w:tcW w:w="2400" w:type="dxa"/>
            <w:vAlign w:val="bottom"/>
            <w:gridSpan w:val="4"/>
            <w:vMerge w:val="continue"/>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420" w:type="dxa"/>
            <w:vAlign w:val="bottom"/>
            <w:gridSpan w:val="3"/>
          </w:tcPr>
          <w:p>
            <w:pPr>
              <w:jc w:val="center"/>
              <w:spacing w:after="0" w:line="145" w:lineRule="exact"/>
              <w:rPr>
                <w:sz w:val="20"/>
                <w:szCs w:val="20"/>
                <w:color w:val="auto"/>
              </w:rPr>
            </w:pPr>
            <w:r>
              <w:rPr>
                <w:rFonts w:ascii="Arial" w:cs="Arial" w:eastAsia="Arial" w:hAnsi="Arial"/>
                <w:sz w:val="14"/>
                <w:szCs w:val="14"/>
                <w:b w:val="1"/>
                <w:bCs w:val="1"/>
                <w:color w:val="auto"/>
                <w:w w:val="97"/>
              </w:rPr>
              <w:t>AOCI into Income</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3000" w:type="dxa"/>
            <w:vAlign w:val="bottom"/>
            <w:gridSpan w:val="2"/>
            <w:vMerge w:val="restart"/>
          </w:tcPr>
          <w:p>
            <w:pPr>
              <w:jc w:val="center"/>
              <w:ind w:right="120"/>
              <w:spacing w:after="0" w:line="139" w:lineRule="exact"/>
              <w:rPr>
                <w:sz w:val="20"/>
                <w:szCs w:val="20"/>
                <w:color w:val="auto"/>
              </w:rPr>
            </w:pPr>
            <w:r>
              <w:rPr>
                <w:rFonts w:ascii="Arial" w:cs="Arial" w:eastAsia="Arial" w:hAnsi="Arial"/>
                <w:sz w:val="14"/>
                <w:szCs w:val="14"/>
                <w:b w:val="1"/>
                <w:bCs w:val="1"/>
                <w:color w:val="auto"/>
                <w:w w:val="91"/>
              </w:rPr>
              <w:t>Cash Flow</w:t>
            </w:r>
          </w:p>
        </w:tc>
        <w:tc>
          <w:tcPr>
            <w:tcW w:w="2400" w:type="dxa"/>
            <w:vAlign w:val="bottom"/>
            <w:gridSpan w:val="4"/>
            <w:vMerge w:val="restart"/>
          </w:tcPr>
          <w:p>
            <w:pPr>
              <w:jc w:val="center"/>
              <w:ind w:left="448"/>
              <w:spacing w:after="0" w:line="139" w:lineRule="exact"/>
              <w:rPr>
                <w:sz w:val="20"/>
                <w:szCs w:val="20"/>
                <w:color w:val="auto"/>
              </w:rPr>
            </w:pPr>
            <w:r>
              <w:rPr>
                <w:rFonts w:ascii="Arial" w:cs="Arial" w:eastAsia="Arial" w:hAnsi="Arial"/>
                <w:sz w:val="14"/>
                <w:szCs w:val="14"/>
                <w:b w:val="1"/>
                <w:bCs w:val="1"/>
                <w:color w:val="auto"/>
                <w:w w:val="93"/>
              </w:rPr>
              <w:t>Recognized in OCI on</w:t>
            </w: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3000" w:type="dxa"/>
            <w:vAlign w:val="bottom"/>
            <w:gridSpan w:val="2"/>
            <w:vMerge w:val="continue"/>
          </w:tcPr>
          <w:p>
            <w:pPr>
              <w:spacing w:after="0"/>
              <w:rPr>
                <w:sz w:val="5"/>
                <w:szCs w:val="5"/>
                <w:color w:val="auto"/>
              </w:rPr>
            </w:pPr>
          </w:p>
        </w:tc>
        <w:tc>
          <w:tcPr>
            <w:tcW w:w="2400" w:type="dxa"/>
            <w:vAlign w:val="bottom"/>
            <w:gridSpan w:val="4"/>
            <w:vMerge w:val="continue"/>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980" w:type="dxa"/>
            <w:vAlign w:val="bottom"/>
            <w:vMerge w:val="restart"/>
          </w:tcPr>
          <w:p>
            <w:pPr>
              <w:ind w:left="880"/>
              <w:spacing w:after="0"/>
              <w:rPr>
                <w:sz w:val="20"/>
                <w:szCs w:val="20"/>
                <w:color w:val="auto"/>
              </w:rPr>
            </w:pPr>
            <w:r>
              <w:rPr>
                <w:rFonts w:ascii="Arial" w:cs="Arial" w:eastAsia="Arial" w:hAnsi="Arial"/>
                <w:sz w:val="14"/>
                <w:szCs w:val="14"/>
                <w:b w:val="1"/>
                <w:bCs w:val="1"/>
                <w:color w:val="auto"/>
              </w:rPr>
              <w:t>Location</w:t>
            </w: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960" w:type="dxa"/>
            <w:vAlign w:val="bottom"/>
            <w:gridSpan w:val="3"/>
            <w:vMerge w:val="restart"/>
          </w:tcPr>
          <w:p>
            <w:pPr>
              <w:jc w:val="right"/>
              <w:ind w:right="108"/>
              <w:spacing w:after="0"/>
              <w:rPr>
                <w:sz w:val="20"/>
                <w:szCs w:val="20"/>
                <w:color w:val="auto"/>
              </w:rPr>
            </w:pPr>
            <w:r>
              <w:rPr>
                <w:rFonts w:ascii="Arial" w:cs="Arial" w:eastAsia="Arial" w:hAnsi="Arial"/>
                <w:sz w:val="14"/>
                <w:szCs w:val="14"/>
                <w:b w:val="1"/>
                <w:bCs w:val="1"/>
                <w:color w:val="auto"/>
              </w:rPr>
              <w:t>Amount</w:t>
            </w:r>
          </w:p>
        </w:tc>
        <w:tc>
          <w:tcPr>
            <w:tcW w:w="1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2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Hedging Relationships</w:t>
            </w:r>
          </w:p>
        </w:tc>
        <w:tc>
          <w:tcPr>
            <w:tcW w:w="12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center"/>
              <w:ind w:right="288"/>
              <w:spacing w:after="0"/>
              <w:rPr>
                <w:sz w:val="20"/>
                <w:szCs w:val="20"/>
                <w:color w:val="auto"/>
              </w:rPr>
            </w:pPr>
            <w:r>
              <w:rPr>
                <w:rFonts w:ascii="Arial" w:cs="Arial" w:eastAsia="Arial" w:hAnsi="Arial"/>
                <w:sz w:val="14"/>
                <w:szCs w:val="14"/>
                <w:b w:val="1"/>
                <w:bCs w:val="1"/>
                <w:color w:val="auto"/>
                <w:w w:val="95"/>
              </w:rPr>
              <w:t>Derivative</w:t>
            </w: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98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vMerge w:val="continue"/>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88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98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3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90"/>
        </w:trPr>
        <w:tc>
          <w:tcPr>
            <w:tcW w:w="3000" w:type="dxa"/>
            <w:vAlign w:val="bottom"/>
            <w:gridSpan w:val="2"/>
          </w:tcPr>
          <w:p>
            <w:pPr>
              <w:ind w:left="40"/>
              <w:spacing w:after="0"/>
              <w:rPr>
                <w:sz w:val="20"/>
                <w:szCs w:val="20"/>
                <w:color w:val="auto"/>
              </w:rPr>
            </w:pPr>
            <w:r>
              <w:rPr>
                <w:rFonts w:ascii="Arial" w:cs="Arial" w:eastAsia="Arial" w:hAnsi="Arial"/>
                <w:sz w:val="14"/>
                <w:szCs w:val="14"/>
                <w:b w:val="1"/>
                <w:bCs w:val="1"/>
                <w:color w:val="auto"/>
              </w:rPr>
              <w:t>Three Months Ended March 31,</w:t>
            </w:r>
          </w:p>
        </w:tc>
        <w:tc>
          <w:tcPr>
            <w:tcW w:w="8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9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00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Interest rate swap contracts</w:t>
            </w:r>
          </w:p>
        </w:tc>
        <w:tc>
          <w:tcPr>
            <w:tcW w:w="880" w:type="dxa"/>
            <w:vAlign w:val="bottom"/>
            <w:shd w:val="clear" w:color="auto" w:fill="CCEEFF"/>
          </w:tcPr>
          <w:p>
            <w:pPr>
              <w:jc w:val="right"/>
              <w:ind w:right="70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(318)</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72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1,247</w:t>
            </w:r>
          </w:p>
        </w:tc>
        <w:tc>
          <w:tcPr>
            <w:tcW w:w="100" w:type="dxa"/>
            <w:vAlign w:val="bottom"/>
            <w:shd w:val="clear" w:color="auto" w:fill="CCEEFF"/>
          </w:tcPr>
          <w:p>
            <w:pPr>
              <w:spacing w:after="0"/>
              <w:rPr>
                <w:sz w:val="16"/>
                <w:szCs w:val="16"/>
                <w:color w:val="auto"/>
              </w:rPr>
            </w:pPr>
          </w:p>
        </w:tc>
        <w:tc>
          <w:tcPr>
            <w:tcW w:w="19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Interest expense</w:t>
            </w:r>
          </w:p>
        </w:tc>
        <w:tc>
          <w:tcPr>
            <w:tcW w:w="1420" w:type="dxa"/>
            <w:vAlign w:val="bottom"/>
            <w:gridSpan w:val="3"/>
            <w:shd w:val="clear" w:color="auto" w:fill="CCEEFF"/>
          </w:tcPr>
          <w:p>
            <w:pPr>
              <w:jc w:val="right"/>
              <w:ind w:right="82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466</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80"/>
        </w:trPr>
        <w:tc>
          <w:tcPr>
            <w:tcW w:w="28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98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000" w:type="dxa"/>
            <w:vAlign w:val="bottom"/>
            <w:gridSpan w:val="2"/>
          </w:tcPr>
          <w:p>
            <w:pPr>
              <w:ind w:left="380"/>
              <w:spacing w:after="0"/>
              <w:rPr>
                <w:sz w:val="20"/>
                <w:szCs w:val="20"/>
                <w:color w:val="auto"/>
              </w:rPr>
            </w:pPr>
            <w:r>
              <w:rPr>
                <w:rFonts w:ascii="Arial" w:cs="Arial" w:eastAsia="Arial" w:hAnsi="Arial"/>
                <w:sz w:val="14"/>
                <w:szCs w:val="14"/>
                <w:color w:val="auto"/>
              </w:rPr>
              <w:t>Interest rate cap contracts</w:t>
            </w:r>
          </w:p>
        </w:tc>
        <w:tc>
          <w:tcPr>
            <w:tcW w:w="880" w:type="dxa"/>
            <w:vAlign w:val="bottom"/>
          </w:tcPr>
          <w:p>
            <w:pPr>
              <w:spacing w:after="0"/>
              <w:rPr>
                <w:sz w:val="16"/>
                <w:szCs w:val="16"/>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156</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188</w:t>
            </w:r>
          </w:p>
        </w:tc>
        <w:tc>
          <w:tcPr>
            <w:tcW w:w="100" w:type="dxa"/>
            <w:vAlign w:val="bottom"/>
          </w:tcPr>
          <w:p>
            <w:pPr>
              <w:spacing w:after="0"/>
              <w:rPr>
                <w:sz w:val="16"/>
                <w:szCs w:val="16"/>
                <w:color w:val="auto"/>
              </w:rPr>
            </w:pPr>
          </w:p>
        </w:tc>
        <w:tc>
          <w:tcPr>
            <w:tcW w:w="1980" w:type="dxa"/>
            <w:vAlign w:val="bottom"/>
          </w:tcPr>
          <w:p>
            <w:pPr>
              <w:ind w:left="160"/>
              <w:spacing w:after="0"/>
              <w:rPr>
                <w:sz w:val="20"/>
                <w:szCs w:val="20"/>
                <w:color w:val="auto"/>
              </w:rPr>
            </w:pPr>
            <w:r>
              <w:rPr>
                <w:rFonts w:ascii="Arial" w:cs="Arial" w:eastAsia="Arial" w:hAnsi="Arial"/>
                <w:sz w:val="14"/>
                <w:szCs w:val="14"/>
                <w:color w:val="auto"/>
              </w:rPr>
              <w:t>Interest expense</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60" w:type="dxa"/>
            <w:vAlign w:val="bottom"/>
          </w:tcPr>
          <w:p>
            <w:pPr>
              <w:jc w:val="right"/>
              <w:ind w:right="48"/>
              <w:spacing w:after="0"/>
              <w:rPr>
                <w:sz w:val="20"/>
                <w:szCs w:val="20"/>
                <w:color w:val="auto"/>
              </w:rPr>
            </w:pPr>
            <w:r>
              <w:rPr>
                <w:rFonts w:ascii="Arial" w:cs="Arial" w:eastAsia="Arial" w:hAnsi="Arial"/>
                <w:sz w:val="14"/>
                <w:szCs w:val="14"/>
                <w:color w:val="auto"/>
              </w:rPr>
              <w:t>292</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80"/>
        </w:trPr>
        <w:tc>
          <w:tcPr>
            <w:tcW w:w="2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9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00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Foreign exchange options</w:t>
            </w:r>
          </w:p>
        </w:tc>
        <w:tc>
          <w:tcPr>
            <w:tcW w:w="88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307</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9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Product cost of revenues</w:t>
            </w:r>
          </w:p>
        </w:tc>
        <w:tc>
          <w:tcPr>
            <w:tcW w:w="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28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98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000" w:type="dxa"/>
            <w:vAlign w:val="bottom"/>
            <w:gridSpan w:val="2"/>
          </w:tcPr>
          <w:p>
            <w:pPr>
              <w:ind w:left="380"/>
              <w:spacing w:after="0"/>
              <w:rPr>
                <w:sz w:val="20"/>
                <w:szCs w:val="20"/>
                <w:color w:val="auto"/>
              </w:rPr>
            </w:pPr>
            <w:r>
              <w:rPr>
                <w:rFonts w:ascii="Arial" w:cs="Arial" w:eastAsia="Arial" w:hAnsi="Arial"/>
                <w:sz w:val="14"/>
                <w:szCs w:val="14"/>
                <w:color w:val="auto"/>
              </w:rPr>
              <w:t>Cross currency swap contract</w:t>
            </w:r>
          </w:p>
        </w:tc>
        <w:tc>
          <w:tcPr>
            <w:tcW w:w="880" w:type="dxa"/>
            <w:vAlign w:val="bottom"/>
          </w:tcPr>
          <w:p>
            <w:pPr>
              <w:spacing w:after="0"/>
              <w:rPr>
                <w:sz w:val="16"/>
                <w:szCs w:val="16"/>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2,008</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980" w:type="dxa"/>
            <w:vAlign w:val="bottom"/>
          </w:tcPr>
          <w:p>
            <w:pPr>
              <w:ind w:left="160"/>
              <w:spacing w:after="0"/>
              <w:rPr>
                <w:sz w:val="20"/>
                <w:szCs w:val="20"/>
                <w:color w:val="auto"/>
              </w:rPr>
            </w:pPr>
            <w:r>
              <w:rPr>
                <w:rFonts w:ascii="Arial" w:cs="Arial" w:eastAsia="Arial" w:hAnsi="Arial"/>
                <w:sz w:val="14"/>
                <w:szCs w:val="14"/>
                <w:color w:val="auto"/>
              </w:rPr>
              <w:t>Interest expense</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60" w:type="dxa"/>
            <w:vAlign w:val="bottom"/>
          </w:tcPr>
          <w:p>
            <w:pPr>
              <w:jc w:val="right"/>
              <w:ind w:right="48"/>
              <w:spacing w:after="0"/>
              <w:rPr>
                <w:sz w:val="20"/>
                <w:szCs w:val="20"/>
                <w:color w:val="auto"/>
              </w:rPr>
            </w:pPr>
            <w:r>
              <w:rPr>
                <w:rFonts w:ascii="Arial" w:cs="Arial" w:eastAsia="Arial" w:hAnsi="Arial"/>
                <w:sz w:val="14"/>
                <w:szCs w:val="14"/>
                <w:color w:val="auto"/>
              </w:rPr>
              <w:t>494</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2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9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00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Cross currency swap contract</w:t>
            </w:r>
          </w:p>
        </w:tc>
        <w:tc>
          <w:tcPr>
            <w:tcW w:w="8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9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Other income/(expense), net</w:t>
            </w:r>
          </w:p>
        </w:tc>
        <w:tc>
          <w:tcPr>
            <w:tcW w:w="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892</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28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98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reclassification amounts presented above also represent the loss (gain) recognized in net income (loss) on hedging relationships under Subtopic 815-20 on the Consolidated Statements of Operations. For the three months ended March 31, 2019 and 2018, there were no amounts reclassified from AOCI as a result that a forecasted transaction is no longer probable of occurring, and no amounts excluded from effectiveness testing recognized in earnings based on changes in fair value.</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Derivatives Not Designated as Hedging Relationships</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are also exposed to foreign exchange risk when we enter into non-functional currency transactions, both intercompany and third party. At each period-end, non-functional currency monetary assets and liabilities are revalued with the change recognized to other income and expense. We enter into monthly foreign exchange forward contracts, which are not designated for hedge accounting, with the intent to reduce earnings volatility associated with currency exposures. As of March 31, 2019, a total of 51 contracts were offsetting our exposures from the Euro, Pound Sterling, Indonesian Rupiah, Chinese Yuan, Canadian Dollar, Indian Rupee and various other currencies, with notional amounts ranging from $109,000 to $7.6 million.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The effect of our derivative instruments not designated as hedges on the Consolidated Statements of Operations was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Derivatives Not Designated as Hedging Instrument under Subtopic 815-</w:t>
            </w:r>
          </w:p>
        </w:tc>
        <w:tc>
          <w:tcPr>
            <w:tcW w:w="2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0" w:type="dxa"/>
            <w:vAlign w:val="bottom"/>
            <w:gridSpan w:val="3"/>
          </w:tcPr>
          <w:p>
            <w:pPr>
              <w:jc w:val="center"/>
              <w:ind w:right="19"/>
              <w:spacing w:after="0"/>
              <w:rPr>
                <w:sz w:val="20"/>
                <w:szCs w:val="20"/>
                <w:color w:val="auto"/>
              </w:rPr>
            </w:pPr>
            <w:r>
              <w:rPr>
                <w:rFonts w:ascii="Arial" w:cs="Arial" w:eastAsia="Arial" w:hAnsi="Arial"/>
                <w:sz w:val="16"/>
                <w:szCs w:val="16"/>
                <w:b w:val="1"/>
                <w:bCs w:val="1"/>
                <w:color w:val="auto"/>
                <w:w w:val="91"/>
              </w:rPr>
              <w:t>Gain (Loss) Recognized on Derivatives in Other</w:t>
            </w:r>
          </w:p>
        </w:tc>
        <w:tc>
          <w:tcPr>
            <w:tcW w:w="0" w:type="dxa"/>
            <w:vAlign w:val="bottom"/>
          </w:tcPr>
          <w:p>
            <w:pPr>
              <w:spacing w:after="0"/>
              <w:rPr>
                <w:sz w:val="1"/>
                <w:szCs w:val="1"/>
                <w:color w:val="auto"/>
              </w:rPr>
            </w:pPr>
          </w:p>
        </w:tc>
      </w:tr>
      <w:tr>
        <w:trPr>
          <w:trHeight w:val="210"/>
        </w:trPr>
        <w:tc>
          <w:tcPr>
            <w:tcW w:w="5160" w:type="dxa"/>
            <w:vAlign w:val="bottom"/>
          </w:tcPr>
          <w:p>
            <w:pPr>
              <w:jc w:val="right"/>
              <w:ind w:right="2419"/>
              <w:spacing w:after="0"/>
              <w:rPr>
                <w:sz w:val="20"/>
                <w:szCs w:val="20"/>
                <w:color w:val="auto"/>
              </w:rPr>
            </w:pPr>
            <w:r>
              <w:rPr>
                <w:rFonts w:ascii="Arial" w:cs="Arial" w:eastAsia="Arial" w:hAnsi="Arial"/>
                <w:sz w:val="16"/>
                <w:szCs w:val="16"/>
                <w:b w:val="1"/>
                <w:bCs w:val="1"/>
                <w:color w:val="auto"/>
              </w:rPr>
              <w:t>20</w:t>
            </w:r>
          </w:p>
        </w:tc>
        <w:tc>
          <w:tcPr>
            <w:tcW w:w="120" w:type="dxa"/>
            <w:vAlign w:val="bottom"/>
          </w:tcPr>
          <w:p>
            <w:pPr>
              <w:spacing w:after="0"/>
              <w:rPr>
                <w:sz w:val="18"/>
                <w:szCs w:val="18"/>
                <w:color w:val="auto"/>
              </w:rPr>
            </w:pPr>
          </w:p>
        </w:tc>
        <w:tc>
          <w:tcPr>
            <w:tcW w:w="26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Location</w:t>
            </w:r>
          </w:p>
        </w:tc>
        <w:tc>
          <w:tcPr>
            <w:tcW w:w="120" w:type="dxa"/>
            <w:vAlign w:val="bottom"/>
          </w:tcPr>
          <w:p>
            <w:pPr>
              <w:spacing w:after="0"/>
              <w:rPr>
                <w:sz w:val="18"/>
                <w:szCs w:val="18"/>
                <w:color w:val="auto"/>
              </w:rPr>
            </w:pPr>
          </w:p>
        </w:tc>
        <w:tc>
          <w:tcPr>
            <w:tcW w:w="2340" w:type="dxa"/>
            <w:vAlign w:val="bottom"/>
            <w:gridSpan w:val="2"/>
          </w:tcPr>
          <w:p>
            <w:pPr>
              <w:jc w:val="center"/>
              <w:ind w:left="899"/>
              <w:spacing w:after="0"/>
              <w:rPr>
                <w:sz w:val="20"/>
                <w:szCs w:val="20"/>
                <w:color w:val="auto"/>
              </w:rPr>
            </w:pPr>
            <w:r>
              <w:rPr>
                <w:rFonts w:ascii="Arial" w:cs="Arial" w:eastAsia="Arial" w:hAnsi="Arial"/>
                <w:sz w:val="16"/>
                <w:szCs w:val="16"/>
                <w:b w:val="1"/>
                <w:bCs w:val="1"/>
                <w:color w:val="auto"/>
                <w:w w:val="90"/>
              </w:rPr>
              <w:t>Income (Expense)</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20" w:type="dxa"/>
            <w:vAlign w:val="bottom"/>
            <w:gridSpan w:val="2"/>
          </w:tcPr>
          <w:p>
            <w:pPr>
              <w:jc w:val="center"/>
              <w:ind w:right="120"/>
              <w:spacing w:after="0"/>
              <w:rPr>
                <w:sz w:val="20"/>
                <w:szCs w:val="20"/>
                <w:color w:val="auto"/>
              </w:rPr>
            </w:pPr>
            <w:r>
              <w:rPr>
                <w:rFonts w:ascii="Arial" w:cs="Arial" w:eastAsia="Arial" w:hAnsi="Arial"/>
                <w:sz w:val="16"/>
                <w:szCs w:val="16"/>
                <w:i w:val="1"/>
                <w:iCs w:val="1"/>
                <w:color w:val="auto"/>
                <w:w w:val="89"/>
              </w:rPr>
              <w:t>In thousands</w:t>
            </w:r>
          </w:p>
        </w:tc>
        <w:tc>
          <w:tcPr>
            <w:tcW w:w="120" w:type="dxa"/>
            <w:vAlign w:val="bottom"/>
          </w:tcPr>
          <w:p>
            <w:pPr>
              <w:spacing w:after="0"/>
              <w:rPr>
                <w:sz w:val="20"/>
                <w:szCs w:val="20"/>
                <w:color w:val="auto"/>
              </w:rPr>
            </w:pPr>
          </w:p>
        </w:tc>
        <w:tc>
          <w:tcPr>
            <w:tcW w:w="1640" w:type="dxa"/>
            <w:vAlign w:val="bottom"/>
          </w:tcPr>
          <w:p>
            <w:pPr>
              <w:jc w:val="right"/>
              <w:ind w:right="659"/>
              <w:spacing w:after="0"/>
              <w:rPr>
                <w:sz w:val="20"/>
                <w:szCs w:val="20"/>
                <w:color w:val="auto"/>
              </w:rPr>
            </w:pPr>
            <w:r>
              <w:rPr>
                <w:rFonts w:ascii="Arial" w:cs="Arial" w:eastAsia="Arial" w:hAnsi="Arial"/>
                <w:sz w:val="16"/>
                <w:szCs w:val="16"/>
                <w:b w:val="1"/>
                <w:bCs w:val="1"/>
                <w:color w:val="auto"/>
              </w:rPr>
              <w:t>2019</w:t>
            </w:r>
          </w:p>
        </w:tc>
        <w:tc>
          <w:tcPr>
            <w:tcW w:w="700" w:type="dxa"/>
            <w:vAlign w:val="bottom"/>
          </w:tcPr>
          <w:p>
            <w:pPr>
              <w:spacing w:after="0"/>
              <w:rPr>
                <w:sz w:val="20"/>
                <w:szCs w:val="20"/>
                <w:color w:val="auto"/>
              </w:rPr>
            </w:pPr>
          </w:p>
        </w:tc>
        <w:tc>
          <w:tcPr>
            <w:tcW w:w="1060" w:type="dxa"/>
            <w:vAlign w:val="bottom"/>
          </w:tcPr>
          <w:p>
            <w:pPr>
              <w:jc w:val="right"/>
              <w:ind w:right="599"/>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33"/>
        </w:trPr>
        <w:tc>
          <w:tcPr>
            <w:tcW w:w="528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Three Months Ended March 31,</w:t>
            </w:r>
          </w:p>
        </w:tc>
        <w:tc>
          <w:tcPr>
            <w:tcW w:w="2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280" w:type="dxa"/>
            <w:vAlign w:val="bottom"/>
            <w:gridSpan w:val="2"/>
            <w:vMerge w:val="continue"/>
          </w:tcPr>
          <w:p>
            <w:pPr>
              <w:spacing w:after="0"/>
              <w:rPr>
                <w:sz w:val="20"/>
                <w:szCs w:val="20"/>
                <w:color w:val="auto"/>
              </w:rPr>
            </w:pPr>
          </w:p>
        </w:tc>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Foreign exchange forward contracts</w:t>
            </w:r>
          </w:p>
        </w:tc>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Other income (expense), net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(790)</w:t>
            </w:r>
          </w:p>
        </w:tc>
        <w:tc>
          <w:tcPr>
            <w:tcW w:w="70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(1,523)</w:t>
            </w:r>
          </w:p>
        </w:tc>
        <w:tc>
          <w:tcPr>
            <w:tcW w:w="0" w:type="dxa"/>
            <w:vAlign w:val="bottom"/>
          </w:tcPr>
          <w:p>
            <w:pPr>
              <w:spacing w:after="0"/>
              <w:rPr>
                <w:sz w:val="1"/>
                <w:szCs w:val="1"/>
                <w:color w:val="auto"/>
              </w:rPr>
            </w:pPr>
          </w:p>
        </w:tc>
      </w:tr>
      <w:tr>
        <w:trPr>
          <w:trHeight w:val="237"/>
        </w:trPr>
        <w:tc>
          <w:tcPr>
            <w:tcW w:w="5280" w:type="dxa"/>
            <w:vAlign w:val="bottom"/>
            <w:gridSpan w:val="2"/>
          </w:tcPr>
          <w:p>
            <w:pPr>
              <w:ind w:left="380"/>
              <w:spacing w:after="0"/>
              <w:rPr>
                <w:sz w:val="20"/>
                <w:szCs w:val="20"/>
                <w:color w:val="auto"/>
              </w:rPr>
            </w:pPr>
            <w:r>
              <w:rPr>
                <w:rFonts w:ascii="Arial" w:cs="Arial" w:eastAsia="Arial" w:hAnsi="Arial"/>
                <w:sz w:val="16"/>
                <w:szCs w:val="16"/>
                <w:color w:val="auto"/>
              </w:rPr>
              <w:t>Interest rate cap contracts</w:t>
            </w:r>
          </w:p>
        </w:tc>
        <w:tc>
          <w:tcPr>
            <w:tcW w:w="2620" w:type="dxa"/>
            <w:vAlign w:val="bottom"/>
            <w:gridSpan w:val="2"/>
          </w:tcPr>
          <w:p>
            <w:pPr>
              <w:ind w:left="20"/>
              <w:spacing w:after="0"/>
              <w:rPr>
                <w:sz w:val="20"/>
                <w:szCs w:val="20"/>
                <w:color w:val="auto"/>
              </w:rPr>
            </w:pPr>
            <w:r>
              <w:rPr>
                <w:rFonts w:ascii="Arial" w:cs="Arial" w:eastAsia="Arial" w:hAnsi="Arial"/>
                <w:sz w:val="16"/>
                <w:szCs w:val="16"/>
                <w:color w:val="auto"/>
              </w:rPr>
              <w:t>Interest expense</w:t>
            </w:r>
          </w:p>
        </w:tc>
        <w:tc>
          <w:tcPr>
            <w:tcW w:w="120" w:type="dxa"/>
            <w:vAlign w:val="bottom"/>
          </w:tcPr>
          <w:p>
            <w:pPr>
              <w:spacing w:after="0"/>
              <w:rPr>
                <w:sz w:val="20"/>
                <w:szCs w:val="20"/>
                <w:color w:val="auto"/>
              </w:rPr>
            </w:pPr>
          </w:p>
        </w:tc>
        <w:tc>
          <w:tcPr>
            <w:tcW w:w="16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282</w:t>
            </w:r>
          </w:p>
        </w:tc>
        <w:tc>
          <w:tcPr>
            <w:tcW w:w="0" w:type="dxa"/>
            <w:vAlign w:val="bottom"/>
          </w:tcPr>
          <w:p>
            <w:pPr>
              <w:spacing w:after="0"/>
              <w:rPr>
                <w:sz w:val="1"/>
                <w:szCs w:val="1"/>
                <w:color w:val="auto"/>
              </w:rPr>
            </w:pPr>
          </w:p>
        </w:tc>
      </w:tr>
    </w:tbl>
    <w:p>
      <w:pPr>
        <w:spacing w:after="0" w:line="231"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5"/>
          <w:szCs w:val="15"/>
          <w:b w:val="1"/>
          <w:bCs w:val="1"/>
          <w:color w:val="auto"/>
        </w:rPr>
        <w:t>Defined Benefit Pension Plans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sponsor both funded and unfunded defined benefit pension plans offering death and disability, retirement, and special termination benefits for our international employees, primarily in Germany, France, Italy, Indonesia, Brazil, and Spain. The defined benefit obligation is calculated annually by using the projected unit credit method. The measurement date for the pension plans was December 31, 2018.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Amounts recognized on the Consolidated Balance Sheets consist of:</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ind w:left="40"/>
              <w:spacing w:after="0"/>
              <w:rPr>
                <w:sz w:val="20"/>
                <w:szCs w:val="20"/>
                <w:color w:val="auto"/>
              </w:rPr>
            </w:pPr>
            <w:r>
              <w:rPr>
                <w:rFonts w:ascii="Arial" w:cs="Arial" w:eastAsia="Arial" w:hAnsi="Arial"/>
                <w:sz w:val="16"/>
                <w:szCs w:val="16"/>
                <w:i w:val="1"/>
                <w:iCs w:val="1"/>
                <w:color w:val="auto"/>
              </w:rPr>
              <w:t>In thousands</w:t>
            </w:r>
          </w:p>
        </w:tc>
        <w:tc>
          <w:tcPr>
            <w:tcW w:w="360" w:type="dxa"/>
            <w:vAlign w:val="bottom"/>
          </w:tcPr>
          <w:p>
            <w:pPr>
              <w:spacing w:after="0"/>
              <w:rPr>
                <w:sz w:val="18"/>
                <w:szCs w:val="18"/>
                <w:color w:val="auto"/>
              </w:rPr>
            </w:pPr>
          </w:p>
        </w:tc>
        <w:tc>
          <w:tcPr>
            <w:tcW w:w="2060" w:type="dxa"/>
            <w:vAlign w:val="bottom"/>
            <w:gridSpan w:val="2"/>
          </w:tcPr>
          <w:p>
            <w:pPr>
              <w:ind w:left="260"/>
              <w:spacing w:after="0"/>
              <w:rPr>
                <w:sz w:val="20"/>
                <w:szCs w:val="20"/>
                <w:color w:val="auto"/>
              </w:rPr>
            </w:pPr>
            <w:r>
              <w:rPr>
                <w:rFonts w:ascii="Arial" w:cs="Arial" w:eastAsia="Arial" w:hAnsi="Arial"/>
                <w:sz w:val="16"/>
                <w:szCs w:val="16"/>
                <w:b w:val="1"/>
                <w:bCs w:val="1"/>
                <w:color w:val="auto"/>
              </w:rPr>
              <w:t>March 31, 2019</w:t>
            </w:r>
          </w:p>
        </w:tc>
        <w:tc>
          <w:tcPr>
            <w:tcW w:w="280" w:type="dxa"/>
            <w:vAlign w:val="bottom"/>
          </w:tcPr>
          <w:p>
            <w:pPr>
              <w:spacing w:after="0"/>
              <w:rPr>
                <w:sz w:val="18"/>
                <w:szCs w:val="18"/>
                <w:color w:val="auto"/>
              </w:rPr>
            </w:pPr>
          </w:p>
        </w:tc>
        <w:tc>
          <w:tcPr>
            <w:tcW w:w="1980" w:type="dxa"/>
            <w:vAlign w:val="bottom"/>
          </w:tcPr>
          <w:p>
            <w:pPr>
              <w:jc w:val="right"/>
              <w:ind w:right="399"/>
              <w:spacing w:after="0"/>
              <w:rPr>
                <w:sz w:val="20"/>
                <w:szCs w:val="20"/>
                <w:color w:val="auto"/>
              </w:rPr>
            </w:pPr>
            <w:r>
              <w:rPr>
                <w:rFonts w:ascii="Arial" w:cs="Arial" w:eastAsia="Arial" w:hAnsi="Arial"/>
                <w:sz w:val="16"/>
                <w:szCs w:val="16"/>
                <w:b w:val="1"/>
                <w:bCs w:val="1"/>
                <w:color w:val="auto"/>
              </w:rPr>
              <w:t>December 31, 2018</w:t>
            </w:r>
          </w:p>
        </w:tc>
      </w:tr>
      <w:tr>
        <w:trPr>
          <w:trHeight w:val="33"/>
        </w:trPr>
        <w:tc>
          <w:tcPr>
            <w:tcW w:w="6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ind w:left="40"/>
              <w:spacing w:after="0"/>
              <w:rPr>
                <w:sz w:val="20"/>
                <w:szCs w:val="20"/>
                <w:color w:val="auto"/>
              </w:rPr>
            </w:pPr>
            <w:r>
              <w:rPr>
                <w:rFonts w:ascii="Arial" w:cs="Arial" w:eastAsia="Arial" w:hAnsi="Arial"/>
                <w:sz w:val="16"/>
                <w:szCs w:val="16"/>
                <w:color w:val="auto"/>
              </w:rPr>
              <w:t>Assets</w:t>
            </w:r>
          </w:p>
        </w:tc>
        <w:tc>
          <w:tcPr>
            <w:tcW w:w="3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47"/>
        </w:trPr>
        <w:tc>
          <w:tcPr>
            <w:tcW w:w="67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980" w:type="dxa"/>
            <w:vAlign w:val="bottom"/>
          </w:tcPr>
          <w:p>
            <w:pPr>
              <w:spacing w:after="0"/>
              <w:rPr>
                <w:sz w:val="4"/>
                <w:szCs w:val="4"/>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Plan assets in other long-term assets</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572</w:t>
            </w:r>
          </w:p>
        </w:tc>
      </w:tr>
      <w:tr>
        <w:trPr>
          <w:trHeight w:val="297"/>
        </w:trPr>
        <w:tc>
          <w:tcPr>
            <w:tcW w:w="6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spacing w:after="0"/>
              <w:rPr>
                <w:sz w:val="21"/>
                <w:szCs w:val="21"/>
                <w:color w:val="auto"/>
              </w:rPr>
            </w:pPr>
          </w:p>
        </w:tc>
      </w:tr>
      <w:tr>
        <w:trPr>
          <w:trHeight w:val="237"/>
        </w:trPr>
        <w:tc>
          <w:tcPr>
            <w:tcW w:w="6740" w:type="dxa"/>
            <w:vAlign w:val="bottom"/>
          </w:tcPr>
          <w:p>
            <w:pPr>
              <w:ind w:left="280"/>
              <w:spacing w:after="0"/>
              <w:rPr>
                <w:sz w:val="20"/>
                <w:szCs w:val="20"/>
                <w:color w:val="auto"/>
              </w:rPr>
            </w:pPr>
            <w:r>
              <w:rPr>
                <w:rFonts w:ascii="Arial" w:cs="Arial" w:eastAsia="Arial" w:hAnsi="Arial"/>
                <w:sz w:val="16"/>
                <w:szCs w:val="16"/>
                <w:color w:val="auto"/>
              </w:rPr>
              <w:t>Current portion of pension benefit obligation in wages and benefits payable</w:t>
            </w:r>
          </w:p>
        </w:tc>
        <w:tc>
          <w:tcPr>
            <w:tcW w:w="360" w:type="dxa"/>
            <w:vAlign w:val="bottom"/>
          </w:tcPr>
          <w:p>
            <w:pPr>
              <w:spacing w:after="0"/>
              <w:rPr>
                <w:sz w:val="20"/>
                <w:szCs w:val="20"/>
                <w:color w:val="auto"/>
              </w:rPr>
            </w:pPr>
          </w:p>
        </w:tc>
        <w:tc>
          <w:tcPr>
            <w:tcW w:w="1940" w:type="dxa"/>
            <w:vAlign w:val="bottom"/>
          </w:tcPr>
          <w:p>
            <w:pPr>
              <w:jc w:val="right"/>
              <w:ind w:right="19"/>
              <w:spacing w:after="0"/>
              <w:rPr>
                <w:sz w:val="20"/>
                <w:szCs w:val="20"/>
                <w:color w:val="auto"/>
              </w:rPr>
            </w:pPr>
            <w:r>
              <w:rPr>
                <w:rFonts w:ascii="Arial" w:cs="Arial" w:eastAsia="Arial" w:hAnsi="Arial"/>
                <w:sz w:val="16"/>
                <w:szCs w:val="16"/>
                <w:color w:val="auto"/>
              </w:rPr>
              <w:t>2,890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80" w:type="dxa"/>
            <w:vAlign w:val="bottom"/>
          </w:tcPr>
          <w:p>
            <w:pPr>
              <w:jc w:val="right"/>
              <w:ind w:right="19"/>
              <w:spacing w:after="0"/>
              <w:rPr>
                <w:sz w:val="20"/>
                <w:szCs w:val="20"/>
                <w:color w:val="auto"/>
              </w:rPr>
            </w:pPr>
            <w:r>
              <w:rPr>
                <w:rFonts w:ascii="Arial" w:cs="Arial" w:eastAsia="Arial" w:hAnsi="Arial"/>
                <w:sz w:val="16"/>
                <w:szCs w:val="16"/>
                <w:color w:val="auto"/>
              </w:rPr>
              <w:t>2,730</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Long-term portion of pension benefit obligation</w:t>
            </w:r>
          </w:p>
        </w:tc>
        <w:tc>
          <w:tcPr>
            <w:tcW w:w="36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90,925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91,522</w:t>
            </w:r>
          </w:p>
        </w:tc>
      </w:tr>
      <w:tr>
        <w:trPr>
          <w:trHeight w:val="297"/>
        </w:trPr>
        <w:tc>
          <w:tcPr>
            <w:tcW w:w="674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r>
      <w:tr>
        <w:trPr>
          <w:trHeight w:val="255"/>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Pension benefit obligation, net</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93,239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93,680</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asset investment strategy focuses on maintaining a portfolio using primarily insurance funds, which are accounted for as investments and measured at fair value, in order to achieve our long-term investment objectives on a risk adjusted basis. Our</w:t>
      </w:r>
    </w:p>
    <w:p>
      <w:pPr>
        <w:sectPr>
          <w:pgSz w:w="11900" w:h="16838" w:orient="portrait"/>
          <w:cols w:equalWidth="0" w:num="1">
            <w:col w:w="11420"/>
          </w:cols>
          <w:pgMar w:left="240" w:top="125"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25" w:right="23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general funding policy for these qualified pension plans is to contribute amounts sufficient to satisfy regulatory funding standards of the respective countries for each plan.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Net periodic pension benefit costs for our plans include the following components: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140" w:type="dxa"/>
            <w:vAlign w:val="bottom"/>
            <w:gridSpan w:val="4"/>
          </w:tcPr>
          <w:p>
            <w:pPr>
              <w:jc w:val="right"/>
              <w:ind w:right="559"/>
              <w:spacing w:after="0"/>
              <w:rPr>
                <w:sz w:val="20"/>
                <w:szCs w:val="20"/>
                <w:color w:val="auto"/>
              </w:rPr>
            </w:pPr>
            <w:r>
              <w:rPr>
                <w:rFonts w:ascii="Arial" w:cs="Arial" w:eastAsia="Arial" w:hAnsi="Arial"/>
                <w:sz w:val="16"/>
                <w:szCs w:val="16"/>
                <w:b w:val="1"/>
                <w:bCs w:val="1"/>
                <w:color w:val="auto"/>
              </w:rPr>
              <w:t>Three Months Ended March 31,</w:t>
            </w:r>
          </w:p>
        </w:tc>
      </w:tr>
      <w:tr>
        <w:trPr>
          <w:trHeight w:val="33"/>
        </w:trPr>
        <w:tc>
          <w:tcPr>
            <w:tcW w:w="79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7900" w:type="dxa"/>
            <w:vAlign w:val="bottom"/>
          </w:tcPr>
          <w:p>
            <w:pPr>
              <w:ind w:left="40"/>
              <w:spacing w:after="0"/>
              <w:rPr>
                <w:sz w:val="20"/>
                <w:szCs w:val="20"/>
                <w:color w:val="auto"/>
              </w:rPr>
            </w:pPr>
            <w:r>
              <w:rPr>
                <w:rFonts w:ascii="Arial" w:cs="Arial" w:eastAsia="Arial" w:hAnsi="Arial"/>
                <w:sz w:val="16"/>
                <w:szCs w:val="16"/>
                <w:i w:val="1"/>
                <w:iCs w:val="1"/>
                <w:color w:val="auto"/>
              </w:rPr>
              <w:t>In thousands</w:t>
            </w:r>
          </w:p>
        </w:tc>
        <w:tc>
          <w:tcPr>
            <w:tcW w:w="380" w:type="dxa"/>
            <w:vAlign w:val="bottom"/>
          </w:tcPr>
          <w:p>
            <w:pPr>
              <w:spacing w:after="0"/>
              <w:rPr>
                <w:sz w:val="20"/>
                <w:szCs w:val="20"/>
                <w:color w:val="auto"/>
              </w:rPr>
            </w:pPr>
          </w:p>
        </w:tc>
        <w:tc>
          <w:tcPr>
            <w:tcW w:w="1340" w:type="dxa"/>
            <w:vAlign w:val="bottom"/>
          </w:tcPr>
          <w:p>
            <w:pPr>
              <w:jc w:val="right"/>
              <w:ind w:right="61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2018</w:t>
            </w:r>
          </w:p>
        </w:tc>
      </w:tr>
      <w:tr>
        <w:trPr>
          <w:trHeight w:val="33"/>
        </w:trPr>
        <w:tc>
          <w:tcPr>
            <w:tcW w:w="7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Service cost</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1,079</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1,049</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Interest cost</w:t>
            </w:r>
          </w:p>
        </w:tc>
        <w:tc>
          <w:tcPr>
            <w:tcW w:w="38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582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609</w:t>
            </w:r>
          </w:p>
        </w:tc>
      </w:tr>
      <w:tr>
        <w:trPr>
          <w:trHeight w:val="33"/>
        </w:trPr>
        <w:tc>
          <w:tcPr>
            <w:tcW w:w="7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Expected return on plan assets</w:t>
            </w:r>
          </w:p>
        </w:tc>
        <w:tc>
          <w:tcPr>
            <w:tcW w:w="3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(181)</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Amortization of actuarial net loss</w:t>
            </w:r>
          </w:p>
        </w:tc>
        <w:tc>
          <w:tcPr>
            <w:tcW w:w="38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345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403</w:t>
            </w:r>
          </w:p>
        </w:tc>
      </w:tr>
      <w:tr>
        <w:trPr>
          <w:trHeight w:val="33"/>
        </w:trPr>
        <w:tc>
          <w:tcPr>
            <w:tcW w:w="7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Amortization of unrecognized prior service costs</w:t>
            </w:r>
          </w:p>
        </w:tc>
        <w:tc>
          <w:tcPr>
            <w:tcW w:w="3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w:t>
            </w:r>
          </w:p>
        </w:tc>
      </w:tr>
      <w:tr>
        <w:trPr>
          <w:trHeight w:val="244"/>
        </w:trPr>
        <w:tc>
          <w:tcPr>
            <w:tcW w:w="7900" w:type="dxa"/>
            <w:vAlign w:val="bottom"/>
          </w:tcPr>
          <w:p>
            <w:pPr>
              <w:ind w:left="380"/>
              <w:spacing w:after="0"/>
              <w:rPr>
                <w:sz w:val="20"/>
                <w:szCs w:val="20"/>
                <w:color w:val="auto"/>
              </w:rPr>
            </w:pPr>
            <w:r>
              <w:rPr>
                <w:rFonts w:ascii="Arial" w:cs="Arial" w:eastAsia="Arial" w:hAnsi="Arial"/>
                <w:sz w:val="16"/>
                <w:szCs w:val="16"/>
                <w:color w:val="auto"/>
              </w:rPr>
              <w:t>Net periodic benefit cost</w:t>
            </w: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1,867</w:t>
            </w:r>
          </w:p>
        </w:tc>
        <w:tc>
          <w:tcPr>
            <w:tcW w:w="12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1,897</w:t>
            </w:r>
          </w:p>
        </w:tc>
      </w:tr>
      <w:tr>
        <w:trPr>
          <w:trHeight w:val="20"/>
        </w:trPr>
        <w:tc>
          <w:tcPr>
            <w:tcW w:w="79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components of net periodic benefit cost, other than the service cost component, are included in total other income (expense) on the Consolidated Statements of Operations.</w:t>
      </w:r>
    </w:p>
    <w:p>
      <w:pPr>
        <w:spacing w:after="0" w:line="166"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5"/>
          <w:szCs w:val="15"/>
          <w:b w:val="1"/>
          <w:bCs w:val="1"/>
          <w:color w:val="auto"/>
        </w:rPr>
        <w:t>Stock-Based Compensation</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maintain the Second Amended and Restated 2010 Stock Incentive Plan (Stock Incentive Plan), which allows us to grant stock-based compensation awards, including stock options, restricted stock units, phantom stock, and unrestricted stock units. Under the Stock Incentive Plan, we have 12,623,538 shares of common stock reserved and authorized for issuance subject to stock splits, dividends, and other similar events. At March 31, 2019, 6,318,953 shares were available for grant under the Stock Incentive Plan. We issue new shares of common stock upon the exercise of stock options or when vesting conditions on restricted stock units are fully satisfied. These shares are subject to a fungible share provision such that the authorized share reserve is reduced by (i) one share for every one share subject to a stock option or share appreciation right granted under the Plan and (ii) 1.7 shares for every one share of common stock that was subject to an award other than an option or share appreciation right.</w:t>
      </w:r>
    </w:p>
    <w:p>
      <w:pPr>
        <w:spacing w:after="0" w:line="17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As part of the acquisition of SSNI, we reserved and authorized 2,880,039 shares, collectively, of Itron common stock to be issued under the Stock Incentive Plan for certain SSNI common stock awards that were converted to Itron common stock awards on January 5, 2018 (Acquisition Date) pursuant to the Agreement and Plan of Merger or were available for issuance pursuant to future awards under the Silver Spring Networks, Inc. 2012 Equity Incentive Plan (SSNI Plan). New stock-based compensation awards originally from the SSNI Plan may only be made to individuals who were not employees of Itron as of the Acquisition Date. Notwithstanding the foregoing, there is no fungible share provision for shares originally from the SSNI Plan.</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also periodically award phantom stock units, which are settled in cash upon vesting and accounted for as liability-based awards with no impact to the shares available for grant.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we maintain the Employee Stock Purchase Plan (ESPP), for which 272,602 shares of common stock were available for future issuance at March 31,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Unrestricted stock and ESPP activity for the three months ended March 31, 2019 and 2018 was not significant.</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Stock-Based Compensation Expense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Total stock-based compensation expense and the related tax benefit were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140" w:type="dxa"/>
            <w:vAlign w:val="bottom"/>
            <w:gridSpan w:val="4"/>
          </w:tcPr>
          <w:p>
            <w:pPr>
              <w:jc w:val="right"/>
              <w:ind w:right="559"/>
              <w:spacing w:after="0"/>
              <w:rPr>
                <w:sz w:val="20"/>
                <w:szCs w:val="20"/>
                <w:color w:val="auto"/>
              </w:rPr>
            </w:pPr>
            <w:r>
              <w:rPr>
                <w:rFonts w:ascii="Arial" w:cs="Arial" w:eastAsia="Arial" w:hAnsi="Arial"/>
                <w:sz w:val="16"/>
                <w:szCs w:val="16"/>
                <w:b w:val="1"/>
                <w:bCs w:val="1"/>
                <w:color w:val="auto"/>
              </w:rPr>
              <w:t>Three Months Ended March 31,</w:t>
            </w:r>
          </w:p>
        </w:tc>
      </w:tr>
      <w:tr>
        <w:trPr>
          <w:trHeight w:val="33"/>
        </w:trPr>
        <w:tc>
          <w:tcPr>
            <w:tcW w:w="79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7900" w:type="dxa"/>
            <w:vAlign w:val="bottom"/>
          </w:tcPr>
          <w:p>
            <w:pPr>
              <w:ind w:left="40"/>
              <w:spacing w:after="0"/>
              <w:rPr>
                <w:sz w:val="20"/>
                <w:szCs w:val="20"/>
                <w:color w:val="auto"/>
              </w:rPr>
            </w:pPr>
            <w:r>
              <w:rPr>
                <w:rFonts w:ascii="Arial" w:cs="Arial" w:eastAsia="Arial" w:hAnsi="Arial"/>
                <w:sz w:val="16"/>
                <w:szCs w:val="16"/>
                <w:i w:val="1"/>
                <w:iCs w:val="1"/>
                <w:color w:val="auto"/>
              </w:rPr>
              <w:t>In thousands</w:t>
            </w:r>
          </w:p>
        </w:tc>
        <w:tc>
          <w:tcPr>
            <w:tcW w:w="380" w:type="dxa"/>
            <w:vAlign w:val="bottom"/>
          </w:tcPr>
          <w:p>
            <w:pPr>
              <w:spacing w:after="0"/>
              <w:rPr>
                <w:sz w:val="20"/>
                <w:szCs w:val="20"/>
                <w:color w:val="auto"/>
              </w:rPr>
            </w:pPr>
          </w:p>
        </w:tc>
        <w:tc>
          <w:tcPr>
            <w:tcW w:w="1340" w:type="dxa"/>
            <w:vAlign w:val="bottom"/>
          </w:tcPr>
          <w:p>
            <w:pPr>
              <w:jc w:val="right"/>
              <w:ind w:right="61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2018</w:t>
            </w:r>
          </w:p>
        </w:tc>
      </w:tr>
      <w:tr>
        <w:trPr>
          <w:trHeight w:val="33"/>
        </w:trPr>
        <w:tc>
          <w:tcPr>
            <w:tcW w:w="7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 options</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581</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831</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Restricted stock units</w:t>
            </w:r>
          </w:p>
        </w:tc>
        <w:tc>
          <w:tcPr>
            <w:tcW w:w="38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6,467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7,057</w:t>
            </w:r>
          </w:p>
        </w:tc>
      </w:tr>
      <w:tr>
        <w:trPr>
          <w:trHeight w:val="33"/>
        </w:trPr>
        <w:tc>
          <w:tcPr>
            <w:tcW w:w="7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Unrestricted stock awards</w:t>
            </w:r>
          </w:p>
        </w:tc>
        <w:tc>
          <w:tcPr>
            <w:tcW w:w="3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207</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Phantom stock units</w:t>
            </w:r>
          </w:p>
        </w:tc>
        <w:tc>
          <w:tcPr>
            <w:tcW w:w="38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918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690</w:t>
            </w:r>
          </w:p>
        </w:tc>
      </w:tr>
      <w:tr>
        <w:trPr>
          <w:trHeight w:val="33"/>
        </w:trPr>
        <w:tc>
          <w:tcPr>
            <w:tcW w:w="79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stock-based compensation</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8,123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8,785</w:t>
            </w:r>
          </w:p>
        </w:tc>
      </w:tr>
      <w:tr>
        <w:trPr>
          <w:trHeight w:val="20"/>
        </w:trPr>
        <w:tc>
          <w:tcPr>
            <w:tcW w:w="79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84"/>
        </w:trPr>
        <w:tc>
          <w:tcPr>
            <w:tcW w:w="7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Related tax benefit</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1,443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1,534</w:t>
            </w:r>
          </w:p>
        </w:tc>
      </w:tr>
      <w:tr>
        <w:trPr>
          <w:trHeight w:val="20"/>
        </w:trPr>
        <w:tc>
          <w:tcPr>
            <w:tcW w:w="79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125" w:right="23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Stock Options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stock option activity is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Weighted</w:t>
            </w:r>
          </w:p>
        </w:tc>
        <w:tc>
          <w:tcPr>
            <w:tcW w:w="1480" w:type="dxa"/>
            <w:vAlign w:val="bottom"/>
          </w:tcPr>
          <w:p>
            <w:pPr>
              <w:jc w:val="center"/>
              <w:ind w:left="139"/>
              <w:spacing w:after="0"/>
              <w:rPr>
                <w:sz w:val="20"/>
                <w:szCs w:val="20"/>
                <w:color w:val="auto"/>
              </w:rPr>
            </w:pPr>
            <w:r>
              <w:rPr>
                <w:rFonts w:ascii="Arial" w:cs="Arial" w:eastAsia="Arial" w:hAnsi="Arial"/>
                <w:sz w:val="16"/>
                <w:szCs w:val="16"/>
                <w:b w:val="1"/>
                <w:bCs w:val="1"/>
                <w:color w:val="auto"/>
                <w:w w:val="90"/>
              </w:rPr>
              <w:t>Weighted Average</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center"/>
              <w:ind w:right="59"/>
              <w:spacing w:after="0"/>
              <w:rPr>
                <w:sz w:val="20"/>
                <w:szCs w:val="20"/>
                <w:color w:val="auto"/>
              </w:rPr>
            </w:pPr>
            <w:r>
              <w:rPr>
                <w:rFonts w:ascii="Arial" w:cs="Arial" w:eastAsia="Arial" w:hAnsi="Arial"/>
                <w:sz w:val="16"/>
                <w:szCs w:val="16"/>
                <w:b w:val="1"/>
                <w:bCs w:val="1"/>
                <w:color w:val="auto"/>
                <w:w w:val="91"/>
              </w:rPr>
              <w:t>Weighted</w:t>
            </w:r>
          </w:p>
        </w:tc>
      </w:tr>
      <w:tr>
        <w:trPr>
          <w:trHeight w:val="203"/>
        </w:trPr>
        <w:tc>
          <w:tcPr>
            <w:tcW w:w="3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Average Exercise</w:t>
            </w:r>
          </w:p>
        </w:tc>
        <w:tc>
          <w:tcPr>
            <w:tcW w:w="1480" w:type="dxa"/>
            <w:vAlign w:val="bottom"/>
          </w:tcPr>
          <w:p>
            <w:pPr>
              <w:jc w:val="center"/>
              <w:ind w:left="119"/>
              <w:spacing w:after="0"/>
              <w:rPr>
                <w:sz w:val="20"/>
                <w:szCs w:val="20"/>
                <w:color w:val="auto"/>
              </w:rPr>
            </w:pPr>
            <w:r>
              <w:rPr>
                <w:rFonts w:ascii="Arial" w:cs="Arial" w:eastAsia="Arial" w:hAnsi="Arial"/>
                <w:sz w:val="16"/>
                <w:szCs w:val="16"/>
                <w:b w:val="1"/>
                <w:bCs w:val="1"/>
                <w:color w:val="auto"/>
                <w:w w:val="92"/>
              </w:rPr>
              <w:t>Remaining</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gridSpan w:val="3"/>
          </w:tcPr>
          <w:p>
            <w:pPr>
              <w:jc w:val="center"/>
              <w:ind w:right="440"/>
              <w:spacing w:after="0"/>
              <w:rPr>
                <w:sz w:val="20"/>
                <w:szCs w:val="20"/>
                <w:color w:val="auto"/>
              </w:rPr>
            </w:pPr>
            <w:r>
              <w:rPr>
                <w:rFonts w:ascii="Arial" w:cs="Arial" w:eastAsia="Arial" w:hAnsi="Arial"/>
                <w:sz w:val="16"/>
                <w:szCs w:val="16"/>
                <w:b w:val="1"/>
                <w:bCs w:val="1"/>
                <w:color w:val="auto"/>
                <w:w w:val="90"/>
              </w:rPr>
              <w:t>Aggregate</w:t>
            </w:r>
          </w:p>
        </w:tc>
        <w:tc>
          <w:tcPr>
            <w:tcW w:w="1320" w:type="dxa"/>
            <w:vAlign w:val="bottom"/>
          </w:tcPr>
          <w:p>
            <w:pPr>
              <w:jc w:val="center"/>
              <w:ind w:right="59"/>
              <w:spacing w:after="0"/>
              <w:rPr>
                <w:sz w:val="20"/>
                <w:szCs w:val="20"/>
                <w:color w:val="auto"/>
              </w:rPr>
            </w:pPr>
            <w:r>
              <w:rPr>
                <w:rFonts w:ascii="Arial" w:cs="Arial" w:eastAsia="Arial" w:hAnsi="Arial"/>
                <w:sz w:val="16"/>
                <w:szCs w:val="16"/>
                <w:b w:val="1"/>
                <w:bCs w:val="1"/>
                <w:color w:val="auto"/>
                <w:w w:val="92"/>
              </w:rPr>
              <w:t>Average Grant</w:t>
            </w:r>
          </w:p>
        </w:tc>
      </w:tr>
      <w:tr>
        <w:trPr>
          <w:trHeight w:val="210"/>
        </w:trPr>
        <w:tc>
          <w:tcPr>
            <w:tcW w:w="3200" w:type="dxa"/>
            <w:vAlign w:val="bottom"/>
          </w:tcPr>
          <w:p>
            <w:pPr>
              <w:spacing w:after="0"/>
              <w:rPr>
                <w:sz w:val="18"/>
                <w:szCs w:val="18"/>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Shares</w:t>
            </w:r>
          </w:p>
        </w:tc>
        <w:tc>
          <w:tcPr>
            <w:tcW w:w="180" w:type="dxa"/>
            <w:vAlign w:val="bottom"/>
          </w:tcPr>
          <w:p>
            <w:pPr>
              <w:spacing w:after="0"/>
              <w:rPr>
                <w:sz w:val="18"/>
                <w:szCs w:val="18"/>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Price per Share</w:t>
            </w:r>
          </w:p>
        </w:tc>
        <w:tc>
          <w:tcPr>
            <w:tcW w:w="1480" w:type="dxa"/>
            <w:vAlign w:val="bottom"/>
          </w:tcPr>
          <w:p>
            <w:pPr>
              <w:jc w:val="center"/>
              <w:ind w:left="119"/>
              <w:spacing w:after="0"/>
              <w:rPr>
                <w:sz w:val="20"/>
                <w:szCs w:val="20"/>
                <w:color w:val="auto"/>
              </w:rPr>
            </w:pPr>
            <w:r>
              <w:rPr>
                <w:rFonts w:ascii="Arial" w:cs="Arial" w:eastAsia="Arial" w:hAnsi="Arial"/>
                <w:sz w:val="16"/>
                <w:szCs w:val="16"/>
                <w:b w:val="1"/>
                <w:bCs w:val="1"/>
                <w:color w:val="auto"/>
                <w:w w:val="95"/>
              </w:rPr>
              <w:t>Contractual Life</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3"/>
          </w:tcPr>
          <w:p>
            <w:pPr>
              <w:jc w:val="center"/>
              <w:ind w:right="420"/>
              <w:spacing w:after="0"/>
              <w:rPr>
                <w:sz w:val="20"/>
                <w:szCs w:val="20"/>
                <w:color w:val="auto"/>
              </w:rPr>
            </w:pPr>
            <w:r>
              <w:rPr>
                <w:rFonts w:ascii="Arial" w:cs="Arial" w:eastAsia="Arial" w:hAnsi="Arial"/>
                <w:sz w:val="16"/>
                <w:szCs w:val="16"/>
                <w:b w:val="1"/>
                <w:bCs w:val="1"/>
                <w:color w:val="auto"/>
                <w:w w:val="93"/>
              </w:rPr>
              <w:t>Intrinsic Value</w:t>
            </w:r>
          </w:p>
        </w:tc>
        <w:tc>
          <w:tcPr>
            <w:tcW w:w="1320" w:type="dxa"/>
            <w:vAlign w:val="bottom"/>
          </w:tcPr>
          <w:p>
            <w:pPr>
              <w:jc w:val="center"/>
              <w:ind w:right="59"/>
              <w:spacing w:after="0"/>
              <w:rPr>
                <w:sz w:val="20"/>
                <w:szCs w:val="20"/>
                <w:color w:val="auto"/>
              </w:rPr>
            </w:pPr>
            <w:r>
              <w:rPr>
                <w:rFonts w:ascii="Arial" w:cs="Arial" w:eastAsia="Arial" w:hAnsi="Arial"/>
                <w:sz w:val="16"/>
                <w:szCs w:val="16"/>
                <w:b w:val="1"/>
                <w:bCs w:val="1"/>
                <w:color w:val="auto"/>
                <w:w w:val="95"/>
              </w:rPr>
              <w:t>Date Fair Value</w:t>
            </w:r>
          </w:p>
        </w:tc>
      </w:tr>
      <w:tr>
        <w:trPr>
          <w:trHeight w:val="33"/>
        </w:trPr>
        <w:tc>
          <w:tcPr>
            <w:tcW w:w="32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1"/>
        </w:trPr>
        <w:tc>
          <w:tcPr>
            <w:tcW w:w="3200" w:type="dxa"/>
            <w:vAlign w:val="bottom"/>
          </w:tcPr>
          <w:p>
            <w:pPr>
              <w:spacing w:after="0"/>
              <w:rPr>
                <w:sz w:val="20"/>
                <w:szCs w:val="20"/>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(in thousands)</w:t>
            </w: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jc w:val="center"/>
              <w:ind w:left="139"/>
              <w:spacing w:after="0"/>
              <w:rPr>
                <w:sz w:val="20"/>
                <w:szCs w:val="20"/>
                <w:color w:val="auto"/>
              </w:rPr>
            </w:pPr>
            <w:r>
              <w:rPr>
                <w:rFonts w:ascii="Arial" w:cs="Arial" w:eastAsia="Arial" w:hAnsi="Arial"/>
                <w:sz w:val="16"/>
                <w:szCs w:val="16"/>
                <w:color w:val="auto"/>
                <w:w w:val="92"/>
              </w:rPr>
              <w:t>(years)</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gridSpan w:val="3"/>
          </w:tcPr>
          <w:p>
            <w:pPr>
              <w:jc w:val="center"/>
              <w:ind w:right="440"/>
              <w:spacing w:after="0"/>
              <w:rPr>
                <w:sz w:val="20"/>
                <w:szCs w:val="20"/>
                <w:color w:val="auto"/>
              </w:rPr>
            </w:pPr>
            <w:r>
              <w:rPr>
                <w:rFonts w:ascii="Arial" w:cs="Arial" w:eastAsia="Arial" w:hAnsi="Arial"/>
                <w:sz w:val="16"/>
                <w:szCs w:val="16"/>
                <w:color w:val="auto"/>
                <w:w w:val="90"/>
              </w:rPr>
              <w:t>(in thousands)</w:t>
            </w:r>
          </w:p>
        </w:tc>
        <w:tc>
          <w:tcPr>
            <w:tcW w:w="1320" w:type="dxa"/>
            <w:vAlign w:val="bottom"/>
          </w:tcPr>
          <w:p>
            <w:pPr>
              <w:spacing w:after="0"/>
              <w:rPr>
                <w:sz w:val="20"/>
                <w:szCs w:val="20"/>
                <w:color w:val="auto"/>
              </w:rPr>
            </w:pPr>
          </w:p>
        </w:tc>
      </w:tr>
      <w:tr>
        <w:trPr>
          <w:trHeight w:val="33"/>
        </w:trPr>
        <w:tc>
          <w:tcPr>
            <w:tcW w:w="3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Outstanding, January 1, 2018</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956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47.10</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0"/>
              </w:rPr>
              <w:t>6.3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21,965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37"/>
        </w:trPr>
        <w:tc>
          <w:tcPr>
            <w:tcW w:w="3200" w:type="dxa"/>
            <w:vAlign w:val="bottom"/>
          </w:tcPr>
          <w:p>
            <w:pPr>
              <w:ind w:left="380"/>
              <w:spacing w:after="0"/>
              <w:rPr>
                <w:sz w:val="20"/>
                <w:szCs w:val="20"/>
                <w:color w:val="auto"/>
              </w:rPr>
            </w:pPr>
            <w:r>
              <w:rPr>
                <w:rFonts w:ascii="Arial" w:cs="Arial" w:eastAsia="Arial" w:hAnsi="Arial"/>
                <w:sz w:val="16"/>
                <w:szCs w:val="16"/>
                <w:color w:val="auto"/>
              </w:rPr>
              <w:t>Converted upon acquisition</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51.86</w:t>
            </w: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14.86</w:t>
            </w:r>
          </w:p>
        </w:tc>
      </w:tr>
      <w:tr>
        <w:trPr>
          <w:trHeight w:val="33"/>
        </w:trPr>
        <w:tc>
          <w:tcPr>
            <w:tcW w:w="3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Granted</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69.30</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24.83</w:t>
            </w:r>
          </w:p>
        </w:tc>
      </w:tr>
      <w:tr>
        <w:trPr>
          <w:trHeight w:val="237"/>
        </w:trPr>
        <w:tc>
          <w:tcPr>
            <w:tcW w:w="3200" w:type="dxa"/>
            <w:vAlign w:val="bottom"/>
          </w:tcPr>
          <w:p>
            <w:pPr>
              <w:ind w:left="380"/>
              <w:spacing w:after="0"/>
              <w:rPr>
                <w:sz w:val="20"/>
                <w:szCs w:val="20"/>
                <w:color w:val="auto"/>
              </w:rPr>
            </w:pPr>
            <w:r>
              <w:rPr>
                <w:rFonts w:ascii="Arial" w:cs="Arial" w:eastAsia="Arial" w:hAnsi="Arial"/>
                <w:sz w:val="16"/>
                <w:szCs w:val="16"/>
                <w:color w:val="auto"/>
              </w:rPr>
              <w:t>Exercised</w:t>
            </w:r>
          </w:p>
        </w:tc>
        <w:tc>
          <w:tcPr>
            <w:tcW w:w="1380" w:type="dxa"/>
            <w:vAlign w:val="bottom"/>
          </w:tcPr>
          <w:p>
            <w:pPr>
              <w:jc w:val="right"/>
              <w:spacing w:after="0"/>
              <w:rPr>
                <w:sz w:val="20"/>
                <w:szCs w:val="20"/>
                <w:color w:val="auto"/>
              </w:rPr>
            </w:pPr>
            <w:r>
              <w:rPr>
                <w:rFonts w:ascii="Arial" w:cs="Arial" w:eastAsia="Arial" w:hAnsi="Arial"/>
                <w:sz w:val="16"/>
                <w:szCs w:val="16"/>
                <w:color w:val="auto"/>
              </w:rPr>
              <w:t>(62)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40.31</w:t>
            </w: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2,104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3"/>
        </w:trPr>
        <w:tc>
          <w:tcPr>
            <w:tcW w:w="3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Forfeited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72.25</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37"/>
        </w:trPr>
        <w:tc>
          <w:tcPr>
            <w:tcW w:w="3200" w:type="dxa"/>
            <w:vAlign w:val="bottom"/>
          </w:tcPr>
          <w:p>
            <w:pPr>
              <w:ind w:left="380"/>
              <w:spacing w:after="0"/>
              <w:rPr>
                <w:sz w:val="20"/>
                <w:szCs w:val="20"/>
                <w:color w:val="auto"/>
              </w:rPr>
            </w:pPr>
            <w:r>
              <w:rPr>
                <w:rFonts w:ascii="Arial" w:cs="Arial" w:eastAsia="Arial" w:hAnsi="Arial"/>
                <w:sz w:val="16"/>
                <w:szCs w:val="16"/>
                <w:color w:val="auto"/>
              </w:rPr>
              <w:t>Expired</w:t>
            </w:r>
          </w:p>
        </w:tc>
        <w:tc>
          <w:tcPr>
            <w:tcW w:w="138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95.96</w:t>
            </w: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3"/>
        </w:trPr>
        <w:tc>
          <w:tcPr>
            <w:tcW w:w="32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r>
      <w:tr>
        <w:trPr>
          <w:trHeight w:val="255"/>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Outstanding, March 31, 2018</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1,027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49.49</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0"/>
              </w:rPr>
              <w:t>6.5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24,051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r>
      <w:tr>
        <w:trPr>
          <w:trHeight w:val="278"/>
        </w:trPr>
        <w:tc>
          <w:tcPr>
            <w:tcW w:w="3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Outstanding, January 1, 2019</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895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47.93</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0"/>
              </w:rPr>
              <w:t>6.2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4,806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24"/>
        </w:trPr>
        <w:tc>
          <w:tcPr>
            <w:tcW w:w="3200" w:type="dxa"/>
            <w:vAlign w:val="bottom"/>
          </w:tcPr>
          <w:p>
            <w:pPr>
              <w:ind w:left="380"/>
              <w:spacing w:after="0"/>
              <w:rPr>
                <w:sz w:val="20"/>
                <w:szCs w:val="20"/>
                <w:color w:val="auto"/>
              </w:rPr>
            </w:pPr>
            <w:r>
              <w:rPr>
                <w:rFonts w:ascii="Arial" w:cs="Arial" w:eastAsia="Arial" w:hAnsi="Arial"/>
                <w:sz w:val="16"/>
                <w:szCs w:val="16"/>
                <w:color w:val="auto"/>
              </w:rPr>
              <w:t>Exercised</w:t>
            </w:r>
          </w:p>
        </w:tc>
        <w:tc>
          <w:tcPr>
            <w:tcW w:w="1380" w:type="dxa"/>
            <w:vAlign w:val="bottom"/>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44.99</w:t>
            </w: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211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47"/>
        </w:trPr>
        <w:tc>
          <w:tcPr>
            <w:tcW w:w="32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20" w:type="dxa"/>
            <w:vAlign w:val="bottom"/>
          </w:tcPr>
          <w:p>
            <w:pPr>
              <w:spacing w:after="0"/>
              <w:rPr>
                <w:sz w:val="4"/>
                <w:szCs w:val="4"/>
                <w:color w:val="auto"/>
              </w:rPr>
            </w:pPr>
          </w:p>
        </w:tc>
      </w:tr>
      <w:tr>
        <w:trPr>
          <w:trHeight w:val="270"/>
        </w:trPr>
        <w:tc>
          <w:tcPr>
            <w:tcW w:w="3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Forfeited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67.53</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spacing w:after="0"/>
              <w:rPr>
                <w:sz w:val="23"/>
                <w:szCs w:val="23"/>
                <w:color w:val="auto"/>
              </w:rPr>
            </w:pPr>
          </w:p>
        </w:tc>
      </w:tr>
      <w:tr>
        <w:trPr>
          <w:trHeight w:val="217"/>
        </w:trPr>
        <w:tc>
          <w:tcPr>
            <w:tcW w:w="3200" w:type="dxa"/>
            <w:vAlign w:val="bottom"/>
          </w:tcPr>
          <w:p>
            <w:pPr>
              <w:ind w:left="40"/>
              <w:spacing w:after="0"/>
              <w:rPr>
                <w:sz w:val="20"/>
                <w:szCs w:val="20"/>
                <w:color w:val="auto"/>
              </w:rPr>
            </w:pPr>
            <w:r>
              <w:rPr>
                <w:rFonts w:ascii="Arial" w:cs="Arial" w:eastAsia="Arial" w:hAnsi="Arial"/>
                <w:sz w:val="16"/>
                <w:szCs w:val="16"/>
                <w:color w:val="auto"/>
              </w:rPr>
              <w:t>Outstanding, March 31, 2019</w:t>
            </w: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868</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47.83</w:t>
            </w: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w w:val="80"/>
              </w:rPr>
              <w:t>6.0</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4,402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73"/>
        </w:trPr>
        <w:tc>
          <w:tcPr>
            <w:tcW w:w="3200" w:type="dxa"/>
            <w:vAlign w:val="bottom"/>
            <w:tcBorders>
              <w:bottom w:val="single" w:sz="8" w:color="CCEEFF"/>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148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1320" w:type="dxa"/>
            <w:vAlign w:val="bottom"/>
            <w:tcBorders>
              <w:bottom w:val="single" w:sz="8" w:color="CCEEFF"/>
            </w:tcBorders>
          </w:tcPr>
          <w:p>
            <w:pPr>
              <w:spacing w:after="0"/>
              <w:rPr>
                <w:sz w:val="6"/>
                <w:szCs w:val="6"/>
                <w:color w:val="auto"/>
              </w:rPr>
            </w:pPr>
          </w:p>
        </w:tc>
      </w:tr>
      <w:tr>
        <w:trPr>
          <w:trHeight w:val="278"/>
        </w:trPr>
        <w:tc>
          <w:tcPr>
            <w:tcW w:w="320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24"/>
        </w:trPr>
        <w:tc>
          <w:tcPr>
            <w:tcW w:w="3200" w:type="dxa"/>
            <w:vAlign w:val="bottom"/>
          </w:tcPr>
          <w:p>
            <w:pPr>
              <w:ind w:left="40"/>
              <w:spacing w:after="0"/>
              <w:rPr>
                <w:sz w:val="20"/>
                <w:szCs w:val="20"/>
                <w:color w:val="auto"/>
              </w:rPr>
            </w:pPr>
            <w:r>
              <w:rPr>
                <w:rFonts w:ascii="Arial" w:cs="Arial" w:eastAsia="Arial" w:hAnsi="Arial"/>
                <w:sz w:val="16"/>
                <w:szCs w:val="16"/>
                <w:color w:val="auto"/>
              </w:rPr>
              <w:t>Exercisable, March 31, 2019</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734</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44.46</w:t>
            </w: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w w:val="80"/>
              </w:rPr>
              <w:t>5.5</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4,402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73"/>
        </w:trPr>
        <w:tc>
          <w:tcPr>
            <w:tcW w:w="3200" w:type="dxa"/>
            <w:vAlign w:val="bottom"/>
            <w:tcBorders>
              <w:bottom w:val="single" w:sz="8" w:color="CCEEFF"/>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148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1320" w:type="dxa"/>
            <w:vAlign w:val="bottom"/>
            <w:tcBorders>
              <w:bottom w:val="single" w:sz="8" w:color="CCEEFF"/>
            </w:tcBorders>
          </w:tcPr>
          <w:p>
            <w:pPr>
              <w:spacing w:after="0"/>
              <w:rPr>
                <w:sz w:val="6"/>
                <w:szCs w:val="6"/>
                <w:color w:val="auto"/>
              </w:rPr>
            </w:pPr>
          </w:p>
        </w:tc>
      </w:tr>
      <w:tr>
        <w:trPr>
          <w:trHeight w:val="278"/>
        </w:trPr>
        <w:tc>
          <w:tcPr>
            <w:tcW w:w="320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24"/>
        </w:trPr>
        <w:tc>
          <w:tcPr>
            <w:tcW w:w="3200" w:type="dxa"/>
            <w:vAlign w:val="bottom"/>
          </w:tcPr>
          <w:p>
            <w:pPr>
              <w:ind w:left="40"/>
              <w:spacing w:after="0"/>
              <w:rPr>
                <w:sz w:val="20"/>
                <w:szCs w:val="20"/>
                <w:color w:val="auto"/>
              </w:rPr>
            </w:pPr>
            <w:r>
              <w:rPr>
                <w:rFonts w:ascii="Arial" w:cs="Arial" w:eastAsia="Arial" w:hAnsi="Arial"/>
                <w:sz w:val="16"/>
                <w:szCs w:val="16"/>
                <w:color w:val="auto"/>
              </w:rPr>
              <w:t>Expected to vest, March 31, 2019</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134</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66.25</w:t>
            </w: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w w:val="80"/>
              </w:rPr>
              <w:t>8.6</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gridSpan w:val="3"/>
          </w:tcPr>
          <w:p>
            <w:pPr>
              <w:jc w:val="right"/>
              <w:ind w:right="360"/>
              <w:spacing w:after="0"/>
              <w:rPr>
                <w:sz w:val="20"/>
                <w:szCs w:val="20"/>
                <w:color w:val="auto"/>
              </w:rPr>
            </w:pPr>
            <w:r>
              <w:rPr>
                <w:rFonts w:ascii="Arial" w:cs="Arial" w:eastAsia="Arial" w:hAnsi="Arial"/>
                <w:sz w:val="16"/>
                <w:szCs w:val="16"/>
                <w:color w:val="auto"/>
              </w:rPr>
              <w:t>—</w:t>
            </w:r>
          </w:p>
        </w:tc>
        <w:tc>
          <w:tcPr>
            <w:tcW w:w="1320" w:type="dxa"/>
            <w:vAlign w:val="bottom"/>
          </w:tcPr>
          <w:p>
            <w:pPr>
              <w:spacing w:after="0"/>
              <w:rPr>
                <w:sz w:val="19"/>
                <w:szCs w:val="19"/>
                <w:color w:val="auto"/>
              </w:rPr>
            </w:pPr>
          </w:p>
        </w:tc>
      </w:tr>
      <w:tr>
        <w:trPr>
          <w:trHeight w:val="33"/>
        </w:trPr>
        <w:tc>
          <w:tcPr>
            <w:tcW w:w="32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0"/>
        </w:trPr>
        <w:tc>
          <w:tcPr>
            <w:tcW w:w="32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March 31, 2019, total unrecognized stock-based compensation expense related to nonvested stock options was $1.8 million, which is expected to be recognized over a weighted average period of approximately 1.6 years.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weighted-average assumptions used to estimate the fair value of stock options granted and the resulting weighted average fair value are as follows:</w:t>
      </w:r>
    </w:p>
    <w:p>
      <w:pPr>
        <w:spacing w:after="0" w:line="208" w:lineRule="exact"/>
        <w:rPr>
          <w:sz w:val="20"/>
          <w:szCs w:val="20"/>
          <w:color w:val="auto"/>
        </w:rPr>
      </w:pPr>
    </w:p>
    <w:p>
      <w:pPr>
        <w:ind w:left="8520"/>
        <w:spacing w:after="0"/>
        <w:rPr>
          <w:sz w:val="20"/>
          <w:szCs w:val="20"/>
          <w:color w:val="auto"/>
        </w:rPr>
      </w:pPr>
      <w:r>
        <w:rPr>
          <w:rFonts w:ascii="Arial" w:cs="Arial" w:eastAsia="Arial" w:hAnsi="Arial"/>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4953635</wp:posOffset>
            </wp:positionH>
            <wp:positionV relativeFrom="paragraph">
              <wp:posOffset>37465</wp:posOffset>
            </wp:positionV>
            <wp:extent cx="22980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298065"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98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2019</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jc w:val="right"/>
              <w:ind w:right="639"/>
              <w:spacing w:after="0"/>
              <w:rPr>
                <w:sz w:val="20"/>
                <w:szCs w:val="20"/>
                <w:color w:val="auto"/>
              </w:rPr>
            </w:pPr>
            <w:r>
              <w:rPr>
                <w:rFonts w:ascii="Arial" w:cs="Arial" w:eastAsia="Arial" w:hAnsi="Arial"/>
                <w:sz w:val="16"/>
                <w:szCs w:val="16"/>
                <w:b w:val="1"/>
                <w:bCs w:val="1"/>
                <w:color w:val="auto"/>
              </w:rPr>
              <w:t>2018</w:t>
            </w:r>
          </w:p>
        </w:tc>
      </w:tr>
      <w:tr>
        <w:trPr>
          <w:trHeight w:val="33"/>
        </w:trPr>
        <w:tc>
          <w:tcPr>
            <w:tcW w:w="78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30"/>
        </w:trPr>
        <w:tc>
          <w:tcPr>
            <w:tcW w:w="8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Expected volatility</w:t>
            </w:r>
          </w:p>
        </w:tc>
        <w:tc>
          <w:tcPr>
            <w:tcW w:w="6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30.9%</w:t>
            </w:r>
          </w:p>
        </w:tc>
      </w:tr>
      <w:tr>
        <w:trPr>
          <w:trHeight w:val="237"/>
        </w:trPr>
        <w:tc>
          <w:tcPr>
            <w:tcW w:w="8980" w:type="dxa"/>
            <w:vAlign w:val="bottom"/>
            <w:gridSpan w:val="2"/>
          </w:tcPr>
          <w:p>
            <w:pPr>
              <w:ind w:left="40"/>
              <w:spacing w:after="0"/>
              <w:rPr>
                <w:sz w:val="20"/>
                <w:szCs w:val="20"/>
                <w:color w:val="auto"/>
              </w:rPr>
            </w:pPr>
            <w:r>
              <w:rPr>
                <w:rFonts w:ascii="Arial" w:cs="Arial" w:eastAsia="Arial" w:hAnsi="Arial"/>
                <w:sz w:val="16"/>
                <w:szCs w:val="16"/>
                <w:color w:val="auto"/>
              </w:rPr>
              <w:t>Risk-free interest rate</w:t>
            </w:r>
          </w:p>
        </w:tc>
        <w:tc>
          <w:tcPr>
            <w:tcW w:w="680" w:type="dxa"/>
            <w:vAlign w:val="bottom"/>
            <w:gridSpan w:val="2"/>
          </w:tcPr>
          <w:p>
            <w:pPr>
              <w:ind w:left="260"/>
              <w:spacing w:after="0"/>
              <w:rPr>
                <w:sz w:val="20"/>
                <w:szCs w:val="20"/>
                <w:color w:val="auto"/>
              </w:rPr>
            </w:pPr>
            <w:r>
              <w:rPr>
                <w:rFonts w:ascii="Arial" w:cs="Arial" w:eastAsia="Arial" w:hAnsi="Arial"/>
                <w:sz w:val="16"/>
                <w:szCs w:val="16"/>
                <w:color w:val="auto"/>
              </w:rPr>
              <w:t>—%</w:t>
            </w:r>
          </w:p>
        </w:tc>
        <w:tc>
          <w:tcPr>
            <w:tcW w:w="176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33"/>
        </w:trPr>
        <w:tc>
          <w:tcPr>
            <w:tcW w:w="78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37"/>
        </w:trPr>
        <w:tc>
          <w:tcPr>
            <w:tcW w:w="89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Expected term (years)</w:t>
            </w:r>
          </w:p>
        </w:tc>
        <w:tc>
          <w:tcPr>
            <w:tcW w:w="6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N/A</w:t>
            </w:r>
          </w:p>
        </w:tc>
        <w:tc>
          <w:tcPr>
            <w:tcW w:w="17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6.1</w:t>
            </w:r>
          </w:p>
        </w:tc>
      </w:tr>
      <w:tr>
        <w:trPr>
          <w:trHeight w:val="33"/>
        </w:trPr>
        <w:tc>
          <w:tcPr>
            <w:tcW w:w="78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r>
    </w:tbl>
    <w:p>
      <w:pPr>
        <w:spacing w:after="0"/>
        <w:rPr>
          <w:sz w:val="20"/>
          <w:szCs w:val="20"/>
          <w:color w:val="auto"/>
        </w:rPr>
      </w:pPr>
      <w:r>
        <w:rPr>
          <w:rFonts w:ascii="Arial" w:cs="Arial" w:eastAsia="Arial" w:hAnsi="Arial"/>
          <w:sz w:val="18"/>
          <w:szCs w:val="18"/>
          <w:color w:val="auto"/>
        </w:rPr>
        <w:t>There were no employee stock options granted for the three months ended March 31, 2019.</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Restricted Stock Units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restricted stock unit activity:</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36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4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91"/>
              </w:rPr>
              <w:t>Weighted</w:t>
            </w:r>
          </w:p>
        </w:tc>
        <w:tc>
          <w:tcPr>
            <w:tcW w:w="36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3"/>
        </w:trPr>
        <w:tc>
          <w:tcPr>
            <w:tcW w:w="4360" w:type="dxa"/>
            <w:vAlign w:val="bottom"/>
          </w:tcPr>
          <w:p>
            <w:pPr>
              <w:spacing w:after="0"/>
              <w:rPr>
                <w:sz w:val="17"/>
                <w:szCs w:val="17"/>
                <w:color w:val="auto"/>
              </w:rPr>
            </w:pPr>
          </w:p>
        </w:tc>
        <w:tc>
          <w:tcPr>
            <w:tcW w:w="2300" w:type="dxa"/>
            <w:vAlign w:val="bottom"/>
          </w:tcPr>
          <w:p>
            <w:pPr>
              <w:jc w:val="right"/>
              <w:ind w:right="699"/>
              <w:spacing w:after="0"/>
              <w:rPr>
                <w:sz w:val="20"/>
                <w:szCs w:val="20"/>
                <w:color w:val="auto"/>
              </w:rPr>
            </w:pPr>
            <w:r>
              <w:rPr>
                <w:rFonts w:ascii="Arial" w:cs="Arial" w:eastAsia="Arial" w:hAnsi="Arial"/>
                <w:sz w:val="16"/>
                <w:szCs w:val="16"/>
                <w:b w:val="1"/>
                <w:bCs w:val="1"/>
                <w:color w:val="auto"/>
              </w:rPr>
              <w:t>Number of</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4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92"/>
              </w:rPr>
              <w:t>Average Grant</w:t>
            </w:r>
          </w:p>
        </w:tc>
        <w:tc>
          <w:tcPr>
            <w:tcW w:w="360" w:type="dxa"/>
            <w:vAlign w:val="bottom"/>
          </w:tcPr>
          <w:p>
            <w:pPr>
              <w:spacing w:after="0"/>
              <w:rPr>
                <w:sz w:val="17"/>
                <w:szCs w:val="17"/>
                <w:color w:val="auto"/>
              </w:rPr>
            </w:pPr>
          </w:p>
        </w:tc>
        <w:tc>
          <w:tcPr>
            <w:tcW w:w="1900" w:type="dxa"/>
            <w:vAlign w:val="bottom"/>
          </w:tcPr>
          <w:p>
            <w:pPr>
              <w:jc w:val="right"/>
              <w:ind w:right="699"/>
              <w:spacing w:after="0"/>
              <w:rPr>
                <w:sz w:val="20"/>
                <w:szCs w:val="20"/>
                <w:color w:val="auto"/>
              </w:rPr>
            </w:pPr>
            <w:r>
              <w:rPr>
                <w:rFonts w:ascii="Arial" w:cs="Arial" w:eastAsia="Arial" w:hAnsi="Arial"/>
                <w:sz w:val="16"/>
                <w:szCs w:val="16"/>
                <w:b w:val="1"/>
                <w:bCs w:val="1"/>
                <w:color w:val="auto"/>
              </w:rPr>
              <w:t>Aggregate</w:t>
            </w:r>
          </w:p>
        </w:tc>
      </w:tr>
      <w:tr>
        <w:trPr>
          <w:trHeight w:val="210"/>
        </w:trPr>
        <w:tc>
          <w:tcPr>
            <w:tcW w:w="4360" w:type="dxa"/>
            <w:vAlign w:val="bottom"/>
          </w:tcPr>
          <w:p>
            <w:pPr>
              <w:ind w:left="40"/>
              <w:spacing w:after="0"/>
              <w:rPr>
                <w:sz w:val="20"/>
                <w:szCs w:val="20"/>
                <w:color w:val="auto"/>
              </w:rPr>
            </w:pPr>
            <w:r>
              <w:rPr>
                <w:rFonts w:ascii="Arial" w:cs="Arial" w:eastAsia="Arial" w:hAnsi="Arial"/>
                <w:sz w:val="16"/>
                <w:szCs w:val="16"/>
                <w:i w:val="1"/>
                <w:iCs w:val="1"/>
                <w:color w:val="auto"/>
              </w:rPr>
              <w:t>In thousands</w:t>
            </w:r>
          </w:p>
        </w:tc>
        <w:tc>
          <w:tcPr>
            <w:tcW w:w="2300" w:type="dxa"/>
            <w:vAlign w:val="bottom"/>
          </w:tcPr>
          <w:p>
            <w:pPr>
              <w:jc w:val="right"/>
              <w:ind w:right="299"/>
              <w:spacing w:after="0"/>
              <w:rPr>
                <w:sz w:val="20"/>
                <w:szCs w:val="20"/>
                <w:color w:val="auto"/>
              </w:rPr>
            </w:pPr>
            <w:r>
              <w:rPr>
                <w:rFonts w:ascii="Arial" w:cs="Arial" w:eastAsia="Arial" w:hAnsi="Arial"/>
                <w:sz w:val="16"/>
                <w:szCs w:val="16"/>
                <w:b w:val="1"/>
                <w:bCs w:val="1"/>
                <w:color w:val="auto"/>
              </w:rPr>
              <w:t>Restricted Stock Units</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4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95"/>
              </w:rPr>
              <w:t>Date Fair Value</w:t>
            </w:r>
          </w:p>
        </w:tc>
        <w:tc>
          <w:tcPr>
            <w:tcW w:w="360" w:type="dxa"/>
            <w:vAlign w:val="bottom"/>
          </w:tcPr>
          <w:p>
            <w:pPr>
              <w:spacing w:after="0"/>
              <w:rPr>
                <w:sz w:val="18"/>
                <w:szCs w:val="18"/>
                <w:color w:val="auto"/>
              </w:rPr>
            </w:pPr>
          </w:p>
        </w:tc>
        <w:tc>
          <w:tcPr>
            <w:tcW w:w="1900" w:type="dxa"/>
            <w:vAlign w:val="bottom"/>
          </w:tcPr>
          <w:p>
            <w:pPr>
              <w:jc w:val="right"/>
              <w:ind w:right="539"/>
              <w:spacing w:after="0"/>
              <w:rPr>
                <w:sz w:val="20"/>
                <w:szCs w:val="20"/>
                <w:color w:val="auto"/>
              </w:rPr>
            </w:pPr>
            <w:r>
              <w:rPr>
                <w:rFonts w:ascii="Arial" w:cs="Arial" w:eastAsia="Arial" w:hAnsi="Arial"/>
                <w:sz w:val="16"/>
                <w:szCs w:val="16"/>
                <w:b w:val="1"/>
                <w:bCs w:val="1"/>
                <w:color w:val="auto"/>
              </w:rPr>
              <w:t>Intrinsic Value</w:t>
            </w:r>
          </w:p>
        </w:tc>
      </w:tr>
      <w:tr>
        <w:trPr>
          <w:trHeight w:val="33"/>
        </w:trPr>
        <w:tc>
          <w:tcPr>
            <w:tcW w:w="436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44"/>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Outstanding, January 1, 2018</w:t>
            </w:r>
          </w:p>
        </w:tc>
        <w:tc>
          <w:tcPr>
            <w:tcW w:w="2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r>
      <w:tr>
        <w:trPr>
          <w:trHeight w:val="237"/>
        </w:trPr>
        <w:tc>
          <w:tcPr>
            <w:tcW w:w="4360" w:type="dxa"/>
            <w:vAlign w:val="bottom"/>
          </w:tcPr>
          <w:p>
            <w:pPr>
              <w:ind w:left="380"/>
              <w:spacing w:after="0"/>
              <w:rPr>
                <w:sz w:val="20"/>
                <w:szCs w:val="20"/>
                <w:color w:val="auto"/>
              </w:rPr>
            </w:pPr>
            <w:r>
              <w:rPr>
                <w:rFonts w:ascii="Arial" w:cs="Arial" w:eastAsia="Arial" w:hAnsi="Arial"/>
                <w:sz w:val="16"/>
                <w:szCs w:val="16"/>
                <w:color w:val="auto"/>
              </w:rPr>
              <w:t>Converted upon acquisition</w:t>
            </w:r>
          </w:p>
        </w:tc>
        <w:tc>
          <w:tcPr>
            <w:tcW w:w="2300" w:type="dxa"/>
            <w:vAlign w:val="bottom"/>
          </w:tcPr>
          <w:p>
            <w:pPr>
              <w:jc w:val="right"/>
              <w:ind w:right="39"/>
              <w:spacing w:after="0"/>
              <w:rPr>
                <w:sz w:val="20"/>
                <w:szCs w:val="20"/>
                <w:color w:val="auto"/>
              </w:rPr>
            </w:pPr>
            <w:r>
              <w:rPr>
                <w:rFonts w:ascii="Arial" w:cs="Arial" w:eastAsia="Arial" w:hAnsi="Arial"/>
                <w:sz w:val="16"/>
                <w:szCs w:val="16"/>
                <w:color w:val="auto"/>
              </w:rPr>
              <w:t>579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33"/>
        </w:trPr>
        <w:tc>
          <w:tcPr>
            <w:tcW w:w="43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Granted</w:t>
            </w:r>
          </w:p>
        </w:tc>
        <w:tc>
          <w:tcPr>
            <w:tcW w:w="2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136</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69.30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r>
      <w:tr>
        <w:trPr>
          <w:trHeight w:val="270"/>
        </w:trPr>
        <w:tc>
          <w:tcPr>
            <w:tcW w:w="4360" w:type="dxa"/>
            <w:vAlign w:val="bottom"/>
          </w:tcPr>
          <w:p>
            <w:pPr>
              <w:ind w:left="380"/>
              <w:spacing w:after="0"/>
              <w:rPr>
                <w:sz w:val="20"/>
                <w:szCs w:val="20"/>
                <w:color w:val="auto"/>
              </w:rPr>
            </w:pPr>
            <w:r>
              <w:rPr>
                <w:rFonts w:ascii="Arial" w:cs="Arial" w:eastAsia="Arial" w:hAnsi="Arial"/>
                <w:sz w:val="16"/>
                <w:szCs w:val="16"/>
                <w:color w:val="auto"/>
              </w:rPr>
              <w:t xml:space="preserve">Released </w:t>
            </w:r>
            <w:r>
              <w:rPr>
                <w:rFonts w:ascii="Arial" w:cs="Arial" w:eastAsia="Arial" w:hAnsi="Arial"/>
                <w:sz w:val="21"/>
                <w:szCs w:val="21"/>
                <w:color w:val="auto"/>
                <w:vertAlign w:val="superscript"/>
              </w:rPr>
              <w:t>(1)</w:t>
            </w:r>
          </w:p>
        </w:tc>
        <w:tc>
          <w:tcPr>
            <w:tcW w:w="2300" w:type="dxa"/>
            <w:vAlign w:val="bottom"/>
          </w:tcPr>
          <w:p>
            <w:pPr>
              <w:jc w:val="right"/>
              <w:spacing w:after="0"/>
              <w:rPr>
                <w:sz w:val="20"/>
                <w:szCs w:val="20"/>
                <w:color w:val="auto"/>
              </w:rPr>
            </w:pPr>
            <w:r>
              <w:rPr>
                <w:rFonts w:ascii="Arial" w:cs="Arial" w:eastAsia="Arial" w:hAnsi="Arial"/>
                <w:sz w:val="16"/>
                <w:szCs w:val="16"/>
                <w:color w:val="auto"/>
              </w:rPr>
              <w:t>(352)</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900" w:type="dxa"/>
            <w:vAlign w:val="bottom"/>
          </w:tcPr>
          <w:p>
            <w:pPr>
              <w:jc w:val="right"/>
              <w:ind w:right="19"/>
              <w:spacing w:after="0"/>
              <w:rPr>
                <w:sz w:val="20"/>
                <w:szCs w:val="20"/>
                <w:color w:val="auto"/>
              </w:rPr>
            </w:pPr>
            <w:r>
              <w:rPr>
                <w:rFonts w:ascii="Arial" w:cs="Arial" w:eastAsia="Arial" w:hAnsi="Arial"/>
                <w:sz w:val="16"/>
                <w:szCs w:val="16"/>
                <w:color w:val="auto"/>
              </w:rPr>
              <w:t>17,231</w:t>
            </w:r>
          </w:p>
        </w:tc>
      </w:tr>
      <w:tr>
        <w:trPr>
          <w:trHeight w:val="270"/>
        </w:trPr>
        <w:tc>
          <w:tcPr>
            <w:tcW w:w="4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Forfeited</w:t>
            </w:r>
          </w:p>
        </w:tc>
        <w:tc>
          <w:tcPr>
            <w:tcW w:w="2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spacing w:after="0"/>
              <w:rPr>
                <w:sz w:val="23"/>
                <w:szCs w:val="23"/>
                <w:color w:val="auto"/>
              </w:rPr>
            </w:pPr>
          </w:p>
        </w:tc>
      </w:tr>
      <w:tr>
        <w:trPr>
          <w:trHeight w:val="284"/>
        </w:trPr>
        <w:tc>
          <w:tcPr>
            <w:tcW w:w="43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Outstanding, March 31, 2018</w:t>
            </w:r>
          </w:p>
        </w:tc>
        <w:tc>
          <w:tcPr>
            <w:tcW w:w="23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891</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19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1900" w:type="dxa"/>
            <w:vAlign w:val="bottom"/>
            <w:tcBorders>
              <w:bottom w:val="single" w:sz="8" w:color="CCEEFF"/>
            </w:tcBorders>
          </w:tcPr>
          <w:p>
            <w:pPr>
              <w:spacing w:after="0"/>
              <w:rPr>
                <w:sz w:val="24"/>
                <w:szCs w:val="24"/>
                <w:color w:val="auto"/>
              </w:rPr>
            </w:pPr>
          </w:p>
        </w:tc>
      </w:tr>
      <w:tr>
        <w:trPr>
          <w:trHeight w:val="284"/>
        </w:trPr>
        <w:tc>
          <w:tcPr>
            <w:tcW w:w="4360" w:type="dxa"/>
            <w:vAlign w:val="bottom"/>
            <w:shd w:val="clear" w:color="auto" w:fill="CCEEFF"/>
          </w:tcPr>
          <w:p>
            <w:pPr>
              <w:spacing w:after="0"/>
              <w:rPr>
                <w:sz w:val="24"/>
                <w:szCs w:val="24"/>
                <w:color w:val="auto"/>
              </w:rPr>
            </w:pPr>
          </w:p>
        </w:tc>
        <w:tc>
          <w:tcPr>
            <w:tcW w:w="2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900" w:type="dxa"/>
            <w:vAlign w:val="bottom"/>
            <w:shd w:val="clear" w:color="auto" w:fill="CCEEFF"/>
          </w:tcPr>
          <w:p>
            <w:pPr>
              <w:spacing w:after="0"/>
              <w:rPr>
                <w:sz w:val="24"/>
                <w:szCs w:val="24"/>
                <w:color w:val="auto"/>
              </w:rPr>
            </w:pPr>
          </w:p>
        </w:tc>
      </w:tr>
      <w:tr>
        <w:trPr>
          <w:trHeight w:val="237"/>
        </w:trPr>
        <w:tc>
          <w:tcPr>
            <w:tcW w:w="4360" w:type="dxa"/>
            <w:vAlign w:val="bottom"/>
          </w:tcPr>
          <w:p>
            <w:pPr>
              <w:ind w:left="40"/>
              <w:spacing w:after="0"/>
              <w:rPr>
                <w:sz w:val="20"/>
                <w:szCs w:val="20"/>
                <w:color w:val="auto"/>
              </w:rPr>
            </w:pPr>
            <w:r>
              <w:rPr>
                <w:rFonts w:ascii="Arial" w:cs="Arial" w:eastAsia="Arial" w:hAnsi="Arial"/>
                <w:sz w:val="16"/>
                <w:szCs w:val="16"/>
                <w:color w:val="auto"/>
              </w:rPr>
              <w:t>Outstanding, January 1, 2019</w:t>
            </w:r>
          </w:p>
        </w:tc>
        <w:tc>
          <w:tcPr>
            <w:tcW w:w="2300" w:type="dxa"/>
            <w:vAlign w:val="bottom"/>
          </w:tcPr>
          <w:p>
            <w:pPr>
              <w:jc w:val="right"/>
              <w:ind w:right="39"/>
              <w:spacing w:after="0"/>
              <w:rPr>
                <w:sz w:val="20"/>
                <w:szCs w:val="20"/>
                <w:color w:val="auto"/>
              </w:rPr>
            </w:pPr>
            <w:r>
              <w:rPr>
                <w:rFonts w:ascii="Arial" w:cs="Arial" w:eastAsia="Arial" w:hAnsi="Arial"/>
                <w:sz w:val="16"/>
                <w:szCs w:val="16"/>
                <w:color w:val="auto"/>
              </w:rPr>
              <w:t>817</w:t>
            </w:r>
          </w:p>
        </w:tc>
        <w:tc>
          <w:tcPr>
            <w:tcW w:w="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59.70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33"/>
        </w:trPr>
        <w:tc>
          <w:tcPr>
            <w:tcW w:w="43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Granted</w:t>
            </w:r>
          </w:p>
        </w:tc>
        <w:tc>
          <w:tcPr>
            <w:tcW w:w="2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56.04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r>
      <w:tr>
        <w:trPr>
          <w:trHeight w:val="270"/>
        </w:trPr>
        <w:tc>
          <w:tcPr>
            <w:tcW w:w="4360" w:type="dxa"/>
            <w:vAlign w:val="bottom"/>
          </w:tcPr>
          <w:p>
            <w:pPr>
              <w:ind w:left="380"/>
              <w:spacing w:after="0"/>
              <w:rPr>
                <w:sz w:val="20"/>
                <w:szCs w:val="20"/>
                <w:color w:val="auto"/>
              </w:rPr>
            </w:pPr>
            <w:r>
              <w:rPr>
                <w:rFonts w:ascii="Arial" w:cs="Arial" w:eastAsia="Arial" w:hAnsi="Arial"/>
                <w:sz w:val="16"/>
                <w:szCs w:val="16"/>
                <w:color w:val="auto"/>
              </w:rPr>
              <w:t xml:space="preserve">Released </w:t>
            </w:r>
            <w:r>
              <w:rPr>
                <w:rFonts w:ascii="Arial" w:cs="Arial" w:eastAsia="Arial" w:hAnsi="Arial"/>
                <w:sz w:val="21"/>
                <w:szCs w:val="21"/>
                <w:color w:val="auto"/>
                <w:vertAlign w:val="superscript"/>
              </w:rPr>
              <w:t>(1)</w:t>
            </w:r>
          </w:p>
        </w:tc>
        <w:tc>
          <w:tcPr>
            <w:tcW w:w="2300" w:type="dxa"/>
            <w:vAlign w:val="bottom"/>
          </w:tcPr>
          <w:p>
            <w:pPr>
              <w:jc w:val="right"/>
              <w:spacing w:after="0"/>
              <w:rPr>
                <w:sz w:val="20"/>
                <w:szCs w:val="20"/>
                <w:color w:val="auto"/>
              </w:rPr>
            </w:pPr>
            <w:r>
              <w:rPr>
                <w:rFonts w:ascii="Arial" w:cs="Arial" w:eastAsia="Arial" w:hAnsi="Arial"/>
                <w:sz w:val="16"/>
                <w:szCs w:val="16"/>
                <w:color w:val="auto"/>
              </w:rPr>
              <w:t>(316)</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60.29</w:t>
            </w:r>
          </w:p>
        </w:tc>
        <w:tc>
          <w:tcPr>
            <w:tcW w:w="120" w:type="dxa"/>
            <w:vAlign w:val="bottom"/>
          </w:tcPr>
          <w:p>
            <w:pPr>
              <w:spacing w:after="0"/>
              <w:rPr>
                <w:sz w:val="23"/>
                <w:szCs w:val="23"/>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900" w:type="dxa"/>
            <w:vAlign w:val="bottom"/>
          </w:tcPr>
          <w:p>
            <w:pPr>
              <w:jc w:val="right"/>
              <w:ind w:right="19"/>
              <w:spacing w:after="0"/>
              <w:rPr>
                <w:sz w:val="20"/>
                <w:szCs w:val="20"/>
                <w:color w:val="auto"/>
              </w:rPr>
            </w:pPr>
            <w:r>
              <w:rPr>
                <w:rFonts w:ascii="Arial" w:cs="Arial" w:eastAsia="Arial" w:hAnsi="Arial"/>
                <w:sz w:val="16"/>
                <w:szCs w:val="16"/>
                <w:color w:val="auto"/>
              </w:rPr>
              <w:t>19,074</w:t>
            </w:r>
          </w:p>
        </w:tc>
      </w:tr>
      <w:tr>
        <w:trPr>
          <w:trHeight w:val="270"/>
        </w:trPr>
        <w:tc>
          <w:tcPr>
            <w:tcW w:w="4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Forfeited</w:t>
            </w:r>
          </w:p>
        </w:tc>
        <w:tc>
          <w:tcPr>
            <w:tcW w:w="2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66.17</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spacing w:after="0"/>
              <w:rPr>
                <w:sz w:val="23"/>
                <w:szCs w:val="23"/>
                <w:color w:val="auto"/>
              </w:rPr>
            </w:pPr>
          </w:p>
        </w:tc>
      </w:tr>
      <w:tr>
        <w:trPr>
          <w:trHeight w:val="284"/>
        </w:trPr>
        <w:tc>
          <w:tcPr>
            <w:tcW w:w="43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Outstanding, March 31, 2019</w:t>
            </w:r>
          </w:p>
        </w:tc>
        <w:tc>
          <w:tcPr>
            <w:tcW w:w="23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591</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192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64.51</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1900" w:type="dxa"/>
            <w:vAlign w:val="bottom"/>
            <w:tcBorders>
              <w:bottom w:val="single" w:sz="8" w:color="CCEEFF"/>
            </w:tcBorders>
          </w:tcPr>
          <w:p>
            <w:pPr>
              <w:spacing w:after="0"/>
              <w:rPr>
                <w:sz w:val="24"/>
                <w:szCs w:val="24"/>
                <w:color w:val="auto"/>
              </w:rPr>
            </w:pPr>
          </w:p>
        </w:tc>
      </w:tr>
      <w:tr>
        <w:trPr>
          <w:trHeight w:val="284"/>
        </w:trPr>
        <w:tc>
          <w:tcPr>
            <w:tcW w:w="4360" w:type="dxa"/>
            <w:vAlign w:val="bottom"/>
            <w:shd w:val="clear" w:color="auto" w:fill="CCEEFF"/>
          </w:tcPr>
          <w:p>
            <w:pPr>
              <w:spacing w:after="0"/>
              <w:rPr>
                <w:sz w:val="24"/>
                <w:szCs w:val="24"/>
                <w:color w:val="auto"/>
              </w:rPr>
            </w:pPr>
          </w:p>
        </w:tc>
        <w:tc>
          <w:tcPr>
            <w:tcW w:w="2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900" w:type="dxa"/>
            <w:vAlign w:val="bottom"/>
            <w:shd w:val="clear" w:color="auto" w:fill="CCEEFF"/>
          </w:tcPr>
          <w:p>
            <w:pPr>
              <w:spacing w:after="0"/>
              <w:rPr>
                <w:sz w:val="24"/>
                <w:szCs w:val="24"/>
                <w:color w:val="auto"/>
              </w:rPr>
            </w:pPr>
          </w:p>
        </w:tc>
      </w:tr>
      <w:tr>
        <w:trPr>
          <w:trHeight w:val="290"/>
        </w:trPr>
        <w:tc>
          <w:tcPr>
            <w:tcW w:w="43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Vested but not released, March 31, 2019</w:t>
            </w:r>
          </w:p>
        </w:tc>
        <w:tc>
          <w:tcPr>
            <w:tcW w:w="2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19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361</w:t>
            </w:r>
          </w:p>
        </w:tc>
      </w:tr>
      <w:tr>
        <w:trPr>
          <w:trHeight w:val="284"/>
        </w:trPr>
        <w:tc>
          <w:tcPr>
            <w:tcW w:w="4360" w:type="dxa"/>
            <w:vAlign w:val="bottom"/>
            <w:shd w:val="clear" w:color="auto" w:fill="CCEEFF"/>
          </w:tcPr>
          <w:p>
            <w:pPr>
              <w:spacing w:after="0"/>
              <w:rPr>
                <w:sz w:val="24"/>
                <w:szCs w:val="24"/>
                <w:color w:val="auto"/>
              </w:rPr>
            </w:pPr>
          </w:p>
        </w:tc>
        <w:tc>
          <w:tcPr>
            <w:tcW w:w="2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900" w:type="dxa"/>
            <w:vAlign w:val="bottom"/>
            <w:shd w:val="clear" w:color="auto" w:fill="CCEEFF"/>
          </w:tcPr>
          <w:p>
            <w:pPr>
              <w:spacing w:after="0"/>
              <w:rPr>
                <w:sz w:val="24"/>
                <w:szCs w:val="24"/>
                <w:color w:val="auto"/>
              </w:rPr>
            </w:pPr>
          </w:p>
        </w:tc>
      </w:tr>
      <w:tr>
        <w:trPr>
          <w:trHeight w:val="237"/>
        </w:trPr>
        <w:tc>
          <w:tcPr>
            <w:tcW w:w="4360" w:type="dxa"/>
            <w:vAlign w:val="bottom"/>
          </w:tcPr>
          <w:p>
            <w:pPr>
              <w:ind w:left="40"/>
              <w:spacing w:after="0"/>
              <w:rPr>
                <w:sz w:val="20"/>
                <w:szCs w:val="20"/>
                <w:color w:val="auto"/>
              </w:rPr>
            </w:pPr>
            <w:r>
              <w:rPr>
                <w:rFonts w:ascii="Arial" w:cs="Arial" w:eastAsia="Arial" w:hAnsi="Arial"/>
                <w:sz w:val="16"/>
                <w:szCs w:val="16"/>
                <w:color w:val="auto"/>
              </w:rPr>
              <w:t>Expected to vest, March 31, 2019</w:t>
            </w:r>
          </w:p>
        </w:tc>
        <w:tc>
          <w:tcPr>
            <w:tcW w:w="2300" w:type="dxa"/>
            <w:vAlign w:val="bottom"/>
          </w:tcPr>
          <w:p>
            <w:pPr>
              <w:jc w:val="right"/>
              <w:ind w:right="39"/>
              <w:spacing w:after="0"/>
              <w:rPr>
                <w:sz w:val="20"/>
                <w:szCs w:val="20"/>
                <w:color w:val="auto"/>
              </w:rPr>
            </w:pPr>
            <w:r>
              <w:rPr>
                <w:rFonts w:ascii="Arial" w:cs="Arial" w:eastAsia="Arial" w:hAnsi="Arial"/>
                <w:sz w:val="16"/>
                <w:szCs w:val="16"/>
                <w:color w:val="auto"/>
              </w:rPr>
              <w:t>579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900" w:type="dxa"/>
            <w:vAlign w:val="bottom"/>
          </w:tcPr>
          <w:p>
            <w:pPr>
              <w:jc w:val="right"/>
              <w:ind w:right="19"/>
              <w:spacing w:after="0"/>
              <w:rPr>
                <w:sz w:val="20"/>
                <w:szCs w:val="20"/>
                <w:color w:val="auto"/>
              </w:rPr>
            </w:pPr>
            <w:r>
              <w:rPr>
                <w:rFonts w:ascii="Arial" w:cs="Arial" w:eastAsia="Arial" w:hAnsi="Arial"/>
                <w:sz w:val="16"/>
                <w:szCs w:val="16"/>
                <w:color w:val="auto"/>
              </w:rPr>
              <w:t>27,018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5810885</wp:posOffset>
            </wp:positionH>
            <wp:positionV relativeFrom="paragraph">
              <wp:posOffset>12700</wp:posOffset>
            </wp:positionV>
            <wp:extent cx="14408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40815" cy="8890"/>
                    </a:xfrm>
                    <a:prstGeom prst="rect">
                      <a:avLst/>
                    </a:prstGeom>
                    <a:noFill/>
                  </pic:spPr>
                </pic:pic>
              </a:graphicData>
            </a:graphic>
          </wp:anchor>
        </w:drawing>
        <w:drawing>
          <wp:anchor simplePos="0" relativeHeight="251657728" behindDoc="1" locked="0" layoutInCell="0" allowOverlap="1">
            <wp:simplePos x="0" y="0"/>
            <wp:positionH relativeFrom="column">
              <wp:posOffset>2766695</wp:posOffset>
            </wp:positionH>
            <wp:positionV relativeFrom="paragraph">
              <wp:posOffset>12700</wp:posOffset>
            </wp:positionV>
            <wp:extent cx="14579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57960" cy="8890"/>
                    </a:xfrm>
                    <a:prstGeom prst="rect">
                      <a:avLst/>
                    </a:prstGeom>
                    <a:noFill/>
                  </pic:spPr>
                </pic:pic>
              </a:graphicData>
            </a:graphic>
          </wp:anchor>
        </w:drawing>
      </w:r>
    </w:p>
    <w:p>
      <w:pPr>
        <w:ind w:left="380" w:hanging="372"/>
        <w:spacing w:after="0" w:line="225" w:lineRule="auto"/>
        <w:tabs>
          <w:tab w:leader="none" w:pos="380" w:val="left"/>
        </w:tabs>
        <w:numPr>
          <w:ilvl w:val="0"/>
          <w:numId w:val="3"/>
        </w:numPr>
        <w:rPr>
          <w:rFonts w:ascii="Arial" w:cs="Arial" w:eastAsia="Arial" w:hAnsi="Arial"/>
          <w:sz w:val="25"/>
          <w:szCs w:val="25"/>
          <w:color w:val="auto"/>
          <w:vertAlign w:val="superscript"/>
        </w:rPr>
      </w:pPr>
      <w:r>
        <w:rPr>
          <w:rFonts w:ascii="Arial" w:cs="Arial" w:eastAsia="Arial" w:hAnsi="Arial"/>
          <w:sz w:val="16"/>
          <w:szCs w:val="16"/>
          <w:color w:val="auto"/>
        </w:rPr>
        <w:t>Shares released is presented gross of shares netted for employee payroll tax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5810885</wp:posOffset>
            </wp:positionH>
            <wp:positionV relativeFrom="paragraph">
              <wp:posOffset>-140970</wp:posOffset>
            </wp:positionV>
            <wp:extent cx="14408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40815" cy="8890"/>
                    </a:xfrm>
                    <a:prstGeom prst="rect">
                      <a:avLst/>
                    </a:prstGeom>
                    <a:noFill/>
                  </pic:spPr>
                </pic:pic>
              </a:graphicData>
            </a:graphic>
          </wp:anchor>
        </w:drawing>
        <w:drawing>
          <wp:anchor simplePos="0" relativeHeight="251657728" behindDoc="1" locked="0" layoutInCell="0" allowOverlap="1">
            <wp:simplePos x="0" y="0"/>
            <wp:positionH relativeFrom="column">
              <wp:posOffset>2766695</wp:posOffset>
            </wp:positionH>
            <wp:positionV relativeFrom="paragraph">
              <wp:posOffset>-140970</wp:posOffset>
            </wp:positionV>
            <wp:extent cx="14579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57960" cy="8890"/>
                    </a:xfrm>
                    <a:prstGeom prst="rect">
                      <a:avLst/>
                    </a:prstGeom>
                    <a:noFill/>
                  </pic:spPr>
                </pic:pic>
              </a:graphicData>
            </a:graphic>
          </wp:anchor>
        </w:drawing>
      </w:r>
    </w:p>
    <w:p>
      <w:pPr>
        <w:spacing w:after="0" w:line="18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At March 31, 2019, total unrecognized compensation expense on restricted stock units was $36.2 million, which is expected to be recognized over a weighted average period of approximately 2.0 years.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weighted-average assumptions used to estimate the fair value of performance-based restricted stock units granted and the resulting weighted average fair value are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820" w:type="dxa"/>
            <w:vAlign w:val="bottom"/>
          </w:tcPr>
          <w:p>
            <w:pPr>
              <w:spacing w:after="0"/>
              <w:rPr>
                <w:sz w:val="18"/>
                <w:szCs w:val="18"/>
                <w:color w:val="auto"/>
              </w:rPr>
            </w:pPr>
          </w:p>
        </w:tc>
        <w:tc>
          <w:tcPr>
            <w:tcW w:w="3000" w:type="dxa"/>
            <w:vAlign w:val="bottom"/>
            <w:gridSpan w:val="4"/>
          </w:tcPr>
          <w:p>
            <w:pPr>
              <w:ind w:left="700"/>
              <w:spacing w:after="0"/>
              <w:rPr>
                <w:sz w:val="20"/>
                <w:szCs w:val="20"/>
                <w:color w:val="auto"/>
              </w:rPr>
            </w:pPr>
            <w:r>
              <w:rPr>
                <w:rFonts w:ascii="Arial" w:cs="Arial" w:eastAsia="Arial" w:hAnsi="Arial"/>
                <w:sz w:val="16"/>
                <w:szCs w:val="16"/>
                <w:b w:val="1"/>
                <w:bCs w:val="1"/>
                <w:color w:val="auto"/>
                <w:w w:val="96"/>
              </w:rPr>
              <w:t>Three Months Ended March 31,</w:t>
            </w:r>
          </w:p>
        </w:tc>
        <w:tc>
          <w:tcPr>
            <w:tcW w:w="600" w:type="dxa"/>
            <w:vAlign w:val="bottom"/>
          </w:tcPr>
          <w:p>
            <w:pPr>
              <w:spacing w:after="0"/>
              <w:rPr>
                <w:sz w:val="18"/>
                <w:szCs w:val="18"/>
                <w:color w:val="auto"/>
              </w:rPr>
            </w:pPr>
          </w:p>
        </w:tc>
      </w:tr>
      <w:tr>
        <w:trPr>
          <w:trHeight w:val="33"/>
        </w:trPr>
        <w:tc>
          <w:tcPr>
            <w:tcW w:w="78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31"/>
        </w:trPr>
        <w:tc>
          <w:tcPr>
            <w:tcW w:w="7820" w:type="dxa"/>
            <w:vAlign w:val="bottom"/>
          </w:tcPr>
          <w:p>
            <w:pPr>
              <w:spacing w:after="0"/>
              <w:rPr>
                <w:sz w:val="20"/>
                <w:szCs w:val="20"/>
                <w:color w:val="auto"/>
              </w:rPr>
            </w:pPr>
          </w:p>
        </w:tc>
        <w:tc>
          <w:tcPr>
            <w:tcW w:w="1140" w:type="dxa"/>
            <w:vAlign w:val="bottom"/>
          </w:tcPr>
          <w:p>
            <w:pPr>
              <w:ind w:left="720"/>
              <w:spacing w:after="0"/>
              <w:rPr>
                <w:sz w:val="20"/>
                <w:szCs w:val="20"/>
                <w:color w:val="auto"/>
              </w:rPr>
            </w:pPr>
            <w:r>
              <w:rPr>
                <w:rFonts w:ascii="Arial" w:cs="Arial" w:eastAsia="Arial" w:hAnsi="Arial"/>
                <w:sz w:val="16"/>
                <w:szCs w:val="16"/>
                <w:b w:val="1"/>
                <w:bCs w:val="1"/>
                <w:color w:val="auto"/>
              </w:rPr>
              <w:t>2019</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b w:val="1"/>
                <w:bCs w:val="1"/>
                <w:color w:val="auto"/>
              </w:rPr>
              <w:t>2018</w:t>
            </w:r>
          </w:p>
        </w:tc>
        <w:tc>
          <w:tcPr>
            <w:tcW w:w="600" w:type="dxa"/>
            <w:vAlign w:val="bottom"/>
          </w:tcPr>
          <w:p>
            <w:pPr>
              <w:spacing w:after="0"/>
              <w:rPr>
                <w:sz w:val="20"/>
                <w:szCs w:val="20"/>
                <w:color w:val="auto"/>
              </w:rPr>
            </w:pPr>
          </w:p>
        </w:tc>
      </w:tr>
      <w:tr>
        <w:trPr>
          <w:trHeight w:val="33"/>
        </w:trPr>
        <w:tc>
          <w:tcPr>
            <w:tcW w:w="78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30"/>
        </w:trPr>
        <w:tc>
          <w:tcPr>
            <w:tcW w:w="7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Expected volatility</w:t>
            </w:r>
          </w:p>
        </w:tc>
        <w:tc>
          <w:tcPr>
            <w:tcW w:w="11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31.3%</w:t>
            </w: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28.0%</w:t>
            </w:r>
          </w:p>
        </w:tc>
      </w:tr>
      <w:tr>
        <w:trPr>
          <w:trHeight w:val="237"/>
        </w:trPr>
        <w:tc>
          <w:tcPr>
            <w:tcW w:w="7820" w:type="dxa"/>
            <w:vAlign w:val="bottom"/>
          </w:tcPr>
          <w:p>
            <w:pPr>
              <w:ind w:left="40"/>
              <w:spacing w:after="0"/>
              <w:rPr>
                <w:sz w:val="20"/>
                <w:szCs w:val="20"/>
                <w:color w:val="auto"/>
              </w:rPr>
            </w:pPr>
            <w:r>
              <w:rPr>
                <w:rFonts w:ascii="Arial" w:cs="Arial" w:eastAsia="Arial" w:hAnsi="Arial"/>
                <w:sz w:val="16"/>
                <w:szCs w:val="16"/>
                <w:color w:val="auto"/>
              </w:rPr>
              <w:t>Risk-free interest rate</w:t>
            </w:r>
          </w:p>
        </w:tc>
        <w:tc>
          <w:tcPr>
            <w:tcW w:w="1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33"/>
        </w:trPr>
        <w:tc>
          <w:tcPr>
            <w:tcW w:w="78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Expected term (years)</w:t>
            </w:r>
          </w:p>
        </w:tc>
        <w:tc>
          <w:tcPr>
            <w:tcW w:w="1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2.1</w:t>
            </w:r>
          </w:p>
        </w:tc>
      </w:tr>
      <w:tr>
        <w:trPr>
          <w:trHeight w:val="297"/>
        </w:trPr>
        <w:tc>
          <w:tcPr>
            <w:tcW w:w="7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37"/>
        </w:trPr>
        <w:tc>
          <w:tcPr>
            <w:tcW w:w="7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Weighted average fair value</w:t>
            </w:r>
          </w:p>
        </w:tc>
        <w:tc>
          <w:tcPr>
            <w:tcW w:w="1140" w:type="dxa"/>
            <w:vAlign w:val="bottom"/>
            <w:shd w:val="clear" w:color="auto" w:fill="CCEEFF"/>
          </w:tcPr>
          <w:p>
            <w:pPr>
              <w:jc w:val="right"/>
              <w:ind w:right="939"/>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60.91</w:t>
            </w: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959"/>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78.56</w:t>
            </w:r>
          </w:p>
        </w:tc>
      </w:tr>
      <w:tr>
        <w:trPr>
          <w:trHeight w:val="33"/>
        </w:trPr>
        <w:tc>
          <w:tcPr>
            <w:tcW w:w="78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Phantom Stock Units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phantom stock unit activity:</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74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20" w:type="dxa"/>
            <w:vAlign w:val="bottom"/>
          </w:tcPr>
          <w:p>
            <w:pPr>
              <w:jc w:val="center"/>
              <w:ind w:right="259"/>
              <w:spacing w:after="0"/>
              <w:rPr>
                <w:sz w:val="20"/>
                <w:szCs w:val="20"/>
                <w:color w:val="auto"/>
              </w:rPr>
            </w:pPr>
            <w:r>
              <w:rPr>
                <w:rFonts w:ascii="Arial" w:cs="Arial" w:eastAsia="Arial" w:hAnsi="Arial"/>
                <w:sz w:val="16"/>
                <w:szCs w:val="16"/>
                <w:b w:val="1"/>
                <w:bCs w:val="1"/>
                <w:color w:val="auto"/>
                <w:w w:val="91"/>
              </w:rPr>
              <w:t>Weighted</w:t>
            </w:r>
          </w:p>
        </w:tc>
      </w:tr>
      <w:tr>
        <w:trPr>
          <w:trHeight w:val="203"/>
        </w:trPr>
        <w:tc>
          <w:tcPr>
            <w:tcW w:w="6740" w:type="dxa"/>
            <w:vAlign w:val="bottom"/>
          </w:tcPr>
          <w:p>
            <w:pPr>
              <w:spacing w:after="0"/>
              <w:rPr>
                <w:sz w:val="17"/>
                <w:szCs w:val="17"/>
                <w:color w:val="auto"/>
              </w:rPr>
            </w:pPr>
          </w:p>
        </w:tc>
        <w:tc>
          <w:tcPr>
            <w:tcW w:w="2300" w:type="dxa"/>
            <w:vAlign w:val="bottom"/>
          </w:tcPr>
          <w:p>
            <w:pPr>
              <w:jc w:val="right"/>
              <w:ind w:right="139"/>
              <w:spacing w:after="0"/>
              <w:rPr>
                <w:sz w:val="20"/>
                <w:szCs w:val="20"/>
                <w:color w:val="auto"/>
              </w:rPr>
            </w:pPr>
            <w:r>
              <w:rPr>
                <w:rFonts w:ascii="Arial" w:cs="Arial" w:eastAsia="Arial" w:hAnsi="Arial"/>
                <w:sz w:val="16"/>
                <w:szCs w:val="16"/>
                <w:b w:val="1"/>
                <w:bCs w:val="1"/>
                <w:color w:val="auto"/>
              </w:rPr>
              <w:t>Number of Phantom Stock</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20" w:type="dxa"/>
            <w:vAlign w:val="bottom"/>
          </w:tcPr>
          <w:p>
            <w:pPr>
              <w:jc w:val="center"/>
              <w:ind w:right="259"/>
              <w:spacing w:after="0"/>
              <w:rPr>
                <w:sz w:val="20"/>
                <w:szCs w:val="20"/>
                <w:color w:val="auto"/>
              </w:rPr>
            </w:pPr>
            <w:r>
              <w:rPr>
                <w:rFonts w:ascii="Arial" w:cs="Arial" w:eastAsia="Arial" w:hAnsi="Arial"/>
                <w:sz w:val="16"/>
                <w:szCs w:val="16"/>
                <w:b w:val="1"/>
                <w:bCs w:val="1"/>
                <w:color w:val="auto"/>
                <w:w w:val="92"/>
              </w:rPr>
              <w:t>Average Grant</w:t>
            </w:r>
          </w:p>
        </w:tc>
      </w:tr>
      <w:tr>
        <w:trPr>
          <w:trHeight w:val="210"/>
        </w:trPr>
        <w:tc>
          <w:tcPr>
            <w:tcW w:w="6740" w:type="dxa"/>
            <w:vAlign w:val="bottom"/>
          </w:tcPr>
          <w:p>
            <w:pPr>
              <w:ind w:left="40"/>
              <w:spacing w:after="0"/>
              <w:rPr>
                <w:sz w:val="20"/>
                <w:szCs w:val="20"/>
                <w:color w:val="auto"/>
              </w:rPr>
            </w:pPr>
            <w:r>
              <w:rPr>
                <w:rFonts w:ascii="Arial" w:cs="Arial" w:eastAsia="Arial" w:hAnsi="Arial"/>
                <w:sz w:val="16"/>
                <w:szCs w:val="16"/>
                <w:i w:val="1"/>
                <w:iCs w:val="1"/>
                <w:color w:val="auto"/>
              </w:rPr>
              <w:t>In thousands</w:t>
            </w:r>
          </w:p>
        </w:tc>
        <w:tc>
          <w:tcPr>
            <w:tcW w:w="2300" w:type="dxa"/>
            <w:vAlign w:val="bottom"/>
          </w:tcPr>
          <w:p>
            <w:pPr>
              <w:jc w:val="right"/>
              <w:ind w:right="879"/>
              <w:spacing w:after="0"/>
              <w:rPr>
                <w:sz w:val="20"/>
                <w:szCs w:val="20"/>
                <w:color w:val="auto"/>
              </w:rPr>
            </w:pPr>
            <w:r>
              <w:rPr>
                <w:rFonts w:ascii="Arial" w:cs="Arial" w:eastAsia="Arial" w:hAnsi="Arial"/>
                <w:sz w:val="16"/>
                <w:szCs w:val="16"/>
                <w:b w:val="1"/>
                <w:bCs w:val="1"/>
                <w:color w:val="auto"/>
              </w:rPr>
              <w:t>Units</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20" w:type="dxa"/>
            <w:vAlign w:val="bottom"/>
          </w:tcPr>
          <w:p>
            <w:pPr>
              <w:jc w:val="center"/>
              <w:ind w:right="279"/>
              <w:spacing w:after="0"/>
              <w:rPr>
                <w:sz w:val="20"/>
                <w:szCs w:val="20"/>
                <w:color w:val="auto"/>
              </w:rPr>
            </w:pPr>
            <w:r>
              <w:rPr>
                <w:rFonts w:ascii="Arial" w:cs="Arial" w:eastAsia="Arial" w:hAnsi="Arial"/>
                <w:sz w:val="16"/>
                <w:szCs w:val="16"/>
                <w:b w:val="1"/>
                <w:bCs w:val="1"/>
                <w:color w:val="auto"/>
                <w:w w:val="93"/>
              </w:rPr>
              <w:t>Date Fair Value</w:t>
            </w:r>
          </w:p>
        </w:tc>
      </w:tr>
      <w:tr>
        <w:trPr>
          <w:trHeight w:val="33"/>
        </w:trPr>
        <w:tc>
          <w:tcPr>
            <w:tcW w:w="674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3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Outstanding, January 1, 2018</w:t>
            </w:r>
          </w:p>
        </w:tc>
        <w:tc>
          <w:tcPr>
            <w:tcW w:w="2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63</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shd w:val="clear" w:color="auto" w:fill="CCEEFF"/>
          </w:tcPr>
          <w:p>
            <w:pPr>
              <w:spacing w:after="0"/>
              <w:rPr>
                <w:sz w:val="20"/>
                <w:szCs w:val="20"/>
                <w:color w:val="auto"/>
              </w:rPr>
            </w:pP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Converted upon acquisition</w:t>
            </w:r>
          </w:p>
        </w:tc>
        <w:tc>
          <w:tcPr>
            <w:tcW w:w="2300" w:type="dxa"/>
            <w:vAlign w:val="bottom"/>
          </w:tcPr>
          <w:p>
            <w:pPr>
              <w:jc w:val="right"/>
              <w:ind w:right="39"/>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Granted</w:t>
            </w:r>
          </w:p>
        </w:tc>
        <w:tc>
          <w:tcPr>
            <w:tcW w:w="2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69.30</w:t>
            </w: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Released</w:t>
            </w:r>
          </w:p>
        </w:tc>
        <w:tc>
          <w:tcPr>
            <w:tcW w:w="2300" w:type="dxa"/>
            <w:vAlign w:val="bottom"/>
          </w:tcPr>
          <w:p>
            <w:pPr>
              <w:jc w:val="right"/>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Forfeited</w:t>
            </w:r>
          </w:p>
        </w:tc>
        <w:tc>
          <w:tcPr>
            <w:tcW w:w="2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spacing w:after="0"/>
              <w:rPr>
                <w:sz w:val="23"/>
                <w:szCs w:val="23"/>
                <w:color w:val="auto"/>
              </w:rPr>
            </w:pPr>
          </w:p>
        </w:tc>
      </w:tr>
      <w:tr>
        <w:trPr>
          <w:trHeight w:val="28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Outstanding, March 31, 2018</w:t>
            </w:r>
          </w:p>
        </w:tc>
        <w:tc>
          <w:tcPr>
            <w:tcW w:w="23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87</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1920" w:type="dxa"/>
            <w:vAlign w:val="bottom"/>
            <w:tcBorders>
              <w:bottom w:val="single" w:sz="8" w:color="CCEEFF"/>
            </w:tcBorders>
          </w:tcPr>
          <w:p>
            <w:pPr>
              <w:spacing w:after="0"/>
              <w:rPr>
                <w:sz w:val="24"/>
                <w:szCs w:val="24"/>
                <w:color w:val="auto"/>
              </w:rPr>
            </w:pPr>
          </w:p>
        </w:tc>
      </w:tr>
      <w:tr>
        <w:trPr>
          <w:trHeight w:val="284"/>
        </w:trPr>
        <w:tc>
          <w:tcPr>
            <w:tcW w:w="6740" w:type="dxa"/>
            <w:vAlign w:val="bottom"/>
            <w:shd w:val="clear" w:color="auto" w:fill="CCEEFF"/>
          </w:tcPr>
          <w:p>
            <w:pPr>
              <w:spacing w:after="0"/>
              <w:rPr>
                <w:sz w:val="24"/>
                <w:szCs w:val="24"/>
                <w:color w:val="auto"/>
              </w:rPr>
            </w:pPr>
          </w:p>
        </w:tc>
        <w:tc>
          <w:tcPr>
            <w:tcW w:w="2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920" w:type="dxa"/>
            <w:vAlign w:val="bottom"/>
            <w:shd w:val="clear" w:color="auto" w:fill="CCEEFF"/>
          </w:tcPr>
          <w:p>
            <w:pPr>
              <w:spacing w:after="0"/>
              <w:rPr>
                <w:sz w:val="24"/>
                <w:szCs w:val="24"/>
                <w:color w:val="auto"/>
              </w:rPr>
            </w:pPr>
          </w:p>
        </w:tc>
      </w:tr>
      <w:tr>
        <w:trPr>
          <w:trHeight w:val="224"/>
        </w:trPr>
        <w:tc>
          <w:tcPr>
            <w:tcW w:w="6740" w:type="dxa"/>
            <w:vAlign w:val="bottom"/>
          </w:tcPr>
          <w:p>
            <w:pPr>
              <w:ind w:left="40"/>
              <w:spacing w:after="0"/>
              <w:rPr>
                <w:sz w:val="20"/>
                <w:szCs w:val="20"/>
                <w:color w:val="auto"/>
              </w:rPr>
            </w:pPr>
            <w:r>
              <w:rPr>
                <w:rFonts w:ascii="Arial" w:cs="Arial" w:eastAsia="Arial" w:hAnsi="Arial"/>
                <w:sz w:val="16"/>
                <w:szCs w:val="16"/>
                <w:color w:val="auto"/>
              </w:rPr>
              <w:t>Expected to vest, March 31, 2018</w:t>
            </w:r>
          </w:p>
        </w:tc>
        <w:tc>
          <w:tcPr>
            <w:tcW w:w="2300" w:type="dxa"/>
            <w:vAlign w:val="bottom"/>
          </w:tcPr>
          <w:p>
            <w:pPr>
              <w:jc w:val="right"/>
              <w:ind w:right="39"/>
              <w:spacing w:after="0"/>
              <w:rPr>
                <w:sz w:val="20"/>
                <w:szCs w:val="20"/>
                <w:color w:val="auto"/>
              </w:rPr>
            </w:pPr>
            <w:r>
              <w:rPr>
                <w:rFonts w:ascii="Arial" w:cs="Arial" w:eastAsia="Arial" w:hAnsi="Arial"/>
                <w:sz w:val="16"/>
                <w:szCs w:val="16"/>
                <w:color w:val="auto"/>
              </w:rPr>
              <w:t>85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73"/>
        </w:trPr>
        <w:tc>
          <w:tcPr>
            <w:tcW w:w="6740" w:type="dxa"/>
            <w:vAlign w:val="bottom"/>
            <w:tcBorders>
              <w:bottom w:val="single" w:sz="8" w:color="CCEEFF"/>
            </w:tcBorders>
          </w:tcPr>
          <w:p>
            <w:pPr>
              <w:spacing w:after="0"/>
              <w:rPr>
                <w:sz w:val="6"/>
                <w:szCs w:val="6"/>
                <w:color w:val="auto"/>
              </w:rPr>
            </w:pPr>
          </w:p>
        </w:tc>
        <w:tc>
          <w:tcPr>
            <w:tcW w:w="23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40" w:type="dxa"/>
            <w:vAlign w:val="bottom"/>
            <w:tcBorders>
              <w:bottom w:val="single" w:sz="8" w:color="CCEEFF"/>
            </w:tcBorders>
          </w:tcPr>
          <w:p>
            <w:pPr>
              <w:spacing w:after="0"/>
              <w:rPr>
                <w:sz w:val="6"/>
                <w:szCs w:val="6"/>
                <w:color w:val="auto"/>
              </w:rPr>
            </w:pPr>
          </w:p>
        </w:tc>
        <w:tc>
          <w:tcPr>
            <w:tcW w:w="1920" w:type="dxa"/>
            <w:vAlign w:val="bottom"/>
            <w:tcBorders>
              <w:bottom w:val="single" w:sz="8" w:color="CCEEFF"/>
            </w:tcBorders>
          </w:tcPr>
          <w:p>
            <w:pPr>
              <w:spacing w:after="0"/>
              <w:rPr>
                <w:sz w:val="6"/>
                <w:szCs w:val="6"/>
                <w:color w:val="auto"/>
              </w:rPr>
            </w:pPr>
          </w:p>
        </w:tc>
      </w:tr>
      <w:tr>
        <w:trPr>
          <w:trHeight w:val="278"/>
        </w:trPr>
        <w:tc>
          <w:tcPr>
            <w:tcW w:w="6740" w:type="dxa"/>
            <w:vAlign w:val="bottom"/>
            <w:shd w:val="clear" w:color="auto" w:fill="CCEEFF"/>
          </w:tcPr>
          <w:p>
            <w:pPr>
              <w:spacing w:after="0"/>
              <w:rPr>
                <w:sz w:val="24"/>
                <w:szCs w:val="24"/>
                <w:color w:val="auto"/>
              </w:rPr>
            </w:pPr>
          </w:p>
        </w:tc>
        <w:tc>
          <w:tcPr>
            <w:tcW w:w="2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920" w:type="dxa"/>
            <w:vAlign w:val="bottom"/>
            <w:shd w:val="clear" w:color="auto" w:fill="CCEEFF"/>
          </w:tcPr>
          <w:p>
            <w:pPr>
              <w:spacing w:after="0"/>
              <w:rPr>
                <w:sz w:val="24"/>
                <w:szCs w:val="24"/>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Outstanding, January 1, 2019</w:t>
            </w:r>
          </w:p>
        </w:tc>
        <w:tc>
          <w:tcPr>
            <w:tcW w:w="2300" w:type="dxa"/>
            <w:vAlign w:val="bottom"/>
          </w:tcPr>
          <w:p>
            <w:pPr>
              <w:jc w:val="right"/>
              <w:ind w:right="39"/>
              <w:spacing w:after="0"/>
              <w:rPr>
                <w:sz w:val="20"/>
                <w:szCs w:val="20"/>
                <w:color w:val="auto"/>
              </w:rPr>
            </w:pPr>
            <w:r>
              <w:rPr>
                <w:rFonts w:ascii="Arial" w:cs="Arial" w:eastAsia="Arial" w:hAnsi="Arial"/>
                <w:sz w:val="16"/>
                <w:szCs w:val="16"/>
                <w:color w:val="auto"/>
              </w:rPr>
              <w:t>83</w:t>
            </w:r>
          </w:p>
        </w:tc>
        <w:tc>
          <w:tcPr>
            <w:tcW w:w="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61.80</w:t>
            </w:r>
          </w:p>
        </w:tc>
      </w:tr>
      <w:tr>
        <w:trPr>
          <w:trHeight w:val="33"/>
        </w:trPr>
        <w:tc>
          <w:tcPr>
            <w:tcW w:w="67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Granted</w:t>
            </w:r>
          </w:p>
        </w:tc>
        <w:tc>
          <w:tcPr>
            <w:tcW w:w="2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49.39</w:t>
            </w:r>
          </w:p>
        </w:tc>
      </w:tr>
      <w:tr>
        <w:trPr>
          <w:trHeight w:val="224"/>
        </w:trPr>
        <w:tc>
          <w:tcPr>
            <w:tcW w:w="6740" w:type="dxa"/>
            <w:vAlign w:val="bottom"/>
          </w:tcPr>
          <w:p>
            <w:pPr>
              <w:ind w:left="380"/>
              <w:spacing w:after="0"/>
              <w:rPr>
                <w:sz w:val="20"/>
                <w:szCs w:val="20"/>
                <w:color w:val="auto"/>
              </w:rPr>
            </w:pPr>
            <w:r>
              <w:rPr>
                <w:rFonts w:ascii="Arial" w:cs="Arial" w:eastAsia="Arial" w:hAnsi="Arial"/>
                <w:sz w:val="16"/>
                <w:szCs w:val="16"/>
                <w:color w:val="auto"/>
              </w:rPr>
              <w:t>Released</w:t>
            </w:r>
          </w:p>
        </w:tc>
        <w:tc>
          <w:tcPr>
            <w:tcW w:w="2300" w:type="dxa"/>
            <w:vAlign w:val="bottom"/>
          </w:tcPr>
          <w:p>
            <w:pPr>
              <w:jc w:val="right"/>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55.99</w:t>
            </w:r>
          </w:p>
        </w:tc>
      </w:tr>
      <w:tr>
        <w:trPr>
          <w:trHeight w:val="47"/>
        </w:trPr>
        <w:tc>
          <w:tcPr>
            <w:tcW w:w="6740" w:type="dxa"/>
            <w:vAlign w:val="bottom"/>
          </w:tcPr>
          <w:p>
            <w:pPr>
              <w:spacing w:after="0"/>
              <w:rPr>
                <w:sz w:val="4"/>
                <w:szCs w:val="4"/>
                <w:color w:val="auto"/>
              </w:rPr>
            </w:pPr>
          </w:p>
        </w:tc>
        <w:tc>
          <w:tcPr>
            <w:tcW w:w="2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920" w:type="dxa"/>
            <w:vAlign w:val="bottom"/>
          </w:tcPr>
          <w:p>
            <w:pPr>
              <w:spacing w:after="0"/>
              <w:rPr>
                <w:sz w:val="4"/>
                <w:szCs w:val="4"/>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Forfeited</w:t>
            </w:r>
          </w:p>
        </w:tc>
        <w:tc>
          <w:tcPr>
            <w:tcW w:w="2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63.88</w:t>
            </w:r>
          </w:p>
        </w:tc>
      </w:tr>
      <w:tr>
        <w:trPr>
          <w:trHeight w:val="217"/>
        </w:trPr>
        <w:tc>
          <w:tcPr>
            <w:tcW w:w="6740" w:type="dxa"/>
            <w:vAlign w:val="bottom"/>
          </w:tcPr>
          <w:p>
            <w:pPr>
              <w:ind w:left="40"/>
              <w:spacing w:after="0"/>
              <w:rPr>
                <w:sz w:val="20"/>
                <w:szCs w:val="20"/>
                <w:color w:val="auto"/>
              </w:rPr>
            </w:pPr>
            <w:r>
              <w:rPr>
                <w:rFonts w:ascii="Arial" w:cs="Arial" w:eastAsia="Arial" w:hAnsi="Arial"/>
                <w:sz w:val="16"/>
                <w:szCs w:val="16"/>
                <w:color w:val="auto"/>
              </w:rPr>
              <w:t>Outstanding, March 31, 2019</w:t>
            </w:r>
          </w:p>
        </w:tc>
        <w:tc>
          <w:tcPr>
            <w:tcW w:w="23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62.56</w:t>
            </w:r>
          </w:p>
        </w:tc>
      </w:tr>
      <w:tr>
        <w:trPr>
          <w:trHeight w:val="73"/>
        </w:trPr>
        <w:tc>
          <w:tcPr>
            <w:tcW w:w="6740" w:type="dxa"/>
            <w:vAlign w:val="bottom"/>
            <w:tcBorders>
              <w:bottom w:val="single" w:sz="8" w:color="CCEEFF"/>
            </w:tcBorders>
          </w:tcPr>
          <w:p>
            <w:pPr>
              <w:spacing w:after="0"/>
              <w:rPr>
                <w:sz w:val="6"/>
                <w:szCs w:val="6"/>
                <w:color w:val="auto"/>
              </w:rPr>
            </w:pPr>
          </w:p>
        </w:tc>
        <w:tc>
          <w:tcPr>
            <w:tcW w:w="23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40" w:type="dxa"/>
            <w:vAlign w:val="bottom"/>
            <w:tcBorders>
              <w:bottom w:val="single" w:sz="8" w:color="CCEEFF"/>
            </w:tcBorders>
          </w:tcPr>
          <w:p>
            <w:pPr>
              <w:spacing w:after="0"/>
              <w:rPr>
                <w:sz w:val="6"/>
                <w:szCs w:val="6"/>
                <w:color w:val="auto"/>
              </w:rPr>
            </w:pPr>
          </w:p>
        </w:tc>
        <w:tc>
          <w:tcPr>
            <w:tcW w:w="1920" w:type="dxa"/>
            <w:vAlign w:val="bottom"/>
            <w:tcBorders>
              <w:bottom w:val="single" w:sz="8" w:color="CCEEFF"/>
            </w:tcBorders>
          </w:tcPr>
          <w:p>
            <w:pPr>
              <w:spacing w:after="0"/>
              <w:rPr>
                <w:sz w:val="6"/>
                <w:szCs w:val="6"/>
                <w:color w:val="auto"/>
              </w:rPr>
            </w:pPr>
          </w:p>
        </w:tc>
      </w:tr>
      <w:tr>
        <w:trPr>
          <w:trHeight w:val="278"/>
        </w:trPr>
        <w:tc>
          <w:tcPr>
            <w:tcW w:w="6740" w:type="dxa"/>
            <w:vAlign w:val="bottom"/>
            <w:shd w:val="clear" w:color="auto" w:fill="CCEEFF"/>
          </w:tcPr>
          <w:p>
            <w:pPr>
              <w:spacing w:after="0"/>
              <w:rPr>
                <w:sz w:val="24"/>
                <w:szCs w:val="24"/>
                <w:color w:val="auto"/>
              </w:rPr>
            </w:pPr>
          </w:p>
        </w:tc>
        <w:tc>
          <w:tcPr>
            <w:tcW w:w="2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920" w:type="dxa"/>
            <w:vAlign w:val="bottom"/>
            <w:shd w:val="clear" w:color="auto" w:fill="CCEEFF"/>
          </w:tcPr>
          <w:p>
            <w:pPr>
              <w:spacing w:after="0"/>
              <w:rPr>
                <w:sz w:val="24"/>
                <w:szCs w:val="24"/>
                <w:color w:val="auto"/>
              </w:rPr>
            </w:pPr>
          </w:p>
        </w:tc>
      </w:tr>
      <w:tr>
        <w:trPr>
          <w:trHeight w:val="250"/>
        </w:trPr>
        <w:tc>
          <w:tcPr>
            <w:tcW w:w="6740" w:type="dxa"/>
            <w:vAlign w:val="bottom"/>
          </w:tcPr>
          <w:p>
            <w:pPr>
              <w:ind w:left="40"/>
              <w:spacing w:after="0"/>
              <w:rPr>
                <w:sz w:val="20"/>
                <w:szCs w:val="20"/>
                <w:color w:val="auto"/>
              </w:rPr>
            </w:pPr>
            <w:r>
              <w:rPr>
                <w:rFonts w:ascii="Arial" w:cs="Arial" w:eastAsia="Arial" w:hAnsi="Arial"/>
                <w:sz w:val="16"/>
                <w:szCs w:val="16"/>
                <w:color w:val="auto"/>
              </w:rPr>
              <w:t>Expected to vest, March 31, 2019</w:t>
            </w:r>
          </w:p>
        </w:tc>
        <w:tc>
          <w:tcPr>
            <w:tcW w:w="2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920" w:type="dxa"/>
            <w:vAlign w:val="bottom"/>
          </w:tcPr>
          <w:p>
            <w:pPr>
              <w:spacing w:after="0"/>
              <w:rPr>
                <w:sz w:val="21"/>
                <w:szCs w:val="21"/>
                <w:color w:val="auto"/>
              </w:rPr>
            </w:pPr>
          </w:p>
        </w:tc>
      </w:tr>
      <w:tr>
        <w:trPr>
          <w:trHeight w:val="20"/>
        </w:trPr>
        <w:tc>
          <w:tcPr>
            <w:tcW w:w="6740" w:type="dxa"/>
            <w:vAlign w:val="bottom"/>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March 31, 2019, total unrecognized compensation expense on phantom stock units was $2.5 million, which is expected to be recognized over a weighted average period of approximately 2.1 years. As of both March 31, 2019 and December 31, 2018, we have recognized a phantom stock liability of $0.3 million and $1.5 million, respectively, within wages and benefits payable in the Consolidated Balance Sheets.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Income Taxes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determine the interim tax benefit (provision) by applying an estimate of the annual effective tax rate to the year-to-date pretax book income (loss) and adjusting for discrete items during the reporting period, if any. Tax jurisdictions with losses for which tax benefits cannot be realized are excluded.</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tax rate for the three months ended March 31, 2019 of 102% differed from the federal statutory rate of 21% due primarily to unbenefitted losses experienced in jurisdictions with valuation allowances on deferred tax assets as well as the forecasted mix of earnings in domestic and international jurisdictions.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tax rate for the three months ended March 31, 2018 of 7% differed from the federal statutory rate of 21% due primarily to unbenefitted losses experienced in jurisdictions with valuation allowances on deferred tax assets as well as the forecasted mix of earnings in domestic and international jurisdictions, a benefit related to excess stock-based compensation, and uncertain tax positions.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classify interest expense and penalties related to unrecognized tax liabilities and interest income on tax overpayments as components of income tax expense. The net interest and penalties expense recognized were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3020" w:type="dxa"/>
            <w:vAlign w:val="bottom"/>
            <w:gridSpan w:val="4"/>
          </w:tcPr>
          <w:p>
            <w:pPr>
              <w:jc w:val="right"/>
              <w:ind w:right="59"/>
              <w:spacing w:after="0"/>
              <w:rPr>
                <w:sz w:val="20"/>
                <w:szCs w:val="20"/>
                <w:color w:val="auto"/>
              </w:rPr>
            </w:pPr>
            <w:r>
              <w:rPr>
                <w:rFonts w:ascii="Arial" w:cs="Arial" w:eastAsia="Arial" w:hAnsi="Arial"/>
                <w:sz w:val="16"/>
                <w:szCs w:val="16"/>
                <w:b w:val="1"/>
                <w:bCs w:val="1"/>
                <w:color w:val="auto"/>
              </w:rPr>
              <w:t>Three Months Ended March 31,</w:t>
            </w:r>
          </w:p>
        </w:tc>
        <w:tc>
          <w:tcPr>
            <w:tcW w:w="500" w:type="dxa"/>
            <w:vAlign w:val="bottom"/>
          </w:tcPr>
          <w:p>
            <w:pPr>
              <w:spacing w:after="0"/>
              <w:rPr>
                <w:sz w:val="18"/>
                <w:szCs w:val="18"/>
                <w:color w:val="auto"/>
              </w:rPr>
            </w:pPr>
          </w:p>
        </w:tc>
      </w:tr>
      <w:tr>
        <w:trPr>
          <w:trHeight w:val="33"/>
        </w:trPr>
        <w:tc>
          <w:tcPr>
            <w:tcW w:w="79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31"/>
        </w:trPr>
        <w:tc>
          <w:tcPr>
            <w:tcW w:w="7900" w:type="dxa"/>
            <w:vAlign w:val="bottom"/>
          </w:tcPr>
          <w:p>
            <w:pPr>
              <w:ind w:left="40"/>
              <w:spacing w:after="0"/>
              <w:rPr>
                <w:sz w:val="20"/>
                <w:szCs w:val="20"/>
                <w:color w:val="auto"/>
              </w:rPr>
            </w:pPr>
            <w:r>
              <w:rPr>
                <w:rFonts w:ascii="Arial" w:cs="Arial" w:eastAsia="Arial" w:hAnsi="Arial"/>
                <w:sz w:val="16"/>
                <w:szCs w:val="16"/>
                <w:i w:val="1"/>
                <w:iCs w:val="1"/>
                <w:color w:val="auto"/>
              </w:rPr>
              <w:t>In thousands</w:t>
            </w:r>
          </w:p>
        </w:tc>
        <w:tc>
          <w:tcPr>
            <w:tcW w:w="1200" w:type="dxa"/>
            <w:vAlign w:val="bottom"/>
          </w:tcPr>
          <w:p>
            <w:pPr>
              <w:jc w:val="right"/>
              <w:ind w:right="99"/>
              <w:spacing w:after="0"/>
              <w:rPr>
                <w:sz w:val="20"/>
                <w:szCs w:val="20"/>
                <w:color w:val="auto"/>
              </w:rPr>
            </w:pPr>
            <w:r>
              <w:rPr>
                <w:rFonts w:ascii="Arial" w:cs="Arial" w:eastAsia="Arial" w:hAnsi="Arial"/>
                <w:sz w:val="16"/>
                <w:szCs w:val="16"/>
                <w:b w:val="1"/>
                <w:bCs w:val="1"/>
                <w:color w:val="auto"/>
              </w:rPr>
              <w:t>2019</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ind w:right="99"/>
              <w:spacing w:after="0"/>
              <w:rPr>
                <w:sz w:val="20"/>
                <w:szCs w:val="20"/>
                <w:color w:val="auto"/>
              </w:rPr>
            </w:pPr>
            <w:r>
              <w:rPr>
                <w:rFonts w:ascii="Arial" w:cs="Arial" w:eastAsia="Arial" w:hAnsi="Arial"/>
                <w:sz w:val="16"/>
                <w:szCs w:val="16"/>
                <w:b w:val="1"/>
                <w:bCs w:val="1"/>
                <w:color w:val="auto"/>
              </w:rPr>
              <w:t>2018</w:t>
            </w:r>
          </w:p>
        </w:tc>
        <w:tc>
          <w:tcPr>
            <w:tcW w:w="500" w:type="dxa"/>
            <w:vAlign w:val="bottom"/>
          </w:tcPr>
          <w:p>
            <w:pPr>
              <w:spacing w:after="0"/>
              <w:rPr>
                <w:sz w:val="20"/>
                <w:szCs w:val="20"/>
                <w:color w:val="auto"/>
              </w:rPr>
            </w:pPr>
          </w:p>
        </w:tc>
      </w:tr>
      <w:tr>
        <w:trPr>
          <w:trHeight w:val="33"/>
        </w:trPr>
        <w:tc>
          <w:tcPr>
            <w:tcW w:w="79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17"/>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interest and penalties expense</w:t>
            </w:r>
          </w:p>
        </w:tc>
        <w:tc>
          <w:tcPr>
            <w:tcW w:w="1200" w:type="dxa"/>
            <w:vAlign w:val="bottom"/>
            <w:shd w:val="clear" w:color="auto" w:fill="CCEEFF"/>
          </w:tcPr>
          <w:p>
            <w:pPr>
              <w:jc w:val="right"/>
              <w:ind w:right="1019"/>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301</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999"/>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424</w:t>
            </w:r>
          </w:p>
        </w:tc>
      </w:tr>
      <w:tr>
        <w:trPr>
          <w:trHeight w:val="33"/>
        </w:trPr>
        <w:tc>
          <w:tcPr>
            <w:tcW w:w="79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Accrued interest and penalties recognized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980" w:type="dxa"/>
            <w:vAlign w:val="bottom"/>
          </w:tcPr>
          <w:p>
            <w:pPr>
              <w:ind w:left="40"/>
              <w:spacing w:after="0"/>
              <w:rPr>
                <w:sz w:val="20"/>
                <w:szCs w:val="20"/>
                <w:color w:val="auto"/>
              </w:rPr>
            </w:pPr>
            <w:r>
              <w:rPr>
                <w:rFonts w:ascii="Arial" w:cs="Arial" w:eastAsia="Arial" w:hAnsi="Arial"/>
                <w:sz w:val="16"/>
                <w:szCs w:val="16"/>
                <w:i w:val="1"/>
                <w:iCs w:val="1"/>
                <w:color w:val="auto"/>
              </w:rPr>
              <w:t>In thousands</w:t>
            </w:r>
          </w:p>
        </w:tc>
        <w:tc>
          <w:tcPr>
            <w:tcW w:w="3120" w:type="dxa"/>
            <w:vAlign w:val="bottom"/>
          </w:tcPr>
          <w:p>
            <w:pPr>
              <w:spacing w:after="0"/>
              <w:rPr>
                <w:sz w:val="18"/>
                <w:szCs w:val="18"/>
                <w:color w:val="auto"/>
              </w:rPr>
            </w:pPr>
          </w:p>
        </w:tc>
        <w:tc>
          <w:tcPr>
            <w:tcW w:w="2060" w:type="dxa"/>
            <w:vAlign w:val="bottom"/>
            <w:gridSpan w:val="2"/>
          </w:tcPr>
          <w:p>
            <w:pPr>
              <w:ind w:left="260"/>
              <w:spacing w:after="0"/>
              <w:rPr>
                <w:sz w:val="20"/>
                <w:szCs w:val="20"/>
                <w:color w:val="auto"/>
              </w:rPr>
            </w:pPr>
            <w:r>
              <w:rPr>
                <w:rFonts w:ascii="Arial" w:cs="Arial" w:eastAsia="Arial" w:hAnsi="Arial"/>
                <w:sz w:val="16"/>
                <w:szCs w:val="16"/>
                <w:b w:val="1"/>
                <w:bCs w:val="1"/>
                <w:color w:val="auto"/>
              </w:rPr>
              <w:t>March 31, 2019</w:t>
            </w:r>
          </w:p>
        </w:tc>
        <w:tc>
          <w:tcPr>
            <w:tcW w:w="280" w:type="dxa"/>
            <w:vAlign w:val="bottom"/>
          </w:tcPr>
          <w:p>
            <w:pPr>
              <w:spacing w:after="0"/>
              <w:rPr>
                <w:sz w:val="18"/>
                <w:szCs w:val="18"/>
                <w:color w:val="auto"/>
              </w:rPr>
            </w:pPr>
          </w:p>
        </w:tc>
        <w:tc>
          <w:tcPr>
            <w:tcW w:w="1980" w:type="dxa"/>
            <w:vAlign w:val="bottom"/>
          </w:tcPr>
          <w:p>
            <w:pPr>
              <w:jc w:val="right"/>
              <w:ind w:right="399"/>
              <w:spacing w:after="0"/>
              <w:rPr>
                <w:sz w:val="20"/>
                <w:szCs w:val="20"/>
                <w:color w:val="auto"/>
              </w:rPr>
            </w:pPr>
            <w:r>
              <w:rPr>
                <w:rFonts w:ascii="Arial" w:cs="Arial" w:eastAsia="Arial" w:hAnsi="Arial"/>
                <w:sz w:val="16"/>
                <w:szCs w:val="16"/>
                <w:b w:val="1"/>
                <w:bCs w:val="1"/>
                <w:color w:val="auto"/>
              </w:rPr>
              <w:t>December 31, 2018</w:t>
            </w:r>
          </w:p>
        </w:tc>
      </w:tr>
      <w:tr>
        <w:trPr>
          <w:trHeight w:val="33"/>
        </w:trPr>
        <w:tc>
          <w:tcPr>
            <w:tcW w:w="398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30"/>
        </w:trPr>
        <w:tc>
          <w:tcPr>
            <w:tcW w:w="3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Accrued interest</w:t>
            </w:r>
          </w:p>
        </w:tc>
        <w:tc>
          <w:tcPr>
            <w:tcW w:w="312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2,516</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2,127</w:t>
            </w:r>
          </w:p>
        </w:tc>
      </w:tr>
      <w:tr>
        <w:trPr>
          <w:trHeight w:val="237"/>
        </w:trPr>
        <w:tc>
          <w:tcPr>
            <w:tcW w:w="3980" w:type="dxa"/>
            <w:vAlign w:val="bottom"/>
          </w:tcPr>
          <w:p>
            <w:pPr>
              <w:ind w:left="40"/>
              <w:spacing w:after="0"/>
              <w:rPr>
                <w:sz w:val="20"/>
                <w:szCs w:val="20"/>
                <w:color w:val="auto"/>
              </w:rPr>
            </w:pPr>
            <w:r>
              <w:rPr>
                <w:rFonts w:ascii="Arial" w:cs="Arial" w:eastAsia="Arial" w:hAnsi="Arial"/>
                <w:sz w:val="16"/>
                <w:szCs w:val="16"/>
                <w:color w:val="auto"/>
              </w:rPr>
              <w:t>Accrued penalties</w:t>
            </w:r>
          </w:p>
        </w:tc>
        <w:tc>
          <w:tcPr>
            <w:tcW w:w="3120" w:type="dxa"/>
            <w:vAlign w:val="bottom"/>
          </w:tcPr>
          <w:p>
            <w:pPr>
              <w:spacing w:after="0"/>
              <w:rPr>
                <w:sz w:val="20"/>
                <w:szCs w:val="20"/>
                <w:color w:val="auto"/>
              </w:rPr>
            </w:pPr>
          </w:p>
        </w:tc>
        <w:tc>
          <w:tcPr>
            <w:tcW w:w="1940" w:type="dxa"/>
            <w:vAlign w:val="bottom"/>
          </w:tcPr>
          <w:p>
            <w:pPr>
              <w:jc w:val="right"/>
              <w:ind w:right="19"/>
              <w:spacing w:after="0"/>
              <w:rPr>
                <w:sz w:val="20"/>
                <w:szCs w:val="20"/>
                <w:color w:val="auto"/>
              </w:rPr>
            </w:pPr>
            <w:r>
              <w:rPr>
                <w:rFonts w:ascii="Arial" w:cs="Arial" w:eastAsia="Arial" w:hAnsi="Arial"/>
                <w:sz w:val="16"/>
                <w:szCs w:val="16"/>
                <w:color w:val="auto"/>
              </w:rPr>
              <w:t>1,653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80" w:type="dxa"/>
            <w:vAlign w:val="bottom"/>
          </w:tcPr>
          <w:p>
            <w:pPr>
              <w:jc w:val="right"/>
              <w:ind w:right="19"/>
              <w:spacing w:after="0"/>
              <w:rPr>
                <w:sz w:val="20"/>
                <w:szCs w:val="20"/>
                <w:color w:val="auto"/>
              </w:rPr>
            </w:pPr>
            <w:r>
              <w:rPr>
                <w:rFonts w:ascii="Arial" w:cs="Arial" w:eastAsia="Arial" w:hAnsi="Arial"/>
                <w:sz w:val="16"/>
                <w:szCs w:val="16"/>
                <w:color w:val="auto"/>
              </w:rPr>
              <w:t>1,758</w:t>
            </w: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25" w:right="23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Unrecognized tax benefits related to uncertain tax positions and the amount of unrecognized tax benefits that, if recognized, would affect our effective tax rate were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80" w:type="dxa"/>
            <w:vAlign w:val="bottom"/>
          </w:tcPr>
          <w:p>
            <w:pPr>
              <w:ind w:left="40"/>
              <w:spacing w:after="0"/>
              <w:rPr>
                <w:sz w:val="20"/>
                <w:szCs w:val="20"/>
                <w:color w:val="auto"/>
              </w:rPr>
            </w:pPr>
            <w:r>
              <w:rPr>
                <w:rFonts w:ascii="Arial" w:cs="Arial" w:eastAsia="Arial" w:hAnsi="Arial"/>
                <w:sz w:val="16"/>
                <w:szCs w:val="16"/>
                <w:i w:val="1"/>
                <w:iCs w:val="1"/>
                <w:color w:val="auto"/>
              </w:rPr>
              <w:t>In thousands</w:t>
            </w:r>
          </w:p>
        </w:tc>
        <w:tc>
          <w:tcPr>
            <w:tcW w:w="620" w:type="dxa"/>
            <w:vAlign w:val="bottom"/>
          </w:tcPr>
          <w:p>
            <w:pPr>
              <w:spacing w:after="0"/>
              <w:rPr>
                <w:sz w:val="18"/>
                <w:szCs w:val="18"/>
                <w:color w:val="auto"/>
              </w:rPr>
            </w:pPr>
          </w:p>
        </w:tc>
        <w:tc>
          <w:tcPr>
            <w:tcW w:w="2060" w:type="dxa"/>
            <w:vAlign w:val="bottom"/>
            <w:gridSpan w:val="2"/>
          </w:tcPr>
          <w:p>
            <w:pPr>
              <w:ind w:left="260"/>
              <w:spacing w:after="0"/>
              <w:rPr>
                <w:sz w:val="20"/>
                <w:szCs w:val="20"/>
                <w:color w:val="auto"/>
              </w:rPr>
            </w:pPr>
            <w:r>
              <w:rPr>
                <w:rFonts w:ascii="Arial" w:cs="Arial" w:eastAsia="Arial" w:hAnsi="Arial"/>
                <w:sz w:val="16"/>
                <w:szCs w:val="16"/>
                <w:b w:val="1"/>
                <w:bCs w:val="1"/>
                <w:color w:val="auto"/>
              </w:rPr>
              <w:t>March 31, 2019</w:t>
            </w:r>
          </w:p>
        </w:tc>
        <w:tc>
          <w:tcPr>
            <w:tcW w:w="280" w:type="dxa"/>
            <w:vAlign w:val="bottom"/>
          </w:tcPr>
          <w:p>
            <w:pPr>
              <w:spacing w:after="0"/>
              <w:rPr>
                <w:sz w:val="18"/>
                <w:szCs w:val="18"/>
                <w:color w:val="auto"/>
              </w:rPr>
            </w:pPr>
          </w:p>
        </w:tc>
        <w:tc>
          <w:tcPr>
            <w:tcW w:w="1980" w:type="dxa"/>
            <w:vAlign w:val="bottom"/>
          </w:tcPr>
          <w:p>
            <w:pPr>
              <w:jc w:val="right"/>
              <w:ind w:right="399"/>
              <w:spacing w:after="0"/>
              <w:rPr>
                <w:sz w:val="20"/>
                <w:szCs w:val="20"/>
                <w:color w:val="auto"/>
              </w:rPr>
            </w:pPr>
            <w:r>
              <w:rPr>
                <w:rFonts w:ascii="Arial" w:cs="Arial" w:eastAsia="Arial" w:hAnsi="Arial"/>
                <w:sz w:val="16"/>
                <w:szCs w:val="16"/>
                <w:b w:val="1"/>
                <w:bCs w:val="1"/>
                <w:color w:val="auto"/>
              </w:rPr>
              <w:t>December 31, 2018</w:t>
            </w:r>
          </w:p>
        </w:tc>
      </w:tr>
      <w:tr>
        <w:trPr>
          <w:trHeight w:val="33"/>
        </w:trPr>
        <w:tc>
          <w:tcPr>
            <w:tcW w:w="64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30"/>
        </w:trPr>
        <w:tc>
          <w:tcPr>
            <w:tcW w:w="6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Unrecognized tax benefits related to uncertain tax positions</w:t>
            </w:r>
          </w:p>
        </w:tc>
        <w:tc>
          <w:tcPr>
            <w:tcW w:w="62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113,543</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112,558</w:t>
            </w:r>
          </w:p>
        </w:tc>
      </w:tr>
      <w:tr>
        <w:trPr>
          <w:trHeight w:val="237"/>
        </w:trPr>
        <w:tc>
          <w:tcPr>
            <w:tcW w:w="6480" w:type="dxa"/>
            <w:vAlign w:val="bottom"/>
          </w:tcPr>
          <w:p>
            <w:pPr>
              <w:ind w:left="40"/>
              <w:spacing w:after="0"/>
              <w:rPr>
                <w:sz w:val="20"/>
                <w:szCs w:val="20"/>
                <w:color w:val="auto"/>
              </w:rPr>
            </w:pPr>
            <w:r>
              <w:rPr>
                <w:rFonts w:ascii="Arial" w:cs="Arial" w:eastAsia="Arial" w:hAnsi="Arial"/>
                <w:sz w:val="16"/>
                <w:szCs w:val="16"/>
                <w:color w:val="auto"/>
                <w:w w:val="96"/>
              </w:rPr>
              <w:t>The amount of unrecognized tax benefits that, if recognized, would affect our effective tax rate</w:t>
            </w:r>
          </w:p>
        </w:tc>
        <w:tc>
          <w:tcPr>
            <w:tcW w:w="620" w:type="dxa"/>
            <w:vAlign w:val="bottom"/>
          </w:tcPr>
          <w:p>
            <w:pPr>
              <w:spacing w:after="0"/>
              <w:rPr>
                <w:sz w:val="20"/>
                <w:szCs w:val="20"/>
                <w:color w:val="auto"/>
              </w:rPr>
            </w:pPr>
          </w:p>
        </w:tc>
        <w:tc>
          <w:tcPr>
            <w:tcW w:w="1940" w:type="dxa"/>
            <w:vAlign w:val="bottom"/>
          </w:tcPr>
          <w:p>
            <w:pPr>
              <w:jc w:val="right"/>
              <w:ind w:right="19"/>
              <w:spacing w:after="0"/>
              <w:rPr>
                <w:sz w:val="20"/>
                <w:szCs w:val="20"/>
                <w:color w:val="auto"/>
              </w:rPr>
            </w:pPr>
            <w:r>
              <w:rPr>
                <w:rFonts w:ascii="Arial" w:cs="Arial" w:eastAsia="Arial" w:hAnsi="Arial"/>
                <w:sz w:val="16"/>
                <w:szCs w:val="16"/>
                <w:color w:val="auto"/>
              </w:rPr>
              <w:t>112,228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80" w:type="dxa"/>
            <w:vAlign w:val="bottom"/>
          </w:tcPr>
          <w:p>
            <w:pPr>
              <w:jc w:val="right"/>
              <w:ind w:right="19"/>
              <w:spacing w:after="0"/>
              <w:rPr>
                <w:sz w:val="20"/>
                <w:szCs w:val="20"/>
                <w:color w:val="auto"/>
              </w:rPr>
            </w:pPr>
            <w:r>
              <w:rPr>
                <w:rFonts w:ascii="Arial" w:cs="Arial" w:eastAsia="Arial" w:hAnsi="Arial"/>
                <w:sz w:val="16"/>
                <w:szCs w:val="16"/>
                <w:color w:val="auto"/>
              </w:rPr>
              <w:t>111,224</w:t>
            </w:r>
          </w:p>
        </w:tc>
      </w:tr>
    </w:tbl>
    <w:p>
      <w:pPr>
        <w:spacing w:after="0" w:line="23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March 31, 2019, we are under examination by certain tax authorities for the 2010 to 2017 tax years. The material jurisdictions where we are subject to examination for the 2010 to 2017 tax years include, among others, the United States, France, Germany, Italy, Brazil and the United Kingdom. No material changes have occurred to previously disclosed assessments. We believe we have appropriately accrued for the expected outcome of all tax matters and do not currently anticipate that the ultimate resolution of these examinations will have a material adverse effect on our financial condition, future results of operations, or liquidity.</w:t>
      </w:r>
    </w:p>
    <w:p>
      <w:pPr>
        <w:spacing w:after="0" w:line="18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Based upon the timing and outcome of examinations, litigation, the impact of legislative, regulatory, and judicial developments, and the impact of these items on the statute of limitations, it is reasonably possible that the related unrecognized tax benefits could change from those recognized within the next twelve months. However, at this time, an estimate of the range of reasonably possible adjustments to the balance of unrecognized tax benefits cannot be made.</w:t>
      </w:r>
    </w:p>
    <w:p>
      <w:pPr>
        <w:spacing w:after="0" w:line="35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6"/>
          <w:szCs w:val="16"/>
          <w:b w:val="1"/>
          <w:bCs w:val="1"/>
          <w:color w:val="auto"/>
        </w:rPr>
        <w:t>Commitments and Contingencies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Guarantees and Indemnifications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often required to obtain standby letters of credit (LOCs) or bonds in support of our obligations for customer contracts. These standby LOCs or bonds typically provide a guarantee to the customer for future performance, which usually covers the installation phase of a contract and may, on occasion, cover the operations and maintenance phase of outsourcing contracts.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Our available lines of credit, outstanding standby LOCs, and performance bonds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ind w:left="40"/>
              <w:spacing w:after="0"/>
              <w:rPr>
                <w:sz w:val="20"/>
                <w:szCs w:val="20"/>
                <w:color w:val="auto"/>
              </w:rPr>
            </w:pPr>
            <w:r>
              <w:rPr>
                <w:rFonts w:ascii="Arial" w:cs="Arial" w:eastAsia="Arial" w:hAnsi="Arial"/>
                <w:sz w:val="16"/>
                <w:szCs w:val="16"/>
                <w:i w:val="1"/>
                <w:iCs w:val="1"/>
                <w:color w:val="auto"/>
              </w:rPr>
              <w:t>In thousands</w:t>
            </w:r>
          </w:p>
        </w:tc>
        <w:tc>
          <w:tcPr>
            <w:tcW w:w="360" w:type="dxa"/>
            <w:vAlign w:val="bottom"/>
          </w:tcPr>
          <w:p>
            <w:pPr>
              <w:spacing w:after="0"/>
              <w:rPr>
                <w:sz w:val="18"/>
                <w:szCs w:val="18"/>
                <w:color w:val="auto"/>
              </w:rPr>
            </w:pPr>
          </w:p>
        </w:tc>
        <w:tc>
          <w:tcPr>
            <w:tcW w:w="2060" w:type="dxa"/>
            <w:vAlign w:val="bottom"/>
            <w:gridSpan w:val="2"/>
          </w:tcPr>
          <w:p>
            <w:pPr>
              <w:ind w:left="260"/>
              <w:spacing w:after="0"/>
              <w:rPr>
                <w:sz w:val="20"/>
                <w:szCs w:val="20"/>
                <w:color w:val="auto"/>
              </w:rPr>
            </w:pPr>
            <w:r>
              <w:rPr>
                <w:rFonts w:ascii="Arial" w:cs="Arial" w:eastAsia="Arial" w:hAnsi="Arial"/>
                <w:sz w:val="16"/>
                <w:szCs w:val="16"/>
                <w:b w:val="1"/>
                <w:bCs w:val="1"/>
                <w:color w:val="auto"/>
              </w:rPr>
              <w:t>March 31, 2019</w:t>
            </w:r>
          </w:p>
        </w:tc>
        <w:tc>
          <w:tcPr>
            <w:tcW w:w="280" w:type="dxa"/>
            <w:vAlign w:val="bottom"/>
          </w:tcPr>
          <w:p>
            <w:pPr>
              <w:spacing w:after="0"/>
              <w:rPr>
                <w:sz w:val="18"/>
                <w:szCs w:val="18"/>
                <w:color w:val="auto"/>
              </w:rPr>
            </w:pPr>
          </w:p>
        </w:tc>
        <w:tc>
          <w:tcPr>
            <w:tcW w:w="1980" w:type="dxa"/>
            <w:vAlign w:val="bottom"/>
          </w:tcPr>
          <w:p>
            <w:pPr>
              <w:jc w:val="right"/>
              <w:ind w:right="399"/>
              <w:spacing w:after="0"/>
              <w:rPr>
                <w:sz w:val="20"/>
                <w:szCs w:val="20"/>
                <w:color w:val="auto"/>
              </w:rPr>
            </w:pPr>
            <w:r>
              <w:rPr>
                <w:rFonts w:ascii="Arial" w:cs="Arial" w:eastAsia="Arial" w:hAnsi="Arial"/>
                <w:sz w:val="16"/>
                <w:szCs w:val="16"/>
                <w:b w:val="1"/>
                <w:bCs w:val="1"/>
                <w:color w:val="auto"/>
              </w:rPr>
              <w:t>December 31, 2018</w:t>
            </w:r>
          </w:p>
        </w:tc>
      </w:tr>
      <w:tr>
        <w:trPr>
          <w:trHeight w:val="33"/>
        </w:trPr>
        <w:tc>
          <w:tcPr>
            <w:tcW w:w="6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ind w:left="40"/>
              <w:spacing w:after="0"/>
              <w:rPr>
                <w:sz w:val="20"/>
                <w:szCs w:val="20"/>
                <w:color w:val="auto"/>
              </w:rPr>
            </w:pPr>
            <w:r>
              <w:rPr>
                <w:rFonts w:ascii="Arial" w:cs="Arial" w:eastAsia="Arial" w:hAnsi="Arial"/>
                <w:sz w:val="16"/>
                <w:szCs w:val="16"/>
                <w:color w:val="auto"/>
              </w:rPr>
              <w:t>Credit facilities</w:t>
            </w:r>
          </w:p>
        </w:tc>
        <w:tc>
          <w:tcPr>
            <w:tcW w:w="3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Multicurrency revolving line of credit</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500,000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500,000</w:t>
            </w: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Long-term borrowings</w:t>
            </w:r>
          </w:p>
        </w:tc>
        <w:tc>
          <w:tcPr>
            <w:tcW w:w="360" w:type="dxa"/>
            <w:vAlign w:val="bottom"/>
          </w:tcPr>
          <w:p>
            <w:pPr>
              <w:spacing w:after="0"/>
              <w:rPr>
                <w:sz w:val="20"/>
                <w:szCs w:val="20"/>
                <w:color w:val="auto"/>
              </w:rPr>
            </w:pPr>
          </w:p>
        </w:tc>
        <w:tc>
          <w:tcPr>
            <w:tcW w:w="2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9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Standby LOCs issued and outstanding</w:t>
            </w:r>
          </w:p>
        </w:tc>
        <w:tc>
          <w:tcPr>
            <w:tcW w:w="36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(40,748)</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(40,983)</w:t>
            </w:r>
          </w:p>
        </w:tc>
      </w:tr>
      <w:tr>
        <w:trPr>
          <w:trHeight w:val="217"/>
        </w:trPr>
        <w:tc>
          <w:tcPr>
            <w:tcW w:w="6740" w:type="dxa"/>
            <w:vAlign w:val="bottom"/>
          </w:tcPr>
          <w:p>
            <w:pPr>
              <w:ind w:left="720"/>
              <w:spacing w:after="0"/>
              <w:rPr>
                <w:sz w:val="20"/>
                <w:szCs w:val="20"/>
                <w:color w:val="auto"/>
              </w:rPr>
            </w:pPr>
            <w:r>
              <w:rPr>
                <w:rFonts w:ascii="Arial" w:cs="Arial" w:eastAsia="Arial" w:hAnsi="Arial"/>
                <w:sz w:val="16"/>
                <w:szCs w:val="16"/>
                <w:color w:val="auto"/>
                <w:w w:val="98"/>
              </w:rPr>
              <w:t>Net available for additional borrowings under the multi-currency revolving line of credit</w:t>
            </w: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459,252</w:t>
            </w:r>
          </w:p>
        </w:tc>
        <w:tc>
          <w:tcPr>
            <w:tcW w:w="120" w:type="dxa"/>
            <w:vAlign w:val="bottom"/>
          </w:tcPr>
          <w:p>
            <w:pPr>
              <w:spacing w:after="0"/>
              <w:rPr>
                <w:sz w:val="18"/>
                <w:szCs w:val="18"/>
                <w:color w:val="auto"/>
              </w:rPr>
            </w:pP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459,017</w:t>
            </w:r>
          </w:p>
        </w:tc>
      </w:tr>
      <w:tr>
        <w:trPr>
          <w:trHeight w:val="73"/>
        </w:trPr>
        <w:tc>
          <w:tcPr>
            <w:tcW w:w="674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9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980" w:type="dxa"/>
            <w:vAlign w:val="bottom"/>
            <w:tcBorders>
              <w:bottom w:val="single" w:sz="8" w:color="auto"/>
            </w:tcBorders>
          </w:tcPr>
          <w:p>
            <w:pPr>
              <w:spacing w:after="0"/>
              <w:rPr>
                <w:sz w:val="6"/>
                <w:szCs w:val="6"/>
                <w:color w:val="auto"/>
              </w:rPr>
            </w:pPr>
          </w:p>
        </w:tc>
      </w:tr>
      <w:tr>
        <w:trPr>
          <w:trHeight w:val="278"/>
        </w:trPr>
        <w:tc>
          <w:tcPr>
            <w:tcW w:w="67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980" w:type="dxa"/>
            <w:vAlign w:val="bottom"/>
            <w:shd w:val="clear" w:color="auto" w:fill="CCEEFF"/>
          </w:tcPr>
          <w:p>
            <w:pPr>
              <w:spacing w:after="0"/>
              <w:rPr>
                <w:sz w:val="24"/>
                <w:szCs w:val="24"/>
                <w:color w:val="auto"/>
              </w:rPr>
            </w:pPr>
          </w:p>
        </w:tc>
      </w:tr>
      <w:tr>
        <w:trPr>
          <w:trHeight w:val="224"/>
        </w:trPr>
        <w:tc>
          <w:tcPr>
            <w:tcW w:w="6740" w:type="dxa"/>
            <w:vAlign w:val="bottom"/>
          </w:tcPr>
          <w:p>
            <w:pPr>
              <w:ind w:left="380"/>
              <w:spacing w:after="0"/>
              <w:rPr>
                <w:sz w:val="20"/>
                <w:szCs w:val="20"/>
                <w:color w:val="auto"/>
              </w:rPr>
            </w:pPr>
            <w:r>
              <w:rPr>
                <w:rFonts w:ascii="Arial" w:cs="Arial" w:eastAsia="Arial" w:hAnsi="Arial"/>
                <w:sz w:val="16"/>
                <w:szCs w:val="16"/>
                <w:color w:val="auto"/>
              </w:rPr>
              <w:t>Net available for additional standby LOCs under sub-facility</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940" w:type="dxa"/>
            <w:vAlign w:val="bottom"/>
          </w:tcPr>
          <w:p>
            <w:pPr>
              <w:jc w:val="right"/>
              <w:ind w:right="19"/>
              <w:spacing w:after="0"/>
              <w:rPr>
                <w:sz w:val="20"/>
                <w:szCs w:val="20"/>
                <w:color w:val="auto"/>
              </w:rPr>
            </w:pPr>
            <w:r>
              <w:rPr>
                <w:rFonts w:ascii="Arial" w:cs="Arial" w:eastAsia="Arial" w:hAnsi="Arial"/>
                <w:sz w:val="16"/>
                <w:szCs w:val="16"/>
                <w:color w:val="auto"/>
              </w:rPr>
              <w:t>259,252</w:t>
            </w:r>
          </w:p>
        </w:tc>
        <w:tc>
          <w:tcPr>
            <w:tcW w:w="12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980" w:type="dxa"/>
            <w:vAlign w:val="bottom"/>
          </w:tcPr>
          <w:p>
            <w:pPr>
              <w:jc w:val="right"/>
              <w:ind w:right="19"/>
              <w:spacing w:after="0"/>
              <w:rPr>
                <w:sz w:val="20"/>
                <w:szCs w:val="20"/>
                <w:color w:val="auto"/>
              </w:rPr>
            </w:pPr>
            <w:r>
              <w:rPr>
                <w:rFonts w:ascii="Arial" w:cs="Arial" w:eastAsia="Arial" w:hAnsi="Arial"/>
                <w:sz w:val="16"/>
                <w:szCs w:val="16"/>
                <w:color w:val="auto"/>
              </w:rPr>
              <w:t>259,017</w:t>
            </w:r>
          </w:p>
        </w:tc>
      </w:tr>
      <w:tr>
        <w:trPr>
          <w:trHeight w:val="73"/>
        </w:trPr>
        <w:tc>
          <w:tcPr>
            <w:tcW w:w="674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9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980" w:type="dxa"/>
            <w:vAlign w:val="bottom"/>
            <w:tcBorders>
              <w:bottom w:val="single" w:sz="8" w:color="auto"/>
            </w:tcBorders>
          </w:tcPr>
          <w:p>
            <w:pPr>
              <w:spacing w:after="0"/>
              <w:rPr>
                <w:sz w:val="6"/>
                <w:szCs w:val="6"/>
                <w:color w:val="auto"/>
              </w:rPr>
            </w:pPr>
          </w:p>
        </w:tc>
      </w:tr>
      <w:tr>
        <w:trPr>
          <w:trHeight w:val="278"/>
        </w:trPr>
        <w:tc>
          <w:tcPr>
            <w:tcW w:w="67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980" w:type="dxa"/>
            <w:vAlign w:val="bottom"/>
            <w:shd w:val="clear" w:color="auto" w:fill="CCEEFF"/>
          </w:tcPr>
          <w:p>
            <w:pPr>
              <w:spacing w:after="0"/>
              <w:rPr>
                <w:sz w:val="24"/>
                <w:szCs w:val="24"/>
                <w:color w:val="auto"/>
              </w:rPr>
            </w:pPr>
          </w:p>
        </w:tc>
      </w:tr>
      <w:tr>
        <w:trPr>
          <w:trHeight w:val="224"/>
        </w:trPr>
        <w:tc>
          <w:tcPr>
            <w:tcW w:w="6740" w:type="dxa"/>
            <w:vAlign w:val="bottom"/>
          </w:tcPr>
          <w:p>
            <w:pPr>
              <w:ind w:left="40"/>
              <w:spacing w:after="0"/>
              <w:rPr>
                <w:sz w:val="20"/>
                <w:szCs w:val="20"/>
                <w:color w:val="auto"/>
              </w:rPr>
            </w:pPr>
            <w:r>
              <w:rPr>
                <w:rFonts w:ascii="Arial" w:cs="Arial" w:eastAsia="Arial" w:hAnsi="Arial"/>
                <w:sz w:val="16"/>
                <w:szCs w:val="16"/>
                <w:color w:val="auto"/>
              </w:rPr>
              <w:t>Unsecured multicurrency revolving lines of credit with various financial institutions</w:t>
            </w:r>
          </w:p>
        </w:tc>
        <w:tc>
          <w:tcPr>
            <w:tcW w:w="3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47"/>
        </w:trPr>
        <w:tc>
          <w:tcPr>
            <w:tcW w:w="67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980" w:type="dxa"/>
            <w:vAlign w:val="bottom"/>
          </w:tcPr>
          <w:p>
            <w:pPr>
              <w:spacing w:after="0"/>
              <w:rPr>
                <w:sz w:val="4"/>
                <w:szCs w:val="4"/>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Multicurrency revolving lines of credit</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107,117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108,039</w:t>
            </w: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Standby LOCs issued and outstanding</w:t>
            </w:r>
          </w:p>
        </w:tc>
        <w:tc>
          <w:tcPr>
            <w:tcW w:w="36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(19,300)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(19,386)</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Short-term borrowings</w:t>
            </w:r>
          </w:p>
        </w:tc>
        <w:tc>
          <w:tcPr>
            <w:tcW w:w="36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(2,232)</w:t>
            </w:r>
          </w:p>
        </w:tc>
      </w:tr>
      <w:tr>
        <w:trPr>
          <w:trHeight w:val="217"/>
        </w:trPr>
        <w:tc>
          <w:tcPr>
            <w:tcW w:w="6740" w:type="dxa"/>
            <w:vAlign w:val="bottom"/>
          </w:tcPr>
          <w:p>
            <w:pPr>
              <w:ind w:left="720"/>
              <w:spacing w:after="0"/>
              <w:rPr>
                <w:sz w:val="20"/>
                <w:szCs w:val="20"/>
                <w:color w:val="auto"/>
              </w:rPr>
            </w:pPr>
            <w:r>
              <w:rPr>
                <w:rFonts w:ascii="Arial" w:cs="Arial" w:eastAsia="Arial" w:hAnsi="Arial"/>
                <w:sz w:val="16"/>
                <w:szCs w:val="16"/>
                <w:color w:val="auto"/>
              </w:rPr>
              <w:t>Net available for additional borrowings and LOCs</w:t>
            </w: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87,304</w:t>
            </w:r>
          </w:p>
        </w:tc>
        <w:tc>
          <w:tcPr>
            <w:tcW w:w="120" w:type="dxa"/>
            <w:vAlign w:val="bottom"/>
          </w:tcPr>
          <w:p>
            <w:pPr>
              <w:spacing w:after="0"/>
              <w:rPr>
                <w:sz w:val="18"/>
                <w:szCs w:val="18"/>
                <w:color w:val="auto"/>
              </w:rPr>
            </w:pP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86,421</w:t>
            </w:r>
          </w:p>
        </w:tc>
      </w:tr>
      <w:tr>
        <w:trPr>
          <w:trHeight w:val="73"/>
        </w:trPr>
        <w:tc>
          <w:tcPr>
            <w:tcW w:w="674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9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980" w:type="dxa"/>
            <w:vAlign w:val="bottom"/>
            <w:tcBorders>
              <w:bottom w:val="single" w:sz="8" w:color="auto"/>
            </w:tcBorders>
          </w:tcPr>
          <w:p>
            <w:pPr>
              <w:spacing w:after="0"/>
              <w:rPr>
                <w:sz w:val="6"/>
                <w:szCs w:val="6"/>
                <w:color w:val="auto"/>
              </w:rPr>
            </w:pPr>
          </w:p>
        </w:tc>
      </w:tr>
      <w:tr>
        <w:trPr>
          <w:trHeight w:val="278"/>
        </w:trPr>
        <w:tc>
          <w:tcPr>
            <w:tcW w:w="67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980" w:type="dxa"/>
            <w:vAlign w:val="bottom"/>
            <w:shd w:val="clear" w:color="auto" w:fill="CCEEFF"/>
          </w:tcPr>
          <w:p>
            <w:pPr>
              <w:spacing w:after="0"/>
              <w:rPr>
                <w:sz w:val="24"/>
                <w:szCs w:val="24"/>
                <w:color w:val="auto"/>
              </w:rPr>
            </w:pPr>
          </w:p>
        </w:tc>
      </w:tr>
      <w:tr>
        <w:trPr>
          <w:trHeight w:val="224"/>
        </w:trPr>
        <w:tc>
          <w:tcPr>
            <w:tcW w:w="6740" w:type="dxa"/>
            <w:vAlign w:val="bottom"/>
          </w:tcPr>
          <w:p>
            <w:pPr>
              <w:ind w:left="40"/>
              <w:spacing w:after="0"/>
              <w:rPr>
                <w:sz w:val="20"/>
                <w:szCs w:val="20"/>
                <w:color w:val="auto"/>
              </w:rPr>
            </w:pPr>
            <w:r>
              <w:rPr>
                <w:rFonts w:ascii="Arial" w:cs="Arial" w:eastAsia="Arial" w:hAnsi="Arial"/>
                <w:sz w:val="16"/>
                <w:szCs w:val="16"/>
                <w:color w:val="auto"/>
              </w:rPr>
              <w:t>Unsecured surety bonds in force</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940" w:type="dxa"/>
            <w:vAlign w:val="bottom"/>
          </w:tcPr>
          <w:p>
            <w:pPr>
              <w:jc w:val="right"/>
              <w:ind w:right="19"/>
              <w:spacing w:after="0"/>
              <w:rPr>
                <w:sz w:val="20"/>
                <w:szCs w:val="20"/>
                <w:color w:val="auto"/>
              </w:rPr>
            </w:pPr>
            <w:r>
              <w:rPr>
                <w:rFonts w:ascii="Arial" w:cs="Arial" w:eastAsia="Arial" w:hAnsi="Arial"/>
                <w:sz w:val="16"/>
                <w:szCs w:val="16"/>
                <w:color w:val="auto"/>
              </w:rPr>
              <w:t>111,197</w:t>
            </w:r>
          </w:p>
        </w:tc>
        <w:tc>
          <w:tcPr>
            <w:tcW w:w="12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980" w:type="dxa"/>
            <w:vAlign w:val="bottom"/>
          </w:tcPr>
          <w:p>
            <w:pPr>
              <w:jc w:val="right"/>
              <w:ind w:right="19"/>
              <w:spacing w:after="0"/>
              <w:rPr>
                <w:sz w:val="20"/>
                <w:szCs w:val="20"/>
                <w:color w:val="auto"/>
              </w:rPr>
            </w:pPr>
            <w:r>
              <w:rPr>
                <w:rFonts w:ascii="Arial" w:cs="Arial" w:eastAsia="Arial" w:hAnsi="Arial"/>
                <w:sz w:val="16"/>
                <w:szCs w:val="16"/>
                <w:color w:val="auto"/>
              </w:rPr>
              <w:t>94,365</w:t>
            </w:r>
          </w:p>
        </w:tc>
      </w:tr>
      <w:tr>
        <w:trPr>
          <w:trHeight w:val="33"/>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event any such standby LOC or bond is called, we would be obligated to reimburse the issuer of the standby LOC or bond; however, we do not believe that any outstanding LOC or bond will be called.</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generally provide an indemnification related to the infringement of any patent, copyright, trademark, or other intellectual property right on software or equipment within our sales contracts, which indemnifies the customer from and pays the resulting costs, damages, and attorney's fees awarded against a customer with respect to such a claim provided that (a) the customer promptly notifies us in writing of the claim and (b) we have the sole control of the defense and all related settlement negotiations. We may also provide an indemnification to our customers for third-party claims resulting from damages caused by the negligence or willful misconduct of our employees/agents in connection with the performance of certain contracts. The terms of our indemnifications</w:t>
      </w:r>
    </w:p>
    <w:p>
      <w:pPr>
        <w:sectPr>
          <w:pgSz w:w="11900" w:h="16838" w:orient="portrait"/>
          <w:cols w:equalWidth="0" w:num="1">
            <w:col w:w="11420"/>
          </w:cols>
          <w:pgMar w:left="240" w:top="125" w:right="239" w:bottom="1440" w:gutter="0" w:footer="0" w:header="0"/>
        </w:sect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125" w:right="23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generally do not limit the maximum potential payments. It is not possible to predict the maximum potential amount of future payments under these or similar agreements.</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Legal Matters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subject to various legal proceedings and claims of which the outcomes are subject to significant uncertainty. Our policy is to assess the likelihood of any adverse judgments or outcomes related to legal matters, as well as ranges of probable losses. A determination of the amount of the liability required, if any, for these contingencies is made after an analysis of each known issue. A liability is recognized and charged to operating expense when we determine that a loss is probable and the amount can be reasonably estimated. Additionally, we would disclose contingencies for which a material loss is reasonably possible, but not probable.</w:t>
      </w:r>
    </w:p>
    <w:p>
      <w:pPr>
        <w:spacing w:after="0" w:line="19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Warranty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warranty accrual account activity is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140" w:type="dxa"/>
            <w:vAlign w:val="bottom"/>
            <w:gridSpan w:val="4"/>
          </w:tcPr>
          <w:p>
            <w:pPr>
              <w:jc w:val="right"/>
              <w:ind w:right="559"/>
              <w:spacing w:after="0"/>
              <w:rPr>
                <w:sz w:val="20"/>
                <w:szCs w:val="20"/>
                <w:color w:val="auto"/>
              </w:rPr>
            </w:pPr>
            <w:r>
              <w:rPr>
                <w:rFonts w:ascii="Arial" w:cs="Arial" w:eastAsia="Arial" w:hAnsi="Arial"/>
                <w:sz w:val="16"/>
                <w:szCs w:val="16"/>
                <w:b w:val="1"/>
                <w:bCs w:val="1"/>
                <w:color w:val="auto"/>
              </w:rPr>
              <w:t>Three Months Ended March 31,</w:t>
            </w:r>
          </w:p>
        </w:tc>
      </w:tr>
      <w:tr>
        <w:trPr>
          <w:trHeight w:val="33"/>
        </w:trPr>
        <w:tc>
          <w:tcPr>
            <w:tcW w:w="79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7900" w:type="dxa"/>
            <w:vAlign w:val="bottom"/>
          </w:tcPr>
          <w:p>
            <w:pPr>
              <w:ind w:left="40"/>
              <w:spacing w:after="0"/>
              <w:rPr>
                <w:sz w:val="20"/>
                <w:szCs w:val="20"/>
                <w:color w:val="auto"/>
              </w:rPr>
            </w:pPr>
            <w:r>
              <w:rPr>
                <w:rFonts w:ascii="Arial" w:cs="Arial" w:eastAsia="Arial" w:hAnsi="Arial"/>
                <w:sz w:val="16"/>
                <w:szCs w:val="16"/>
                <w:i w:val="1"/>
                <w:iCs w:val="1"/>
                <w:color w:val="auto"/>
              </w:rPr>
              <w:t>In thousands</w:t>
            </w:r>
          </w:p>
        </w:tc>
        <w:tc>
          <w:tcPr>
            <w:tcW w:w="380" w:type="dxa"/>
            <w:vAlign w:val="bottom"/>
          </w:tcPr>
          <w:p>
            <w:pPr>
              <w:spacing w:after="0"/>
              <w:rPr>
                <w:sz w:val="20"/>
                <w:szCs w:val="20"/>
                <w:color w:val="auto"/>
              </w:rPr>
            </w:pPr>
          </w:p>
        </w:tc>
        <w:tc>
          <w:tcPr>
            <w:tcW w:w="1340" w:type="dxa"/>
            <w:vAlign w:val="bottom"/>
          </w:tcPr>
          <w:p>
            <w:pPr>
              <w:jc w:val="right"/>
              <w:ind w:right="61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2018</w:t>
            </w:r>
          </w:p>
        </w:tc>
      </w:tr>
      <w:tr>
        <w:trPr>
          <w:trHeight w:val="33"/>
        </w:trPr>
        <w:tc>
          <w:tcPr>
            <w:tcW w:w="7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Beginning balance</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60,443</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34,862</w:t>
            </w: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Assumed liabilities from acquisition</w:t>
            </w:r>
          </w:p>
        </w:tc>
        <w:tc>
          <w:tcPr>
            <w:tcW w:w="380" w:type="dxa"/>
            <w:vAlign w:val="bottom"/>
          </w:tcPr>
          <w:p>
            <w:pPr>
              <w:spacing w:after="0"/>
              <w:rPr>
                <w:sz w:val="20"/>
                <w:szCs w:val="20"/>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5,742</w:t>
            </w:r>
          </w:p>
        </w:tc>
      </w:tr>
      <w:tr>
        <w:trPr>
          <w:trHeight w:val="33"/>
        </w:trPr>
        <w:tc>
          <w:tcPr>
            <w:tcW w:w="7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New product warranties</w:t>
            </w:r>
          </w:p>
        </w:tc>
        <w:tc>
          <w:tcPr>
            <w:tcW w:w="3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1,718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818</w:t>
            </w: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Other adjustments and expirations</w:t>
            </w:r>
          </w:p>
        </w:tc>
        <w:tc>
          <w:tcPr>
            <w:tcW w:w="38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1,861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4,044</w:t>
            </w:r>
          </w:p>
        </w:tc>
      </w:tr>
      <w:tr>
        <w:trPr>
          <w:trHeight w:val="33"/>
        </w:trPr>
        <w:tc>
          <w:tcPr>
            <w:tcW w:w="7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Claims activity</w:t>
            </w:r>
          </w:p>
        </w:tc>
        <w:tc>
          <w:tcPr>
            <w:tcW w:w="3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(6,083)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(4,108)</w:t>
            </w: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Effect of change in exchange rates</w:t>
            </w:r>
          </w:p>
        </w:tc>
        <w:tc>
          <w:tcPr>
            <w:tcW w:w="3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(407)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621</w:t>
            </w:r>
          </w:p>
        </w:tc>
      </w:tr>
      <w:tr>
        <w:trPr>
          <w:trHeight w:val="33"/>
        </w:trPr>
        <w:tc>
          <w:tcPr>
            <w:tcW w:w="79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Ending balance</w:t>
            </w:r>
          </w:p>
        </w:tc>
        <w:tc>
          <w:tcPr>
            <w:tcW w:w="3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57,532</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41,979</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Less: current portion of warranty</w:t>
            </w:r>
          </w:p>
        </w:tc>
        <w:tc>
          <w:tcPr>
            <w:tcW w:w="38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39,737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26,533</w:t>
            </w:r>
          </w:p>
        </w:tc>
      </w:tr>
      <w:tr>
        <w:trPr>
          <w:trHeight w:val="33"/>
        </w:trPr>
        <w:tc>
          <w:tcPr>
            <w:tcW w:w="79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Long-term warranty</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17,795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15,446</w:t>
            </w:r>
          </w:p>
        </w:tc>
      </w:tr>
      <w:tr>
        <w:trPr>
          <w:trHeight w:val="20"/>
        </w:trPr>
        <w:tc>
          <w:tcPr>
            <w:tcW w:w="79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warranty expense is classified within cost of revenues and consists of new product warranties issued, costs related to insurance and supplier recoveries, other changes and adjustments to warranties, and customer claims. Warranty expense was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296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 March 31,</w:t>
            </w:r>
          </w:p>
        </w:tc>
        <w:tc>
          <w:tcPr>
            <w:tcW w:w="560" w:type="dxa"/>
            <w:vAlign w:val="bottom"/>
          </w:tcPr>
          <w:p>
            <w:pPr>
              <w:spacing w:after="0"/>
              <w:rPr>
                <w:sz w:val="18"/>
                <w:szCs w:val="18"/>
                <w:color w:val="auto"/>
              </w:rPr>
            </w:pPr>
          </w:p>
        </w:tc>
      </w:tr>
      <w:tr>
        <w:trPr>
          <w:trHeight w:val="33"/>
        </w:trPr>
        <w:tc>
          <w:tcPr>
            <w:tcW w:w="79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31"/>
        </w:trPr>
        <w:tc>
          <w:tcPr>
            <w:tcW w:w="7900" w:type="dxa"/>
            <w:vAlign w:val="bottom"/>
          </w:tcPr>
          <w:p>
            <w:pPr>
              <w:ind w:left="40"/>
              <w:spacing w:after="0"/>
              <w:rPr>
                <w:sz w:val="20"/>
                <w:szCs w:val="20"/>
                <w:color w:val="auto"/>
              </w:rPr>
            </w:pPr>
            <w:r>
              <w:rPr>
                <w:rFonts w:ascii="Arial" w:cs="Arial" w:eastAsia="Arial" w:hAnsi="Arial"/>
                <w:sz w:val="16"/>
                <w:szCs w:val="16"/>
                <w:i w:val="1"/>
                <w:iCs w:val="1"/>
                <w:color w:val="auto"/>
              </w:rPr>
              <w:t>In thousands</w:t>
            </w:r>
          </w:p>
        </w:tc>
        <w:tc>
          <w:tcPr>
            <w:tcW w:w="1120" w:type="dxa"/>
            <w:vAlign w:val="bottom"/>
          </w:tcPr>
          <w:p>
            <w:pPr>
              <w:jc w:val="right"/>
              <w:ind w:right="19"/>
              <w:spacing w:after="0"/>
              <w:rPr>
                <w:sz w:val="20"/>
                <w:szCs w:val="20"/>
                <w:color w:val="auto"/>
              </w:rPr>
            </w:pPr>
            <w:r>
              <w:rPr>
                <w:rFonts w:ascii="Arial" w:cs="Arial" w:eastAsia="Arial" w:hAnsi="Arial"/>
                <w:sz w:val="16"/>
                <w:szCs w:val="16"/>
                <w:b w:val="1"/>
                <w:bCs w:val="1"/>
                <w:color w:val="auto"/>
              </w:rPr>
              <w:t>2019</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b w:val="1"/>
                <w:bCs w:val="1"/>
                <w:color w:val="auto"/>
              </w:rPr>
              <w:t>2018</w:t>
            </w:r>
          </w:p>
        </w:tc>
        <w:tc>
          <w:tcPr>
            <w:tcW w:w="560" w:type="dxa"/>
            <w:vAlign w:val="bottom"/>
          </w:tcPr>
          <w:p>
            <w:pPr>
              <w:spacing w:after="0"/>
              <w:rPr>
                <w:sz w:val="20"/>
                <w:szCs w:val="20"/>
                <w:color w:val="auto"/>
              </w:rPr>
            </w:pPr>
          </w:p>
        </w:tc>
      </w:tr>
      <w:tr>
        <w:trPr>
          <w:trHeight w:val="33"/>
        </w:trPr>
        <w:tc>
          <w:tcPr>
            <w:tcW w:w="79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17"/>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warranty expense</w:t>
            </w:r>
          </w:p>
        </w:tc>
        <w:tc>
          <w:tcPr>
            <w:tcW w:w="1120" w:type="dxa"/>
            <w:vAlign w:val="bottom"/>
            <w:shd w:val="clear" w:color="auto" w:fill="CCEEFF"/>
          </w:tcPr>
          <w:p>
            <w:pPr>
              <w:jc w:val="right"/>
              <w:ind w:right="939"/>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1,779</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39"/>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4,862</w:t>
            </w:r>
          </w:p>
        </w:tc>
      </w:tr>
      <w:tr>
        <w:trPr>
          <w:trHeight w:val="33"/>
        </w:trPr>
        <w:tc>
          <w:tcPr>
            <w:tcW w:w="79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Health Benefits</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We are self-insured for a substantial portion of the cost of our U.S. employee group health insurance. We purchase insurance from a third party, which provides individual and aggregate stop loss protection for these costs. Each reporting period, we expense the costs of our health insurance plan including paid claims, the change in the estimate of incurred but not reported (IBNR) claims, taxes, and administrative fees (collectively, the plan costs).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Plan costs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296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 March 31,</w:t>
            </w:r>
          </w:p>
        </w:tc>
        <w:tc>
          <w:tcPr>
            <w:tcW w:w="560" w:type="dxa"/>
            <w:vAlign w:val="bottom"/>
          </w:tcPr>
          <w:p>
            <w:pPr>
              <w:spacing w:after="0"/>
              <w:rPr>
                <w:sz w:val="18"/>
                <w:szCs w:val="18"/>
                <w:color w:val="auto"/>
              </w:rPr>
            </w:pPr>
          </w:p>
        </w:tc>
      </w:tr>
      <w:tr>
        <w:trPr>
          <w:trHeight w:val="33"/>
        </w:trPr>
        <w:tc>
          <w:tcPr>
            <w:tcW w:w="79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31"/>
        </w:trPr>
        <w:tc>
          <w:tcPr>
            <w:tcW w:w="7900" w:type="dxa"/>
            <w:vAlign w:val="bottom"/>
          </w:tcPr>
          <w:p>
            <w:pPr>
              <w:ind w:left="40"/>
              <w:spacing w:after="0"/>
              <w:rPr>
                <w:sz w:val="20"/>
                <w:szCs w:val="20"/>
                <w:color w:val="auto"/>
              </w:rPr>
            </w:pPr>
            <w:r>
              <w:rPr>
                <w:rFonts w:ascii="Arial" w:cs="Arial" w:eastAsia="Arial" w:hAnsi="Arial"/>
                <w:sz w:val="16"/>
                <w:szCs w:val="16"/>
                <w:i w:val="1"/>
                <w:iCs w:val="1"/>
                <w:color w:val="auto"/>
              </w:rPr>
              <w:t>In thousands</w:t>
            </w:r>
          </w:p>
        </w:tc>
        <w:tc>
          <w:tcPr>
            <w:tcW w:w="1120" w:type="dxa"/>
            <w:vAlign w:val="bottom"/>
          </w:tcPr>
          <w:p>
            <w:pPr>
              <w:jc w:val="right"/>
              <w:ind w:right="19"/>
              <w:spacing w:after="0"/>
              <w:rPr>
                <w:sz w:val="20"/>
                <w:szCs w:val="20"/>
                <w:color w:val="auto"/>
              </w:rPr>
            </w:pPr>
            <w:r>
              <w:rPr>
                <w:rFonts w:ascii="Arial" w:cs="Arial" w:eastAsia="Arial" w:hAnsi="Arial"/>
                <w:sz w:val="16"/>
                <w:szCs w:val="16"/>
                <w:b w:val="1"/>
                <w:bCs w:val="1"/>
                <w:color w:val="auto"/>
              </w:rPr>
              <w:t>2019</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b w:val="1"/>
                <w:bCs w:val="1"/>
                <w:color w:val="auto"/>
              </w:rPr>
              <w:t>2018</w:t>
            </w:r>
          </w:p>
        </w:tc>
        <w:tc>
          <w:tcPr>
            <w:tcW w:w="560" w:type="dxa"/>
            <w:vAlign w:val="bottom"/>
          </w:tcPr>
          <w:p>
            <w:pPr>
              <w:spacing w:after="0"/>
              <w:rPr>
                <w:sz w:val="20"/>
                <w:szCs w:val="20"/>
                <w:color w:val="auto"/>
              </w:rPr>
            </w:pPr>
          </w:p>
        </w:tc>
      </w:tr>
      <w:tr>
        <w:trPr>
          <w:trHeight w:val="33"/>
        </w:trPr>
        <w:tc>
          <w:tcPr>
            <w:tcW w:w="79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17"/>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Plan costs</w:t>
            </w:r>
          </w:p>
        </w:tc>
        <w:tc>
          <w:tcPr>
            <w:tcW w:w="1120" w:type="dxa"/>
            <w:vAlign w:val="bottom"/>
            <w:shd w:val="clear" w:color="auto" w:fill="CCEEFF"/>
          </w:tcPr>
          <w:p>
            <w:pPr>
              <w:jc w:val="right"/>
              <w:ind w:right="939"/>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6,878</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39"/>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8,680</w:t>
            </w:r>
          </w:p>
        </w:tc>
      </w:tr>
      <w:tr>
        <w:trPr>
          <w:trHeight w:val="33"/>
        </w:trPr>
        <w:tc>
          <w:tcPr>
            <w:tcW w:w="79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IBNR accrual, which is included in wages and benefits payable, was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860" w:type="dxa"/>
            <w:vAlign w:val="bottom"/>
          </w:tcPr>
          <w:p>
            <w:pPr>
              <w:ind w:left="40"/>
              <w:spacing w:after="0"/>
              <w:rPr>
                <w:sz w:val="20"/>
                <w:szCs w:val="20"/>
                <w:color w:val="auto"/>
              </w:rPr>
            </w:pPr>
            <w:r>
              <w:rPr>
                <w:rFonts w:ascii="Arial" w:cs="Arial" w:eastAsia="Arial" w:hAnsi="Arial"/>
                <w:sz w:val="16"/>
                <w:szCs w:val="16"/>
                <w:i w:val="1"/>
                <w:iCs w:val="1"/>
                <w:color w:val="auto"/>
              </w:rPr>
              <w:t>In thousands</w:t>
            </w:r>
          </w:p>
        </w:tc>
        <w:tc>
          <w:tcPr>
            <w:tcW w:w="4640" w:type="dxa"/>
            <w:vAlign w:val="bottom"/>
          </w:tcPr>
          <w:p>
            <w:pPr>
              <w:jc w:val="right"/>
              <w:spacing w:after="0"/>
              <w:rPr>
                <w:sz w:val="20"/>
                <w:szCs w:val="20"/>
                <w:color w:val="auto"/>
              </w:rPr>
            </w:pPr>
            <w:r>
              <w:rPr>
                <w:rFonts w:ascii="Arial" w:cs="Arial" w:eastAsia="Arial" w:hAnsi="Arial"/>
                <w:sz w:val="16"/>
                <w:szCs w:val="16"/>
                <w:b w:val="1"/>
                <w:bCs w:val="1"/>
                <w:color w:val="auto"/>
              </w:rPr>
              <w:t>March 31, 2019</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80" w:type="dxa"/>
            <w:vAlign w:val="bottom"/>
          </w:tcPr>
          <w:p>
            <w:pPr>
              <w:jc w:val="right"/>
              <w:ind w:right="399"/>
              <w:spacing w:after="0"/>
              <w:rPr>
                <w:sz w:val="20"/>
                <w:szCs w:val="20"/>
                <w:color w:val="auto"/>
              </w:rPr>
            </w:pPr>
            <w:r>
              <w:rPr>
                <w:rFonts w:ascii="Arial" w:cs="Arial" w:eastAsia="Arial" w:hAnsi="Arial"/>
                <w:sz w:val="16"/>
                <w:szCs w:val="16"/>
                <w:b w:val="1"/>
                <w:bCs w:val="1"/>
                <w:color w:val="auto"/>
              </w:rPr>
              <w:t>December 31, 2018</w:t>
            </w:r>
          </w:p>
        </w:tc>
      </w:tr>
      <w:tr>
        <w:trPr>
          <w:trHeight w:val="33"/>
        </w:trPr>
        <w:tc>
          <w:tcPr>
            <w:tcW w:w="3860" w:type="dxa"/>
            <w:vAlign w:val="bottom"/>
            <w:tcBorders>
              <w:bottom w:val="single" w:sz="8" w:color="auto"/>
            </w:tcBorders>
          </w:tcPr>
          <w:p>
            <w:pPr>
              <w:spacing w:after="0"/>
              <w:rPr>
                <w:sz w:val="2"/>
                <w:szCs w:val="2"/>
                <w:color w:val="auto"/>
              </w:rPr>
            </w:pPr>
          </w:p>
        </w:tc>
        <w:tc>
          <w:tcPr>
            <w:tcW w:w="46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17"/>
        </w:trPr>
        <w:tc>
          <w:tcPr>
            <w:tcW w:w="3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IBNR accrual</w:t>
            </w:r>
          </w:p>
        </w:tc>
        <w:tc>
          <w:tcPr>
            <w:tcW w:w="4640" w:type="dxa"/>
            <w:vAlign w:val="bottom"/>
            <w:shd w:val="clear" w:color="auto" w:fill="CCEEFF"/>
          </w:tcPr>
          <w:p>
            <w:pPr>
              <w:jc w:val="right"/>
              <w:ind w:right="1559"/>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3,234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3,643</w:t>
            </w:r>
          </w:p>
        </w:tc>
      </w:tr>
      <w:tr>
        <w:trPr>
          <w:trHeight w:val="33"/>
        </w:trPr>
        <w:tc>
          <w:tcPr>
            <w:tcW w:w="3860" w:type="dxa"/>
            <w:vAlign w:val="bottom"/>
            <w:shd w:val="clear" w:color="auto" w:fill="CCEEFF"/>
          </w:tcPr>
          <w:p>
            <w:pPr>
              <w:spacing w:after="0"/>
              <w:rPr>
                <w:sz w:val="2"/>
                <w:szCs w:val="2"/>
                <w:color w:val="auto"/>
              </w:rPr>
            </w:pPr>
          </w:p>
        </w:tc>
        <w:tc>
          <w:tcPr>
            <w:tcW w:w="46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9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IBNR accrual and expenses may fluctuate due to the number of plan participants, claims activity, and deductible limits. For our employees located outside of the United States, health benefits are provided primarily through governmental social plans, which are funded through employee and employer tax withholdings.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6"/>
          <w:szCs w:val="16"/>
          <w:b w:val="1"/>
          <w:bCs w:val="1"/>
          <w:color w:val="auto"/>
        </w:rPr>
        <w:t>Restructuring</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2018 Projects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February 22, 2018, our Board of Directors approved a restructuring plan (the 2018 Projects) to continue our efforts to optimize our global supply chain and manufacturing operations, research and development, and sales and marketing organizations. We expect to substantially complete the plan by the end of 2020. Many of the affected employees are represented by unions or works councils, which require consultation, and potential restructuring projects may be subject to regulatory approval, both of which could impact the timing of charges, total expected charges, cost recognized, and planned savings in certain jurisdictions.</w:t>
      </w:r>
    </w:p>
    <w:p>
      <w:pPr>
        <w:spacing w:after="0" w:line="19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total expected restructuring costs, the restructuring costs recognized, and the remaining expected restructuring costs related to the 2018 Projects are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Costs Recognized During</w:t>
            </w:r>
          </w:p>
        </w:tc>
        <w:tc>
          <w:tcPr>
            <w:tcW w:w="204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Expected Remaining Costs</w:t>
            </w:r>
          </w:p>
        </w:tc>
      </w:tr>
      <w:tr>
        <w:trPr>
          <w:trHeight w:val="203"/>
        </w:trPr>
        <w:tc>
          <w:tcPr>
            <w:tcW w:w="2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Total Expected Costs at</w:t>
            </w:r>
          </w:p>
        </w:tc>
        <w:tc>
          <w:tcPr>
            <w:tcW w:w="120" w:type="dxa"/>
            <w:vAlign w:val="bottom"/>
          </w:tcPr>
          <w:p>
            <w:pPr>
              <w:spacing w:after="0"/>
              <w:rPr>
                <w:sz w:val="17"/>
                <w:szCs w:val="17"/>
                <w:color w:val="auto"/>
              </w:rPr>
            </w:pPr>
          </w:p>
        </w:tc>
        <w:tc>
          <w:tcPr>
            <w:tcW w:w="2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Costs Recognized in Prior</w:t>
            </w:r>
          </w:p>
        </w:tc>
        <w:tc>
          <w:tcPr>
            <w:tcW w:w="120" w:type="dxa"/>
            <w:vAlign w:val="bottom"/>
          </w:tcPr>
          <w:p>
            <w:pPr>
              <w:spacing w:after="0"/>
              <w:rPr>
                <w:sz w:val="17"/>
                <w:szCs w:val="17"/>
                <w:color w:val="auto"/>
              </w:rPr>
            </w:pPr>
          </w:p>
        </w:tc>
        <w:tc>
          <w:tcPr>
            <w:tcW w:w="20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the Three Months Ended</w:t>
            </w:r>
          </w:p>
        </w:tc>
        <w:tc>
          <w:tcPr>
            <w:tcW w:w="220" w:type="dxa"/>
            <w:vAlign w:val="bottom"/>
          </w:tcPr>
          <w:p>
            <w:pPr>
              <w:spacing w:after="0"/>
              <w:rPr>
                <w:sz w:val="17"/>
                <w:szCs w:val="17"/>
                <w:color w:val="auto"/>
              </w:rPr>
            </w:pPr>
          </w:p>
        </w:tc>
        <w:tc>
          <w:tcPr>
            <w:tcW w:w="1820" w:type="dxa"/>
            <w:vAlign w:val="bottom"/>
          </w:tcPr>
          <w:p>
            <w:pPr>
              <w:jc w:val="center"/>
              <w:ind w:right="139"/>
              <w:spacing w:after="0"/>
              <w:rPr>
                <w:sz w:val="20"/>
                <w:szCs w:val="20"/>
                <w:color w:val="auto"/>
              </w:rPr>
            </w:pPr>
            <w:r>
              <w:rPr>
                <w:rFonts w:ascii="Arial" w:cs="Arial" w:eastAsia="Arial" w:hAnsi="Arial"/>
                <w:sz w:val="16"/>
                <w:szCs w:val="16"/>
                <w:b w:val="1"/>
                <w:bCs w:val="1"/>
                <w:color w:val="auto"/>
                <w:w w:val="89"/>
              </w:rPr>
              <w:t>to be Recognized at</w:t>
            </w:r>
          </w:p>
        </w:tc>
      </w:tr>
      <w:tr>
        <w:trPr>
          <w:trHeight w:val="210"/>
        </w:trPr>
        <w:tc>
          <w:tcPr>
            <w:tcW w:w="2880" w:type="dxa"/>
            <w:vAlign w:val="bottom"/>
          </w:tcPr>
          <w:p>
            <w:pPr>
              <w:ind w:left="40"/>
              <w:spacing w:after="0"/>
              <w:rPr>
                <w:sz w:val="20"/>
                <w:szCs w:val="20"/>
                <w:color w:val="auto"/>
              </w:rPr>
            </w:pPr>
            <w:r>
              <w:rPr>
                <w:rFonts w:ascii="Arial" w:cs="Arial" w:eastAsia="Arial" w:hAnsi="Arial"/>
                <w:sz w:val="16"/>
                <w:szCs w:val="16"/>
                <w:i w:val="1"/>
                <w:iCs w:val="1"/>
                <w:color w:val="auto"/>
              </w:rPr>
              <w:t>In thousands</w:t>
            </w:r>
          </w:p>
        </w:tc>
        <w:tc>
          <w:tcPr>
            <w:tcW w:w="160" w:type="dxa"/>
            <w:vAlign w:val="bottom"/>
          </w:tcPr>
          <w:p>
            <w:pPr>
              <w:spacing w:after="0"/>
              <w:rPr>
                <w:sz w:val="18"/>
                <w:szCs w:val="18"/>
                <w:color w:val="auto"/>
              </w:rPr>
            </w:pPr>
          </w:p>
        </w:tc>
        <w:tc>
          <w:tcPr>
            <w:tcW w:w="20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March 31, 2019</w:t>
            </w:r>
          </w:p>
        </w:tc>
        <w:tc>
          <w:tcPr>
            <w:tcW w:w="120" w:type="dxa"/>
            <w:vAlign w:val="bottom"/>
          </w:tcPr>
          <w:p>
            <w:pPr>
              <w:spacing w:after="0"/>
              <w:rPr>
                <w:sz w:val="18"/>
                <w:szCs w:val="18"/>
                <w:color w:val="auto"/>
              </w:rPr>
            </w:pPr>
          </w:p>
        </w:tc>
        <w:tc>
          <w:tcPr>
            <w:tcW w:w="2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Periods</w:t>
            </w:r>
          </w:p>
        </w:tc>
        <w:tc>
          <w:tcPr>
            <w:tcW w:w="120" w:type="dxa"/>
            <w:vAlign w:val="bottom"/>
          </w:tcPr>
          <w:p>
            <w:pPr>
              <w:spacing w:after="0"/>
              <w:rPr>
                <w:sz w:val="18"/>
                <w:szCs w:val="18"/>
                <w:color w:val="auto"/>
              </w:rPr>
            </w:pPr>
          </w:p>
        </w:tc>
        <w:tc>
          <w:tcPr>
            <w:tcW w:w="20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March 31, 2019</w:t>
            </w:r>
          </w:p>
        </w:tc>
        <w:tc>
          <w:tcPr>
            <w:tcW w:w="220" w:type="dxa"/>
            <w:vAlign w:val="bottom"/>
          </w:tcPr>
          <w:p>
            <w:pPr>
              <w:spacing w:after="0"/>
              <w:rPr>
                <w:sz w:val="18"/>
                <w:szCs w:val="18"/>
                <w:color w:val="auto"/>
              </w:rPr>
            </w:pPr>
          </w:p>
        </w:tc>
        <w:tc>
          <w:tcPr>
            <w:tcW w:w="1820" w:type="dxa"/>
            <w:vAlign w:val="bottom"/>
          </w:tcPr>
          <w:p>
            <w:pPr>
              <w:jc w:val="center"/>
              <w:ind w:right="139"/>
              <w:spacing w:after="0"/>
              <w:rPr>
                <w:sz w:val="20"/>
                <w:szCs w:val="20"/>
                <w:color w:val="auto"/>
              </w:rPr>
            </w:pPr>
            <w:r>
              <w:rPr>
                <w:rFonts w:ascii="Arial" w:cs="Arial" w:eastAsia="Arial" w:hAnsi="Arial"/>
                <w:sz w:val="16"/>
                <w:szCs w:val="16"/>
                <w:b w:val="1"/>
                <w:bCs w:val="1"/>
                <w:color w:val="auto"/>
                <w:w w:val="94"/>
              </w:rPr>
              <w:t>March 31, 2019</w:t>
            </w:r>
          </w:p>
        </w:tc>
      </w:tr>
      <w:tr>
        <w:trPr>
          <w:trHeight w:val="33"/>
        </w:trPr>
        <w:tc>
          <w:tcPr>
            <w:tcW w:w="28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3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Employee severance costs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75,573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73,778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1,795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0"/>
        </w:trPr>
        <w:tc>
          <w:tcPr>
            <w:tcW w:w="2880" w:type="dxa"/>
            <w:vAlign w:val="bottom"/>
          </w:tcPr>
          <w:p>
            <w:pPr>
              <w:ind w:left="40"/>
              <w:spacing w:after="0"/>
              <w:rPr>
                <w:sz w:val="20"/>
                <w:szCs w:val="20"/>
                <w:color w:val="auto"/>
              </w:rPr>
            </w:pPr>
            <w:r>
              <w:rPr>
                <w:rFonts w:ascii="Arial" w:cs="Arial" w:eastAsia="Arial" w:hAnsi="Arial"/>
                <w:sz w:val="16"/>
                <w:szCs w:val="16"/>
                <w:color w:val="auto"/>
              </w:rPr>
              <w:t>Asset impairments &amp; net loss on sale or</w:t>
            </w:r>
          </w:p>
        </w:tc>
        <w:tc>
          <w:tcPr>
            <w:tcW w:w="1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206"/>
        </w:trPr>
        <w:tc>
          <w:tcPr>
            <w:tcW w:w="2880" w:type="dxa"/>
            <w:vAlign w:val="bottom"/>
          </w:tcPr>
          <w:p>
            <w:pPr>
              <w:ind w:left="200"/>
              <w:spacing w:after="0"/>
              <w:rPr>
                <w:sz w:val="20"/>
                <w:szCs w:val="20"/>
                <w:color w:val="auto"/>
              </w:rPr>
            </w:pPr>
            <w:r>
              <w:rPr>
                <w:rFonts w:ascii="Arial" w:cs="Arial" w:eastAsia="Arial" w:hAnsi="Arial"/>
                <w:sz w:val="16"/>
                <w:szCs w:val="16"/>
                <w:color w:val="auto"/>
              </w:rPr>
              <w:t>disposal</w:t>
            </w:r>
          </w:p>
        </w:tc>
        <w:tc>
          <w:tcPr>
            <w:tcW w:w="160" w:type="dxa"/>
            <w:vAlign w:val="bottom"/>
          </w:tcPr>
          <w:p>
            <w:pPr>
              <w:spacing w:after="0"/>
              <w:rPr>
                <w:sz w:val="17"/>
                <w:szCs w:val="17"/>
                <w:color w:val="auto"/>
              </w:rPr>
            </w:pPr>
          </w:p>
        </w:tc>
        <w:tc>
          <w:tcPr>
            <w:tcW w:w="1920" w:type="dxa"/>
            <w:vAlign w:val="bottom"/>
          </w:tcPr>
          <w:p>
            <w:pPr>
              <w:jc w:val="right"/>
              <w:ind w:right="59"/>
              <w:spacing w:after="0"/>
              <w:rPr>
                <w:sz w:val="20"/>
                <w:szCs w:val="20"/>
                <w:color w:val="auto"/>
              </w:rPr>
            </w:pPr>
            <w:r>
              <w:rPr>
                <w:rFonts w:ascii="Arial" w:cs="Arial" w:eastAsia="Arial" w:hAnsi="Arial"/>
                <w:sz w:val="16"/>
                <w:szCs w:val="16"/>
                <w:color w:val="auto"/>
              </w:rPr>
              <w:t>218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117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tcPr>
          <w:p>
            <w:pPr>
              <w:jc w:val="right"/>
              <w:ind w:right="39"/>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2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restructuring costs</w:t>
            </w:r>
          </w:p>
        </w:tc>
        <w:tc>
          <w:tcPr>
            <w:tcW w:w="16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23,304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4,228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3,736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15,340</w:t>
            </w:r>
          </w:p>
        </w:tc>
      </w:tr>
      <w:tr>
        <w:trPr>
          <w:trHeight w:val="244"/>
        </w:trPr>
        <w:tc>
          <w:tcPr>
            <w:tcW w:w="2880" w:type="dxa"/>
            <w:vAlign w:val="bottom"/>
          </w:tcPr>
          <w:p>
            <w:pPr>
              <w:ind w:left="520"/>
              <w:spacing w:after="0"/>
              <w:rPr>
                <w:sz w:val="20"/>
                <w:szCs w:val="20"/>
                <w:color w:val="auto"/>
              </w:rPr>
            </w:pPr>
            <w:r>
              <w:rPr>
                <w:rFonts w:ascii="Arial" w:cs="Arial" w:eastAsia="Arial" w:hAnsi="Arial"/>
                <w:sz w:val="16"/>
                <w:szCs w:val="16"/>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92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99,095</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9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78,123</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9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5,632</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8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15,340</w:t>
            </w:r>
          </w:p>
        </w:tc>
      </w:tr>
      <w:tr>
        <w:trPr>
          <w:trHeight w:val="20"/>
        </w:trPr>
        <w:tc>
          <w:tcPr>
            <w:tcW w:w="2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2016 Projects</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On September 1, 2016, we announced projects (2016 Projects) to restructure various company activities in order to improve operational efficiencies, reduce expenses and improve competitiveness. We expect to close or consolidate several facilities and reduce our global workforce as a result of the restructuring. The 2016 Projects were initiated during the third quarter of 2016 and were substantially completed at December 31, 2018.</w:t>
      </w:r>
    </w:p>
    <w:p>
      <w:pPr>
        <w:spacing w:after="0" w:line="17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total expected restructuring costs, the restructuring costs recognized, and the remaining expected restructuring costs related to the 2016 Projects are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Costs Recognized During</w:t>
            </w:r>
          </w:p>
        </w:tc>
        <w:tc>
          <w:tcPr>
            <w:tcW w:w="204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Expected Remaining Costs</w:t>
            </w:r>
          </w:p>
        </w:tc>
      </w:tr>
      <w:tr>
        <w:trPr>
          <w:trHeight w:val="203"/>
        </w:trPr>
        <w:tc>
          <w:tcPr>
            <w:tcW w:w="2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Total Expected Costs at</w:t>
            </w:r>
          </w:p>
        </w:tc>
        <w:tc>
          <w:tcPr>
            <w:tcW w:w="120" w:type="dxa"/>
            <w:vAlign w:val="bottom"/>
          </w:tcPr>
          <w:p>
            <w:pPr>
              <w:spacing w:after="0"/>
              <w:rPr>
                <w:sz w:val="17"/>
                <w:szCs w:val="17"/>
                <w:color w:val="auto"/>
              </w:rPr>
            </w:pPr>
          </w:p>
        </w:tc>
        <w:tc>
          <w:tcPr>
            <w:tcW w:w="2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Costs Recognized in Prior</w:t>
            </w:r>
          </w:p>
        </w:tc>
        <w:tc>
          <w:tcPr>
            <w:tcW w:w="120" w:type="dxa"/>
            <w:vAlign w:val="bottom"/>
          </w:tcPr>
          <w:p>
            <w:pPr>
              <w:spacing w:after="0"/>
              <w:rPr>
                <w:sz w:val="17"/>
                <w:szCs w:val="17"/>
                <w:color w:val="auto"/>
              </w:rPr>
            </w:pPr>
          </w:p>
        </w:tc>
        <w:tc>
          <w:tcPr>
            <w:tcW w:w="20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the Three Months Ended</w:t>
            </w:r>
          </w:p>
        </w:tc>
        <w:tc>
          <w:tcPr>
            <w:tcW w:w="220" w:type="dxa"/>
            <w:vAlign w:val="bottom"/>
          </w:tcPr>
          <w:p>
            <w:pPr>
              <w:spacing w:after="0"/>
              <w:rPr>
                <w:sz w:val="17"/>
                <w:szCs w:val="17"/>
                <w:color w:val="auto"/>
              </w:rPr>
            </w:pPr>
          </w:p>
        </w:tc>
        <w:tc>
          <w:tcPr>
            <w:tcW w:w="1820" w:type="dxa"/>
            <w:vAlign w:val="bottom"/>
          </w:tcPr>
          <w:p>
            <w:pPr>
              <w:jc w:val="center"/>
              <w:ind w:right="139"/>
              <w:spacing w:after="0"/>
              <w:rPr>
                <w:sz w:val="20"/>
                <w:szCs w:val="20"/>
                <w:color w:val="auto"/>
              </w:rPr>
            </w:pPr>
            <w:r>
              <w:rPr>
                <w:rFonts w:ascii="Arial" w:cs="Arial" w:eastAsia="Arial" w:hAnsi="Arial"/>
                <w:sz w:val="16"/>
                <w:szCs w:val="16"/>
                <w:b w:val="1"/>
                <w:bCs w:val="1"/>
                <w:color w:val="auto"/>
                <w:w w:val="89"/>
              </w:rPr>
              <w:t>to be Recognized at</w:t>
            </w:r>
          </w:p>
        </w:tc>
      </w:tr>
      <w:tr>
        <w:trPr>
          <w:trHeight w:val="210"/>
        </w:trPr>
        <w:tc>
          <w:tcPr>
            <w:tcW w:w="2880" w:type="dxa"/>
            <w:vAlign w:val="bottom"/>
          </w:tcPr>
          <w:p>
            <w:pPr>
              <w:ind w:left="40"/>
              <w:spacing w:after="0"/>
              <w:rPr>
                <w:sz w:val="20"/>
                <w:szCs w:val="20"/>
                <w:color w:val="auto"/>
              </w:rPr>
            </w:pPr>
            <w:r>
              <w:rPr>
                <w:rFonts w:ascii="Arial" w:cs="Arial" w:eastAsia="Arial" w:hAnsi="Arial"/>
                <w:sz w:val="16"/>
                <w:szCs w:val="16"/>
                <w:i w:val="1"/>
                <w:iCs w:val="1"/>
                <w:color w:val="auto"/>
              </w:rPr>
              <w:t>In thousands</w:t>
            </w:r>
          </w:p>
        </w:tc>
        <w:tc>
          <w:tcPr>
            <w:tcW w:w="160" w:type="dxa"/>
            <w:vAlign w:val="bottom"/>
          </w:tcPr>
          <w:p>
            <w:pPr>
              <w:spacing w:after="0"/>
              <w:rPr>
                <w:sz w:val="18"/>
                <w:szCs w:val="18"/>
                <w:color w:val="auto"/>
              </w:rPr>
            </w:pPr>
          </w:p>
        </w:tc>
        <w:tc>
          <w:tcPr>
            <w:tcW w:w="20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March 31, 2019</w:t>
            </w:r>
          </w:p>
        </w:tc>
        <w:tc>
          <w:tcPr>
            <w:tcW w:w="120" w:type="dxa"/>
            <w:vAlign w:val="bottom"/>
          </w:tcPr>
          <w:p>
            <w:pPr>
              <w:spacing w:after="0"/>
              <w:rPr>
                <w:sz w:val="18"/>
                <w:szCs w:val="18"/>
                <w:color w:val="auto"/>
              </w:rPr>
            </w:pPr>
          </w:p>
        </w:tc>
        <w:tc>
          <w:tcPr>
            <w:tcW w:w="2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Periods</w:t>
            </w:r>
          </w:p>
        </w:tc>
        <w:tc>
          <w:tcPr>
            <w:tcW w:w="120" w:type="dxa"/>
            <w:vAlign w:val="bottom"/>
          </w:tcPr>
          <w:p>
            <w:pPr>
              <w:spacing w:after="0"/>
              <w:rPr>
                <w:sz w:val="18"/>
                <w:szCs w:val="18"/>
                <w:color w:val="auto"/>
              </w:rPr>
            </w:pPr>
          </w:p>
        </w:tc>
        <w:tc>
          <w:tcPr>
            <w:tcW w:w="20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March 31, 2019</w:t>
            </w:r>
          </w:p>
        </w:tc>
        <w:tc>
          <w:tcPr>
            <w:tcW w:w="220" w:type="dxa"/>
            <w:vAlign w:val="bottom"/>
          </w:tcPr>
          <w:p>
            <w:pPr>
              <w:spacing w:after="0"/>
              <w:rPr>
                <w:sz w:val="18"/>
                <w:szCs w:val="18"/>
                <w:color w:val="auto"/>
              </w:rPr>
            </w:pPr>
          </w:p>
        </w:tc>
        <w:tc>
          <w:tcPr>
            <w:tcW w:w="1820" w:type="dxa"/>
            <w:vAlign w:val="bottom"/>
          </w:tcPr>
          <w:p>
            <w:pPr>
              <w:jc w:val="center"/>
              <w:ind w:right="139"/>
              <w:spacing w:after="0"/>
              <w:rPr>
                <w:sz w:val="20"/>
                <w:szCs w:val="20"/>
                <w:color w:val="auto"/>
              </w:rPr>
            </w:pPr>
            <w:r>
              <w:rPr>
                <w:rFonts w:ascii="Arial" w:cs="Arial" w:eastAsia="Arial" w:hAnsi="Arial"/>
                <w:sz w:val="16"/>
                <w:szCs w:val="16"/>
                <w:b w:val="1"/>
                <w:bCs w:val="1"/>
                <w:color w:val="auto"/>
                <w:w w:val="94"/>
              </w:rPr>
              <w:t>March 31, 2019</w:t>
            </w:r>
          </w:p>
        </w:tc>
      </w:tr>
      <w:tr>
        <w:trPr>
          <w:trHeight w:val="33"/>
        </w:trPr>
        <w:tc>
          <w:tcPr>
            <w:tcW w:w="28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3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Employee severance costs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36,274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35,845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0"/>
        </w:trPr>
        <w:tc>
          <w:tcPr>
            <w:tcW w:w="2880" w:type="dxa"/>
            <w:vAlign w:val="bottom"/>
          </w:tcPr>
          <w:p>
            <w:pPr>
              <w:ind w:left="40"/>
              <w:spacing w:after="0"/>
              <w:rPr>
                <w:sz w:val="20"/>
                <w:szCs w:val="20"/>
                <w:color w:val="auto"/>
              </w:rPr>
            </w:pPr>
            <w:r>
              <w:rPr>
                <w:rFonts w:ascii="Arial" w:cs="Arial" w:eastAsia="Arial" w:hAnsi="Arial"/>
                <w:sz w:val="16"/>
                <w:szCs w:val="16"/>
                <w:color w:val="auto"/>
              </w:rPr>
              <w:t>Asset impairments &amp; net loss on sale or</w:t>
            </w:r>
          </w:p>
        </w:tc>
        <w:tc>
          <w:tcPr>
            <w:tcW w:w="1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206"/>
        </w:trPr>
        <w:tc>
          <w:tcPr>
            <w:tcW w:w="2880" w:type="dxa"/>
            <w:vAlign w:val="bottom"/>
          </w:tcPr>
          <w:p>
            <w:pPr>
              <w:ind w:left="200"/>
              <w:spacing w:after="0"/>
              <w:rPr>
                <w:sz w:val="20"/>
                <w:szCs w:val="20"/>
                <w:color w:val="auto"/>
              </w:rPr>
            </w:pPr>
            <w:r>
              <w:rPr>
                <w:rFonts w:ascii="Arial" w:cs="Arial" w:eastAsia="Arial" w:hAnsi="Arial"/>
                <w:sz w:val="16"/>
                <w:szCs w:val="16"/>
                <w:color w:val="auto"/>
              </w:rPr>
              <w:t>disposal</w:t>
            </w:r>
          </w:p>
        </w:tc>
        <w:tc>
          <w:tcPr>
            <w:tcW w:w="160" w:type="dxa"/>
            <w:vAlign w:val="bottom"/>
          </w:tcPr>
          <w:p>
            <w:pPr>
              <w:spacing w:after="0"/>
              <w:rPr>
                <w:sz w:val="17"/>
                <w:szCs w:val="17"/>
                <w:color w:val="auto"/>
              </w:rPr>
            </w:pPr>
          </w:p>
        </w:tc>
        <w:tc>
          <w:tcPr>
            <w:tcW w:w="1920" w:type="dxa"/>
            <w:vAlign w:val="bottom"/>
          </w:tcPr>
          <w:p>
            <w:pPr>
              <w:jc w:val="right"/>
              <w:ind w:right="59"/>
              <w:spacing w:after="0"/>
              <w:rPr>
                <w:sz w:val="20"/>
                <w:szCs w:val="20"/>
                <w:color w:val="auto"/>
              </w:rPr>
            </w:pPr>
            <w:r>
              <w:rPr>
                <w:rFonts w:ascii="Arial" w:cs="Arial" w:eastAsia="Arial" w:hAnsi="Arial"/>
                <w:sz w:val="16"/>
                <w:szCs w:val="16"/>
                <w:color w:val="auto"/>
              </w:rPr>
              <w:t>5,659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5,664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2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restructuring costs</w:t>
            </w:r>
          </w:p>
        </w:tc>
        <w:tc>
          <w:tcPr>
            <w:tcW w:w="16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13,719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11,763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1,206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750</w:t>
            </w:r>
          </w:p>
        </w:tc>
      </w:tr>
      <w:tr>
        <w:trPr>
          <w:trHeight w:val="244"/>
        </w:trPr>
        <w:tc>
          <w:tcPr>
            <w:tcW w:w="2880" w:type="dxa"/>
            <w:vAlign w:val="bottom"/>
          </w:tcPr>
          <w:p>
            <w:pPr>
              <w:ind w:left="520"/>
              <w:spacing w:after="0"/>
              <w:rPr>
                <w:sz w:val="20"/>
                <w:szCs w:val="20"/>
                <w:color w:val="auto"/>
              </w:rPr>
            </w:pPr>
            <w:r>
              <w:rPr>
                <w:rFonts w:ascii="Arial" w:cs="Arial" w:eastAsia="Arial" w:hAnsi="Arial"/>
                <w:sz w:val="16"/>
                <w:szCs w:val="16"/>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92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55,652</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9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53,272</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9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1,630</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8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750</w:t>
            </w:r>
          </w:p>
        </w:tc>
      </w:tr>
      <w:tr>
        <w:trPr>
          <w:trHeight w:val="20"/>
        </w:trPr>
        <w:tc>
          <w:tcPr>
            <w:tcW w:w="2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activity within the restructuring related balance sheet accounts for the 2018 and 2016 Projects during the three months ended March 31, 2019:</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1"/>
              </w:rPr>
              <w:t>Accrued Employee</w:t>
            </w:r>
          </w:p>
        </w:tc>
        <w:tc>
          <w:tcPr>
            <w:tcW w:w="120" w:type="dxa"/>
            <w:vAlign w:val="bottom"/>
          </w:tcPr>
          <w:p>
            <w:pPr>
              <w:spacing w:after="0"/>
              <w:rPr>
                <w:sz w:val="17"/>
                <w:szCs w:val="17"/>
                <w:color w:val="auto"/>
              </w:rPr>
            </w:pPr>
          </w:p>
        </w:tc>
        <w:tc>
          <w:tcPr>
            <w:tcW w:w="2060" w:type="dxa"/>
            <w:vAlign w:val="bottom"/>
            <w:gridSpan w:val="2"/>
          </w:tcPr>
          <w:p>
            <w:pPr>
              <w:ind w:left="20"/>
              <w:spacing w:after="0"/>
              <w:rPr>
                <w:sz w:val="20"/>
                <w:szCs w:val="20"/>
                <w:color w:val="auto"/>
              </w:rPr>
            </w:pPr>
            <w:r>
              <w:rPr>
                <w:rFonts w:ascii="Arial" w:cs="Arial" w:eastAsia="Arial" w:hAnsi="Arial"/>
                <w:sz w:val="16"/>
                <w:szCs w:val="16"/>
                <w:b w:val="1"/>
                <w:bCs w:val="1"/>
                <w:color w:val="auto"/>
              </w:rPr>
              <w:t>Asset Impairments &amp; Net</w:t>
            </w: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10"/>
        </w:trPr>
        <w:tc>
          <w:tcPr>
            <w:tcW w:w="3100" w:type="dxa"/>
            <w:vAlign w:val="bottom"/>
          </w:tcPr>
          <w:p>
            <w:pPr>
              <w:ind w:left="40"/>
              <w:spacing w:after="0"/>
              <w:rPr>
                <w:sz w:val="20"/>
                <w:szCs w:val="20"/>
                <w:color w:val="auto"/>
              </w:rPr>
            </w:pPr>
            <w:r>
              <w:rPr>
                <w:rFonts w:ascii="Arial" w:cs="Arial" w:eastAsia="Arial" w:hAnsi="Arial"/>
                <w:sz w:val="16"/>
                <w:szCs w:val="16"/>
                <w:i w:val="1"/>
                <w:iCs w:val="1"/>
                <w:color w:val="auto"/>
              </w:rPr>
              <w:t>In thousands</w:t>
            </w:r>
          </w:p>
        </w:tc>
        <w:tc>
          <w:tcPr>
            <w:tcW w:w="220" w:type="dxa"/>
            <w:vAlign w:val="bottom"/>
          </w:tcPr>
          <w:p>
            <w:pPr>
              <w:spacing w:after="0"/>
              <w:rPr>
                <w:sz w:val="18"/>
                <w:szCs w:val="18"/>
                <w:color w:val="auto"/>
              </w:rPr>
            </w:pPr>
          </w:p>
        </w:tc>
        <w:tc>
          <w:tcPr>
            <w:tcW w:w="18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Severance</w:t>
            </w:r>
          </w:p>
        </w:tc>
        <w:tc>
          <w:tcPr>
            <w:tcW w:w="120" w:type="dxa"/>
            <w:vAlign w:val="bottom"/>
          </w:tcPr>
          <w:p>
            <w:pPr>
              <w:spacing w:after="0"/>
              <w:rPr>
                <w:sz w:val="18"/>
                <w:szCs w:val="18"/>
                <w:color w:val="auto"/>
              </w:rPr>
            </w:pPr>
          </w:p>
        </w:tc>
        <w:tc>
          <w:tcPr>
            <w:tcW w:w="2060" w:type="dxa"/>
            <w:vAlign w:val="bottom"/>
            <w:gridSpan w:val="2"/>
          </w:tcPr>
          <w:p>
            <w:pPr>
              <w:ind w:left="80"/>
              <w:spacing w:after="0"/>
              <w:rPr>
                <w:sz w:val="20"/>
                <w:szCs w:val="20"/>
                <w:color w:val="auto"/>
              </w:rPr>
            </w:pPr>
            <w:r>
              <w:rPr>
                <w:rFonts w:ascii="Arial" w:cs="Arial" w:eastAsia="Arial" w:hAnsi="Arial"/>
                <w:sz w:val="16"/>
                <w:szCs w:val="16"/>
                <w:b w:val="1"/>
                <w:bCs w:val="1"/>
                <w:color w:val="auto"/>
              </w:rPr>
              <w:t>Loss on Sale or Disposal</w:t>
            </w:r>
          </w:p>
        </w:tc>
        <w:tc>
          <w:tcPr>
            <w:tcW w:w="160" w:type="dxa"/>
            <w:vAlign w:val="bottom"/>
          </w:tcPr>
          <w:p>
            <w:pPr>
              <w:spacing w:after="0"/>
              <w:rPr>
                <w:sz w:val="18"/>
                <w:szCs w:val="18"/>
                <w:color w:val="auto"/>
              </w:rPr>
            </w:pPr>
          </w:p>
        </w:tc>
        <w:tc>
          <w:tcPr>
            <w:tcW w:w="1860" w:type="dxa"/>
            <w:vAlign w:val="bottom"/>
            <w:gridSpan w:val="2"/>
          </w:tcPr>
          <w:p>
            <w:pPr>
              <w:ind w:left="60"/>
              <w:spacing w:after="0"/>
              <w:rPr>
                <w:sz w:val="20"/>
                <w:szCs w:val="20"/>
                <w:color w:val="auto"/>
              </w:rPr>
            </w:pPr>
            <w:r>
              <w:rPr>
                <w:rFonts w:ascii="Arial" w:cs="Arial" w:eastAsia="Arial" w:hAnsi="Arial"/>
                <w:sz w:val="16"/>
                <w:szCs w:val="16"/>
                <w:b w:val="1"/>
                <w:bCs w:val="1"/>
                <w:color w:val="auto"/>
              </w:rPr>
              <w:t>Other Accrued Costs</w:t>
            </w:r>
          </w:p>
        </w:tc>
        <w:tc>
          <w:tcPr>
            <w:tcW w:w="480" w:type="dxa"/>
            <w:vAlign w:val="bottom"/>
          </w:tcPr>
          <w:p>
            <w:pPr>
              <w:spacing w:after="0"/>
              <w:rPr>
                <w:sz w:val="18"/>
                <w:szCs w:val="18"/>
                <w:color w:val="auto"/>
              </w:rPr>
            </w:pPr>
          </w:p>
        </w:tc>
        <w:tc>
          <w:tcPr>
            <w:tcW w:w="1560" w:type="dxa"/>
            <w:vAlign w:val="bottom"/>
          </w:tcPr>
          <w:p>
            <w:pPr>
              <w:jc w:val="right"/>
              <w:ind w:right="759"/>
              <w:spacing w:after="0"/>
              <w:rPr>
                <w:sz w:val="20"/>
                <w:szCs w:val="20"/>
                <w:color w:val="auto"/>
              </w:rPr>
            </w:pPr>
            <w:r>
              <w:rPr>
                <w:rFonts w:ascii="Arial" w:cs="Arial" w:eastAsia="Arial" w:hAnsi="Arial"/>
                <w:sz w:val="16"/>
                <w:szCs w:val="16"/>
                <w:b w:val="1"/>
                <w:bCs w:val="1"/>
                <w:color w:val="auto"/>
              </w:rPr>
              <w:t>Total</w:t>
            </w:r>
          </w:p>
        </w:tc>
      </w:tr>
      <w:tr>
        <w:trPr>
          <w:trHeight w:val="33"/>
        </w:trPr>
        <w:tc>
          <w:tcPr>
            <w:tcW w:w="3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Beginning balance, January 1, 2019</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72,152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060" w:type="dxa"/>
            <w:vAlign w:val="bottom"/>
            <w:tcBorders>
              <w:bottom w:val="single" w:sz="8" w:color="CCEEFF"/>
            </w:tcBorders>
            <w:gridSpan w:val="2"/>
            <w:shd w:val="clear" w:color="auto" w:fill="CCEEFF"/>
          </w:tcPr>
          <w:p>
            <w:pPr>
              <w:ind w:left="16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3,416</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75,568</w:t>
            </w:r>
          </w:p>
        </w:tc>
      </w:tr>
      <w:tr>
        <w:trPr>
          <w:trHeight w:val="237"/>
        </w:trPr>
        <w:tc>
          <w:tcPr>
            <w:tcW w:w="3100" w:type="dxa"/>
            <w:vAlign w:val="bottom"/>
          </w:tcPr>
          <w:p>
            <w:pPr>
              <w:ind w:left="200"/>
              <w:spacing w:after="0"/>
              <w:rPr>
                <w:sz w:val="20"/>
                <w:szCs w:val="20"/>
                <w:color w:val="auto"/>
              </w:rPr>
            </w:pPr>
            <w:r>
              <w:rPr>
                <w:rFonts w:ascii="Arial" w:cs="Arial" w:eastAsia="Arial" w:hAnsi="Arial"/>
                <w:sz w:val="16"/>
                <w:szCs w:val="16"/>
                <w:color w:val="auto"/>
              </w:rPr>
              <w:t>Costs charged to expense</w:t>
            </w:r>
          </w:p>
        </w:tc>
        <w:tc>
          <w:tcPr>
            <w:tcW w:w="220" w:type="dxa"/>
            <w:vAlign w:val="bottom"/>
          </w:tcPr>
          <w:p>
            <w:pPr>
              <w:spacing w:after="0"/>
              <w:rPr>
                <w:sz w:val="20"/>
                <w:szCs w:val="20"/>
                <w:color w:val="auto"/>
              </w:rPr>
            </w:pPr>
          </w:p>
        </w:tc>
        <w:tc>
          <w:tcPr>
            <w:tcW w:w="1740" w:type="dxa"/>
            <w:vAlign w:val="bottom"/>
          </w:tcPr>
          <w:p>
            <w:pPr>
              <w:jc w:val="right"/>
              <w:ind w:right="39"/>
              <w:spacing w:after="0"/>
              <w:rPr>
                <w:sz w:val="20"/>
                <w:szCs w:val="20"/>
                <w:color w:val="auto"/>
              </w:rPr>
            </w:pPr>
            <w:r>
              <w:rPr>
                <w:rFonts w:ascii="Arial" w:cs="Arial" w:eastAsia="Arial" w:hAnsi="Arial"/>
                <w:sz w:val="16"/>
                <w:szCs w:val="16"/>
                <w:color w:val="auto"/>
              </w:rPr>
              <w:t>2,224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tcPr>
          <w:p>
            <w:pPr>
              <w:ind w:left="1680"/>
              <w:spacing w:after="0"/>
              <w:rPr>
                <w:sz w:val="20"/>
                <w:szCs w:val="20"/>
                <w:color w:val="auto"/>
              </w:rPr>
            </w:pPr>
            <w:r>
              <w:rPr>
                <w:rFonts w:ascii="Arial" w:cs="Arial" w:eastAsia="Arial" w:hAnsi="Arial"/>
                <w:sz w:val="16"/>
                <w:szCs w:val="16"/>
                <w:color w:val="auto"/>
              </w:rPr>
              <w:t>96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jc w:val="right"/>
              <w:ind w:right="39"/>
              <w:spacing w:after="0"/>
              <w:rPr>
                <w:sz w:val="20"/>
                <w:szCs w:val="20"/>
                <w:color w:val="auto"/>
              </w:rPr>
            </w:pPr>
            <w:r>
              <w:rPr>
                <w:rFonts w:ascii="Arial" w:cs="Arial" w:eastAsia="Arial" w:hAnsi="Arial"/>
                <w:sz w:val="16"/>
                <w:szCs w:val="16"/>
                <w:color w:val="auto"/>
              </w:rPr>
              <w:t>4,942</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7,262</w:t>
            </w:r>
          </w:p>
        </w:tc>
      </w:tr>
      <w:tr>
        <w:trPr>
          <w:trHeight w:val="33"/>
        </w:trPr>
        <w:tc>
          <w:tcPr>
            <w:tcW w:w="3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Cash (payments) receipts</w:t>
            </w:r>
          </w:p>
        </w:tc>
        <w:tc>
          <w:tcPr>
            <w:tcW w:w="2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(4,088)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gridSpan w:val="2"/>
            <w:shd w:val="clear" w:color="auto" w:fill="CCEEFF"/>
          </w:tcPr>
          <w:p>
            <w:pPr>
              <w:ind w:left="16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(6,021)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(10,109)</w:t>
            </w:r>
          </w:p>
        </w:tc>
      </w:tr>
      <w:tr>
        <w:trPr>
          <w:trHeight w:val="237"/>
        </w:trPr>
        <w:tc>
          <w:tcPr>
            <w:tcW w:w="3100" w:type="dxa"/>
            <w:vAlign w:val="bottom"/>
          </w:tcPr>
          <w:p>
            <w:pPr>
              <w:ind w:left="200"/>
              <w:spacing w:after="0"/>
              <w:rPr>
                <w:sz w:val="20"/>
                <w:szCs w:val="20"/>
                <w:color w:val="auto"/>
              </w:rPr>
            </w:pPr>
            <w:r>
              <w:rPr>
                <w:rFonts w:ascii="Arial" w:cs="Arial" w:eastAsia="Arial" w:hAnsi="Arial"/>
                <w:sz w:val="16"/>
                <w:szCs w:val="16"/>
                <w:color w:val="auto"/>
              </w:rPr>
              <w:t>Net assets disposed and impaired</w:t>
            </w:r>
          </w:p>
        </w:tc>
        <w:tc>
          <w:tcPr>
            <w:tcW w:w="220" w:type="dxa"/>
            <w:vAlign w:val="bottom"/>
          </w:tcPr>
          <w:p>
            <w:pPr>
              <w:spacing w:after="0"/>
              <w:rPr>
                <w:sz w:val="20"/>
                <w:szCs w:val="20"/>
                <w:color w:val="auto"/>
              </w:rPr>
            </w:pPr>
          </w:p>
        </w:tc>
        <w:tc>
          <w:tcPr>
            <w:tcW w:w="1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2060" w:type="dxa"/>
            <w:vAlign w:val="bottom"/>
            <w:gridSpan w:val="2"/>
          </w:tcPr>
          <w:p>
            <w:pPr>
              <w:ind w:left="16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3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Effect of change in exchange rates</w:t>
            </w:r>
          </w:p>
        </w:tc>
        <w:tc>
          <w:tcPr>
            <w:tcW w:w="22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60" w:type="dxa"/>
            <w:vAlign w:val="bottom"/>
            <w:tcBorders>
              <w:bottom w:val="single" w:sz="8" w:color="CCEEFF"/>
            </w:tcBorders>
            <w:gridSpan w:val="2"/>
            <w:shd w:val="clear" w:color="auto" w:fill="CCEEFF"/>
          </w:tcPr>
          <w:p>
            <w:pPr>
              <w:ind w:left="16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(812)</w:t>
            </w:r>
          </w:p>
        </w:tc>
      </w:tr>
      <w:tr>
        <w:trPr>
          <w:trHeight w:val="244"/>
        </w:trPr>
        <w:tc>
          <w:tcPr>
            <w:tcW w:w="3100" w:type="dxa"/>
            <w:vAlign w:val="bottom"/>
          </w:tcPr>
          <w:p>
            <w:pPr>
              <w:ind w:left="40"/>
              <w:spacing w:after="0"/>
              <w:rPr>
                <w:sz w:val="20"/>
                <w:szCs w:val="20"/>
                <w:color w:val="auto"/>
              </w:rPr>
            </w:pPr>
            <w:r>
              <w:rPr>
                <w:rFonts w:ascii="Arial" w:cs="Arial" w:eastAsia="Arial" w:hAnsi="Arial"/>
                <w:sz w:val="16"/>
                <w:szCs w:val="16"/>
                <w:color w:val="auto"/>
              </w:rPr>
              <w:t>Ending balance, March 31, 2019</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69,466</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940" w:type="dxa"/>
            <w:vAlign w:val="bottom"/>
            <w:tcBorders>
              <w:top w:val="single" w:sz="8" w:color="auto"/>
              <w:bottom w:val="single" w:sz="8" w:color="auto"/>
            </w:tcBorders>
          </w:tcPr>
          <w:p>
            <w:pPr>
              <w:ind w:left="1680"/>
              <w:spacing w:after="0"/>
              <w:rPr>
                <w:sz w:val="20"/>
                <w:szCs w:val="20"/>
                <w:color w:val="auto"/>
              </w:rPr>
            </w:pPr>
            <w:r>
              <w:rPr>
                <w:rFonts w:ascii="Arial" w:cs="Arial" w:eastAsia="Arial" w:hAnsi="Arial"/>
                <w:sz w:val="16"/>
                <w:szCs w:val="16"/>
                <w:color w:val="auto"/>
              </w:rPr>
              <w:t>96</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2,347</w:t>
            </w:r>
          </w:p>
        </w:tc>
        <w:tc>
          <w:tcPr>
            <w:tcW w:w="100" w:type="dxa"/>
            <w:vAlign w:val="bottom"/>
          </w:tcPr>
          <w:p>
            <w:pPr>
              <w:spacing w:after="0"/>
              <w:rPr>
                <w:sz w:val="21"/>
                <w:szCs w:val="21"/>
                <w:color w:val="auto"/>
              </w:rPr>
            </w:pPr>
          </w:p>
        </w:tc>
        <w:tc>
          <w:tcPr>
            <w:tcW w:w="48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71,909</w:t>
            </w:r>
          </w:p>
        </w:tc>
      </w:tr>
      <w:tr>
        <w:trPr>
          <w:trHeight w:val="20"/>
        </w:trPr>
        <w:tc>
          <w:tcPr>
            <w:tcW w:w="3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Asset impairments are determined at the asset group level. Revenues and net operating income from the activities we have exited or will exit under the restructuring projects are not material to our operating segments or consolidated results.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restructuring costs include expenses for employee relocation, professional fees associated with employee severance, and costs to exit the facilities once the operations in those facilities have ceased. Costs associated with restructuring activities are generally presented in the Consolidated Statements of Operations as restructuring, except for certain costs associated with inventory write-downs, which are classified within cost of revenues, and accelerated depreciation expense, which is recognized according to the use of the asset.</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current portion of restructuring liabilities was $30.6 million and $36.0 million as of March 31, 2019 and December 31, 2018. The current portion of restructuring liabilities is classified within other current liabilities on the Consolidated Balance Sheets. The long-term portion of restructuring liabilities balances was $41.3 million and $39.6 million as of March 31, 2019 and December 31, 2018. The long-term portion of restructuring liabilities is classified within other long-term obligations on the Consolidated Balance Sheets and include severance accruals and facility exit costs.</w:t>
      </w:r>
    </w:p>
    <w:p>
      <w:pPr>
        <w:spacing w:after="0" w:line="16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6"/>
          <w:szCs w:val="16"/>
          <w:b w:val="1"/>
          <w:bCs w:val="1"/>
          <w:color w:val="auto"/>
        </w:rPr>
        <w:t>Shareholders' Equity</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Preferred Stock</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authorized the issuance of 10 million shares of preferred stock with no par value. In the event of a liquidation, dissolution, or winding up of the affairs of the corporation, whether voluntary or involuntary, the holders of any outstanding preferred stock will be entitled to be paid a preferential amount per share to be determined by the Board of Directors prior to any payment to holders of common stock. There was no preferred stock issued or outstanding at March 31, 2019 and December 31, 2018.</w:t>
      </w:r>
    </w:p>
    <w:p>
      <w:pPr>
        <w:spacing w:after="0" w:line="19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Stock Repurchase Authorization</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March 14, 2019, Itron's Board of Directors authorized the Company to repurchase up to $50 million of our common stock over a 12-month period (the 2019 Stock Repurchase Program). Following the announcement of the program and through March 31, 2019, we repurchased 165,400 shares at an average share price of $47.25 (including commissions) for a total of $7.8 million. Subsequent to March 31, 2019, we repurchased an additional 363,996 shares at an average price of $47.21 (including commissions) for a total of $17.2 million. The remaining amount authorized for repurchase under the 2019 Stock Repurchase Program is $25 million. In accordance with the terms of our 5% senior notes indenture maturing January 15, 2026, we are limited to a total of $25 million in stock repurchases in 2019. As we have already met that threshold, we will not repurchase any more shares for the remainder of 2019.</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Other Comprehensive Income (Loss)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before-tax amount, income tax (provision) benefit, and net-of-tax amount related to each component of OCI were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100" w:type="dxa"/>
            <w:vAlign w:val="bottom"/>
            <w:gridSpan w:val="4"/>
          </w:tcPr>
          <w:p>
            <w:pPr>
              <w:jc w:val="right"/>
              <w:ind w:right="539"/>
              <w:spacing w:after="0"/>
              <w:rPr>
                <w:sz w:val="20"/>
                <w:szCs w:val="20"/>
                <w:color w:val="auto"/>
              </w:rPr>
            </w:pPr>
            <w:r>
              <w:rPr>
                <w:rFonts w:ascii="Arial" w:cs="Arial" w:eastAsia="Arial" w:hAnsi="Arial"/>
                <w:sz w:val="16"/>
                <w:szCs w:val="16"/>
                <w:b w:val="1"/>
                <w:bCs w:val="1"/>
                <w:color w:val="auto"/>
              </w:rPr>
              <w:t>Three Months Ended March 31,</w:t>
            </w:r>
          </w:p>
        </w:tc>
      </w:tr>
      <w:tr>
        <w:trPr>
          <w:trHeight w:val="33"/>
        </w:trPr>
        <w:tc>
          <w:tcPr>
            <w:tcW w:w="7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1"/>
        </w:trPr>
        <w:tc>
          <w:tcPr>
            <w:tcW w:w="7740" w:type="dxa"/>
            <w:vAlign w:val="bottom"/>
          </w:tcPr>
          <w:p>
            <w:pPr>
              <w:ind w:left="40"/>
              <w:spacing w:after="0"/>
              <w:rPr>
                <w:sz w:val="20"/>
                <w:szCs w:val="20"/>
                <w:color w:val="auto"/>
              </w:rPr>
            </w:pPr>
            <w:r>
              <w:rPr>
                <w:rFonts w:ascii="Arial" w:cs="Arial" w:eastAsia="Arial" w:hAnsi="Arial"/>
                <w:sz w:val="16"/>
                <w:szCs w:val="16"/>
                <w:i w:val="1"/>
                <w:iCs w:val="1"/>
                <w:color w:val="auto"/>
              </w:rPr>
              <w:t>In thousands</w:t>
            </w:r>
          </w:p>
        </w:tc>
        <w:tc>
          <w:tcPr>
            <w:tcW w:w="360" w:type="dxa"/>
            <w:vAlign w:val="bottom"/>
          </w:tcPr>
          <w:p>
            <w:pPr>
              <w:spacing w:after="0"/>
              <w:rPr>
                <w:sz w:val="20"/>
                <w:szCs w:val="20"/>
                <w:color w:val="auto"/>
              </w:rPr>
            </w:pPr>
          </w:p>
        </w:tc>
        <w:tc>
          <w:tcPr>
            <w:tcW w:w="1320" w:type="dxa"/>
            <w:vAlign w:val="bottom"/>
          </w:tcPr>
          <w:p>
            <w:pPr>
              <w:jc w:val="right"/>
              <w:ind w:right="59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599"/>
              <w:spacing w:after="0"/>
              <w:rPr>
                <w:sz w:val="20"/>
                <w:szCs w:val="20"/>
                <w:color w:val="auto"/>
              </w:rPr>
            </w:pPr>
            <w:r>
              <w:rPr>
                <w:rFonts w:ascii="Arial" w:cs="Arial" w:eastAsia="Arial" w:hAnsi="Arial"/>
                <w:sz w:val="16"/>
                <w:szCs w:val="16"/>
                <w:b w:val="1"/>
                <w:bCs w:val="1"/>
                <w:color w:val="auto"/>
              </w:rPr>
              <w:t>2018</w:t>
            </w:r>
          </w:p>
        </w:tc>
      </w:tr>
      <w:tr>
        <w:trPr>
          <w:trHeight w:val="33"/>
        </w:trPr>
        <w:tc>
          <w:tcPr>
            <w:tcW w:w="7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1"/>
        </w:trPr>
        <w:tc>
          <w:tcPr>
            <w:tcW w:w="7740" w:type="dxa"/>
            <w:vAlign w:val="bottom"/>
          </w:tcPr>
          <w:p>
            <w:pPr>
              <w:ind w:left="40"/>
              <w:spacing w:after="0"/>
              <w:rPr>
                <w:sz w:val="20"/>
                <w:szCs w:val="20"/>
                <w:color w:val="auto"/>
              </w:rPr>
            </w:pPr>
            <w:r>
              <w:rPr>
                <w:rFonts w:ascii="Arial" w:cs="Arial" w:eastAsia="Arial" w:hAnsi="Arial"/>
                <w:sz w:val="16"/>
                <w:szCs w:val="16"/>
                <w:b w:val="1"/>
                <w:bCs w:val="1"/>
                <w:color w:val="auto"/>
              </w:rPr>
              <w:t>Before-tax amount</w:t>
            </w:r>
          </w:p>
        </w:tc>
        <w:tc>
          <w:tcPr>
            <w:tcW w:w="3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3"/>
        </w:trPr>
        <w:tc>
          <w:tcPr>
            <w:tcW w:w="7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Foreign currency translation adjustment</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(2,254)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16,293</w:t>
            </w:r>
          </w:p>
        </w:tc>
      </w:tr>
      <w:tr>
        <w:trPr>
          <w:trHeight w:val="237"/>
        </w:trPr>
        <w:tc>
          <w:tcPr>
            <w:tcW w:w="7740" w:type="dxa"/>
            <w:vAlign w:val="bottom"/>
          </w:tcPr>
          <w:p>
            <w:pPr>
              <w:ind w:left="200"/>
              <w:spacing w:after="0"/>
              <w:rPr>
                <w:sz w:val="20"/>
                <w:szCs w:val="20"/>
                <w:color w:val="auto"/>
              </w:rPr>
            </w:pPr>
            <w:r>
              <w:rPr>
                <w:rFonts w:ascii="Arial" w:cs="Arial" w:eastAsia="Arial" w:hAnsi="Arial"/>
                <w:sz w:val="16"/>
                <w:szCs w:val="16"/>
                <w:color w:val="auto"/>
              </w:rPr>
              <w:t>Net unrealized gain (loss) on derivative instruments designated as cash flow hedges</w:t>
            </w:r>
          </w:p>
        </w:tc>
        <w:tc>
          <w:tcPr>
            <w:tcW w:w="36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171</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1,436</w:t>
            </w:r>
          </w:p>
        </w:tc>
      </w:tr>
      <w:tr>
        <w:trPr>
          <w:trHeight w:val="33"/>
        </w:trPr>
        <w:tc>
          <w:tcPr>
            <w:tcW w:w="7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Net hedging (gain) loss reclassified into net income</w:t>
            </w:r>
          </w:p>
        </w:tc>
        <w:tc>
          <w:tcPr>
            <w:tcW w:w="3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r>
      <w:tr>
        <w:trPr>
          <w:trHeight w:val="237"/>
        </w:trPr>
        <w:tc>
          <w:tcPr>
            <w:tcW w:w="7740" w:type="dxa"/>
            <w:vAlign w:val="bottom"/>
          </w:tcPr>
          <w:p>
            <w:pPr>
              <w:ind w:left="200"/>
              <w:spacing w:after="0"/>
              <w:rPr>
                <w:sz w:val="20"/>
                <w:szCs w:val="20"/>
                <w:color w:val="auto"/>
              </w:rPr>
            </w:pPr>
            <w:r>
              <w:rPr>
                <w:rFonts w:ascii="Arial" w:cs="Arial" w:eastAsia="Arial" w:hAnsi="Arial"/>
                <w:sz w:val="16"/>
                <w:szCs w:val="16"/>
                <w:color w:val="auto"/>
              </w:rPr>
              <w:t>Net unrealized gain (loss) on defined benefit plans</w:t>
            </w:r>
          </w:p>
        </w:tc>
        <w:tc>
          <w:tcPr>
            <w:tcW w:w="36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342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7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7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Net defined benefit plan loss reclassified to net income</w:t>
            </w:r>
          </w:p>
        </w:tc>
        <w:tc>
          <w:tcPr>
            <w:tcW w:w="3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179</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420</w:t>
            </w:r>
          </w:p>
        </w:tc>
      </w:tr>
      <w:tr>
        <w:trPr>
          <w:trHeight w:val="284"/>
        </w:trPr>
        <w:tc>
          <w:tcPr>
            <w:tcW w:w="774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Total other comprehensive income (loss), before tax</w:t>
            </w: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(1,826)</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18,130</w:t>
            </w:r>
          </w:p>
        </w:tc>
      </w:tr>
      <w:tr>
        <w:trPr>
          <w:trHeight w:val="284"/>
        </w:trPr>
        <w:tc>
          <w:tcPr>
            <w:tcW w:w="77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37"/>
        </w:trPr>
        <w:tc>
          <w:tcPr>
            <w:tcW w:w="7740" w:type="dxa"/>
            <w:vAlign w:val="bottom"/>
          </w:tcPr>
          <w:p>
            <w:pPr>
              <w:ind w:left="40"/>
              <w:spacing w:after="0"/>
              <w:rPr>
                <w:sz w:val="20"/>
                <w:szCs w:val="20"/>
                <w:color w:val="auto"/>
              </w:rPr>
            </w:pPr>
            <w:r>
              <w:rPr>
                <w:rFonts w:ascii="Arial" w:cs="Arial" w:eastAsia="Arial" w:hAnsi="Arial"/>
                <w:sz w:val="16"/>
                <w:szCs w:val="16"/>
                <w:b w:val="1"/>
                <w:bCs w:val="1"/>
                <w:color w:val="auto"/>
              </w:rPr>
              <w:t>Tax (provision) benefit</w:t>
            </w:r>
          </w:p>
        </w:tc>
        <w:tc>
          <w:tcPr>
            <w:tcW w:w="3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3"/>
        </w:trPr>
        <w:tc>
          <w:tcPr>
            <w:tcW w:w="7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Foreign currency translation adjustment</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w:t>
            </w:r>
          </w:p>
        </w:tc>
      </w:tr>
      <w:tr>
        <w:trPr>
          <w:trHeight w:val="237"/>
        </w:trPr>
        <w:tc>
          <w:tcPr>
            <w:tcW w:w="7740" w:type="dxa"/>
            <w:vAlign w:val="bottom"/>
          </w:tcPr>
          <w:p>
            <w:pPr>
              <w:ind w:left="200"/>
              <w:spacing w:after="0"/>
              <w:rPr>
                <w:sz w:val="20"/>
                <w:szCs w:val="20"/>
                <w:color w:val="auto"/>
              </w:rPr>
            </w:pPr>
            <w:r>
              <w:rPr>
                <w:rFonts w:ascii="Arial" w:cs="Arial" w:eastAsia="Arial" w:hAnsi="Arial"/>
                <w:sz w:val="16"/>
                <w:szCs w:val="16"/>
                <w:color w:val="auto"/>
              </w:rPr>
              <w:t>Net unrealized gain (loss) on derivative instruments designated as cash flow hedges</w:t>
            </w:r>
          </w:p>
        </w:tc>
        <w:tc>
          <w:tcPr>
            <w:tcW w:w="36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(253)</w:t>
            </w:r>
          </w:p>
        </w:tc>
      </w:tr>
      <w:tr>
        <w:trPr>
          <w:trHeight w:val="33"/>
        </w:trPr>
        <w:tc>
          <w:tcPr>
            <w:tcW w:w="7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Net hedging (gain) loss reclassified into net income</w:t>
            </w:r>
          </w:p>
        </w:tc>
        <w:tc>
          <w:tcPr>
            <w:tcW w:w="3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r>
      <w:tr>
        <w:trPr>
          <w:trHeight w:val="237"/>
        </w:trPr>
        <w:tc>
          <w:tcPr>
            <w:tcW w:w="7740" w:type="dxa"/>
            <w:vAlign w:val="bottom"/>
          </w:tcPr>
          <w:p>
            <w:pPr>
              <w:ind w:left="200"/>
              <w:spacing w:after="0"/>
              <w:rPr>
                <w:sz w:val="20"/>
                <w:szCs w:val="20"/>
                <w:color w:val="auto"/>
              </w:rPr>
            </w:pPr>
            <w:r>
              <w:rPr>
                <w:rFonts w:ascii="Arial" w:cs="Arial" w:eastAsia="Arial" w:hAnsi="Arial"/>
                <w:sz w:val="16"/>
                <w:szCs w:val="16"/>
                <w:color w:val="auto"/>
              </w:rPr>
              <w:t>Net unrealized gain (loss) on defined benefit plans</w:t>
            </w:r>
          </w:p>
        </w:tc>
        <w:tc>
          <w:tcPr>
            <w:tcW w:w="3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7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7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Net defined benefit plan loss reclassified to net income</w:t>
            </w:r>
          </w:p>
        </w:tc>
        <w:tc>
          <w:tcPr>
            <w:tcW w:w="3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r>
      <w:tr>
        <w:trPr>
          <w:trHeight w:val="284"/>
        </w:trPr>
        <w:tc>
          <w:tcPr>
            <w:tcW w:w="774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Total other comprehensive income (loss) tax benefit</w:t>
            </w: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46</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(247)</w:t>
            </w:r>
          </w:p>
        </w:tc>
      </w:tr>
      <w:tr>
        <w:trPr>
          <w:trHeight w:val="284"/>
        </w:trPr>
        <w:tc>
          <w:tcPr>
            <w:tcW w:w="77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37"/>
        </w:trPr>
        <w:tc>
          <w:tcPr>
            <w:tcW w:w="7740" w:type="dxa"/>
            <w:vAlign w:val="bottom"/>
          </w:tcPr>
          <w:p>
            <w:pPr>
              <w:ind w:left="40"/>
              <w:spacing w:after="0"/>
              <w:rPr>
                <w:sz w:val="20"/>
                <w:szCs w:val="20"/>
                <w:color w:val="auto"/>
              </w:rPr>
            </w:pPr>
            <w:r>
              <w:rPr>
                <w:rFonts w:ascii="Arial" w:cs="Arial" w:eastAsia="Arial" w:hAnsi="Arial"/>
                <w:sz w:val="16"/>
                <w:szCs w:val="16"/>
                <w:b w:val="1"/>
                <w:bCs w:val="1"/>
                <w:color w:val="auto"/>
              </w:rPr>
              <w:t>Net-of-tax amount</w:t>
            </w:r>
          </w:p>
        </w:tc>
        <w:tc>
          <w:tcPr>
            <w:tcW w:w="3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3"/>
        </w:trPr>
        <w:tc>
          <w:tcPr>
            <w:tcW w:w="7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Foreign currency translation adjustment</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(2,386)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16,300</w:t>
            </w:r>
          </w:p>
        </w:tc>
      </w:tr>
      <w:tr>
        <w:trPr>
          <w:trHeight w:val="237"/>
        </w:trPr>
        <w:tc>
          <w:tcPr>
            <w:tcW w:w="7740" w:type="dxa"/>
            <w:vAlign w:val="bottom"/>
          </w:tcPr>
          <w:p>
            <w:pPr>
              <w:ind w:left="200"/>
              <w:spacing w:after="0"/>
              <w:rPr>
                <w:sz w:val="20"/>
                <w:szCs w:val="20"/>
                <w:color w:val="auto"/>
              </w:rPr>
            </w:pPr>
            <w:r>
              <w:rPr>
                <w:rFonts w:ascii="Arial" w:cs="Arial" w:eastAsia="Arial" w:hAnsi="Arial"/>
                <w:sz w:val="16"/>
                <w:szCs w:val="16"/>
                <w:color w:val="auto"/>
              </w:rPr>
              <w:t>Net unrealized gain (loss) on derivative instruments designated as cash flow hedges</w:t>
            </w:r>
          </w:p>
        </w:tc>
        <w:tc>
          <w:tcPr>
            <w:tcW w:w="36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211</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1,183</w:t>
            </w:r>
          </w:p>
        </w:tc>
      </w:tr>
      <w:tr>
        <w:trPr>
          <w:trHeight w:val="33"/>
        </w:trPr>
        <w:tc>
          <w:tcPr>
            <w:tcW w:w="7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Net hedging (gain) loss reclassified into net income</w:t>
            </w:r>
          </w:p>
        </w:tc>
        <w:tc>
          <w:tcPr>
            <w:tcW w:w="3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37"/>
        </w:trPr>
        <w:tc>
          <w:tcPr>
            <w:tcW w:w="7740" w:type="dxa"/>
            <w:vAlign w:val="bottom"/>
          </w:tcPr>
          <w:p>
            <w:pPr>
              <w:ind w:left="200"/>
              <w:spacing w:after="0"/>
              <w:rPr>
                <w:sz w:val="20"/>
                <w:szCs w:val="20"/>
                <w:color w:val="auto"/>
              </w:rPr>
            </w:pPr>
            <w:r>
              <w:rPr>
                <w:rFonts w:ascii="Arial" w:cs="Arial" w:eastAsia="Arial" w:hAnsi="Arial"/>
                <w:sz w:val="16"/>
                <w:szCs w:val="16"/>
                <w:color w:val="auto"/>
              </w:rPr>
              <w:t>Net unrealized gain (loss) on defined benefit plans</w:t>
            </w:r>
          </w:p>
        </w:tc>
        <w:tc>
          <w:tcPr>
            <w:tcW w:w="36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327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7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7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Net defined benefit plan loss reclassified to net income</w:t>
            </w:r>
          </w:p>
        </w:tc>
        <w:tc>
          <w:tcPr>
            <w:tcW w:w="3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414</w:t>
            </w:r>
          </w:p>
        </w:tc>
      </w:tr>
      <w:tr>
        <w:trPr>
          <w:trHeight w:val="244"/>
        </w:trPr>
        <w:tc>
          <w:tcPr>
            <w:tcW w:w="7740" w:type="dxa"/>
            <w:vAlign w:val="bottom"/>
          </w:tcPr>
          <w:p>
            <w:pPr>
              <w:ind w:left="40"/>
              <w:spacing w:after="0"/>
              <w:rPr>
                <w:sz w:val="20"/>
                <w:szCs w:val="20"/>
                <w:color w:val="auto"/>
              </w:rPr>
            </w:pPr>
            <w:r>
              <w:rPr>
                <w:rFonts w:ascii="Arial" w:cs="Arial" w:eastAsia="Arial" w:hAnsi="Arial"/>
                <w:sz w:val="16"/>
                <w:szCs w:val="16"/>
                <w:b w:val="1"/>
                <w:bCs w:val="1"/>
                <w:color w:val="auto"/>
              </w:rPr>
              <w:t>Total other comprehensive income (loss), net of tax</w:t>
            </w: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(1,780)</w:t>
            </w:r>
          </w:p>
        </w:tc>
        <w:tc>
          <w:tcPr>
            <w:tcW w:w="100" w:type="dxa"/>
            <w:vAlign w:val="bottom"/>
          </w:tcPr>
          <w:p>
            <w:pPr>
              <w:spacing w:after="0"/>
              <w:rPr>
                <w:sz w:val="21"/>
                <w:szCs w:val="21"/>
                <w:color w:val="auto"/>
              </w:rPr>
            </w:pPr>
          </w:p>
        </w:tc>
        <w:tc>
          <w:tcPr>
            <w:tcW w:w="4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17,883</w:t>
            </w:r>
          </w:p>
        </w:tc>
      </w:tr>
      <w:tr>
        <w:trPr>
          <w:trHeight w:val="20"/>
        </w:trPr>
        <w:tc>
          <w:tcPr>
            <w:tcW w:w="7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components of AOCI, net of tax, were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3"/>
          </w:tcPr>
          <w:p>
            <w:pPr>
              <w:ind w:left="40"/>
              <w:spacing w:after="0"/>
              <w:rPr>
                <w:sz w:val="20"/>
                <w:szCs w:val="20"/>
                <w:color w:val="auto"/>
              </w:rPr>
            </w:pPr>
            <w:r>
              <w:rPr>
                <w:rFonts w:ascii="Arial" w:cs="Arial" w:eastAsia="Arial" w:hAnsi="Arial"/>
                <w:sz w:val="16"/>
                <w:szCs w:val="16"/>
                <w:b w:val="1"/>
                <w:bCs w:val="1"/>
                <w:color w:val="auto"/>
              </w:rPr>
              <w:t>Net Unrealized Gain</w:t>
            </w: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3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Foreign Currency</w:t>
            </w:r>
          </w:p>
        </w:tc>
        <w:tc>
          <w:tcPr>
            <w:tcW w:w="1620" w:type="dxa"/>
            <w:vAlign w:val="bottom"/>
            <w:gridSpan w:val="3"/>
          </w:tcPr>
          <w:p>
            <w:pPr>
              <w:ind w:left="40"/>
              <w:spacing w:after="0"/>
              <w:rPr>
                <w:sz w:val="20"/>
                <w:szCs w:val="20"/>
                <w:color w:val="auto"/>
              </w:rPr>
            </w:pPr>
            <w:r>
              <w:rPr>
                <w:rFonts w:ascii="Arial" w:cs="Arial" w:eastAsia="Arial" w:hAnsi="Arial"/>
                <w:sz w:val="16"/>
                <w:szCs w:val="16"/>
                <w:b w:val="1"/>
                <w:bCs w:val="1"/>
                <w:color w:val="auto"/>
              </w:rPr>
              <w:t>Net Unrealized Gain</w:t>
            </w:r>
          </w:p>
        </w:tc>
        <w:tc>
          <w:tcPr>
            <w:tcW w:w="200" w:type="dxa"/>
            <w:vAlign w:val="bottom"/>
          </w:tcPr>
          <w:p>
            <w:pPr>
              <w:spacing w:after="0"/>
              <w:rPr>
                <w:sz w:val="17"/>
                <w:szCs w:val="17"/>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8"/>
              </w:rPr>
              <w:t>(Loss) on</w:t>
            </w:r>
          </w:p>
        </w:tc>
        <w:tc>
          <w:tcPr>
            <w:tcW w:w="14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Pension Benefit</w:t>
            </w:r>
          </w:p>
        </w:tc>
        <w:tc>
          <w:tcPr>
            <w:tcW w:w="1460" w:type="dxa"/>
            <w:vAlign w:val="bottom"/>
            <w:gridSpan w:val="2"/>
          </w:tcPr>
          <w:p>
            <w:pPr>
              <w:ind w:left="40"/>
              <w:spacing w:after="0"/>
              <w:rPr>
                <w:sz w:val="20"/>
                <w:szCs w:val="20"/>
                <w:color w:val="auto"/>
              </w:rPr>
            </w:pPr>
            <w:r>
              <w:rPr>
                <w:rFonts w:ascii="Arial" w:cs="Arial" w:eastAsia="Arial" w:hAnsi="Arial"/>
                <w:sz w:val="16"/>
                <w:szCs w:val="16"/>
                <w:b w:val="1"/>
                <w:bCs w:val="1"/>
                <w:color w:val="auto"/>
                <w:w w:val="94"/>
              </w:rPr>
              <w:t>Accumulated Other</w:t>
            </w:r>
          </w:p>
        </w:tc>
      </w:tr>
      <w:tr>
        <w:trPr>
          <w:trHeight w:val="203"/>
        </w:trPr>
        <w:tc>
          <w:tcPr>
            <w:tcW w:w="3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Translation</w:t>
            </w:r>
          </w:p>
        </w:tc>
        <w:tc>
          <w:tcPr>
            <w:tcW w:w="1620" w:type="dxa"/>
            <w:vAlign w:val="bottom"/>
            <w:gridSpan w:val="3"/>
          </w:tcPr>
          <w:p>
            <w:pPr>
              <w:ind w:left="60"/>
              <w:spacing w:after="0"/>
              <w:rPr>
                <w:sz w:val="20"/>
                <w:szCs w:val="20"/>
                <w:color w:val="auto"/>
              </w:rPr>
            </w:pPr>
            <w:r>
              <w:rPr>
                <w:rFonts w:ascii="Arial" w:cs="Arial" w:eastAsia="Arial" w:hAnsi="Arial"/>
                <w:sz w:val="16"/>
                <w:szCs w:val="16"/>
                <w:b w:val="1"/>
                <w:bCs w:val="1"/>
                <w:color w:val="auto"/>
              </w:rPr>
              <w:t>(Loss) on Derivative</w:t>
            </w:r>
          </w:p>
        </w:tc>
        <w:tc>
          <w:tcPr>
            <w:tcW w:w="200" w:type="dxa"/>
            <w:vAlign w:val="bottom"/>
          </w:tcPr>
          <w:p>
            <w:pPr>
              <w:spacing w:after="0"/>
              <w:rPr>
                <w:sz w:val="17"/>
                <w:szCs w:val="17"/>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Nonderivative</w:t>
            </w:r>
          </w:p>
        </w:tc>
        <w:tc>
          <w:tcPr>
            <w:tcW w:w="140" w:type="dxa"/>
            <w:vAlign w:val="bottom"/>
          </w:tcPr>
          <w:p>
            <w:pPr>
              <w:spacing w:after="0"/>
              <w:rPr>
                <w:sz w:val="17"/>
                <w:szCs w:val="17"/>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Obligation</w:t>
            </w:r>
          </w:p>
        </w:tc>
        <w:tc>
          <w:tcPr>
            <w:tcW w:w="160" w:type="dxa"/>
            <w:vAlign w:val="bottom"/>
          </w:tcPr>
          <w:p>
            <w:pPr>
              <w:spacing w:after="0"/>
              <w:rPr>
                <w:sz w:val="17"/>
                <w:szCs w:val="17"/>
                <w:color w:val="auto"/>
              </w:rPr>
            </w:pPr>
          </w:p>
        </w:tc>
        <w:tc>
          <w:tcPr>
            <w:tcW w:w="1300" w:type="dxa"/>
            <w:vAlign w:val="bottom"/>
          </w:tcPr>
          <w:p>
            <w:pPr>
              <w:jc w:val="right"/>
              <w:ind w:right="119"/>
              <w:spacing w:after="0"/>
              <w:rPr>
                <w:sz w:val="20"/>
                <w:szCs w:val="20"/>
                <w:color w:val="auto"/>
              </w:rPr>
            </w:pPr>
            <w:r>
              <w:rPr>
                <w:rFonts w:ascii="Arial" w:cs="Arial" w:eastAsia="Arial" w:hAnsi="Arial"/>
                <w:sz w:val="16"/>
                <w:szCs w:val="16"/>
                <w:b w:val="1"/>
                <w:bCs w:val="1"/>
                <w:color w:val="auto"/>
                <w:w w:val="89"/>
              </w:rPr>
              <w:t>Comprehensive</w:t>
            </w:r>
          </w:p>
        </w:tc>
      </w:tr>
      <w:tr>
        <w:trPr>
          <w:trHeight w:val="210"/>
        </w:trPr>
        <w:tc>
          <w:tcPr>
            <w:tcW w:w="3540" w:type="dxa"/>
            <w:vAlign w:val="bottom"/>
          </w:tcPr>
          <w:p>
            <w:pPr>
              <w:ind w:left="40"/>
              <w:spacing w:after="0"/>
              <w:rPr>
                <w:sz w:val="20"/>
                <w:szCs w:val="20"/>
                <w:color w:val="auto"/>
              </w:rPr>
            </w:pPr>
            <w:r>
              <w:rPr>
                <w:rFonts w:ascii="Arial" w:cs="Arial" w:eastAsia="Arial" w:hAnsi="Arial"/>
                <w:sz w:val="16"/>
                <w:szCs w:val="16"/>
                <w:i w:val="1"/>
                <w:iCs w:val="1"/>
                <w:color w:val="auto"/>
              </w:rPr>
              <w:t>In thousands</w:t>
            </w:r>
          </w:p>
        </w:tc>
        <w:tc>
          <w:tcPr>
            <w:tcW w:w="1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Adjustments</w:t>
            </w:r>
          </w:p>
        </w:tc>
        <w:tc>
          <w:tcPr>
            <w:tcW w:w="220" w:type="dxa"/>
            <w:vAlign w:val="bottom"/>
          </w:tcPr>
          <w:p>
            <w:pPr>
              <w:spacing w:after="0"/>
              <w:rPr>
                <w:sz w:val="18"/>
                <w:szCs w:val="18"/>
                <w:color w:val="auto"/>
              </w:rPr>
            </w:pPr>
          </w:p>
        </w:tc>
        <w:tc>
          <w:tcPr>
            <w:tcW w:w="1400" w:type="dxa"/>
            <w:vAlign w:val="bottom"/>
            <w:gridSpan w:val="2"/>
          </w:tcPr>
          <w:p>
            <w:pPr>
              <w:ind w:left="120"/>
              <w:spacing w:after="0"/>
              <w:rPr>
                <w:sz w:val="20"/>
                <w:szCs w:val="20"/>
                <w:color w:val="auto"/>
              </w:rPr>
            </w:pPr>
            <w:r>
              <w:rPr>
                <w:rFonts w:ascii="Arial" w:cs="Arial" w:eastAsia="Arial" w:hAnsi="Arial"/>
                <w:sz w:val="16"/>
                <w:szCs w:val="16"/>
                <w:b w:val="1"/>
                <w:bCs w:val="1"/>
                <w:color w:val="auto"/>
              </w:rPr>
              <w:t>Instruments</w:t>
            </w:r>
          </w:p>
        </w:tc>
        <w:tc>
          <w:tcPr>
            <w:tcW w:w="200" w:type="dxa"/>
            <w:vAlign w:val="bottom"/>
          </w:tcPr>
          <w:p>
            <w:pPr>
              <w:spacing w:after="0"/>
              <w:rPr>
                <w:sz w:val="18"/>
                <w:szCs w:val="18"/>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Instruments</w:t>
            </w:r>
          </w:p>
        </w:tc>
        <w:tc>
          <w:tcPr>
            <w:tcW w:w="14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Adjustments</w:t>
            </w:r>
          </w:p>
        </w:tc>
        <w:tc>
          <w:tcPr>
            <w:tcW w:w="160" w:type="dxa"/>
            <w:vAlign w:val="bottom"/>
          </w:tcPr>
          <w:p>
            <w:pPr>
              <w:spacing w:after="0"/>
              <w:rPr>
                <w:sz w:val="18"/>
                <w:szCs w:val="18"/>
                <w:color w:val="auto"/>
              </w:rPr>
            </w:pPr>
          </w:p>
        </w:tc>
        <w:tc>
          <w:tcPr>
            <w:tcW w:w="1300" w:type="dxa"/>
            <w:vAlign w:val="bottom"/>
          </w:tcPr>
          <w:p>
            <w:pPr>
              <w:jc w:val="right"/>
              <w:ind w:right="159"/>
              <w:spacing w:after="0"/>
              <w:rPr>
                <w:sz w:val="20"/>
                <w:szCs w:val="20"/>
                <w:color w:val="auto"/>
              </w:rPr>
            </w:pPr>
            <w:r>
              <w:rPr>
                <w:rFonts w:ascii="Arial" w:cs="Arial" w:eastAsia="Arial" w:hAnsi="Arial"/>
                <w:sz w:val="16"/>
                <w:szCs w:val="16"/>
                <w:b w:val="1"/>
                <w:bCs w:val="1"/>
                <w:color w:val="auto"/>
                <w:w w:val="95"/>
              </w:rPr>
              <w:t>Income (Loss)</w:t>
            </w:r>
          </w:p>
        </w:tc>
      </w:tr>
      <w:tr>
        <w:trPr>
          <w:trHeight w:val="33"/>
        </w:trPr>
        <w:tc>
          <w:tcPr>
            <w:tcW w:w="3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at January 1, 2018</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(128,648)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966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(14,380)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(28,416)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(170,478)</w:t>
            </w:r>
          </w:p>
        </w:tc>
      </w:tr>
      <w:tr>
        <w:trPr>
          <w:trHeight w:val="217"/>
        </w:trPr>
        <w:tc>
          <w:tcPr>
            <w:tcW w:w="3540" w:type="dxa"/>
            <w:vAlign w:val="bottom"/>
          </w:tcPr>
          <w:p>
            <w:pPr>
              <w:ind w:left="200"/>
              <w:spacing w:after="0"/>
              <w:rPr>
                <w:sz w:val="20"/>
                <w:szCs w:val="20"/>
                <w:color w:val="auto"/>
              </w:rPr>
            </w:pPr>
            <w:r>
              <w:rPr>
                <w:rFonts w:ascii="Arial" w:cs="Arial" w:eastAsia="Arial" w:hAnsi="Arial"/>
                <w:sz w:val="16"/>
                <w:szCs w:val="16"/>
                <w:color w:val="auto"/>
              </w:rPr>
              <w:t>OCI before reclassifications</w:t>
            </w: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16,300</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1,183</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17,483</w:t>
            </w: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Amounts reclassified from AOCI</w:t>
            </w: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400</w:t>
            </w:r>
          </w:p>
        </w:tc>
      </w:tr>
      <w:tr>
        <w:trPr>
          <w:trHeight w:val="217"/>
        </w:trPr>
        <w:tc>
          <w:tcPr>
            <w:tcW w:w="3540" w:type="dxa"/>
            <w:vAlign w:val="bottom"/>
          </w:tcPr>
          <w:p>
            <w:pPr>
              <w:ind w:left="40"/>
              <w:spacing w:after="0"/>
              <w:rPr>
                <w:sz w:val="20"/>
                <w:szCs w:val="20"/>
                <w:color w:val="auto"/>
              </w:rPr>
            </w:pPr>
            <w:r>
              <w:rPr>
                <w:rFonts w:ascii="Arial" w:cs="Arial" w:eastAsia="Arial" w:hAnsi="Arial"/>
                <w:sz w:val="16"/>
                <w:szCs w:val="16"/>
                <w:color w:val="auto"/>
              </w:rPr>
              <w:t>Total other comprehensive income (loss)</w:t>
            </w: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16,300</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1,169</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414</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17,883</w:t>
            </w:r>
          </w:p>
        </w:tc>
      </w:tr>
      <w:tr>
        <w:trPr>
          <w:trHeight w:val="33"/>
        </w:trPr>
        <w:tc>
          <w:tcPr>
            <w:tcW w:w="35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at March 31, 2018</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(112,348)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2,135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(14,380)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(28,002)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(152,595)</w:t>
            </w:r>
          </w:p>
        </w:tc>
      </w:tr>
      <w:tr>
        <w:trPr>
          <w:trHeight w:val="20"/>
        </w:trPr>
        <w:tc>
          <w:tcPr>
            <w:tcW w:w="3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84"/>
        </w:trPr>
        <w:tc>
          <w:tcPr>
            <w:tcW w:w="3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at January 1, 2019</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(157,489)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1,201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(14,380)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(25,637)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(196,305)</w:t>
            </w:r>
          </w:p>
        </w:tc>
      </w:tr>
      <w:tr>
        <w:trPr>
          <w:trHeight w:val="217"/>
        </w:trPr>
        <w:tc>
          <w:tcPr>
            <w:tcW w:w="3540" w:type="dxa"/>
            <w:vAlign w:val="bottom"/>
          </w:tcPr>
          <w:p>
            <w:pPr>
              <w:ind w:left="200"/>
              <w:spacing w:after="0"/>
              <w:rPr>
                <w:sz w:val="20"/>
                <w:szCs w:val="20"/>
                <w:color w:val="auto"/>
              </w:rPr>
            </w:pPr>
            <w:r>
              <w:rPr>
                <w:rFonts w:ascii="Arial" w:cs="Arial" w:eastAsia="Arial" w:hAnsi="Arial"/>
                <w:sz w:val="16"/>
                <w:szCs w:val="16"/>
                <w:color w:val="auto"/>
              </w:rPr>
              <w:t>OCI before reclassifications</w:t>
            </w: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(2,386)</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211</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327</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(1,848)</w:t>
            </w: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Amounts reclassified from AOCI</w:t>
            </w: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w:t>
            </w:r>
          </w:p>
        </w:tc>
      </w:tr>
      <w:tr>
        <w:trPr>
          <w:trHeight w:val="217"/>
        </w:trPr>
        <w:tc>
          <w:tcPr>
            <w:tcW w:w="3540" w:type="dxa"/>
            <w:vAlign w:val="bottom"/>
          </w:tcPr>
          <w:p>
            <w:pPr>
              <w:ind w:left="40"/>
              <w:spacing w:after="0"/>
              <w:rPr>
                <w:sz w:val="20"/>
                <w:szCs w:val="20"/>
                <w:color w:val="auto"/>
              </w:rPr>
            </w:pPr>
            <w:r>
              <w:rPr>
                <w:rFonts w:ascii="Arial" w:cs="Arial" w:eastAsia="Arial" w:hAnsi="Arial"/>
                <w:sz w:val="16"/>
                <w:szCs w:val="16"/>
                <w:color w:val="auto"/>
              </w:rPr>
              <w:t>Total other comprehensive income (loss)</w:t>
            </w: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(2,386)</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135</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471</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(1,780)</w:t>
            </w:r>
          </w:p>
        </w:tc>
      </w:tr>
      <w:tr>
        <w:trPr>
          <w:trHeight w:val="33"/>
        </w:trPr>
        <w:tc>
          <w:tcPr>
            <w:tcW w:w="35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5"/>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at March 31, 2019</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(159,875)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1,336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(14,380)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(25,166)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(198,085)</w:t>
            </w: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6"/>
          <w:szCs w:val="16"/>
          <w:b w:val="1"/>
          <w:bCs w:val="1"/>
          <w:color w:val="auto"/>
        </w:rPr>
        <w:t>Fair Values of Financial Instruments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fair values of our financial instruments: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00" w:type="dxa"/>
            <w:vAlign w:val="bottom"/>
            <w:gridSpan w:val="3"/>
          </w:tcPr>
          <w:p>
            <w:pPr>
              <w:jc w:val="right"/>
              <w:spacing w:after="0"/>
              <w:rPr>
                <w:sz w:val="20"/>
                <w:szCs w:val="20"/>
                <w:color w:val="auto"/>
              </w:rPr>
            </w:pPr>
            <w:r>
              <w:rPr>
                <w:rFonts w:ascii="Arial" w:cs="Arial" w:eastAsia="Arial" w:hAnsi="Arial"/>
                <w:sz w:val="16"/>
                <w:szCs w:val="16"/>
                <w:b w:val="1"/>
                <w:bCs w:val="1"/>
                <w:color w:val="auto"/>
              </w:rPr>
              <w:t>March 31, 2019</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00" w:type="dxa"/>
            <w:vAlign w:val="bottom"/>
            <w:gridSpan w:val="3"/>
          </w:tcPr>
          <w:p>
            <w:pPr>
              <w:jc w:val="right"/>
              <w:spacing w:after="0"/>
              <w:rPr>
                <w:sz w:val="20"/>
                <w:szCs w:val="20"/>
                <w:color w:val="auto"/>
              </w:rPr>
            </w:pPr>
            <w:r>
              <w:rPr>
                <w:rFonts w:ascii="Arial" w:cs="Arial" w:eastAsia="Arial" w:hAnsi="Arial"/>
                <w:sz w:val="16"/>
                <w:szCs w:val="16"/>
                <w:b w:val="1"/>
                <w:bCs w:val="1"/>
                <w:color w:val="auto"/>
              </w:rPr>
              <w:t>December 31, 2018</w:t>
            </w:r>
          </w:p>
        </w:tc>
        <w:tc>
          <w:tcPr>
            <w:tcW w:w="106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9"/>
        </w:trPr>
        <w:tc>
          <w:tcPr>
            <w:tcW w:w="4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2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7"/>
              </w:rPr>
              <w:t>Carrying</w:t>
            </w:r>
          </w:p>
        </w:tc>
        <w:tc>
          <w:tcPr>
            <w:tcW w:w="580" w:type="dxa"/>
            <w:vAlign w:val="bottom"/>
          </w:tcPr>
          <w:p>
            <w:pPr>
              <w:spacing w:after="0"/>
              <w:rPr>
                <w:sz w:val="18"/>
                <w:szCs w:val="18"/>
                <w:color w:val="auto"/>
              </w:rPr>
            </w:pPr>
          </w:p>
        </w:tc>
        <w:tc>
          <w:tcPr>
            <w:tcW w:w="1280" w:type="dxa"/>
            <w:vAlign w:val="bottom"/>
            <w:gridSpan w:val="2"/>
          </w:tcPr>
          <w:p>
            <w:pPr>
              <w:jc w:val="center"/>
              <w:ind w:right="700"/>
              <w:spacing w:after="0"/>
              <w:rPr>
                <w:sz w:val="20"/>
                <w:szCs w:val="20"/>
                <w:color w:val="auto"/>
              </w:rPr>
            </w:pPr>
            <w:r>
              <w:rPr>
                <w:rFonts w:ascii="Arial" w:cs="Arial" w:eastAsia="Arial" w:hAnsi="Arial"/>
                <w:sz w:val="16"/>
                <w:szCs w:val="16"/>
                <w:b w:val="1"/>
                <w:bCs w:val="1"/>
                <w:color w:val="auto"/>
              </w:rPr>
              <w:t>Fair</w:t>
            </w:r>
          </w:p>
        </w:tc>
        <w:tc>
          <w:tcPr>
            <w:tcW w:w="320" w:type="dxa"/>
            <w:vAlign w:val="bottom"/>
          </w:tcPr>
          <w:p>
            <w:pPr>
              <w:spacing w:after="0"/>
              <w:rPr>
                <w:sz w:val="18"/>
                <w:szCs w:val="18"/>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7"/>
              </w:rPr>
              <w:t>Carrying</w:t>
            </w:r>
          </w:p>
        </w:tc>
        <w:tc>
          <w:tcPr>
            <w:tcW w:w="620" w:type="dxa"/>
            <w:vAlign w:val="bottom"/>
          </w:tcPr>
          <w:p>
            <w:pPr>
              <w:spacing w:after="0"/>
              <w:rPr>
                <w:sz w:val="18"/>
                <w:szCs w:val="18"/>
                <w:color w:val="auto"/>
              </w:rPr>
            </w:pPr>
          </w:p>
        </w:tc>
        <w:tc>
          <w:tcPr>
            <w:tcW w:w="1060" w:type="dxa"/>
            <w:vAlign w:val="bottom"/>
          </w:tcPr>
          <w:p>
            <w:pPr>
              <w:jc w:val="right"/>
              <w:ind w:right="619"/>
              <w:spacing w:after="0"/>
              <w:rPr>
                <w:sz w:val="20"/>
                <w:szCs w:val="20"/>
                <w:color w:val="auto"/>
              </w:rPr>
            </w:pPr>
            <w:r>
              <w:rPr>
                <w:rFonts w:ascii="Arial" w:cs="Arial" w:eastAsia="Arial" w:hAnsi="Arial"/>
                <w:sz w:val="16"/>
                <w:szCs w:val="16"/>
                <w:b w:val="1"/>
                <w:bCs w:val="1"/>
                <w:color w:val="auto"/>
              </w:rPr>
              <w:t>Fair</w:t>
            </w:r>
          </w:p>
        </w:tc>
      </w:tr>
      <w:tr>
        <w:trPr>
          <w:trHeight w:val="210"/>
        </w:trPr>
        <w:tc>
          <w:tcPr>
            <w:tcW w:w="4240" w:type="dxa"/>
            <w:vAlign w:val="bottom"/>
          </w:tcPr>
          <w:p>
            <w:pPr>
              <w:ind w:left="40"/>
              <w:spacing w:after="0"/>
              <w:rPr>
                <w:sz w:val="20"/>
                <w:szCs w:val="20"/>
                <w:color w:val="auto"/>
              </w:rPr>
            </w:pPr>
            <w:r>
              <w:rPr>
                <w:rFonts w:ascii="Arial" w:cs="Arial" w:eastAsia="Arial" w:hAnsi="Arial"/>
                <w:sz w:val="16"/>
                <w:szCs w:val="16"/>
                <w:i w:val="1"/>
                <w:iCs w:val="1"/>
                <w:color w:val="auto"/>
              </w:rPr>
              <w:t>In thousands</w:t>
            </w:r>
          </w:p>
        </w:tc>
        <w:tc>
          <w:tcPr>
            <w:tcW w:w="320" w:type="dxa"/>
            <w:vAlign w:val="bottom"/>
          </w:tcPr>
          <w:p>
            <w:pPr>
              <w:spacing w:after="0"/>
              <w:rPr>
                <w:sz w:val="18"/>
                <w:szCs w:val="18"/>
                <w:color w:val="auto"/>
              </w:rPr>
            </w:pPr>
          </w:p>
        </w:tc>
        <w:tc>
          <w:tcPr>
            <w:tcW w:w="152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2"/>
              </w:rPr>
              <w:t>Amount</w:t>
            </w:r>
          </w:p>
        </w:tc>
        <w:tc>
          <w:tcPr>
            <w:tcW w:w="580" w:type="dxa"/>
            <w:vAlign w:val="bottom"/>
          </w:tcPr>
          <w:p>
            <w:pPr>
              <w:spacing w:after="0"/>
              <w:rPr>
                <w:sz w:val="18"/>
                <w:szCs w:val="18"/>
                <w:color w:val="auto"/>
              </w:rPr>
            </w:pPr>
          </w:p>
        </w:tc>
        <w:tc>
          <w:tcPr>
            <w:tcW w:w="1280" w:type="dxa"/>
            <w:vAlign w:val="bottom"/>
            <w:gridSpan w:val="2"/>
          </w:tcPr>
          <w:p>
            <w:pPr>
              <w:jc w:val="center"/>
              <w:ind w:right="700"/>
              <w:spacing w:after="0"/>
              <w:rPr>
                <w:sz w:val="20"/>
                <w:szCs w:val="20"/>
                <w:color w:val="auto"/>
              </w:rPr>
            </w:pPr>
            <w:r>
              <w:rPr>
                <w:rFonts w:ascii="Arial" w:cs="Arial" w:eastAsia="Arial" w:hAnsi="Arial"/>
                <w:sz w:val="16"/>
                <w:szCs w:val="16"/>
                <w:b w:val="1"/>
                <w:bCs w:val="1"/>
                <w:color w:val="auto"/>
                <w:w w:val="88"/>
              </w:rPr>
              <w:t>Value</w:t>
            </w:r>
          </w:p>
        </w:tc>
        <w:tc>
          <w:tcPr>
            <w:tcW w:w="320" w:type="dxa"/>
            <w:vAlign w:val="bottom"/>
          </w:tcPr>
          <w:p>
            <w:pPr>
              <w:spacing w:after="0"/>
              <w:rPr>
                <w:sz w:val="18"/>
                <w:szCs w:val="18"/>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2"/>
              </w:rPr>
              <w:t>Amount</w:t>
            </w:r>
          </w:p>
        </w:tc>
        <w:tc>
          <w:tcPr>
            <w:tcW w:w="620" w:type="dxa"/>
            <w:vAlign w:val="bottom"/>
          </w:tcPr>
          <w:p>
            <w:pPr>
              <w:spacing w:after="0"/>
              <w:rPr>
                <w:sz w:val="18"/>
                <w:szCs w:val="18"/>
                <w:color w:val="auto"/>
              </w:rPr>
            </w:pPr>
          </w:p>
        </w:tc>
        <w:tc>
          <w:tcPr>
            <w:tcW w:w="1060" w:type="dxa"/>
            <w:vAlign w:val="bottom"/>
          </w:tcPr>
          <w:p>
            <w:pPr>
              <w:jc w:val="right"/>
              <w:ind w:right="559"/>
              <w:spacing w:after="0"/>
              <w:rPr>
                <w:sz w:val="20"/>
                <w:szCs w:val="20"/>
                <w:color w:val="auto"/>
              </w:rPr>
            </w:pPr>
            <w:r>
              <w:rPr>
                <w:rFonts w:ascii="Arial" w:cs="Arial" w:eastAsia="Arial" w:hAnsi="Arial"/>
                <w:sz w:val="16"/>
                <w:szCs w:val="16"/>
                <w:b w:val="1"/>
                <w:bCs w:val="1"/>
                <w:color w:val="auto"/>
                <w:w w:val="93"/>
              </w:rPr>
              <w:t>Value</w:t>
            </w:r>
          </w:p>
        </w:tc>
      </w:tr>
      <w:tr>
        <w:trPr>
          <w:trHeight w:val="33"/>
        </w:trPr>
        <w:tc>
          <w:tcPr>
            <w:tcW w:w="4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4240" w:type="dxa"/>
            <w:vAlign w:val="bottom"/>
          </w:tcPr>
          <w:p>
            <w:pPr>
              <w:ind w:left="40"/>
              <w:spacing w:after="0"/>
              <w:rPr>
                <w:sz w:val="20"/>
                <w:szCs w:val="20"/>
                <w:color w:val="auto"/>
              </w:rPr>
            </w:pPr>
            <w:r>
              <w:rPr>
                <w:rFonts w:ascii="Arial" w:cs="Arial" w:eastAsia="Arial" w:hAnsi="Arial"/>
                <w:sz w:val="16"/>
                <w:szCs w:val="16"/>
                <w:color w:val="auto"/>
              </w:rPr>
              <w:t>Assets</w:t>
            </w: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47"/>
        </w:trPr>
        <w:tc>
          <w:tcPr>
            <w:tcW w:w="4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60" w:type="dxa"/>
            <w:vAlign w:val="bottom"/>
          </w:tcPr>
          <w:p>
            <w:pPr>
              <w:spacing w:after="0"/>
              <w:rPr>
                <w:sz w:val="4"/>
                <w:szCs w:val="4"/>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and cash equivalents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110,828</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110,828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120,221</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120,221</w:t>
            </w:r>
          </w:p>
        </w:tc>
      </w:tr>
      <w:tr>
        <w:trPr>
          <w:trHeight w:val="237"/>
        </w:trPr>
        <w:tc>
          <w:tcPr>
            <w:tcW w:w="4240" w:type="dxa"/>
            <w:vAlign w:val="bottom"/>
          </w:tcPr>
          <w:p>
            <w:pPr>
              <w:ind w:left="380"/>
              <w:spacing w:after="0"/>
              <w:rPr>
                <w:sz w:val="20"/>
                <w:szCs w:val="20"/>
                <w:color w:val="auto"/>
              </w:rPr>
            </w:pPr>
            <w:r>
              <w:rPr>
                <w:rFonts w:ascii="Arial" w:cs="Arial" w:eastAsia="Arial" w:hAnsi="Arial"/>
                <w:sz w:val="16"/>
                <w:szCs w:val="16"/>
                <w:color w:val="auto"/>
              </w:rPr>
              <w:t>Restricted cash</w:t>
            </w:r>
          </w:p>
        </w:tc>
        <w:tc>
          <w:tcPr>
            <w:tcW w:w="320" w:type="dxa"/>
            <w:vAlign w:val="bottom"/>
          </w:tcPr>
          <w:p>
            <w:pPr>
              <w:spacing w:after="0"/>
              <w:rPr>
                <w:sz w:val="20"/>
                <w:szCs w:val="20"/>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2,137</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2,137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2,107</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2,107</w:t>
            </w:r>
          </w:p>
        </w:tc>
      </w:tr>
      <w:tr>
        <w:trPr>
          <w:trHeight w:val="33"/>
        </w:trPr>
        <w:tc>
          <w:tcPr>
            <w:tcW w:w="4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Foreign exchange options</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1,407</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1,407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4240" w:type="dxa"/>
            <w:vAlign w:val="bottom"/>
          </w:tcPr>
          <w:p>
            <w:pPr>
              <w:ind w:left="380"/>
              <w:spacing w:after="0"/>
              <w:rPr>
                <w:sz w:val="20"/>
                <w:szCs w:val="20"/>
                <w:color w:val="auto"/>
              </w:rPr>
            </w:pPr>
            <w:r>
              <w:rPr>
                <w:rFonts w:ascii="Arial" w:cs="Arial" w:eastAsia="Arial" w:hAnsi="Arial"/>
                <w:sz w:val="16"/>
                <w:szCs w:val="16"/>
                <w:color w:val="auto"/>
              </w:rPr>
              <w:t>Foreign exchange forwards</w:t>
            </w:r>
          </w:p>
        </w:tc>
        <w:tc>
          <w:tcPr>
            <w:tcW w:w="320" w:type="dxa"/>
            <w:vAlign w:val="bottom"/>
          </w:tcPr>
          <w:p>
            <w:pPr>
              <w:spacing w:after="0"/>
              <w:rPr>
                <w:sz w:val="20"/>
                <w:szCs w:val="20"/>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94</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94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157</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157</w:t>
            </w:r>
          </w:p>
        </w:tc>
      </w:tr>
      <w:tr>
        <w:trPr>
          <w:trHeight w:val="33"/>
        </w:trPr>
        <w:tc>
          <w:tcPr>
            <w:tcW w:w="4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Interest rate swaps</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1,827</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1,827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2,612</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2,612</w:t>
            </w:r>
          </w:p>
        </w:tc>
      </w:tr>
      <w:tr>
        <w:trPr>
          <w:trHeight w:val="237"/>
        </w:trPr>
        <w:tc>
          <w:tcPr>
            <w:tcW w:w="4240" w:type="dxa"/>
            <w:vAlign w:val="bottom"/>
          </w:tcPr>
          <w:p>
            <w:pPr>
              <w:ind w:left="380"/>
              <w:spacing w:after="0"/>
              <w:rPr>
                <w:sz w:val="20"/>
                <w:szCs w:val="20"/>
                <w:color w:val="auto"/>
              </w:rPr>
            </w:pPr>
            <w:r>
              <w:rPr>
                <w:rFonts w:ascii="Arial" w:cs="Arial" w:eastAsia="Arial" w:hAnsi="Arial"/>
                <w:sz w:val="16"/>
                <w:szCs w:val="16"/>
                <w:color w:val="auto"/>
              </w:rPr>
              <w:t>Interest rate caps</w:t>
            </w:r>
          </w:p>
        </w:tc>
        <w:tc>
          <w:tcPr>
            <w:tcW w:w="320" w:type="dxa"/>
            <w:vAlign w:val="bottom"/>
          </w:tcPr>
          <w:p>
            <w:pPr>
              <w:spacing w:after="0"/>
              <w:rPr>
                <w:sz w:val="20"/>
                <w:szCs w:val="20"/>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487</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487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786</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786</w:t>
            </w:r>
          </w:p>
        </w:tc>
      </w:tr>
      <w:tr>
        <w:trPr>
          <w:trHeight w:val="33"/>
        </w:trPr>
        <w:tc>
          <w:tcPr>
            <w:tcW w:w="4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Cross currency swaps</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4,195</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4,195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2,970</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2,970</w:t>
            </w:r>
          </w:p>
        </w:tc>
      </w:tr>
      <w:tr>
        <w:trPr>
          <w:trHeight w:val="297"/>
        </w:trPr>
        <w:tc>
          <w:tcPr>
            <w:tcW w:w="4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24"/>
        </w:trPr>
        <w:tc>
          <w:tcPr>
            <w:tcW w:w="4240" w:type="dxa"/>
            <w:vAlign w:val="bottom"/>
          </w:tcPr>
          <w:p>
            <w:pPr>
              <w:ind w:left="380"/>
              <w:spacing w:after="0"/>
              <w:rPr>
                <w:sz w:val="20"/>
                <w:szCs w:val="20"/>
                <w:color w:val="auto"/>
              </w:rPr>
            </w:pPr>
            <w:r>
              <w:rPr>
                <w:rFonts w:ascii="Arial" w:cs="Arial" w:eastAsia="Arial" w:hAnsi="Arial"/>
                <w:sz w:val="16"/>
                <w:szCs w:val="16"/>
                <w:color w:val="auto"/>
              </w:rPr>
              <w:t>Credit facility</w:t>
            </w:r>
          </w:p>
        </w:tc>
        <w:tc>
          <w:tcPr>
            <w:tcW w:w="3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47"/>
        </w:trPr>
        <w:tc>
          <w:tcPr>
            <w:tcW w:w="4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60" w:type="dxa"/>
            <w:vAlign w:val="bottom"/>
          </w:tcPr>
          <w:p>
            <w:pPr>
              <w:spacing w:after="0"/>
              <w:rPr>
                <w:sz w:val="4"/>
                <w:szCs w:val="4"/>
                <w:color w:val="auto"/>
              </w:rPr>
            </w:pPr>
          </w:p>
        </w:tc>
      </w:tr>
      <w:tr>
        <w:trPr>
          <w:trHeight w:val="250"/>
        </w:trPr>
        <w:tc>
          <w:tcPr>
            <w:tcW w:w="42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USD denominated term loan</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623,750</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622,644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637,813</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630,971</w:t>
            </w:r>
          </w:p>
        </w:tc>
      </w:tr>
      <w:tr>
        <w:trPr>
          <w:trHeight w:val="237"/>
        </w:trPr>
        <w:tc>
          <w:tcPr>
            <w:tcW w:w="4240" w:type="dxa"/>
            <w:vAlign w:val="bottom"/>
          </w:tcPr>
          <w:p>
            <w:pPr>
              <w:ind w:left="620"/>
              <w:spacing w:after="0"/>
              <w:rPr>
                <w:sz w:val="20"/>
                <w:szCs w:val="20"/>
                <w:color w:val="auto"/>
              </w:rPr>
            </w:pPr>
            <w:r>
              <w:rPr>
                <w:rFonts w:ascii="Arial" w:cs="Arial" w:eastAsia="Arial" w:hAnsi="Arial"/>
                <w:sz w:val="16"/>
                <w:szCs w:val="16"/>
                <w:color w:val="auto"/>
              </w:rPr>
              <w:t>Multicurrency revolving line of credit</w:t>
            </w:r>
          </w:p>
        </w:tc>
        <w:tc>
          <w:tcPr>
            <w:tcW w:w="320" w:type="dxa"/>
            <w:vAlign w:val="bottom"/>
          </w:tcPr>
          <w:p>
            <w:pPr>
              <w:spacing w:after="0"/>
              <w:rPr>
                <w:sz w:val="20"/>
                <w:szCs w:val="20"/>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Senior notes</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400,000</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393,500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400,000</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368,000</w:t>
            </w:r>
          </w:p>
        </w:tc>
      </w:tr>
      <w:tr>
        <w:trPr>
          <w:trHeight w:val="237"/>
        </w:trPr>
        <w:tc>
          <w:tcPr>
            <w:tcW w:w="4240" w:type="dxa"/>
            <w:vAlign w:val="bottom"/>
          </w:tcPr>
          <w:p>
            <w:pPr>
              <w:ind w:left="380"/>
              <w:spacing w:after="0"/>
              <w:rPr>
                <w:sz w:val="20"/>
                <w:szCs w:val="20"/>
                <w:color w:val="auto"/>
              </w:rPr>
            </w:pPr>
            <w:r>
              <w:rPr>
                <w:rFonts w:ascii="Arial" w:cs="Arial" w:eastAsia="Arial" w:hAnsi="Arial"/>
                <w:sz w:val="16"/>
                <w:szCs w:val="16"/>
                <w:color w:val="auto"/>
              </w:rPr>
              <w:t>Foreign exchange forwards</w:t>
            </w:r>
          </w:p>
        </w:tc>
        <w:tc>
          <w:tcPr>
            <w:tcW w:w="320" w:type="dxa"/>
            <w:vAlign w:val="bottom"/>
          </w:tcPr>
          <w:p>
            <w:pPr>
              <w:spacing w:after="0"/>
              <w:rPr>
                <w:sz w:val="20"/>
                <w:szCs w:val="20"/>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127</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127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337</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337</w:t>
            </w: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methods and assumptions were used in estimating fair values: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Cash, cash equivalents, and restricted cash: </w:t>
      </w:r>
      <w:r>
        <w:rPr>
          <w:rFonts w:ascii="Arial" w:cs="Arial" w:eastAsia="Arial" w:hAnsi="Arial"/>
          <w:sz w:val="17"/>
          <w:szCs w:val="17"/>
          <w:color w:val="auto"/>
        </w:rPr>
        <w:t>Due to the liquid nature of these instruments, the carrying amount approximates fair value (Level 1).</w:t>
      </w:r>
    </w:p>
    <w:p>
      <w:pPr>
        <w:spacing w:after="0" w:line="23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Credit Facility - term loan and multicurrency revolving line of credit: </w:t>
      </w:r>
      <w:r>
        <w:rPr>
          <w:rFonts w:ascii="Arial" w:cs="Arial" w:eastAsia="Arial" w:hAnsi="Arial"/>
          <w:sz w:val="17"/>
          <w:szCs w:val="17"/>
          <w:color w:val="auto"/>
        </w:rPr>
        <w:t>The term loan and revolver are not traded publicly. The fair values, which are</w:t>
      </w:r>
      <w:r>
        <w:rPr>
          <w:rFonts w:ascii="Arial" w:cs="Arial" w:eastAsia="Arial" w:hAnsi="Arial"/>
          <w:sz w:val="17"/>
          <w:szCs w:val="17"/>
          <w:i w:val="1"/>
          <w:iCs w:val="1"/>
          <w:color w:val="auto"/>
        </w:rPr>
        <w:t xml:space="preserve"> </w:t>
      </w:r>
      <w:r>
        <w:rPr>
          <w:rFonts w:ascii="Arial" w:cs="Arial" w:eastAsia="Arial" w:hAnsi="Arial"/>
          <w:sz w:val="17"/>
          <w:szCs w:val="17"/>
          <w:color w:val="auto"/>
        </w:rPr>
        <w:t>determined based upon a hypothetical market participant, are calculated using a discounted cash flow model with Level 2 inputs, including estimates of incremental borrowing rates for debt with similar terms, maturities, and credit profiles. Refer to "Note 6: Debt" for a further discussion of our debt.</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Derivatives: </w:t>
      </w:r>
      <w:r>
        <w:rPr>
          <w:rFonts w:ascii="Arial" w:cs="Arial" w:eastAsia="Arial" w:hAnsi="Arial"/>
          <w:sz w:val="18"/>
          <w:szCs w:val="18"/>
          <w:color w:val="auto"/>
        </w:rPr>
        <w:t>See "Note 7: Derivative Financial Instruments" for a description of our methods and assumptions in determining the fair value of our derivatives,</w:t>
      </w:r>
      <w:r>
        <w:rPr>
          <w:rFonts w:ascii="Arial" w:cs="Arial" w:eastAsia="Arial" w:hAnsi="Arial"/>
          <w:sz w:val="18"/>
          <w:szCs w:val="18"/>
          <w:i w:val="1"/>
          <w:iCs w:val="1"/>
          <w:color w:val="auto"/>
        </w:rPr>
        <w:t xml:space="preserve"> </w:t>
      </w:r>
      <w:r>
        <w:rPr>
          <w:rFonts w:ascii="Arial" w:cs="Arial" w:eastAsia="Arial" w:hAnsi="Arial"/>
          <w:sz w:val="18"/>
          <w:szCs w:val="18"/>
          <w:color w:val="auto"/>
        </w:rPr>
        <w:t>which were determined using Level 2 inputs.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Senior Notes: </w:t>
      </w:r>
      <w:r>
        <w:rPr>
          <w:rFonts w:ascii="Arial" w:cs="Arial" w:eastAsia="Arial" w:hAnsi="Arial"/>
          <w:sz w:val="18"/>
          <w:szCs w:val="18"/>
          <w:color w:val="auto"/>
        </w:rPr>
        <w:t>The Notes are not registered securities nor listed on any securities exchange but may be actively traded by qualified institutional buyers. The</w:t>
      </w:r>
      <w:r>
        <w:rPr>
          <w:rFonts w:ascii="Arial" w:cs="Arial" w:eastAsia="Arial" w:hAnsi="Arial"/>
          <w:sz w:val="18"/>
          <w:szCs w:val="18"/>
          <w:i w:val="1"/>
          <w:iCs w:val="1"/>
          <w:color w:val="auto"/>
        </w:rPr>
        <w:t xml:space="preserve"> </w:t>
      </w:r>
      <w:r>
        <w:rPr>
          <w:rFonts w:ascii="Arial" w:cs="Arial" w:eastAsia="Arial" w:hAnsi="Arial"/>
          <w:sz w:val="18"/>
          <w:szCs w:val="18"/>
          <w:color w:val="auto"/>
        </w:rPr>
        <w:t>fair value is estimated using Level 1 inputs, as it is based on quoted prices for these instruments in active markets.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values at March 31, 2019 and December 31, 2018 do not reflect subsequent changes in the economy, interest rates, tax rates, and other variables that may affect the determination of fair value.</w:t>
      </w:r>
    </w:p>
    <w:p>
      <w:pPr>
        <w:spacing w:after="0" w:line="16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15:</w:t>
      </w:r>
      <w:r>
        <w:rPr>
          <w:sz w:val="20"/>
          <w:szCs w:val="20"/>
          <w:color w:val="auto"/>
        </w:rPr>
        <w:tab/>
      </w:r>
      <w:r>
        <w:rPr>
          <w:rFonts w:ascii="Arial" w:cs="Arial" w:eastAsia="Arial" w:hAnsi="Arial"/>
          <w:sz w:val="16"/>
          <w:szCs w:val="16"/>
          <w:b w:val="1"/>
          <w:bCs w:val="1"/>
          <w:color w:val="auto"/>
        </w:rPr>
        <w:t>Segment Information</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Effective October 1, 2018, we reorganized our operational reporting segmentation from Electricity, Gas, Water, and Networks to Device Solutions, Networked Solutions, and Outcomes. Prior period segment results have been recast to conform to the new segment structure. As part of our reorganization, we actively integrated our recent acquisitions and are making investment decisions and implementing an organizational structure that aligns with these new segments. In conjunction with the rollout of our new operating segments, we unified our go-to-market strategy with a single, global, sales force that sells the full portfolio of Itron solutions, products and services. We continue to manage our research and development, service delivery, supply chain, and manufacturing operations on a worldwide basis to promote global, integrated oversight of our operations and to ensure consistency and interoperability between our operating segments.</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With this reorganization, we continue to operate under the Itron brand worldwide and will manage and report under the three operating segments: Device Solutions, Networked Solutions, and Outcomes.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have three GAAP measures of segment performance: revenues, gross profit (gross margin), and operating income (operating margin). Intersegment revenues are minimal. Certain operating expenses are allocated to the operating segments based upon internally established allocation methodologies. Corporate operating expenses, interest income, interest expense, other income (expense), and income tax provision are neither allocated to the segments, nor are they included in the measure of segment profit or loss. In addition, we allocate only certain production assets and intangible assets to our operating segments. We do not manage the performance of the segments on a balance sheet basis.</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Products</w:t>
      </w:r>
    </w:p>
    <w:p>
      <w:pPr>
        <w:spacing w:after="0" w:line="283" w:lineRule="exact"/>
        <w:rPr>
          <w:sz w:val="20"/>
          <w:szCs w:val="20"/>
          <w:color w:val="auto"/>
        </w:rPr>
      </w:pPr>
    </w:p>
    <w:p>
      <w:pPr>
        <w:jc w:val="both"/>
        <w:ind w:left="1420" w:right="20" w:hanging="1377"/>
        <w:spacing w:after="0" w:line="255" w:lineRule="auto"/>
        <w:tabs>
          <w:tab w:leader="none" w:pos="1400" w:val="left"/>
        </w:tabs>
        <w:rPr>
          <w:sz w:val="20"/>
          <w:szCs w:val="20"/>
          <w:color w:val="auto"/>
        </w:rPr>
      </w:pPr>
      <w:r>
        <w:rPr>
          <w:rFonts w:ascii="Arial" w:cs="Arial" w:eastAsia="Arial" w:hAnsi="Arial"/>
          <w:sz w:val="18"/>
          <w:szCs w:val="18"/>
          <w:i w:val="1"/>
          <w:iCs w:val="1"/>
          <w:color w:val="auto"/>
        </w:rPr>
        <w:t>Device Solutions</w:t>
      </w:r>
      <w:r>
        <w:rPr>
          <w:sz w:val="20"/>
          <w:szCs w:val="20"/>
          <w:color w:val="auto"/>
        </w:rPr>
        <w:tab/>
      </w:r>
      <w:r>
        <w:rPr>
          <w:rFonts w:ascii="Arial" w:cs="Arial" w:eastAsia="Arial" w:hAnsi="Arial"/>
          <w:sz w:val="18"/>
          <w:szCs w:val="18"/>
          <w:color w:val="auto"/>
        </w:rPr>
        <w:t>Device Solutions - includes hardware products used for measurement, control, or sensing that do not have communications capability embedded for use with our broader Itron systems, i.e., products where Itron is not offering the complete "end-to-end" solution, but only the hardware elements. Examples of the Device Solutions portfolio include basic meters that are shipped without Itron communications, such as our standard gas meters, electricity IEC meters, and water meters, in addition to our heat and allocation products; communicating meters that are not a part of an Itron solution such as the Linky meter; and the implementation and installation of non-communicating devices, such as gas regulators.</w:t>
      </w:r>
    </w:p>
    <w:p>
      <w:pPr>
        <w:spacing w:after="0" w:line="261" w:lineRule="exact"/>
        <w:rPr>
          <w:sz w:val="20"/>
          <w:szCs w:val="20"/>
          <w:color w:val="auto"/>
        </w:rPr>
      </w:pPr>
    </w:p>
    <w:p>
      <w:pPr>
        <w:ind w:left="40"/>
        <w:spacing w:after="0"/>
        <w:tabs>
          <w:tab w:leader="none" w:pos="1400" w:val="left"/>
        </w:tabs>
        <w:rPr>
          <w:sz w:val="20"/>
          <w:szCs w:val="20"/>
          <w:color w:val="auto"/>
        </w:rPr>
      </w:pPr>
      <w:r>
        <w:rPr>
          <w:rFonts w:ascii="Arial" w:cs="Arial" w:eastAsia="Arial" w:hAnsi="Arial"/>
          <w:sz w:val="17"/>
          <w:szCs w:val="17"/>
          <w:i w:val="1"/>
          <w:iCs w:val="1"/>
          <w:color w:val="auto"/>
        </w:rPr>
        <w:t>Networked</w:t>
      </w:r>
      <w:r>
        <w:rPr>
          <w:sz w:val="20"/>
          <w:szCs w:val="20"/>
          <w:color w:val="auto"/>
        </w:rPr>
        <w:tab/>
      </w:r>
      <w:r>
        <w:rPr>
          <w:rFonts w:ascii="Arial" w:cs="Arial" w:eastAsia="Arial" w:hAnsi="Arial"/>
          <w:sz w:val="17"/>
          <w:szCs w:val="17"/>
          <w:color w:val="auto"/>
        </w:rPr>
        <w:t>Networked Solutions - includes a combination of communicating devices (smart meters, modules, endpoints, and sensors), network</w:t>
      </w:r>
    </w:p>
    <w:p>
      <w:pPr>
        <w:spacing w:after="0" w:line="35" w:lineRule="exact"/>
        <w:rPr>
          <w:sz w:val="20"/>
          <w:szCs w:val="20"/>
          <w:color w:val="auto"/>
        </w:rPr>
      </w:pPr>
    </w:p>
    <w:p>
      <w:pPr>
        <w:jc w:val="both"/>
        <w:ind w:left="1420" w:right="20" w:hanging="1379"/>
        <w:spacing w:after="0" w:line="287" w:lineRule="auto"/>
        <w:tabs>
          <w:tab w:leader="none" w:pos="1400" w:val="left"/>
        </w:tabs>
        <w:rPr>
          <w:sz w:val="20"/>
          <w:szCs w:val="20"/>
          <w:color w:val="auto"/>
        </w:rPr>
      </w:pPr>
      <w:r>
        <w:rPr>
          <w:rFonts w:ascii="Arial" w:cs="Arial" w:eastAsia="Arial" w:hAnsi="Arial"/>
          <w:sz w:val="16"/>
          <w:szCs w:val="16"/>
          <w:i w:val="1"/>
          <w:iCs w:val="1"/>
          <w:color w:val="auto"/>
        </w:rPr>
        <w:t>Solutions</w:t>
      </w:r>
      <w:r>
        <w:rPr>
          <w:sz w:val="20"/>
          <w:szCs w:val="20"/>
          <w:color w:val="auto"/>
        </w:rPr>
        <w:tab/>
      </w:r>
      <w:r>
        <w:rPr>
          <w:rFonts w:ascii="Arial" w:cs="Arial" w:eastAsia="Arial" w:hAnsi="Arial"/>
          <w:sz w:val="16"/>
          <w:szCs w:val="16"/>
          <w:color w:val="auto"/>
        </w:rPr>
        <w:t>infrastructure, and associated application software designed and sold as a complete solution for acquiring and transporting robust application-specific data. Networked Solutions combines, into one operating segment, the majority of the assets from the recently acquired SSNI organization with our legacy Itron networking products and software and the implementation and installation of communicating devices into one segment. This includes: communicating measurement, control, or sensing endpoints such as our Itron® and OpenWay® Riva meters, Itron traditional ERT® technology, Intelis smart gas or water meters, 500G gas communication modules, 500W water communication modules; GenX networking products, network modules and interface cards; and specific network control and management software applications. Solutions supported by this segment include automated meter reading (AMR), advanced metering infrastructure (AMI), smart grid and distribution automation (DA), and smart street lighting and smart city solutions.</w:t>
      </w:r>
    </w:p>
    <w:p>
      <w:pPr>
        <w:spacing w:after="0" w:line="238" w:lineRule="exact"/>
        <w:rPr>
          <w:sz w:val="20"/>
          <w:szCs w:val="20"/>
          <w:color w:val="auto"/>
        </w:rPr>
      </w:pPr>
    </w:p>
    <w:p>
      <w:pPr>
        <w:jc w:val="both"/>
        <w:ind w:left="1420" w:right="20" w:hanging="1379"/>
        <w:spacing w:after="0" w:line="270" w:lineRule="auto"/>
        <w:tabs>
          <w:tab w:leader="none" w:pos="1400" w:val="left"/>
        </w:tabs>
        <w:rPr>
          <w:sz w:val="20"/>
          <w:szCs w:val="20"/>
          <w:color w:val="auto"/>
        </w:rPr>
      </w:pPr>
      <w:r>
        <w:rPr>
          <w:rFonts w:ascii="Arial" w:cs="Arial" w:eastAsia="Arial" w:hAnsi="Arial"/>
          <w:sz w:val="17"/>
          <w:szCs w:val="17"/>
          <w:i w:val="1"/>
          <w:iCs w:val="1"/>
          <w:color w:val="auto"/>
        </w:rPr>
        <w:t>Outcomes</w:t>
      </w:r>
      <w:r>
        <w:rPr>
          <w:sz w:val="20"/>
          <w:szCs w:val="20"/>
          <w:color w:val="auto"/>
        </w:rPr>
        <w:tab/>
      </w:r>
      <w:r>
        <w:rPr>
          <w:rFonts w:ascii="Arial" w:cs="Arial" w:eastAsia="Arial" w:hAnsi="Arial"/>
          <w:sz w:val="17"/>
          <w:szCs w:val="17"/>
          <w:color w:val="auto"/>
        </w:rPr>
        <w:t>Outcomes - includes our value-added, enhanced software and services operating segment in which we manage, organize, analyze, and interpret data to improve decision making, maximize operational profitability, drive resource efficiency, and deliver results for consumers, utilities, and smart cities. Outcomes places an emphasis on delivering to Itron customers high-value, turn-key, digital experiences by leveraging the footprint of our Device Solutions and Networked Solutions segments. The revenues from these offerings are primarily recurring in nature and would include any direct management of Device Solutions, Networked Solutions, and other products on behalf of our end customers. Examples of these offerings include our meter data management and analytics offerings; our managed service solutions including network-as-a-service and platform-as-a-service, forecasting software and services; and any consulting-based engagement. Within the Outcomes segment, we also identify new business models, including performance-based contracting, to drive broader portfolio offerings across utilities and cities.</w:t>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Revenues, gross profit, and operating income associated with our operating segments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140" w:type="dxa"/>
            <w:vAlign w:val="bottom"/>
            <w:gridSpan w:val="4"/>
          </w:tcPr>
          <w:p>
            <w:pPr>
              <w:jc w:val="right"/>
              <w:ind w:right="559"/>
              <w:spacing w:after="0"/>
              <w:rPr>
                <w:sz w:val="20"/>
                <w:szCs w:val="20"/>
                <w:color w:val="auto"/>
              </w:rPr>
            </w:pPr>
            <w:r>
              <w:rPr>
                <w:rFonts w:ascii="Arial" w:cs="Arial" w:eastAsia="Arial" w:hAnsi="Arial"/>
                <w:sz w:val="16"/>
                <w:szCs w:val="16"/>
                <w:b w:val="1"/>
                <w:bCs w:val="1"/>
                <w:color w:val="auto"/>
              </w:rPr>
              <w:t>Three Months Ended March 31,</w:t>
            </w:r>
          </w:p>
        </w:tc>
      </w:tr>
      <w:tr>
        <w:trPr>
          <w:trHeight w:val="33"/>
        </w:trPr>
        <w:tc>
          <w:tcPr>
            <w:tcW w:w="79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7900" w:type="dxa"/>
            <w:vAlign w:val="bottom"/>
          </w:tcPr>
          <w:p>
            <w:pPr>
              <w:ind w:left="40"/>
              <w:spacing w:after="0"/>
              <w:rPr>
                <w:sz w:val="20"/>
                <w:szCs w:val="20"/>
                <w:color w:val="auto"/>
              </w:rPr>
            </w:pPr>
            <w:r>
              <w:rPr>
                <w:rFonts w:ascii="Arial" w:cs="Arial" w:eastAsia="Arial" w:hAnsi="Arial"/>
                <w:sz w:val="16"/>
                <w:szCs w:val="16"/>
                <w:i w:val="1"/>
                <w:iCs w:val="1"/>
                <w:color w:val="auto"/>
              </w:rPr>
              <w:t>In thousands</w:t>
            </w:r>
          </w:p>
        </w:tc>
        <w:tc>
          <w:tcPr>
            <w:tcW w:w="380" w:type="dxa"/>
            <w:vAlign w:val="bottom"/>
          </w:tcPr>
          <w:p>
            <w:pPr>
              <w:spacing w:after="0"/>
              <w:rPr>
                <w:sz w:val="20"/>
                <w:szCs w:val="20"/>
                <w:color w:val="auto"/>
              </w:rPr>
            </w:pPr>
          </w:p>
        </w:tc>
        <w:tc>
          <w:tcPr>
            <w:tcW w:w="1340" w:type="dxa"/>
            <w:vAlign w:val="bottom"/>
          </w:tcPr>
          <w:p>
            <w:pPr>
              <w:jc w:val="right"/>
              <w:ind w:right="61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2018</w:t>
            </w:r>
          </w:p>
        </w:tc>
      </w:tr>
      <w:tr>
        <w:trPr>
          <w:trHeight w:val="33"/>
        </w:trPr>
        <w:tc>
          <w:tcPr>
            <w:tcW w:w="7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7900" w:type="dxa"/>
            <w:vAlign w:val="bottom"/>
          </w:tcPr>
          <w:p>
            <w:pPr>
              <w:ind w:left="40"/>
              <w:spacing w:after="0"/>
              <w:rPr>
                <w:sz w:val="20"/>
                <w:szCs w:val="20"/>
                <w:color w:val="auto"/>
              </w:rPr>
            </w:pPr>
            <w:r>
              <w:rPr>
                <w:rFonts w:ascii="Arial" w:cs="Arial" w:eastAsia="Arial" w:hAnsi="Arial"/>
                <w:sz w:val="16"/>
                <w:szCs w:val="16"/>
                <w:b w:val="1"/>
                <w:bCs w:val="1"/>
                <w:color w:val="auto"/>
              </w:rPr>
              <w:t>Product revenues</w:t>
            </w: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47"/>
        </w:trPr>
        <w:tc>
          <w:tcPr>
            <w:tcW w:w="79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Device Solutions</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218,569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245,423</w:t>
            </w: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Networked Solutions</w:t>
            </w:r>
          </w:p>
        </w:tc>
        <w:tc>
          <w:tcPr>
            <w:tcW w:w="38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314,350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279,795</w:t>
            </w:r>
          </w:p>
        </w:tc>
      </w:tr>
      <w:tr>
        <w:trPr>
          <w:trHeight w:val="33"/>
        </w:trPr>
        <w:tc>
          <w:tcPr>
            <w:tcW w:w="7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Outcomes</w:t>
            </w:r>
          </w:p>
        </w:tc>
        <w:tc>
          <w:tcPr>
            <w:tcW w:w="3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11,931</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11,892</w:t>
            </w:r>
          </w:p>
        </w:tc>
      </w:tr>
      <w:tr>
        <w:trPr>
          <w:trHeight w:val="217"/>
        </w:trPr>
        <w:tc>
          <w:tcPr>
            <w:tcW w:w="7900" w:type="dxa"/>
            <w:vAlign w:val="bottom"/>
          </w:tcPr>
          <w:p>
            <w:pPr>
              <w:ind w:left="720"/>
              <w:spacing w:after="0"/>
              <w:rPr>
                <w:sz w:val="20"/>
                <w:szCs w:val="20"/>
                <w:color w:val="auto"/>
              </w:rPr>
            </w:pPr>
            <w:r>
              <w:rPr>
                <w:rFonts w:ascii="Arial" w:cs="Arial" w:eastAsia="Arial" w:hAnsi="Arial"/>
                <w:sz w:val="16"/>
                <w:szCs w:val="16"/>
                <w:color w:val="auto"/>
              </w:rPr>
              <w:t>Total Company</w:t>
            </w: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544,850</w:t>
            </w:r>
          </w:p>
        </w:tc>
        <w:tc>
          <w:tcPr>
            <w:tcW w:w="120" w:type="dxa"/>
            <w:vAlign w:val="bottom"/>
          </w:tcPr>
          <w:p>
            <w:pPr>
              <w:spacing w:after="0"/>
              <w:rPr>
                <w:sz w:val="18"/>
                <w:szCs w:val="18"/>
                <w:color w:val="auto"/>
              </w:rPr>
            </w:pP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537,110</w:t>
            </w:r>
          </w:p>
        </w:tc>
      </w:tr>
      <w:tr>
        <w:trPr>
          <w:trHeight w:val="73"/>
        </w:trPr>
        <w:tc>
          <w:tcPr>
            <w:tcW w:w="790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r>
      <w:tr>
        <w:trPr>
          <w:trHeight w:val="278"/>
        </w:trPr>
        <w:tc>
          <w:tcPr>
            <w:tcW w:w="79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24"/>
        </w:trPr>
        <w:tc>
          <w:tcPr>
            <w:tcW w:w="7900" w:type="dxa"/>
            <w:vAlign w:val="bottom"/>
          </w:tcPr>
          <w:p>
            <w:pPr>
              <w:ind w:left="40"/>
              <w:spacing w:after="0"/>
              <w:rPr>
                <w:sz w:val="20"/>
                <w:szCs w:val="20"/>
                <w:color w:val="auto"/>
              </w:rPr>
            </w:pPr>
            <w:r>
              <w:rPr>
                <w:rFonts w:ascii="Arial" w:cs="Arial" w:eastAsia="Arial" w:hAnsi="Arial"/>
                <w:sz w:val="16"/>
                <w:szCs w:val="16"/>
                <w:b w:val="1"/>
                <w:bCs w:val="1"/>
                <w:color w:val="auto"/>
              </w:rPr>
              <w:t>Service revenues</w:t>
            </w: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47"/>
        </w:trPr>
        <w:tc>
          <w:tcPr>
            <w:tcW w:w="79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Device Solutions</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3,186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3,944</w:t>
            </w: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Networked Solutions</w:t>
            </w:r>
          </w:p>
        </w:tc>
        <w:tc>
          <w:tcPr>
            <w:tcW w:w="38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22,077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22,543</w:t>
            </w:r>
          </w:p>
        </w:tc>
      </w:tr>
      <w:tr>
        <w:trPr>
          <w:trHeight w:val="33"/>
        </w:trPr>
        <w:tc>
          <w:tcPr>
            <w:tcW w:w="7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Outcomes</w:t>
            </w:r>
          </w:p>
        </w:tc>
        <w:tc>
          <w:tcPr>
            <w:tcW w:w="3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44,463</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43,624</w:t>
            </w:r>
          </w:p>
        </w:tc>
      </w:tr>
      <w:tr>
        <w:trPr>
          <w:trHeight w:val="217"/>
        </w:trPr>
        <w:tc>
          <w:tcPr>
            <w:tcW w:w="7900" w:type="dxa"/>
            <w:vAlign w:val="bottom"/>
          </w:tcPr>
          <w:p>
            <w:pPr>
              <w:ind w:left="720"/>
              <w:spacing w:after="0"/>
              <w:rPr>
                <w:sz w:val="20"/>
                <w:szCs w:val="20"/>
                <w:color w:val="auto"/>
              </w:rPr>
            </w:pPr>
            <w:r>
              <w:rPr>
                <w:rFonts w:ascii="Arial" w:cs="Arial" w:eastAsia="Arial" w:hAnsi="Arial"/>
                <w:sz w:val="16"/>
                <w:szCs w:val="16"/>
                <w:color w:val="auto"/>
              </w:rPr>
              <w:t>Total Company</w:t>
            </w: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69,726</w:t>
            </w:r>
          </w:p>
        </w:tc>
        <w:tc>
          <w:tcPr>
            <w:tcW w:w="120" w:type="dxa"/>
            <w:vAlign w:val="bottom"/>
          </w:tcPr>
          <w:p>
            <w:pPr>
              <w:spacing w:after="0"/>
              <w:rPr>
                <w:sz w:val="18"/>
                <w:szCs w:val="18"/>
                <w:color w:val="auto"/>
              </w:rPr>
            </w:pP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70,111</w:t>
            </w:r>
          </w:p>
        </w:tc>
      </w:tr>
      <w:tr>
        <w:trPr>
          <w:trHeight w:val="73"/>
        </w:trPr>
        <w:tc>
          <w:tcPr>
            <w:tcW w:w="790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r>
      <w:tr>
        <w:trPr>
          <w:trHeight w:val="278"/>
        </w:trPr>
        <w:tc>
          <w:tcPr>
            <w:tcW w:w="79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24"/>
        </w:trPr>
        <w:tc>
          <w:tcPr>
            <w:tcW w:w="7900" w:type="dxa"/>
            <w:vAlign w:val="bottom"/>
          </w:tcPr>
          <w:p>
            <w:pPr>
              <w:ind w:left="40"/>
              <w:spacing w:after="0"/>
              <w:rPr>
                <w:sz w:val="20"/>
                <w:szCs w:val="20"/>
                <w:color w:val="auto"/>
              </w:rPr>
            </w:pPr>
            <w:r>
              <w:rPr>
                <w:rFonts w:ascii="Arial" w:cs="Arial" w:eastAsia="Arial" w:hAnsi="Arial"/>
                <w:sz w:val="16"/>
                <w:szCs w:val="16"/>
                <w:b w:val="1"/>
                <w:bCs w:val="1"/>
                <w:color w:val="auto"/>
              </w:rPr>
              <w:t>Total revenues</w:t>
            </w: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47"/>
        </w:trPr>
        <w:tc>
          <w:tcPr>
            <w:tcW w:w="79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Device Solutions</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221,755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249,367</w:t>
            </w: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Networked Solutions</w:t>
            </w:r>
          </w:p>
        </w:tc>
        <w:tc>
          <w:tcPr>
            <w:tcW w:w="38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336,427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302,338</w:t>
            </w:r>
          </w:p>
        </w:tc>
      </w:tr>
      <w:tr>
        <w:trPr>
          <w:trHeight w:val="33"/>
        </w:trPr>
        <w:tc>
          <w:tcPr>
            <w:tcW w:w="7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Outcomes</w:t>
            </w:r>
          </w:p>
        </w:tc>
        <w:tc>
          <w:tcPr>
            <w:tcW w:w="3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56,394</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55,516</w:t>
            </w:r>
          </w:p>
        </w:tc>
      </w:tr>
      <w:tr>
        <w:trPr>
          <w:trHeight w:val="217"/>
        </w:trPr>
        <w:tc>
          <w:tcPr>
            <w:tcW w:w="7900" w:type="dxa"/>
            <w:vAlign w:val="bottom"/>
          </w:tcPr>
          <w:p>
            <w:pPr>
              <w:ind w:left="720"/>
              <w:spacing w:after="0"/>
              <w:rPr>
                <w:sz w:val="20"/>
                <w:szCs w:val="20"/>
                <w:color w:val="auto"/>
              </w:rPr>
            </w:pPr>
            <w:r>
              <w:rPr>
                <w:rFonts w:ascii="Arial" w:cs="Arial" w:eastAsia="Arial" w:hAnsi="Arial"/>
                <w:sz w:val="16"/>
                <w:szCs w:val="16"/>
                <w:color w:val="auto"/>
              </w:rPr>
              <w:t>Total Company</w:t>
            </w: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614,576</w:t>
            </w:r>
          </w:p>
        </w:tc>
        <w:tc>
          <w:tcPr>
            <w:tcW w:w="120" w:type="dxa"/>
            <w:vAlign w:val="bottom"/>
          </w:tcPr>
          <w:p>
            <w:pPr>
              <w:spacing w:after="0"/>
              <w:rPr>
                <w:sz w:val="18"/>
                <w:szCs w:val="18"/>
                <w:color w:val="auto"/>
              </w:rPr>
            </w:pP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607,221</w:t>
            </w:r>
          </w:p>
        </w:tc>
      </w:tr>
      <w:tr>
        <w:trPr>
          <w:trHeight w:val="73"/>
        </w:trPr>
        <w:tc>
          <w:tcPr>
            <w:tcW w:w="790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r>
      <w:tr>
        <w:trPr>
          <w:trHeight w:val="278"/>
        </w:trPr>
        <w:tc>
          <w:tcPr>
            <w:tcW w:w="79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24"/>
        </w:trPr>
        <w:tc>
          <w:tcPr>
            <w:tcW w:w="7900" w:type="dxa"/>
            <w:vAlign w:val="bottom"/>
          </w:tcPr>
          <w:p>
            <w:pPr>
              <w:ind w:left="40"/>
              <w:spacing w:after="0"/>
              <w:rPr>
                <w:sz w:val="20"/>
                <w:szCs w:val="20"/>
                <w:color w:val="auto"/>
              </w:rPr>
            </w:pPr>
            <w:r>
              <w:rPr>
                <w:rFonts w:ascii="Arial" w:cs="Arial" w:eastAsia="Arial" w:hAnsi="Arial"/>
                <w:sz w:val="16"/>
                <w:szCs w:val="16"/>
                <w:b w:val="1"/>
                <w:bCs w:val="1"/>
                <w:color w:val="auto"/>
              </w:rPr>
              <w:t>Gross profit</w:t>
            </w: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47"/>
        </w:trPr>
        <w:tc>
          <w:tcPr>
            <w:tcW w:w="79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Device Solutions</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39,916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53,604</w:t>
            </w: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Networked Solutions</w:t>
            </w:r>
          </w:p>
        </w:tc>
        <w:tc>
          <w:tcPr>
            <w:tcW w:w="38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127,068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114,241</w:t>
            </w:r>
          </w:p>
        </w:tc>
      </w:tr>
      <w:tr>
        <w:trPr>
          <w:trHeight w:val="33"/>
        </w:trPr>
        <w:tc>
          <w:tcPr>
            <w:tcW w:w="7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Outcomes</w:t>
            </w:r>
          </w:p>
        </w:tc>
        <w:tc>
          <w:tcPr>
            <w:tcW w:w="3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20,279</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12,010</w:t>
            </w:r>
          </w:p>
        </w:tc>
      </w:tr>
      <w:tr>
        <w:trPr>
          <w:trHeight w:val="217"/>
        </w:trPr>
        <w:tc>
          <w:tcPr>
            <w:tcW w:w="7900" w:type="dxa"/>
            <w:vAlign w:val="bottom"/>
          </w:tcPr>
          <w:p>
            <w:pPr>
              <w:ind w:left="720"/>
              <w:spacing w:after="0"/>
              <w:rPr>
                <w:sz w:val="20"/>
                <w:szCs w:val="20"/>
                <w:color w:val="auto"/>
              </w:rPr>
            </w:pPr>
            <w:r>
              <w:rPr>
                <w:rFonts w:ascii="Arial" w:cs="Arial" w:eastAsia="Arial" w:hAnsi="Arial"/>
                <w:sz w:val="16"/>
                <w:szCs w:val="16"/>
                <w:color w:val="auto"/>
              </w:rPr>
              <w:t>Total Company</w:t>
            </w: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187,263</w:t>
            </w:r>
          </w:p>
        </w:tc>
        <w:tc>
          <w:tcPr>
            <w:tcW w:w="120" w:type="dxa"/>
            <w:vAlign w:val="bottom"/>
          </w:tcPr>
          <w:p>
            <w:pPr>
              <w:spacing w:after="0"/>
              <w:rPr>
                <w:sz w:val="18"/>
                <w:szCs w:val="18"/>
                <w:color w:val="auto"/>
              </w:rPr>
            </w:pP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179,855</w:t>
            </w:r>
          </w:p>
        </w:tc>
      </w:tr>
      <w:tr>
        <w:trPr>
          <w:trHeight w:val="73"/>
        </w:trPr>
        <w:tc>
          <w:tcPr>
            <w:tcW w:w="790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r>
      <w:tr>
        <w:trPr>
          <w:trHeight w:val="278"/>
        </w:trPr>
        <w:tc>
          <w:tcPr>
            <w:tcW w:w="79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24"/>
        </w:trPr>
        <w:tc>
          <w:tcPr>
            <w:tcW w:w="7900" w:type="dxa"/>
            <w:vAlign w:val="bottom"/>
          </w:tcPr>
          <w:p>
            <w:pPr>
              <w:ind w:left="40"/>
              <w:spacing w:after="0"/>
              <w:rPr>
                <w:sz w:val="20"/>
                <w:szCs w:val="20"/>
                <w:color w:val="auto"/>
              </w:rPr>
            </w:pPr>
            <w:r>
              <w:rPr>
                <w:rFonts w:ascii="Arial" w:cs="Arial" w:eastAsia="Arial" w:hAnsi="Arial"/>
                <w:sz w:val="16"/>
                <w:szCs w:val="16"/>
                <w:b w:val="1"/>
                <w:bCs w:val="1"/>
                <w:color w:val="auto"/>
              </w:rPr>
              <w:t>Operating income (loss)</w:t>
            </w: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47"/>
        </w:trPr>
        <w:tc>
          <w:tcPr>
            <w:tcW w:w="79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Device Solutions</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25,457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38,192</w:t>
            </w: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Networked Solutions</w:t>
            </w:r>
          </w:p>
        </w:tc>
        <w:tc>
          <w:tcPr>
            <w:tcW w:w="38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95,322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79,943</w:t>
            </w:r>
          </w:p>
        </w:tc>
      </w:tr>
      <w:tr>
        <w:trPr>
          <w:trHeight w:val="33"/>
        </w:trPr>
        <w:tc>
          <w:tcPr>
            <w:tcW w:w="7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Outcomes</w:t>
            </w:r>
          </w:p>
        </w:tc>
        <w:tc>
          <w:tcPr>
            <w:tcW w:w="3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10,410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(655)</w:t>
            </w: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Corporate unallocated</w:t>
            </w:r>
          </w:p>
        </w:tc>
        <w:tc>
          <w:tcPr>
            <w:tcW w:w="3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(110,366)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(257,928)</w:t>
            </w:r>
          </w:p>
        </w:tc>
      </w:tr>
      <w:tr>
        <w:trPr>
          <w:trHeight w:val="33"/>
        </w:trPr>
        <w:tc>
          <w:tcPr>
            <w:tcW w:w="79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Company</w:t>
            </w:r>
          </w:p>
        </w:tc>
        <w:tc>
          <w:tcPr>
            <w:tcW w:w="3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20,823</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(140,448)</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Total other income (expense)</w:t>
            </w:r>
          </w:p>
        </w:tc>
        <w:tc>
          <w:tcPr>
            <w:tcW w:w="3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(14,851)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(16,010)</w:t>
            </w:r>
          </w:p>
        </w:tc>
      </w:tr>
      <w:tr>
        <w:trPr>
          <w:trHeight w:val="33"/>
        </w:trPr>
        <w:tc>
          <w:tcPr>
            <w:tcW w:w="79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5"/>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(loss) before income taxes</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5,972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(156,458)</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months ended March 31, 2019, one customer represented 11% of total company revenues. For the three months ended March 31, 2018, no customer represented more than 10% of total company revenues.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currently buy a majority of our integrated circuit board assemblies from three suppliers. Management believes that other suppliers could provide similar products, but a change in suppliers, disputes with our suppliers, or unexpected constraints on the suppliers' production capacity could adversely affect operating results.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Revenues by region were as follows:</w:t>
      </w:r>
    </w:p>
    <w:p>
      <w:pPr>
        <w:spacing w:after="0" w:line="200" w:lineRule="exact"/>
        <w:rPr>
          <w:sz w:val="20"/>
          <w:szCs w:val="20"/>
          <w:color w:val="auto"/>
        </w:rPr>
      </w:pPr>
    </w:p>
    <w:p>
      <w:pPr>
        <w:spacing w:after="0" w:line="296"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In thousands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United States and Canada</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color w:val="auto"/>
        </w:rPr>
        <w:t>Europe, Middle East, and Africa</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(1)</w:t>
      </w:r>
    </w:p>
    <w:p>
      <w:pPr>
        <w:spacing w:after="0" w:line="3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Total revenues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37465</wp:posOffset>
            </wp:positionV>
            <wp:extent cx="22383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0" w:type="dxa"/>
            <w:vAlign w:val="bottom"/>
          </w:tcPr>
          <w:p>
            <w:pPr>
              <w:spacing w:after="0"/>
              <w:rPr>
                <w:sz w:val="18"/>
                <w:szCs w:val="18"/>
                <w:color w:val="auto"/>
              </w:rPr>
            </w:pPr>
          </w:p>
        </w:tc>
        <w:tc>
          <w:tcPr>
            <w:tcW w:w="1320" w:type="dxa"/>
            <w:vAlign w:val="bottom"/>
          </w:tcPr>
          <w:p>
            <w:pPr>
              <w:jc w:val="right"/>
              <w:ind w:right="61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2018</w:t>
            </w:r>
          </w:p>
        </w:tc>
      </w:tr>
      <w:tr>
        <w:trPr>
          <w:trHeight w:val="33"/>
        </w:trPr>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397,566</w:t>
            </w:r>
          </w:p>
        </w:tc>
        <w:tc>
          <w:tcPr>
            <w:tcW w:w="12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355,932</w:t>
            </w:r>
          </w:p>
        </w:tc>
      </w:tr>
      <w:tr>
        <w:trPr>
          <w:trHeight w:val="270"/>
        </w:trPr>
        <w:tc>
          <w:tcPr>
            <w:tcW w:w="400" w:type="dxa"/>
            <w:vAlign w:val="bottom"/>
          </w:tcPr>
          <w:p>
            <w:pPr>
              <w:spacing w:after="0"/>
              <w:rPr>
                <w:sz w:val="23"/>
                <w:szCs w:val="23"/>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171,242</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202,074</w:t>
            </w:r>
          </w:p>
        </w:tc>
      </w:tr>
      <w:tr>
        <w:trPr>
          <w:trHeight w:val="270"/>
        </w:trPr>
        <w:tc>
          <w:tcPr>
            <w:tcW w:w="400" w:type="dxa"/>
            <w:vAlign w:val="bottom"/>
          </w:tcPr>
          <w:p>
            <w:pPr>
              <w:spacing w:after="0"/>
              <w:rPr>
                <w:sz w:val="23"/>
                <w:szCs w:val="23"/>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45,768</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49,215</w:t>
            </w:r>
          </w:p>
        </w:tc>
      </w:tr>
      <w:tr>
        <w:trPr>
          <w:trHeight w:val="33"/>
        </w:trPr>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614,576</w:t>
            </w:r>
          </w:p>
        </w:tc>
        <w:tc>
          <w:tcPr>
            <w:tcW w:w="12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607,221</w:t>
            </w:r>
          </w:p>
        </w:tc>
      </w:tr>
      <w:tr>
        <w:trPr>
          <w:trHeight w:val="33"/>
        </w:trPr>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-5010785</wp:posOffset>
            </wp:positionH>
            <wp:positionV relativeFrom="paragraph">
              <wp:posOffset>-368300</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-5010785</wp:posOffset>
            </wp:positionH>
            <wp:positionV relativeFrom="paragraph">
              <wp:posOffset>-711200</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60" w:lineRule="exact"/>
        <w:rPr>
          <w:sz w:val="20"/>
          <w:szCs w:val="20"/>
          <w:color w:val="auto"/>
        </w:rPr>
      </w:pPr>
    </w:p>
    <w:p>
      <w:pPr>
        <w:sectPr>
          <w:pgSz w:w="11900" w:h="16838" w:orient="portrait"/>
          <w:cols w:equalWidth="0" w:num="2">
            <w:col w:w="7180" w:space="720"/>
            <w:col w:w="3520"/>
          </w:cols>
          <w:pgMar w:left="240" w:top="125" w:right="239" w:bottom="1440" w:gutter="0" w:footer="0" w:header="0"/>
        </w:sectPr>
      </w:pPr>
    </w:p>
    <w:p>
      <w:pPr>
        <w:ind w:left="340" w:hanging="332"/>
        <w:spacing w:after="0"/>
        <w:tabs>
          <w:tab w:leader="none" w:pos="340" w:val="left"/>
        </w:tabs>
        <w:numPr>
          <w:ilvl w:val="0"/>
          <w:numId w:val="4"/>
        </w:numPr>
        <w:rPr>
          <w:rFonts w:ascii="Arial" w:cs="Arial" w:eastAsia="Arial" w:hAnsi="Arial"/>
          <w:sz w:val="22"/>
          <w:szCs w:val="22"/>
          <w:color w:val="auto"/>
          <w:vertAlign w:val="superscript"/>
        </w:rPr>
      </w:pPr>
      <w:r>
        <w:rPr>
          <w:rFonts w:ascii="Arial" w:cs="Arial" w:eastAsia="Arial" w:hAnsi="Arial"/>
          <w:sz w:val="16"/>
          <w:szCs w:val="16"/>
          <w:color w:val="auto"/>
        </w:rPr>
        <w:t>Other includes our operations in Latin America and Asia Pacific.</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Depreciation and amortization of intangible assets expense associated with our operating segments was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140" w:type="dxa"/>
            <w:vAlign w:val="bottom"/>
            <w:gridSpan w:val="4"/>
          </w:tcPr>
          <w:p>
            <w:pPr>
              <w:jc w:val="right"/>
              <w:ind w:right="559"/>
              <w:spacing w:after="0"/>
              <w:rPr>
                <w:sz w:val="20"/>
                <w:szCs w:val="20"/>
                <w:color w:val="auto"/>
              </w:rPr>
            </w:pPr>
            <w:r>
              <w:rPr>
                <w:rFonts w:ascii="Arial" w:cs="Arial" w:eastAsia="Arial" w:hAnsi="Arial"/>
                <w:sz w:val="16"/>
                <w:szCs w:val="16"/>
                <w:b w:val="1"/>
                <w:bCs w:val="1"/>
                <w:color w:val="auto"/>
              </w:rPr>
              <w:t>Three Months Ended March 31,</w:t>
            </w:r>
          </w:p>
        </w:tc>
      </w:tr>
      <w:tr>
        <w:trPr>
          <w:trHeight w:val="33"/>
        </w:trPr>
        <w:tc>
          <w:tcPr>
            <w:tcW w:w="79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7900" w:type="dxa"/>
            <w:vAlign w:val="bottom"/>
          </w:tcPr>
          <w:p>
            <w:pPr>
              <w:ind w:left="40"/>
              <w:spacing w:after="0"/>
              <w:rPr>
                <w:sz w:val="20"/>
                <w:szCs w:val="20"/>
                <w:color w:val="auto"/>
              </w:rPr>
            </w:pPr>
            <w:r>
              <w:rPr>
                <w:rFonts w:ascii="Arial" w:cs="Arial" w:eastAsia="Arial" w:hAnsi="Arial"/>
                <w:sz w:val="16"/>
                <w:szCs w:val="16"/>
                <w:i w:val="1"/>
                <w:iCs w:val="1"/>
                <w:color w:val="auto"/>
              </w:rPr>
              <w:t>In thousands</w:t>
            </w:r>
          </w:p>
        </w:tc>
        <w:tc>
          <w:tcPr>
            <w:tcW w:w="380" w:type="dxa"/>
            <w:vAlign w:val="bottom"/>
          </w:tcPr>
          <w:p>
            <w:pPr>
              <w:spacing w:after="0"/>
              <w:rPr>
                <w:sz w:val="20"/>
                <w:szCs w:val="20"/>
                <w:color w:val="auto"/>
              </w:rPr>
            </w:pPr>
          </w:p>
        </w:tc>
        <w:tc>
          <w:tcPr>
            <w:tcW w:w="1340" w:type="dxa"/>
            <w:vAlign w:val="bottom"/>
          </w:tcPr>
          <w:p>
            <w:pPr>
              <w:jc w:val="right"/>
              <w:ind w:right="61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2018</w:t>
            </w:r>
          </w:p>
        </w:tc>
      </w:tr>
      <w:tr>
        <w:trPr>
          <w:trHeight w:val="33"/>
        </w:trPr>
        <w:tc>
          <w:tcPr>
            <w:tcW w:w="7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Device Solutions</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6,436</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6,474</w:t>
            </w:r>
          </w:p>
        </w:tc>
      </w:tr>
      <w:tr>
        <w:trPr>
          <w:trHeight w:val="224"/>
        </w:trPr>
        <w:tc>
          <w:tcPr>
            <w:tcW w:w="7900" w:type="dxa"/>
            <w:vAlign w:val="bottom"/>
          </w:tcPr>
          <w:p>
            <w:pPr>
              <w:ind w:left="40"/>
              <w:spacing w:after="0"/>
              <w:rPr>
                <w:sz w:val="20"/>
                <w:szCs w:val="20"/>
                <w:color w:val="auto"/>
              </w:rPr>
            </w:pPr>
            <w:r>
              <w:rPr>
                <w:rFonts w:ascii="Arial" w:cs="Arial" w:eastAsia="Arial" w:hAnsi="Arial"/>
                <w:sz w:val="16"/>
                <w:szCs w:val="16"/>
                <w:color w:val="auto"/>
              </w:rPr>
              <w:t>Networked Solutions</w:t>
            </w:r>
          </w:p>
        </w:tc>
        <w:tc>
          <w:tcPr>
            <w:tcW w:w="380" w:type="dxa"/>
            <w:vAlign w:val="bottom"/>
          </w:tcPr>
          <w:p>
            <w:pPr>
              <w:spacing w:after="0"/>
              <w:rPr>
                <w:sz w:val="19"/>
                <w:szCs w:val="19"/>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3,248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3,244</w:t>
            </w:r>
          </w:p>
        </w:tc>
      </w:tr>
      <w:tr>
        <w:trPr>
          <w:trHeight w:val="47"/>
        </w:trPr>
        <w:tc>
          <w:tcPr>
            <w:tcW w:w="79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Outcomes</w:t>
            </w:r>
          </w:p>
        </w:tc>
        <w:tc>
          <w:tcPr>
            <w:tcW w:w="3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1,302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1,709</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Corporate unallocated</w:t>
            </w:r>
          </w:p>
        </w:tc>
        <w:tc>
          <w:tcPr>
            <w:tcW w:w="38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17,441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19,645</w:t>
            </w:r>
          </w:p>
        </w:tc>
      </w:tr>
      <w:tr>
        <w:trPr>
          <w:trHeight w:val="33"/>
        </w:trPr>
        <w:tc>
          <w:tcPr>
            <w:tcW w:w="79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5"/>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Company</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28,427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31,072</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Revenues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summary of significant net changes in the contract assets and the contract liabilities balances during the period is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ind w:right="599"/>
              <w:spacing w:after="0"/>
              <w:rPr>
                <w:sz w:val="20"/>
                <w:szCs w:val="20"/>
                <w:color w:val="auto"/>
              </w:rPr>
            </w:pPr>
            <w:r>
              <w:rPr>
                <w:rFonts w:ascii="Arial" w:cs="Arial" w:eastAsia="Arial" w:hAnsi="Arial"/>
                <w:sz w:val="16"/>
                <w:szCs w:val="16"/>
                <w:b w:val="1"/>
                <w:bCs w:val="1"/>
                <w:color w:val="auto"/>
              </w:rPr>
              <w:t>2019</w:t>
            </w:r>
          </w:p>
        </w:tc>
      </w:tr>
      <w:tr>
        <w:trPr>
          <w:trHeight w:val="249"/>
        </w:trPr>
        <w:tc>
          <w:tcPr>
            <w:tcW w:w="9720" w:type="dxa"/>
            <w:vAlign w:val="bottom"/>
          </w:tcPr>
          <w:p>
            <w:pPr>
              <w:spacing w:after="0"/>
              <w:rPr>
                <w:sz w:val="21"/>
                <w:szCs w:val="21"/>
                <w:color w:val="auto"/>
              </w:rPr>
            </w:pPr>
          </w:p>
        </w:tc>
        <w:tc>
          <w:tcPr>
            <w:tcW w:w="1700" w:type="dxa"/>
            <w:vAlign w:val="bottom"/>
            <w:gridSpan w:val="2"/>
          </w:tcPr>
          <w:p>
            <w:pPr>
              <w:ind w:left="40"/>
              <w:spacing w:after="0"/>
              <w:rPr>
                <w:sz w:val="20"/>
                <w:szCs w:val="20"/>
                <w:color w:val="auto"/>
              </w:rPr>
            </w:pPr>
            <w:r>
              <w:rPr>
                <w:rFonts w:ascii="Arial" w:cs="Arial" w:eastAsia="Arial" w:hAnsi="Arial"/>
                <w:sz w:val="16"/>
                <w:szCs w:val="16"/>
                <w:b w:val="1"/>
                <w:bCs w:val="1"/>
                <w:color w:val="auto"/>
                <w:w w:val="91"/>
              </w:rPr>
              <w:t>Contract liabilities, less</w:t>
            </w:r>
          </w:p>
        </w:tc>
      </w:tr>
      <w:tr>
        <w:trPr>
          <w:trHeight w:val="210"/>
        </w:trPr>
        <w:tc>
          <w:tcPr>
            <w:tcW w:w="9720" w:type="dxa"/>
            <w:vAlign w:val="bottom"/>
          </w:tcPr>
          <w:p>
            <w:pPr>
              <w:ind w:left="40"/>
              <w:spacing w:after="0"/>
              <w:rPr>
                <w:sz w:val="20"/>
                <w:szCs w:val="20"/>
                <w:color w:val="auto"/>
              </w:rPr>
            </w:pPr>
            <w:r>
              <w:rPr>
                <w:rFonts w:ascii="Arial" w:cs="Arial" w:eastAsia="Arial" w:hAnsi="Arial"/>
                <w:sz w:val="16"/>
                <w:szCs w:val="16"/>
                <w:i w:val="1"/>
                <w:iCs w:val="1"/>
                <w:color w:val="auto"/>
              </w:rPr>
              <w:t>In thousands</w:t>
            </w:r>
          </w:p>
        </w:tc>
        <w:tc>
          <w:tcPr>
            <w:tcW w:w="220" w:type="dxa"/>
            <w:vAlign w:val="bottom"/>
          </w:tcPr>
          <w:p>
            <w:pPr>
              <w:spacing w:after="0"/>
              <w:rPr>
                <w:sz w:val="18"/>
                <w:szCs w:val="18"/>
                <w:color w:val="auto"/>
              </w:rPr>
            </w:pPr>
          </w:p>
        </w:tc>
        <w:tc>
          <w:tcPr>
            <w:tcW w:w="1480" w:type="dxa"/>
            <w:vAlign w:val="bottom"/>
          </w:tcPr>
          <w:p>
            <w:pPr>
              <w:jc w:val="right"/>
              <w:ind w:right="259"/>
              <w:spacing w:after="0"/>
              <w:rPr>
                <w:sz w:val="20"/>
                <w:szCs w:val="20"/>
                <w:color w:val="auto"/>
              </w:rPr>
            </w:pPr>
            <w:r>
              <w:rPr>
                <w:rFonts w:ascii="Arial" w:cs="Arial" w:eastAsia="Arial" w:hAnsi="Arial"/>
                <w:sz w:val="16"/>
                <w:szCs w:val="16"/>
                <w:b w:val="1"/>
                <w:bCs w:val="1"/>
                <w:color w:val="auto"/>
                <w:w w:val="95"/>
              </w:rPr>
              <w:t>contract assets</w:t>
            </w:r>
          </w:p>
        </w:tc>
      </w:tr>
      <w:tr>
        <w:trPr>
          <w:trHeight w:val="33"/>
        </w:trPr>
        <w:tc>
          <w:tcPr>
            <w:tcW w:w="9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Beginning balance, January 1</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102,130</w:t>
            </w:r>
          </w:p>
        </w:tc>
      </w:tr>
      <w:tr>
        <w:trPr>
          <w:trHeight w:val="224"/>
        </w:trPr>
        <w:tc>
          <w:tcPr>
            <w:tcW w:w="9720" w:type="dxa"/>
            <w:vAlign w:val="bottom"/>
          </w:tcPr>
          <w:p>
            <w:pPr>
              <w:ind w:left="40"/>
              <w:spacing w:after="0"/>
              <w:rPr>
                <w:sz w:val="20"/>
                <w:szCs w:val="20"/>
                <w:color w:val="auto"/>
              </w:rPr>
            </w:pPr>
            <w:r>
              <w:rPr>
                <w:rFonts w:ascii="Arial" w:cs="Arial" w:eastAsia="Arial" w:hAnsi="Arial"/>
                <w:sz w:val="16"/>
                <w:szCs w:val="16"/>
                <w:color w:val="auto"/>
              </w:rPr>
              <w:t>Revenues recognized from beginning contract liability</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(36,215)</w:t>
            </w:r>
          </w:p>
        </w:tc>
      </w:tr>
      <w:tr>
        <w:trPr>
          <w:trHeight w:val="33"/>
        </w:trPr>
        <w:tc>
          <w:tcPr>
            <w:tcW w:w="9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37"/>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Increases due to amounts collected or due</w:t>
            </w:r>
          </w:p>
        </w:tc>
        <w:tc>
          <w:tcPr>
            <w:tcW w:w="2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90,592</w:t>
            </w:r>
          </w:p>
        </w:tc>
      </w:tr>
      <w:tr>
        <w:trPr>
          <w:trHeight w:val="224"/>
        </w:trPr>
        <w:tc>
          <w:tcPr>
            <w:tcW w:w="9720" w:type="dxa"/>
            <w:vAlign w:val="bottom"/>
          </w:tcPr>
          <w:p>
            <w:pPr>
              <w:ind w:left="40"/>
              <w:spacing w:after="0"/>
              <w:rPr>
                <w:sz w:val="20"/>
                <w:szCs w:val="20"/>
                <w:color w:val="auto"/>
              </w:rPr>
            </w:pPr>
            <w:r>
              <w:rPr>
                <w:rFonts w:ascii="Arial" w:cs="Arial" w:eastAsia="Arial" w:hAnsi="Arial"/>
                <w:sz w:val="16"/>
                <w:szCs w:val="16"/>
                <w:color w:val="auto"/>
              </w:rPr>
              <w:t>Revenues recognized from current period increases</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(40,740)</w:t>
            </w:r>
          </w:p>
        </w:tc>
      </w:tr>
      <w:tr>
        <w:trPr>
          <w:trHeight w:val="33"/>
        </w:trPr>
        <w:tc>
          <w:tcPr>
            <w:tcW w:w="9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7"/>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(8,889)</w:t>
            </w:r>
          </w:p>
        </w:tc>
      </w:tr>
      <w:tr>
        <w:trPr>
          <w:trHeight w:val="244"/>
        </w:trPr>
        <w:tc>
          <w:tcPr>
            <w:tcW w:w="9720" w:type="dxa"/>
            <w:vAlign w:val="bottom"/>
          </w:tcPr>
          <w:p>
            <w:pPr>
              <w:ind w:left="40"/>
              <w:spacing w:after="0"/>
              <w:rPr>
                <w:sz w:val="20"/>
                <w:szCs w:val="20"/>
                <w:color w:val="auto"/>
              </w:rPr>
            </w:pPr>
            <w:r>
              <w:rPr>
                <w:rFonts w:ascii="Arial" w:cs="Arial" w:eastAsia="Arial" w:hAnsi="Arial"/>
                <w:sz w:val="16"/>
                <w:szCs w:val="16"/>
                <w:color w:val="auto"/>
              </w:rPr>
              <w:t>Ending balance, March 31</w:t>
            </w: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106,878</w:t>
            </w:r>
          </w:p>
        </w:tc>
      </w:tr>
      <w:tr>
        <w:trPr>
          <w:trHeight w:val="20"/>
        </w:trPr>
        <w:tc>
          <w:tcPr>
            <w:tcW w:w="9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January 1, 2019, total contract assets were $34.3 million and total contract liabilities were $136.5 million. On March 31, 2019, total contract assets were $31.6 million and total contract liabilities were $138.5 million. The contract assets primarily relate to contracts that include a retention clause and allocations related to contracts with multiple performance obligations. The contract liabilities primarily relate to deferred revenue, such as extended warranty and maintenance cost.</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Transaction price allocated to the remaining performance obligations</w:t>
      </w:r>
    </w:p>
    <w:p>
      <w:pPr>
        <w:spacing w:after="0" w:line="23"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Total transaction price allocated to remaining performance obligations represent committed but undelivered products and services for contracts and purchase orders at period end. Twelve-month remaining performance obligations represent the portion of total transaction price allocated to remaining performance obligations that we estimate will be recognized as revenue over the next 12 months. Total transaction price allocated to remaining performance obligations is not a complete measure of our future revenues as we also receive orders where the customer may have legal termination rights but are not likely to terminate.</w:t>
      </w:r>
    </w:p>
    <w:p>
      <w:pPr>
        <w:spacing w:after="0" w:line="16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Total transaction price allocated to remaining performance obligations related to contracts is approximately $1.2 billion for the next twelve months and approximately $766 million for periods longer than 12 months. The total remaining performance obligations is comprised of product and service components. The service component relates primarily to maintenance agreements for which customers pay a full year's maintenance in advance, and service revenues are generally recognized over the service period. Total transaction price allocated to remaining performance obligations also includes our extended warranty contracts, for which revenue is recognized over the warranty period, and hardware, which is recognized as units are delivered. The estimate of when remaining performance obligations will be recognized requires significant judgment.</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Cost to obtain a contract and cost to fulfill a contract with a customer</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Cost to obtain a contract and costs to fulfill a contract were capitalized and amortized using a systematic rational approached to align with the transfer of control of underlying contracts with customers. While amounts were capitalized, amounts are not material for disclosure.</w:t>
      </w:r>
    </w:p>
    <w:p>
      <w:pPr>
        <w:spacing w:after="0" w:line="18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Disaggregation of revenue</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Refer to "Note 15: Segments" and the Consolidated Statement of Operations for disclosure regarding the disaggregation of revenue into categories, which depict how revenue and cash flows are affected by economic factors. Specifically, our operating segments and geographical regions as disclosed, and categories for products, which include hardware and software and services as presented.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Leases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lease certain factories, service and distribution locations, offices, and equipment under operating leases. Our operating leases have initial lease terms ranging from 1 to 9 years, some of which include options to extend or renew the leases for up to 10 years. Certain lease agreements contain provisions for future rent increases. Our leases do not contain material residual value guarantees and finance leases are not material.</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We have not elected the short-term lease exemption. All leases with a lease term of greater than one month are included in the following tables.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operating lease expense are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360" w:type="dxa"/>
            <w:vAlign w:val="bottom"/>
          </w:tcPr>
          <w:p>
            <w:pPr>
              <w:spacing w:after="0"/>
              <w:rPr>
                <w:sz w:val="17"/>
                <w:szCs w:val="17"/>
                <w:color w:val="auto"/>
              </w:rPr>
            </w:pPr>
          </w:p>
        </w:tc>
        <w:tc>
          <w:tcPr>
            <w:tcW w:w="2060" w:type="dxa"/>
            <w:vAlign w:val="bottom"/>
            <w:gridSpan w:val="2"/>
          </w:tcPr>
          <w:p>
            <w:pPr>
              <w:ind w:left="40"/>
              <w:spacing w:after="0"/>
              <w:rPr>
                <w:sz w:val="20"/>
                <w:szCs w:val="20"/>
                <w:color w:val="auto"/>
              </w:rPr>
            </w:pPr>
            <w:r>
              <w:rPr>
                <w:rFonts w:ascii="Arial" w:cs="Arial" w:eastAsia="Arial" w:hAnsi="Arial"/>
                <w:sz w:val="16"/>
                <w:szCs w:val="16"/>
                <w:b w:val="1"/>
                <w:bCs w:val="1"/>
                <w:color w:val="auto"/>
                <w:w w:val="95"/>
              </w:rPr>
              <w:t>Three Months Ended March</w:t>
            </w:r>
          </w:p>
        </w:tc>
      </w:tr>
      <w:tr>
        <w:trPr>
          <w:trHeight w:val="210"/>
        </w:trPr>
        <w:tc>
          <w:tcPr>
            <w:tcW w:w="9360" w:type="dxa"/>
            <w:vAlign w:val="bottom"/>
          </w:tcPr>
          <w:p>
            <w:pPr>
              <w:ind w:left="40"/>
              <w:spacing w:after="0"/>
              <w:rPr>
                <w:sz w:val="20"/>
                <w:szCs w:val="20"/>
                <w:color w:val="auto"/>
              </w:rPr>
            </w:pPr>
            <w:r>
              <w:rPr>
                <w:rFonts w:ascii="Arial" w:cs="Arial" w:eastAsia="Arial" w:hAnsi="Arial"/>
                <w:sz w:val="16"/>
                <w:szCs w:val="16"/>
                <w:i w:val="1"/>
                <w:iCs w:val="1"/>
                <w:color w:val="auto"/>
              </w:rPr>
              <w:t>In thousands</w:t>
            </w:r>
          </w:p>
        </w:tc>
        <w:tc>
          <w:tcPr>
            <w:tcW w:w="440" w:type="dxa"/>
            <w:vAlign w:val="bottom"/>
          </w:tcPr>
          <w:p>
            <w:pPr>
              <w:spacing w:after="0"/>
              <w:rPr>
                <w:sz w:val="18"/>
                <w:szCs w:val="18"/>
                <w:color w:val="auto"/>
              </w:rPr>
            </w:pPr>
          </w:p>
        </w:tc>
        <w:tc>
          <w:tcPr>
            <w:tcW w:w="1620" w:type="dxa"/>
            <w:vAlign w:val="bottom"/>
          </w:tcPr>
          <w:p>
            <w:pPr>
              <w:jc w:val="right"/>
              <w:ind w:right="659"/>
              <w:spacing w:after="0"/>
              <w:rPr>
                <w:sz w:val="20"/>
                <w:szCs w:val="20"/>
                <w:color w:val="auto"/>
              </w:rPr>
            </w:pPr>
            <w:r>
              <w:rPr>
                <w:rFonts w:ascii="Arial" w:cs="Arial" w:eastAsia="Arial" w:hAnsi="Arial"/>
                <w:sz w:val="16"/>
                <w:szCs w:val="16"/>
                <w:b w:val="1"/>
                <w:bCs w:val="1"/>
                <w:color w:val="auto"/>
              </w:rPr>
              <w:t>31, 2019</w:t>
            </w:r>
          </w:p>
        </w:tc>
      </w:tr>
      <w:tr>
        <w:trPr>
          <w:trHeight w:val="33"/>
        </w:trPr>
        <w:tc>
          <w:tcPr>
            <w:tcW w:w="93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lease cost</w:t>
            </w:r>
          </w:p>
        </w:tc>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5,923</w:t>
            </w:r>
          </w:p>
        </w:tc>
      </w:tr>
      <w:tr>
        <w:trPr>
          <w:trHeight w:val="224"/>
        </w:trPr>
        <w:tc>
          <w:tcPr>
            <w:tcW w:w="9360" w:type="dxa"/>
            <w:vAlign w:val="bottom"/>
          </w:tcPr>
          <w:p>
            <w:pPr>
              <w:ind w:left="40"/>
              <w:spacing w:after="0"/>
              <w:rPr>
                <w:sz w:val="20"/>
                <w:szCs w:val="20"/>
                <w:color w:val="auto"/>
              </w:rPr>
            </w:pPr>
            <w:r>
              <w:rPr>
                <w:rFonts w:ascii="Arial" w:cs="Arial" w:eastAsia="Arial" w:hAnsi="Arial"/>
                <w:sz w:val="16"/>
                <w:szCs w:val="16"/>
                <w:color w:val="auto"/>
              </w:rPr>
              <w:t>Variable lease cost</w:t>
            </w:r>
          </w:p>
        </w:tc>
        <w:tc>
          <w:tcPr>
            <w:tcW w:w="440" w:type="dxa"/>
            <w:vAlign w:val="bottom"/>
          </w:tcPr>
          <w:p>
            <w:pPr>
              <w:spacing w:after="0"/>
              <w:rPr>
                <w:sz w:val="19"/>
                <w:szCs w:val="19"/>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442</w:t>
            </w:r>
          </w:p>
        </w:tc>
      </w:tr>
      <w:tr>
        <w:trPr>
          <w:trHeight w:val="33"/>
        </w:trPr>
        <w:tc>
          <w:tcPr>
            <w:tcW w:w="93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operating lease cost</w:t>
            </w:r>
          </w:p>
        </w:tc>
        <w:tc>
          <w:tcPr>
            <w:tcW w:w="4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6,365</w:t>
            </w:r>
          </w:p>
        </w:tc>
      </w:tr>
      <w:tr>
        <w:trPr>
          <w:trHeight w:val="20"/>
        </w:trPr>
        <w:tc>
          <w:tcPr>
            <w:tcW w:w="93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related to operating leases are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320" w:type="dxa"/>
            <w:vAlign w:val="bottom"/>
          </w:tcPr>
          <w:p>
            <w:pPr>
              <w:spacing w:after="0"/>
              <w:rPr>
                <w:sz w:val="17"/>
                <w:szCs w:val="17"/>
                <w:color w:val="auto"/>
              </w:rPr>
            </w:pPr>
          </w:p>
        </w:tc>
        <w:tc>
          <w:tcPr>
            <w:tcW w:w="4100" w:type="dxa"/>
            <w:vAlign w:val="bottom"/>
            <w:gridSpan w:val="2"/>
          </w:tcPr>
          <w:p>
            <w:pPr>
              <w:ind w:left="2080"/>
              <w:spacing w:after="0"/>
              <w:rPr>
                <w:sz w:val="20"/>
                <w:szCs w:val="20"/>
                <w:color w:val="auto"/>
              </w:rPr>
            </w:pPr>
            <w:r>
              <w:rPr>
                <w:rFonts w:ascii="Arial" w:cs="Arial" w:eastAsia="Arial" w:hAnsi="Arial"/>
                <w:sz w:val="16"/>
                <w:szCs w:val="16"/>
                <w:b w:val="1"/>
                <w:bCs w:val="1"/>
                <w:color w:val="auto"/>
                <w:w w:val="95"/>
              </w:rPr>
              <w:t>Three Months Ended March</w:t>
            </w:r>
          </w:p>
        </w:tc>
      </w:tr>
      <w:tr>
        <w:trPr>
          <w:trHeight w:val="210"/>
        </w:trPr>
        <w:tc>
          <w:tcPr>
            <w:tcW w:w="7320" w:type="dxa"/>
            <w:vAlign w:val="bottom"/>
          </w:tcPr>
          <w:p>
            <w:pPr>
              <w:ind w:left="40"/>
              <w:spacing w:after="0"/>
              <w:rPr>
                <w:sz w:val="20"/>
                <w:szCs w:val="20"/>
                <w:color w:val="auto"/>
              </w:rPr>
            </w:pPr>
            <w:r>
              <w:rPr>
                <w:rFonts w:ascii="Arial" w:cs="Arial" w:eastAsia="Arial" w:hAnsi="Arial"/>
                <w:sz w:val="16"/>
                <w:szCs w:val="16"/>
                <w:i w:val="1"/>
                <w:iCs w:val="1"/>
                <w:color w:val="auto"/>
              </w:rPr>
              <w:t>In thousands</w:t>
            </w:r>
          </w:p>
        </w:tc>
        <w:tc>
          <w:tcPr>
            <w:tcW w:w="2480" w:type="dxa"/>
            <w:vAlign w:val="bottom"/>
          </w:tcPr>
          <w:p>
            <w:pPr>
              <w:spacing w:after="0"/>
              <w:rPr>
                <w:sz w:val="18"/>
                <w:szCs w:val="18"/>
                <w:color w:val="auto"/>
              </w:rPr>
            </w:pPr>
          </w:p>
        </w:tc>
        <w:tc>
          <w:tcPr>
            <w:tcW w:w="1620" w:type="dxa"/>
            <w:vAlign w:val="bottom"/>
          </w:tcPr>
          <w:p>
            <w:pPr>
              <w:jc w:val="right"/>
              <w:ind w:right="659"/>
              <w:spacing w:after="0"/>
              <w:rPr>
                <w:sz w:val="20"/>
                <w:szCs w:val="20"/>
                <w:color w:val="auto"/>
              </w:rPr>
            </w:pPr>
            <w:r>
              <w:rPr>
                <w:rFonts w:ascii="Arial" w:cs="Arial" w:eastAsia="Arial" w:hAnsi="Arial"/>
                <w:sz w:val="16"/>
                <w:szCs w:val="16"/>
                <w:b w:val="1"/>
                <w:bCs w:val="1"/>
                <w:color w:val="auto"/>
              </w:rPr>
              <w:t>31, 2019</w:t>
            </w:r>
          </w:p>
        </w:tc>
      </w:tr>
      <w:tr>
        <w:trPr>
          <w:trHeight w:val="33"/>
        </w:trPr>
        <w:tc>
          <w:tcPr>
            <w:tcW w:w="732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paid for amounts included in the measurement of operating lease liabilities</w:t>
            </w:r>
          </w:p>
        </w:tc>
        <w:tc>
          <w:tcPr>
            <w:tcW w:w="2480" w:type="dxa"/>
            <w:vAlign w:val="bottom"/>
            <w:tcBorders>
              <w:bottom w:val="single" w:sz="8" w:color="CCEEFF"/>
            </w:tcBorders>
            <w:shd w:val="clear" w:color="auto" w:fill="CCEEFF"/>
          </w:tcPr>
          <w:p>
            <w:pPr>
              <w:ind w:left="2080"/>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5,615</w:t>
            </w:r>
          </w:p>
        </w:tc>
      </w:tr>
      <w:tr>
        <w:trPr>
          <w:trHeight w:val="224"/>
        </w:trPr>
        <w:tc>
          <w:tcPr>
            <w:tcW w:w="7320" w:type="dxa"/>
            <w:vAlign w:val="bottom"/>
          </w:tcPr>
          <w:p>
            <w:pPr>
              <w:ind w:left="40"/>
              <w:spacing w:after="0" w:line="184" w:lineRule="exact"/>
              <w:rPr>
                <w:sz w:val="20"/>
                <w:szCs w:val="20"/>
                <w:color w:val="auto"/>
              </w:rPr>
            </w:pPr>
            <w:r>
              <w:rPr>
                <w:rFonts w:ascii="Arial" w:cs="Arial" w:eastAsia="Arial" w:hAnsi="Arial"/>
                <w:sz w:val="16"/>
                <w:szCs w:val="16"/>
                <w:color w:val="auto"/>
              </w:rPr>
              <w:t>Right</w:t>
            </w:r>
            <w:r>
              <w:rPr>
                <w:rFonts w:ascii="MS PGothic" w:cs="MS PGothic" w:eastAsia="MS PGothic" w:hAnsi="MS PGothic"/>
                <w:sz w:val="16"/>
                <w:szCs w:val="16"/>
                <w:color w:val="auto"/>
              </w:rPr>
              <w:t>‑</w:t>
            </w:r>
            <w:r>
              <w:rPr>
                <w:rFonts w:ascii="Arial" w:cs="Arial" w:eastAsia="Arial" w:hAnsi="Arial"/>
                <w:sz w:val="16"/>
                <w:szCs w:val="16"/>
                <w:color w:val="auto"/>
              </w:rPr>
              <w:t>of</w:t>
            </w:r>
            <w:r>
              <w:rPr>
                <w:rFonts w:ascii="MS PGothic" w:cs="MS PGothic" w:eastAsia="MS PGothic" w:hAnsi="MS PGothic"/>
                <w:sz w:val="16"/>
                <w:szCs w:val="16"/>
                <w:color w:val="auto"/>
              </w:rPr>
              <w:t>‑</w:t>
            </w:r>
            <w:r>
              <w:rPr>
                <w:rFonts w:ascii="Arial" w:cs="Arial" w:eastAsia="Arial" w:hAnsi="Arial"/>
                <w:sz w:val="16"/>
                <w:szCs w:val="16"/>
                <w:color w:val="auto"/>
              </w:rPr>
              <w:t>use assets obtained in exchange for operating lease liabilities</w:t>
            </w:r>
          </w:p>
        </w:tc>
        <w:tc>
          <w:tcPr>
            <w:tcW w:w="2480" w:type="dxa"/>
            <w:vAlign w:val="bottom"/>
          </w:tcPr>
          <w:p>
            <w:pPr>
              <w:spacing w:after="0"/>
              <w:rPr>
                <w:sz w:val="19"/>
                <w:szCs w:val="19"/>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8,183</w:t>
            </w: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Supplemental balance sheet information related to operating leases are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680" w:type="dxa"/>
            <w:vAlign w:val="bottom"/>
          </w:tcPr>
          <w:p>
            <w:pPr>
              <w:ind w:left="40"/>
              <w:spacing w:after="0"/>
              <w:rPr>
                <w:sz w:val="20"/>
                <w:szCs w:val="20"/>
                <w:color w:val="auto"/>
              </w:rPr>
            </w:pPr>
            <w:r>
              <w:rPr>
                <w:rFonts w:ascii="Arial" w:cs="Arial" w:eastAsia="Arial" w:hAnsi="Arial"/>
                <w:sz w:val="16"/>
                <w:szCs w:val="16"/>
                <w:i w:val="1"/>
                <w:iCs w:val="1"/>
                <w:color w:val="auto"/>
              </w:rPr>
              <w:t>In thousands</w:t>
            </w:r>
          </w:p>
        </w:tc>
        <w:tc>
          <w:tcPr>
            <w:tcW w:w="220" w:type="dxa"/>
            <w:vAlign w:val="bottom"/>
          </w:tcPr>
          <w:p>
            <w:pPr>
              <w:spacing w:after="0"/>
              <w:rPr>
                <w:sz w:val="18"/>
                <w:szCs w:val="18"/>
                <w:color w:val="auto"/>
              </w:rPr>
            </w:pPr>
          </w:p>
        </w:tc>
        <w:tc>
          <w:tcPr>
            <w:tcW w:w="1520" w:type="dxa"/>
            <w:vAlign w:val="bottom"/>
          </w:tcPr>
          <w:p>
            <w:pPr>
              <w:jc w:val="right"/>
              <w:ind w:right="259"/>
              <w:spacing w:after="0"/>
              <w:rPr>
                <w:sz w:val="20"/>
                <w:szCs w:val="20"/>
                <w:color w:val="auto"/>
              </w:rPr>
            </w:pPr>
            <w:r>
              <w:rPr>
                <w:rFonts w:ascii="Arial" w:cs="Arial" w:eastAsia="Arial" w:hAnsi="Arial"/>
                <w:sz w:val="16"/>
                <w:szCs w:val="16"/>
                <w:b w:val="1"/>
                <w:bCs w:val="1"/>
                <w:color w:val="auto"/>
              </w:rPr>
              <w:t>March 31, 2019</w:t>
            </w:r>
          </w:p>
        </w:tc>
      </w:tr>
      <w:tr>
        <w:trPr>
          <w:trHeight w:val="33"/>
        </w:trPr>
        <w:tc>
          <w:tcPr>
            <w:tcW w:w="9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0"/>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lease right-of-use assets, net</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77,888</w:t>
            </w:r>
          </w:p>
        </w:tc>
      </w:tr>
      <w:tr>
        <w:trPr>
          <w:trHeight w:val="297"/>
        </w:trPr>
        <w:tc>
          <w:tcPr>
            <w:tcW w:w="9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37"/>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current liabilities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14,451</w:t>
            </w:r>
          </w:p>
        </w:tc>
      </w:tr>
      <w:tr>
        <w:trPr>
          <w:trHeight w:val="224"/>
        </w:trPr>
        <w:tc>
          <w:tcPr>
            <w:tcW w:w="9680" w:type="dxa"/>
            <w:vAlign w:val="bottom"/>
          </w:tcPr>
          <w:p>
            <w:pPr>
              <w:ind w:left="40"/>
              <w:spacing w:after="0"/>
              <w:rPr>
                <w:sz w:val="20"/>
                <w:szCs w:val="20"/>
                <w:color w:val="auto"/>
              </w:rPr>
            </w:pPr>
            <w:r>
              <w:rPr>
                <w:rFonts w:ascii="Arial" w:cs="Arial" w:eastAsia="Arial" w:hAnsi="Arial"/>
                <w:sz w:val="16"/>
                <w:szCs w:val="16"/>
                <w:color w:val="auto"/>
              </w:rPr>
              <w:t>Operating lease liabilities</w:t>
            </w:r>
          </w:p>
        </w:tc>
        <w:tc>
          <w:tcPr>
            <w:tcW w:w="220" w:type="dxa"/>
            <w:vAlign w:val="bottom"/>
          </w:tcPr>
          <w:p>
            <w:pPr>
              <w:spacing w:after="0"/>
              <w:rPr>
                <w:sz w:val="19"/>
                <w:szCs w:val="19"/>
                <w:color w:val="auto"/>
              </w:rPr>
            </w:pPr>
          </w:p>
        </w:tc>
        <w:tc>
          <w:tcPr>
            <w:tcW w:w="1520" w:type="dxa"/>
            <w:vAlign w:val="bottom"/>
          </w:tcPr>
          <w:p>
            <w:pPr>
              <w:jc w:val="right"/>
              <w:ind w:right="79"/>
              <w:spacing w:after="0"/>
              <w:rPr>
                <w:sz w:val="20"/>
                <w:szCs w:val="20"/>
                <w:color w:val="auto"/>
              </w:rPr>
            </w:pPr>
            <w:r>
              <w:rPr>
                <w:rFonts w:ascii="Arial" w:cs="Arial" w:eastAsia="Arial" w:hAnsi="Arial"/>
                <w:sz w:val="16"/>
                <w:szCs w:val="16"/>
                <w:color w:val="auto"/>
              </w:rPr>
              <w:t>66,865</w:t>
            </w:r>
          </w:p>
        </w:tc>
      </w:tr>
      <w:tr>
        <w:trPr>
          <w:trHeight w:val="33"/>
        </w:trPr>
        <w:tc>
          <w:tcPr>
            <w:tcW w:w="96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9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operating lease liability</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81,316</w:t>
            </w:r>
          </w:p>
        </w:tc>
      </w:tr>
      <w:tr>
        <w:trPr>
          <w:trHeight w:val="20"/>
        </w:trPr>
        <w:tc>
          <w:tcPr>
            <w:tcW w:w="9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211"/>
        </w:trPr>
        <w:tc>
          <w:tcPr>
            <w:tcW w:w="9680" w:type="dxa"/>
            <w:vAlign w:val="bottom"/>
          </w:tcPr>
          <w:p>
            <w:pPr>
              <w:ind w:left="40"/>
              <w:spacing w:after="0"/>
              <w:rPr>
                <w:sz w:val="20"/>
                <w:szCs w:val="20"/>
                <w:color w:val="auto"/>
              </w:rPr>
            </w:pPr>
            <w:r>
              <w:rPr>
                <w:rFonts w:ascii="Arial" w:cs="Arial" w:eastAsia="Arial" w:hAnsi="Arial"/>
                <w:sz w:val="16"/>
                <w:szCs w:val="16"/>
                <w:color w:val="auto"/>
              </w:rPr>
              <w:t>Weighted-average remaining lease term - Operating leases</w:t>
            </w:r>
          </w:p>
        </w:tc>
        <w:tc>
          <w:tcPr>
            <w:tcW w:w="220" w:type="dxa"/>
            <w:vAlign w:val="bottom"/>
          </w:tcPr>
          <w:p>
            <w:pPr>
              <w:spacing w:after="0"/>
              <w:rPr>
                <w:sz w:val="18"/>
                <w:szCs w:val="18"/>
                <w:color w:val="auto"/>
              </w:rPr>
            </w:pPr>
          </w:p>
        </w:tc>
        <w:tc>
          <w:tcPr>
            <w:tcW w:w="1520" w:type="dxa"/>
            <w:vAlign w:val="bottom"/>
          </w:tcPr>
          <w:p>
            <w:pPr>
              <w:jc w:val="right"/>
              <w:ind w:right="79"/>
              <w:spacing w:after="0"/>
              <w:rPr>
                <w:sz w:val="20"/>
                <w:szCs w:val="20"/>
                <w:color w:val="auto"/>
              </w:rPr>
            </w:pPr>
            <w:r>
              <w:rPr>
                <w:rFonts w:ascii="Arial" w:cs="Arial" w:eastAsia="Arial" w:hAnsi="Arial"/>
                <w:sz w:val="16"/>
                <w:szCs w:val="16"/>
                <w:color w:val="auto"/>
              </w:rPr>
              <w:t>6.4 years</w:t>
            </w:r>
          </w:p>
        </w:tc>
      </w:tr>
      <w:tr>
        <w:trPr>
          <w:trHeight w:val="33"/>
        </w:trPr>
        <w:tc>
          <w:tcPr>
            <w:tcW w:w="9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24"/>
        </w:trPr>
        <w:tc>
          <w:tcPr>
            <w:tcW w:w="9680" w:type="dxa"/>
            <w:vAlign w:val="bottom"/>
            <w:shd w:val="clear" w:color="auto" w:fill="CCEEFF"/>
          </w:tcPr>
          <w:p>
            <w:pPr>
              <w:ind w:left="40"/>
              <w:spacing w:after="0"/>
              <w:rPr>
                <w:sz w:val="20"/>
                <w:szCs w:val="20"/>
                <w:color w:val="auto"/>
              </w:rPr>
            </w:pPr>
            <w:r>
              <w:rPr>
                <w:rFonts w:ascii="Arial" w:cs="Arial" w:eastAsia="Arial" w:hAnsi="Arial"/>
                <w:sz w:val="16"/>
                <w:szCs w:val="16"/>
                <w:color w:val="auto"/>
              </w:rPr>
              <w:t>Weighted-average discount rate - Operating leases</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r>
      <w:tr>
        <w:trPr>
          <w:trHeight w:val="33"/>
        </w:trPr>
        <w:tc>
          <w:tcPr>
            <w:tcW w:w="96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Remaining maturities of operating lease liabilities as of March 31, 2019 are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720" w:type="dxa"/>
            <w:vAlign w:val="bottom"/>
          </w:tcPr>
          <w:p>
            <w:pPr>
              <w:ind w:left="40"/>
              <w:spacing w:after="0"/>
              <w:rPr>
                <w:sz w:val="20"/>
                <w:szCs w:val="20"/>
                <w:color w:val="auto"/>
              </w:rPr>
            </w:pPr>
            <w:r>
              <w:rPr>
                <w:rFonts w:ascii="Arial" w:cs="Arial" w:eastAsia="Arial" w:hAnsi="Arial"/>
                <w:sz w:val="16"/>
                <w:szCs w:val="16"/>
                <w:i w:val="1"/>
                <w:iCs w:val="1"/>
                <w:color w:val="auto"/>
              </w:rPr>
              <w:t>In thousands</w:t>
            </w:r>
          </w:p>
        </w:tc>
        <w:tc>
          <w:tcPr>
            <w:tcW w:w="200" w:type="dxa"/>
            <w:vAlign w:val="bottom"/>
          </w:tcPr>
          <w:p>
            <w:pPr>
              <w:spacing w:after="0"/>
              <w:rPr>
                <w:sz w:val="18"/>
                <w:szCs w:val="18"/>
                <w:color w:val="auto"/>
              </w:rPr>
            </w:pPr>
          </w:p>
        </w:tc>
        <w:tc>
          <w:tcPr>
            <w:tcW w:w="1500" w:type="dxa"/>
            <w:vAlign w:val="bottom"/>
          </w:tcPr>
          <w:p>
            <w:pPr>
              <w:jc w:val="right"/>
              <w:ind w:right="239"/>
              <w:spacing w:after="0"/>
              <w:rPr>
                <w:sz w:val="20"/>
                <w:szCs w:val="20"/>
                <w:color w:val="auto"/>
              </w:rPr>
            </w:pPr>
            <w:r>
              <w:rPr>
                <w:rFonts w:ascii="Arial" w:cs="Arial" w:eastAsia="Arial" w:hAnsi="Arial"/>
                <w:sz w:val="16"/>
                <w:szCs w:val="16"/>
                <w:b w:val="1"/>
                <w:bCs w:val="1"/>
                <w:color w:val="auto"/>
              </w:rPr>
              <w:t>March 31, 2019</w:t>
            </w:r>
          </w:p>
        </w:tc>
      </w:tr>
      <w:tr>
        <w:trPr>
          <w:trHeight w:val="33"/>
        </w:trPr>
        <w:tc>
          <w:tcPr>
            <w:tcW w:w="9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2019 (amount remaining at March 31, 2019)</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11,853</w:t>
            </w:r>
          </w:p>
        </w:tc>
      </w:tr>
      <w:tr>
        <w:trPr>
          <w:trHeight w:val="224"/>
        </w:trPr>
        <w:tc>
          <w:tcPr>
            <w:tcW w:w="9720" w:type="dxa"/>
            <w:vAlign w:val="bottom"/>
          </w:tcPr>
          <w:p>
            <w:pPr>
              <w:ind w:left="40"/>
              <w:spacing w:after="0"/>
              <w:rPr>
                <w:sz w:val="20"/>
                <w:szCs w:val="20"/>
                <w:color w:val="auto"/>
              </w:rPr>
            </w:pPr>
            <w:r>
              <w:rPr>
                <w:rFonts w:ascii="Arial" w:cs="Arial" w:eastAsia="Arial" w:hAnsi="Arial"/>
                <w:sz w:val="16"/>
                <w:szCs w:val="16"/>
                <w:color w:val="auto"/>
              </w:rPr>
              <w:t>2020</w:t>
            </w:r>
          </w:p>
        </w:tc>
        <w:tc>
          <w:tcPr>
            <w:tcW w:w="200" w:type="dxa"/>
            <w:vAlign w:val="bottom"/>
          </w:tcPr>
          <w:p>
            <w:pPr>
              <w:spacing w:after="0"/>
              <w:rPr>
                <w:sz w:val="19"/>
                <w:szCs w:val="19"/>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16,386</w:t>
            </w:r>
          </w:p>
        </w:tc>
      </w:tr>
      <w:tr>
        <w:trPr>
          <w:trHeight w:val="33"/>
        </w:trPr>
        <w:tc>
          <w:tcPr>
            <w:tcW w:w="9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37"/>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2021</w:t>
            </w: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13,971</w:t>
            </w:r>
          </w:p>
        </w:tc>
      </w:tr>
      <w:tr>
        <w:trPr>
          <w:trHeight w:val="224"/>
        </w:trPr>
        <w:tc>
          <w:tcPr>
            <w:tcW w:w="9720" w:type="dxa"/>
            <w:vAlign w:val="bottom"/>
          </w:tcPr>
          <w:p>
            <w:pPr>
              <w:ind w:left="40"/>
              <w:spacing w:after="0"/>
              <w:rPr>
                <w:sz w:val="20"/>
                <w:szCs w:val="20"/>
                <w:color w:val="auto"/>
              </w:rPr>
            </w:pPr>
            <w:r>
              <w:rPr>
                <w:rFonts w:ascii="Arial" w:cs="Arial" w:eastAsia="Arial" w:hAnsi="Arial"/>
                <w:sz w:val="16"/>
                <w:szCs w:val="16"/>
                <w:color w:val="auto"/>
              </w:rPr>
              <w:t>2022</w:t>
            </w:r>
          </w:p>
        </w:tc>
        <w:tc>
          <w:tcPr>
            <w:tcW w:w="200" w:type="dxa"/>
            <w:vAlign w:val="bottom"/>
          </w:tcPr>
          <w:p>
            <w:pPr>
              <w:spacing w:after="0"/>
              <w:rPr>
                <w:sz w:val="19"/>
                <w:szCs w:val="19"/>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11,344</w:t>
            </w:r>
          </w:p>
        </w:tc>
      </w:tr>
      <w:tr>
        <w:trPr>
          <w:trHeight w:val="33"/>
        </w:trPr>
        <w:tc>
          <w:tcPr>
            <w:tcW w:w="9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37"/>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2023</w:t>
            </w: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11,180</w:t>
            </w:r>
          </w:p>
        </w:tc>
      </w:tr>
      <w:tr>
        <w:trPr>
          <w:trHeight w:val="224"/>
        </w:trPr>
        <w:tc>
          <w:tcPr>
            <w:tcW w:w="9720" w:type="dxa"/>
            <w:vAlign w:val="bottom"/>
          </w:tcPr>
          <w:p>
            <w:pPr>
              <w:ind w:left="40"/>
              <w:spacing w:after="0"/>
              <w:rPr>
                <w:sz w:val="20"/>
                <w:szCs w:val="20"/>
                <w:color w:val="auto"/>
              </w:rPr>
            </w:pPr>
            <w:r>
              <w:rPr>
                <w:rFonts w:ascii="Arial" w:cs="Arial" w:eastAsia="Arial" w:hAnsi="Arial"/>
                <w:sz w:val="16"/>
                <w:szCs w:val="16"/>
                <w:color w:val="auto"/>
              </w:rPr>
              <w:t>Thereafter</w:t>
            </w:r>
          </w:p>
        </w:tc>
        <w:tc>
          <w:tcPr>
            <w:tcW w:w="200" w:type="dxa"/>
            <w:vAlign w:val="bottom"/>
          </w:tcPr>
          <w:p>
            <w:pPr>
              <w:spacing w:after="0"/>
              <w:rPr>
                <w:sz w:val="19"/>
                <w:szCs w:val="19"/>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31,203</w:t>
            </w:r>
          </w:p>
        </w:tc>
      </w:tr>
      <w:tr>
        <w:trPr>
          <w:trHeight w:val="33"/>
        </w:trPr>
        <w:tc>
          <w:tcPr>
            <w:tcW w:w="97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0"/>
        </w:trPr>
        <w:tc>
          <w:tcPr>
            <w:tcW w:w="9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lease payments</w:t>
            </w: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95,937</w:t>
            </w:r>
          </w:p>
        </w:tc>
      </w:tr>
      <w:tr>
        <w:trPr>
          <w:trHeight w:val="224"/>
        </w:trPr>
        <w:tc>
          <w:tcPr>
            <w:tcW w:w="9720" w:type="dxa"/>
            <w:vAlign w:val="bottom"/>
          </w:tcPr>
          <w:p>
            <w:pPr>
              <w:ind w:left="40"/>
              <w:spacing w:after="0"/>
              <w:rPr>
                <w:sz w:val="20"/>
                <w:szCs w:val="20"/>
                <w:color w:val="auto"/>
              </w:rPr>
            </w:pPr>
            <w:r>
              <w:rPr>
                <w:rFonts w:ascii="Arial" w:cs="Arial" w:eastAsia="Arial" w:hAnsi="Arial"/>
                <w:sz w:val="16"/>
                <w:szCs w:val="16"/>
                <w:color w:val="auto"/>
              </w:rPr>
              <w:t>Less: Imputed interest</w:t>
            </w: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(14,621)</w:t>
            </w:r>
          </w:p>
        </w:tc>
      </w:tr>
      <w:tr>
        <w:trPr>
          <w:trHeight w:val="33"/>
        </w:trPr>
        <w:tc>
          <w:tcPr>
            <w:tcW w:w="97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9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operating lease liability</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81,316</w:t>
            </w:r>
          </w:p>
        </w:tc>
      </w:tr>
      <w:tr>
        <w:trPr>
          <w:trHeight w:val="20"/>
        </w:trPr>
        <w:tc>
          <w:tcPr>
            <w:tcW w:w="9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future obligations under operating leases in effect as of December 31, 2018 as determined prior to adoption of ASC 842 are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600" w:type="dxa"/>
            <w:vAlign w:val="bottom"/>
          </w:tcPr>
          <w:p>
            <w:pPr>
              <w:ind w:left="40"/>
              <w:spacing w:after="0"/>
              <w:rPr>
                <w:sz w:val="20"/>
                <w:szCs w:val="20"/>
                <w:color w:val="auto"/>
              </w:rPr>
            </w:pPr>
            <w:r>
              <w:rPr>
                <w:rFonts w:ascii="Arial" w:cs="Arial" w:eastAsia="Arial" w:hAnsi="Arial"/>
                <w:sz w:val="16"/>
                <w:szCs w:val="16"/>
                <w:i w:val="1"/>
                <w:iCs w:val="1"/>
                <w:color w:val="auto"/>
              </w:rPr>
              <w:t>In thousands</w:t>
            </w:r>
          </w:p>
        </w:tc>
        <w:tc>
          <w:tcPr>
            <w:tcW w:w="180" w:type="dxa"/>
            <w:vAlign w:val="bottom"/>
          </w:tcPr>
          <w:p>
            <w:pPr>
              <w:spacing w:after="0"/>
              <w:rPr>
                <w:sz w:val="18"/>
                <w:szCs w:val="18"/>
                <w:color w:val="auto"/>
              </w:rPr>
            </w:pPr>
          </w:p>
        </w:tc>
        <w:tc>
          <w:tcPr>
            <w:tcW w:w="1640" w:type="dxa"/>
            <w:vAlign w:val="bottom"/>
          </w:tcPr>
          <w:p>
            <w:pPr>
              <w:jc w:val="right"/>
              <w:ind w:right="179"/>
              <w:spacing w:after="0"/>
              <w:rPr>
                <w:sz w:val="20"/>
                <w:szCs w:val="20"/>
                <w:color w:val="auto"/>
              </w:rPr>
            </w:pPr>
            <w:r>
              <w:rPr>
                <w:rFonts w:ascii="Arial" w:cs="Arial" w:eastAsia="Arial" w:hAnsi="Arial"/>
                <w:sz w:val="16"/>
                <w:szCs w:val="16"/>
                <w:b w:val="1"/>
                <w:bCs w:val="1"/>
                <w:color w:val="auto"/>
                <w:w w:val="94"/>
              </w:rPr>
              <w:t>December 31, 2018</w:t>
            </w:r>
          </w:p>
        </w:tc>
      </w:tr>
      <w:tr>
        <w:trPr>
          <w:trHeight w:val="33"/>
        </w:trPr>
        <w:tc>
          <w:tcPr>
            <w:tcW w:w="96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than 1 year</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17,456</w:t>
            </w:r>
          </w:p>
        </w:tc>
      </w:tr>
      <w:tr>
        <w:trPr>
          <w:trHeight w:val="224"/>
        </w:trPr>
        <w:tc>
          <w:tcPr>
            <w:tcW w:w="9600" w:type="dxa"/>
            <w:vAlign w:val="bottom"/>
          </w:tcPr>
          <w:p>
            <w:pPr>
              <w:ind w:left="40"/>
              <w:spacing w:after="0"/>
              <w:rPr>
                <w:sz w:val="20"/>
                <w:szCs w:val="20"/>
                <w:color w:val="auto"/>
              </w:rPr>
            </w:pPr>
            <w:r>
              <w:rPr>
                <w:rFonts w:ascii="Arial" w:cs="Arial" w:eastAsia="Arial" w:hAnsi="Arial"/>
                <w:sz w:val="16"/>
                <w:szCs w:val="16"/>
                <w:color w:val="auto"/>
              </w:rPr>
              <w:t>1-3 years</w:t>
            </w:r>
          </w:p>
        </w:tc>
        <w:tc>
          <w:tcPr>
            <w:tcW w:w="180" w:type="dxa"/>
            <w:vAlign w:val="bottom"/>
          </w:tcPr>
          <w:p>
            <w:pPr>
              <w:spacing w:after="0"/>
              <w:rPr>
                <w:sz w:val="19"/>
                <w:szCs w:val="19"/>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26,241</w:t>
            </w:r>
          </w:p>
        </w:tc>
      </w:tr>
      <w:tr>
        <w:trPr>
          <w:trHeight w:val="33"/>
        </w:trPr>
        <w:tc>
          <w:tcPr>
            <w:tcW w:w="9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37"/>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3-5 years</w:t>
            </w:r>
          </w:p>
        </w:tc>
        <w:tc>
          <w:tcPr>
            <w:tcW w:w="18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19,659</w:t>
            </w:r>
          </w:p>
        </w:tc>
      </w:tr>
      <w:tr>
        <w:trPr>
          <w:trHeight w:val="224"/>
        </w:trPr>
        <w:tc>
          <w:tcPr>
            <w:tcW w:w="9600" w:type="dxa"/>
            <w:vAlign w:val="bottom"/>
          </w:tcPr>
          <w:p>
            <w:pPr>
              <w:ind w:left="40"/>
              <w:spacing w:after="0"/>
              <w:rPr>
                <w:sz w:val="20"/>
                <w:szCs w:val="20"/>
                <w:color w:val="auto"/>
              </w:rPr>
            </w:pPr>
            <w:r>
              <w:rPr>
                <w:rFonts w:ascii="Arial" w:cs="Arial" w:eastAsia="Arial" w:hAnsi="Arial"/>
                <w:sz w:val="16"/>
                <w:szCs w:val="16"/>
                <w:color w:val="auto"/>
              </w:rPr>
              <w:t>Beyond 5 years</w:t>
            </w:r>
          </w:p>
        </w:tc>
        <w:tc>
          <w:tcPr>
            <w:tcW w:w="180" w:type="dxa"/>
            <w:vAlign w:val="bottom"/>
          </w:tcPr>
          <w:p>
            <w:pPr>
              <w:spacing w:after="0"/>
              <w:rPr>
                <w:sz w:val="19"/>
                <w:szCs w:val="19"/>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26,703</w:t>
            </w:r>
          </w:p>
        </w:tc>
      </w:tr>
      <w:tr>
        <w:trPr>
          <w:trHeight w:val="33"/>
        </w:trPr>
        <w:tc>
          <w:tcPr>
            <w:tcW w:w="96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operating lease liability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90,059</w:t>
            </w:r>
          </w:p>
        </w:tc>
      </w:tr>
      <w:tr>
        <w:trPr>
          <w:trHeight w:val="20"/>
        </w:trPr>
        <w:tc>
          <w:tcPr>
            <w:tcW w:w="9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discussion and analysis should be read in conjunction with the unaudited condensed consolidated financial statements and notes included in this report and with our Annual Report on Form 10-K for the year ended December 31, 2018, filed with the Securities and Exchange Commission (SEC) on February 28, 2019.</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Documents we provide to the SEC are available free of charge under the Investors section of our website at </w:t>
      </w:r>
      <w:r>
        <w:rPr>
          <w:rFonts w:ascii="Arial" w:cs="Arial" w:eastAsia="Arial" w:hAnsi="Arial"/>
          <w:sz w:val="18"/>
          <w:szCs w:val="18"/>
          <w:i w:val="1"/>
          <w:iCs w:val="1"/>
          <w:color w:val="auto"/>
        </w:rPr>
        <w:t>www.itron.com</w:t>
      </w:r>
      <w:r>
        <w:rPr>
          <w:rFonts w:ascii="Arial" w:cs="Arial" w:eastAsia="Arial" w:hAnsi="Arial"/>
          <w:sz w:val="18"/>
          <w:szCs w:val="18"/>
          <w:color w:val="auto"/>
        </w:rPr>
        <w:t xml:space="preserve"> as soon as practicable after they are filed with or furnished to the SEC. In addition, these documents are available at the SEC's website (http://</w:t>
      </w:r>
      <w:r>
        <w:rPr>
          <w:rFonts w:ascii="Arial" w:cs="Arial" w:eastAsia="Arial" w:hAnsi="Arial"/>
          <w:sz w:val="18"/>
          <w:szCs w:val="18"/>
          <w:i w:val="1"/>
          <w:iCs w:val="1"/>
          <w:color w:val="auto"/>
        </w:rPr>
        <w:t>www.sec.gov</w:t>
      </w:r>
      <w:r>
        <w:rPr>
          <w:rFonts w:ascii="Arial" w:cs="Arial" w:eastAsia="Arial" w:hAnsi="Arial"/>
          <w:sz w:val="18"/>
          <w:szCs w:val="18"/>
          <w:color w:val="auto"/>
        </w:rPr>
        <w:t>), at the SEC's Headquarters at 100 F Street, NE, Washington, DC 20549, or by calling 1-800-SEC-0330.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Forward-Looking Statements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222222"/>
        </w:rPr>
        <w:t xml:space="preserve">This document contains forward-looking statements concerning our operations, financial performance, revenues, earnings growth, liquidity, restructuring, and other items. This document reflects our current plans and expectations and is based on information currently available as of the date of this Quarterly Report on Form 10-Q. When we use the words "expect," "intend," "anticipate," "believe," "plan," "project," "estimate," "future," "objective," "may," "will," "will continue," and similar expressions, they are intended to identify forward-looking statements. Forward-looking statements rely on a number of assumptions and estimates. Although we believe that these assumptions and estimates are reasonable, any of these assumptions and estimates could prove to be inaccurate and the forward looking statements based on them could be incorrect and cause our actual results to vary materially from expected results. </w:t>
      </w:r>
      <w:r>
        <w:rPr>
          <w:rFonts w:ascii="Arial" w:cs="Arial" w:eastAsia="Arial" w:hAnsi="Arial"/>
          <w:sz w:val="17"/>
          <w:szCs w:val="17"/>
          <w:i w:val="1"/>
          <w:iCs w:val="1"/>
          <w:color w:val="000000"/>
        </w:rPr>
        <w:t>For</w:t>
      </w:r>
      <w:r>
        <w:rPr>
          <w:rFonts w:ascii="Arial" w:cs="Arial" w:eastAsia="Arial" w:hAnsi="Arial"/>
          <w:sz w:val="17"/>
          <w:szCs w:val="17"/>
          <w:i w:val="1"/>
          <w:iCs w:val="1"/>
          <w:color w:val="222222"/>
        </w:rPr>
        <w:t xml:space="preserve"> </w:t>
      </w:r>
      <w:r>
        <w:rPr>
          <w:rFonts w:ascii="Arial" w:cs="Arial" w:eastAsia="Arial" w:hAnsi="Arial"/>
          <w:sz w:val="17"/>
          <w:szCs w:val="17"/>
          <w:i w:val="1"/>
          <w:iCs w:val="1"/>
          <w:color w:val="000000"/>
        </w:rPr>
        <w:t>a more complete description of these and other risks, refer to Item 1A: "Risk Factors" included in our Annual Report on Form 10-K for the fiscal year ended December 31, 2018, which was filed with the SEC on February 28, 2019 and our other reports on file with the SEC. We do not undertake any obligation to update or revise any forward-looking statement in this document.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 technology company, offering end-to-end solutions to enhance productivity and efficiency, primarily focused on utilities and municipalities around the globe. Our solutions generally include robust industrial grade networks, smart meters, meter data management software, and knowledge application solutions, which bring additional value to the customer. Our professional services help our customers project-manage, install, implement, operate, and maintain their systems.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We operate under the Itron brand worldwide and manage and report under three operating segments: Device Solutions, Networked Solutions, and Outcomes.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product and operating definitions of the three segments are as follows:</w:t>
      </w:r>
    </w:p>
    <w:p>
      <w:pPr>
        <w:spacing w:after="0" w:line="21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 xml:space="preserve">Device Solutions: </w:t>
      </w:r>
      <w:r>
        <w:rPr>
          <w:rFonts w:ascii="Arial" w:cs="Arial" w:eastAsia="Arial" w:hAnsi="Arial"/>
          <w:sz w:val="17"/>
          <w:szCs w:val="17"/>
          <w:color w:val="auto"/>
        </w:rPr>
        <w:t>primarily includes hardware products used for measurement, control, or sensing that do not have communications capability embedded for</w:t>
      </w:r>
      <w:r>
        <w:rPr>
          <w:rFonts w:ascii="Arial" w:cs="Arial" w:eastAsia="Arial" w:hAnsi="Arial"/>
          <w:sz w:val="17"/>
          <w:szCs w:val="17"/>
          <w:i w:val="1"/>
          <w:iCs w:val="1"/>
          <w:color w:val="auto"/>
        </w:rPr>
        <w:t xml:space="preserve"> </w:t>
      </w:r>
      <w:r>
        <w:rPr>
          <w:rFonts w:ascii="Arial" w:cs="Arial" w:eastAsia="Arial" w:hAnsi="Arial"/>
          <w:sz w:val="17"/>
          <w:szCs w:val="17"/>
          <w:color w:val="auto"/>
        </w:rPr>
        <w:t>use with our broader Itron systems, i.e., products where Itron is not offering the complete “end-to-end” solution, but only the hardware elements. Examples of the Device Solutions portfolio include basic meters that are shipped without Itron communications, such as our standard gas meters, electricity IEC meters, and water meters, in addition to our heat and allocation products; communicating meters that are not a part of an Itron solution such as the Linky meter; and the implementation and installation of non-communicating devices, such as gas regulators.</w:t>
      </w:r>
    </w:p>
    <w:p>
      <w:pPr>
        <w:spacing w:after="0" w:line="17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Networked Solutions: </w:t>
      </w:r>
      <w:r>
        <w:rPr>
          <w:rFonts w:ascii="Arial" w:cs="Arial" w:eastAsia="Arial" w:hAnsi="Arial"/>
          <w:sz w:val="18"/>
          <w:szCs w:val="18"/>
          <w:color w:val="auto"/>
        </w:rPr>
        <w:t>primarily includes a combination of communicating devices (smart meters, modules, endpoints and sensors), network infrastructure,</w:t>
      </w:r>
      <w:r>
        <w:rPr>
          <w:rFonts w:ascii="Arial" w:cs="Arial" w:eastAsia="Arial" w:hAnsi="Arial"/>
          <w:sz w:val="18"/>
          <w:szCs w:val="18"/>
          <w:i w:val="1"/>
          <w:iCs w:val="1"/>
          <w:color w:val="auto"/>
        </w:rPr>
        <w:t xml:space="preserve"> </w:t>
      </w:r>
      <w:r>
        <w:rPr>
          <w:rFonts w:ascii="Arial" w:cs="Arial" w:eastAsia="Arial" w:hAnsi="Arial"/>
          <w:sz w:val="18"/>
          <w:szCs w:val="18"/>
          <w:color w:val="auto"/>
        </w:rPr>
        <w:t>and associated application software designed and sold as a complete solution for acquiring and transporting robust application-specific data. Networked Solutions combines, into one operating segment, the majority of the assets from the recently acquired Silver Spring Networks organization with our legacy Itron networking products and software, and the implementation and installation of communicating devices into one segment. This will include: communicating measurement, control, or sensing endpoints such as our Itron® and OpenWay® Riva meters, Itron traditional ERT® technology, Intelis Smart gas or water meters, 500G gas communication modules, 500W water communication modules; GenX networking products, network modules and interface cards, and specific network control and management software applications. The industrial Internet of Things (IIoT) solutions supported by this segment include automated meter reading (AMR), advanced metering infrastructure (AMI), smart grid and distribution automation (DA), and smart street lighting and smart city solutions.</w:t>
      </w:r>
    </w:p>
    <w:p>
      <w:pPr>
        <w:spacing w:after="0" w:line="1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Outcomes: </w:t>
      </w:r>
      <w:r>
        <w:rPr>
          <w:rFonts w:ascii="Arial" w:cs="Arial" w:eastAsia="Arial" w:hAnsi="Arial"/>
          <w:sz w:val="18"/>
          <w:szCs w:val="18"/>
          <w:color w:val="auto"/>
        </w:rPr>
        <w:t>represents our value-added, enhanced software and services operating segment in which we manage, organize, analyze, and interpret data to</w:t>
      </w:r>
      <w:r>
        <w:rPr>
          <w:rFonts w:ascii="Arial" w:cs="Arial" w:eastAsia="Arial" w:hAnsi="Arial"/>
          <w:sz w:val="18"/>
          <w:szCs w:val="18"/>
          <w:i w:val="1"/>
          <w:iCs w:val="1"/>
          <w:color w:val="auto"/>
        </w:rPr>
        <w:t xml:space="preserve"> </w:t>
      </w:r>
      <w:r>
        <w:rPr>
          <w:rFonts w:ascii="Arial" w:cs="Arial" w:eastAsia="Arial" w:hAnsi="Arial"/>
          <w:sz w:val="18"/>
          <w:szCs w:val="18"/>
          <w:color w:val="auto"/>
        </w:rPr>
        <w:t>improve decision making, maximize operational profitability, drive resource efficiency, and deliver results for consumers, utilities and smart cities. Outcomes places an emphasis on delivering Itron customers high-value, turn-key, digital experiences by leveraging the footprint of our Device Solutions and Networked Solutions segments. The revenues from these offerings are primarily recurring in nature and would include any direct management of Device Solutions, Networked Solutions, and other products on behalf of our end customers. Examples of these offerings include our meter data management and analytics offerings, our managed service solutions including network-as-a-service and platform-as-a-service, forecasting software and services, and any consulting-based engagement. Within the Outcomes segment we also identify new business models, including performance-based contracting, to drive broader portfolio offerings across utilities and cities.</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three measures of segment performance: revenues, gross profit (margin), and operating income (margin). Intersegment revenues are minimal. Certain operating expenses are allocated to the operating segments based upon internally established allocation methodologies. Interest income, interest expense, other income (expense), income tax provision, and certain corporate operating expenses are neither allocated to the segments nor included in the measures of segment performance.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Non-GAAP Measures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following discussion includes financial information prepared in accordance with accounting principles generally accepted in the United States (GAAP), as well as certain adjusted or non-GAAP financial measures such as constant currency, free cash flow, non-GAAP operating expenses, non-GAAP operating income, non-GAAP net income, adjusted EBITDA, and non-GAAP diluted earnings per share (EPS). We believe that non-GAAP financial measures, when reviewed in conjunction with GAAP financial measures, can provide more information to assist investors in evaluating current period performance and in assessing future performance. For these reasons, our internal management reporting also includes non-GAAP measures. We strongly encourage investors and shareholders to review our financial statements and publicly-filed reports in their entirety and not to rely on any single financial measure. Non-GAAP measures as presented herein may not be comparable to similarly titled measures used by other companies.</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our discussions of the operating results below, we sometimes refer to the impact of foreign currency exchange rate fluctuations, which are references to the differences between the foreign currency exchange rates we use to convert operating results from local currencies into U.S. dollars for reporting purposes. We also use the term </w:t>
      </w:r>
      <w:r>
        <w:rPr>
          <w:rFonts w:ascii="Arial" w:cs="Arial" w:eastAsia="Arial" w:hAnsi="Arial"/>
          <w:sz w:val="17"/>
          <w:szCs w:val="17"/>
          <w:color w:val="222222"/>
        </w:rPr>
        <w:t>"</w:t>
      </w:r>
      <w:r>
        <w:rPr>
          <w:rFonts w:ascii="Arial" w:cs="Arial" w:eastAsia="Arial" w:hAnsi="Arial"/>
          <w:sz w:val="17"/>
          <w:szCs w:val="17"/>
          <w:color w:val="auto"/>
        </w:rPr>
        <w:t>constant currency,</w:t>
      </w:r>
      <w:r>
        <w:rPr>
          <w:rFonts w:ascii="Arial" w:cs="Arial" w:eastAsia="Arial" w:hAnsi="Arial"/>
          <w:sz w:val="17"/>
          <w:szCs w:val="17"/>
          <w:color w:val="222222"/>
        </w:rPr>
        <w:t>"</w:t>
      </w:r>
      <w:r>
        <w:rPr>
          <w:rFonts w:ascii="Arial" w:cs="Arial" w:eastAsia="Arial" w:hAnsi="Arial"/>
          <w:sz w:val="17"/>
          <w:szCs w:val="17"/>
          <w:color w:val="auto"/>
        </w:rPr>
        <w:t xml:space="preserve"> which represents results adjusted to exclude foreign currency exchange rate impacts. We calculate the constant currency change as the difference between the current period results translated using the current period currency exchange rates and the comparable prior period's results restated using current period currency exchange rates. We believe the reconciliations of changes in constant currency provide useful supplementary information to investors in light of fluctuations in foreign currency exchange rates.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Refer to the </w:t>
      </w:r>
      <w:r>
        <w:rPr>
          <w:rFonts w:ascii="Arial" w:cs="Arial" w:eastAsia="Arial" w:hAnsi="Arial"/>
          <w:sz w:val="18"/>
          <w:szCs w:val="18"/>
          <w:i w:val="1"/>
          <w:iCs w:val="1"/>
          <w:color w:val="auto"/>
        </w:rPr>
        <w:t>Non-GAAP Measures</w:t>
      </w:r>
      <w:r>
        <w:rPr>
          <w:rFonts w:ascii="Arial" w:cs="Arial" w:eastAsia="Arial" w:hAnsi="Arial"/>
          <w:sz w:val="18"/>
          <w:szCs w:val="18"/>
          <w:color w:val="auto"/>
        </w:rPr>
        <w:t xml:space="preserve"> section below on pages 43-45 for information about these non-GAAP measures and the detailed reconciliation of items that impacted free cash flow, non-GAAP operating expense, non-GAAP operating income, non-GAAP net income, adjusted EBITDA, and non-GAAP diluted EPS in the presented periods.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Company Highlights and Unit Shipments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222222"/>
        </w:rPr>
        <w:t xml:space="preserve">Highlights and significant developments for the </w:t>
      </w:r>
      <w:r>
        <w:rPr>
          <w:rFonts w:ascii="Arial" w:cs="Arial" w:eastAsia="Arial" w:hAnsi="Arial"/>
          <w:sz w:val="18"/>
          <w:szCs w:val="18"/>
          <w:i w:val="1"/>
          <w:iCs w:val="1"/>
          <w:color w:val="000000"/>
        </w:rPr>
        <w:t>three months ended</w:t>
      </w:r>
      <w:r>
        <w:rPr>
          <w:rFonts w:ascii="Arial" w:cs="Arial" w:eastAsia="Arial" w:hAnsi="Arial"/>
          <w:sz w:val="18"/>
          <w:szCs w:val="18"/>
          <w:i w:val="1"/>
          <w:iCs w:val="1"/>
          <w:color w:val="222222"/>
        </w:rPr>
        <w:t xml:space="preserve"> months ended </w:t>
      </w:r>
      <w:r>
        <w:rPr>
          <w:rFonts w:ascii="Arial" w:cs="Arial" w:eastAsia="Arial" w:hAnsi="Arial"/>
          <w:sz w:val="18"/>
          <w:szCs w:val="18"/>
          <w:i w:val="1"/>
          <w:iCs w:val="1"/>
          <w:color w:val="000000"/>
        </w:rPr>
        <w:t>March 31, 2019</w:t>
      </w:r>
    </w:p>
    <w:p>
      <w:pPr>
        <w:spacing w:after="0" w:line="63" w:lineRule="exact"/>
        <w:rPr>
          <w:sz w:val="20"/>
          <w:szCs w:val="20"/>
          <w:color w:val="auto"/>
        </w:rPr>
      </w:pPr>
    </w:p>
    <w:p>
      <w:pPr>
        <w:ind w:left="260" w:hanging="171"/>
        <w:spacing w:after="0"/>
        <w:tabs>
          <w:tab w:leader="none" w:pos="260" w:val="left"/>
        </w:tabs>
        <w:numPr>
          <w:ilvl w:val="0"/>
          <w:numId w:val="5"/>
        </w:numPr>
        <w:rPr>
          <w:rFonts w:ascii="Arial" w:cs="Arial" w:eastAsia="Arial" w:hAnsi="Arial"/>
          <w:sz w:val="18"/>
          <w:szCs w:val="18"/>
          <w:color w:val="222222"/>
        </w:rPr>
      </w:pPr>
      <w:r>
        <w:rPr>
          <w:rFonts w:ascii="Arial" w:cs="Arial" w:eastAsia="Arial" w:hAnsi="Arial"/>
          <w:sz w:val="18"/>
          <w:szCs w:val="18"/>
          <w:color w:val="222222"/>
        </w:rPr>
        <w:t>Revenues were $614.6 million compared with $607.2 million in the same period last year, an increase of $7.4 million, or 1%.</w:t>
      </w:r>
    </w:p>
    <w:p>
      <w:pPr>
        <w:spacing w:after="0" w:line="63" w:lineRule="exact"/>
        <w:rPr>
          <w:rFonts w:ascii="Arial" w:cs="Arial" w:eastAsia="Arial" w:hAnsi="Arial"/>
          <w:sz w:val="18"/>
          <w:szCs w:val="18"/>
          <w:color w:val="222222"/>
        </w:rPr>
      </w:pPr>
    </w:p>
    <w:p>
      <w:pPr>
        <w:ind w:left="260" w:hanging="171"/>
        <w:spacing w:after="0"/>
        <w:tabs>
          <w:tab w:leader="none" w:pos="260" w:val="left"/>
        </w:tabs>
        <w:numPr>
          <w:ilvl w:val="0"/>
          <w:numId w:val="5"/>
        </w:numPr>
        <w:rPr>
          <w:rFonts w:ascii="Arial" w:cs="Arial" w:eastAsia="Arial" w:hAnsi="Arial"/>
          <w:sz w:val="18"/>
          <w:szCs w:val="18"/>
          <w:color w:val="222222"/>
        </w:rPr>
      </w:pPr>
      <w:r>
        <w:rPr>
          <w:rFonts w:ascii="Arial" w:cs="Arial" w:eastAsia="Arial" w:hAnsi="Arial"/>
          <w:sz w:val="18"/>
          <w:szCs w:val="18"/>
          <w:color w:val="222222"/>
        </w:rPr>
        <w:t xml:space="preserve">Gross margin was </w:t>
      </w:r>
      <w:r>
        <w:rPr>
          <w:rFonts w:ascii="Arial" w:cs="Arial" w:eastAsia="Arial" w:hAnsi="Arial"/>
          <w:sz w:val="18"/>
          <w:szCs w:val="18"/>
          <w:color w:val="000000"/>
        </w:rPr>
        <w:t>30.5%</w:t>
      </w:r>
      <w:r>
        <w:rPr>
          <w:rFonts w:ascii="Arial" w:cs="Arial" w:eastAsia="Arial" w:hAnsi="Arial"/>
          <w:sz w:val="18"/>
          <w:szCs w:val="18"/>
          <w:color w:val="222222"/>
        </w:rPr>
        <w:t xml:space="preserve"> compared with </w:t>
      </w:r>
      <w:r>
        <w:rPr>
          <w:rFonts w:ascii="Arial" w:cs="Arial" w:eastAsia="Arial" w:hAnsi="Arial"/>
          <w:sz w:val="18"/>
          <w:szCs w:val="18"/>
          <w:color w:val="000000"/>
        </w:rPr>
        <w:t>29.6%</w:t>
      </w:r>
      <w:r>
        <w:rPr>
          <w:rFonts w:ascii="Arial" w:cs="Arial" w:eastAsia="Arial" w:hAnsi="Arial"/>
          <w:sz w:val="18"/>
          <w:szCs w:val="18"/>
          <w:color w:val="222222"/>
        </w:rPr>
        <w:t xml:space="preserve"> in the same period last year.</w:t>
      </w:r>
    </w:p>
    <w:p>
      <w:pPr>
        <w:spacing w:after="0" w:line="63" w:lineRule="exact"/>
        <w:rPr>
          <w:rFonts w:ascii="Arial" w:cs="Arial" w:eastAsia="Arial" w:hAnsi="Arial"/>
          <w:sz w:val="18"/>
          <w:szCs w:val="18"/>
          <w:color w:val="222222"/>
        </w:rPr>
      </w:pPr>
    </w:p>
    <w:p>
      <w:pPr>
        <w:ind w:left="260" w:hanging="171"/>
        <w:spacing w:after="0"/>
        <w:tabs>
          <w:tab w:leader="none" w:pos="260" w:val="left"/>
        </w:tabs>
        <w:numPr>
          <w:ilvl w:val="0"/>
          <w:numId w:val="5"/>
        </w:numPr>
        <w:rPr>
          <w:rFonts w:ascii="Arial" w:cs="Arial" w:eastAsia="Arial" w:hAnsi="Arial"/>
          <w:sz w:val="18"/>
          <w:szCs w:val="18"/>
          <w:color w:val="222222"/>
        </w:rPr>
      </w:pPr>
      <w:r>
        <w:rPr>
          <w:rFonts w:ascii="Arial" w:cs="Arial" w:eastAsia="Arial" w:hAnsi="Arial"/>
          <w:sz w:val="18"/>
          <w:szCs w:val="18"/>
          <w:color w:val="222222"/>
        </w:rPr>
        <w:t>Operating expenses decreased $153.9 million, or 48%, compared with the same period last year.</w:t>
      </w:r>
    </w:p>
    <w:p>
      <w:pPr>
        <w:spacing w:after="0" w:line="63" w:lineRule="exact"/>
        <w:rPr>
          <w:rFonts w:ascii="Arial" w:cs="Arial" w:eastAsia="Arial" w:hAnsi="Arial"/>
          <w:sz w:val="18"/>
          <w:szCs w:val="18"/>
          <w:color w:val="222222"/>
        </w:rPr>
      </w:pPr>
    </w:p>
    <w:p>
      <w:pPr>
        <w:ind w:left="260" w:hanging="171"/>
        <w:spacing w:after="0"/>
        <w:tabs>
          <w:tab w:leader="none" w:pos="260" w:val="left"/>
        </w:tabs>
        <w:numPr>
          <w:ilvl w:val="0"/>
          <w:numId w:val="5"/>
        </w:numPr>
        <w:rPr>
          <w:rFonts w:ascii="Arial" w:cs="Arial" w:eastAsia="Arial" w:hAnsi="Arial"/>
          <w:sz w:val="18"/>
          <w:szCs w:val="18"/>
          <w:color w:val="222222"/>
        </w:rPr>
      </w:pPr>
      <w:r>
        <w:rPr>
          <w:rFonts w:ascii="Arial" w:cs="Arial" w:eastAsia="Arial" w:hAnsi="Arial"/>
          <w:sz w:val="18"/>
          <w:szCs w:val="18"/>
          <w:color w:val="222222"/>
        </w:rPr>
        <w:t>Net loss attributable to Itron, Inc. was $1.9 million, compared with a net loss of $145.7 million in the same period last year.</w:t>
      </w:r>
    </w:p>
    <w:p>
      <w:pPr>
        <w:spacing w:after="0" w:line="63" w:lineRule="exact"/>
        <w:rPr>
          <w:rFonts w:ascii="Arial" w:cs="Arial" w:eastAsia="Arial" w:hAnsi="Arial"/>
          <w:sz w:val="18"/>
          <w:szCs w:val="18"/>
          <w:color w:val="222222"/>
        </w:rPr>
      </w:pPr>
    </w:p>
    <w:p>
      <w:pPr>
        <w:ind w:left="260" w:hanging="171"/>
        <w:spacing w:after="0"/>
        <w:tabs>
          <w:tab w:leader="none" w:pos="260" w:val="left"/>
        </w:tabs>
        <w:numPr>
          <w:ilvl w:val="0"/>
          <w:numId w:val="5"/>
        </w:numPr>
        <w:rPr>
          <w:rFonts w:ascii="Arial" w:cs="Arial" w:eastAsia="Arial" w:hAnsi="Arial"/>
          <w:sz w:val="18"/>
          <w:szCs w:val="18"/>
          <w:color w:val="222222"/>
        </w:rPr>
      </w:pPr>
      <w:r>
        <w:rPr>
          <w:rFonts w:ascii="Arial" w:cs="Arial" w:eastAsia="Arial" w:hAnsi="Arial"/>
          <w:sz w:val="18"/>
          <w:szCs w:val="18"/>
          <w:color w:val="222222"/>
        </w:rPr>
        <w:t>GAAP diluted EPS increased by $3.69 to a net loss of $0.05 as compared with the same period last year.</w:t>
      </w:r>
    </w:p>
    <w:p>
      <w:pPr>
        <w:spacing w:after="0" w:line="63" w:lineRule="exact"/>
        <w:rPr>
          <w:rFonts w:ascii="Arial" w:cs="Arial" w:eastAsia="Arial" w:hAnsi="Arial"/>
          <w:sz w:val="18"/>
          <w:szCs w:val="18"/>
          <w:color w:val="222222"/>
        </w:rPr>
      </w:pPr>
    </w:p>
    <w:p>
      <w:pPr>
        <w:ind w:left="260" w:hanging="171"/>
        <w:spacing w:after="0"/>
        <w:tabs>
          <w:tab w:leader="none" w:pos="260" w:val="left"/>
        </w:tabs>
        <w:numPr>
          <w:ilvl w:val="0"/>
          <w:numId w:val="5"/>
        </w:numPr>
        <w:rPr>
          <w:rFonts w:ascii="Arial" w:cs="Arial" w:eastAsia="Arial" w:hAnsi="Arial"/>
          <w:sz w:val="18"/>
          <w:szCs w:val="18"/>
          <w:color w:val="222222"/>
        </w:rPr>
      </w:pPr>
      <w:r>
        <w:rPr>
          <w:rFonts w:ascii="Arial" w:cs="Arial" w:eastAsia="Arial" w:hAnsi="Arial"/>
          <w:sz w:val="18"/>
          <w:szCs w:val="18"/>
          <w:color w:val="222222"/>
        </w:rPr>
        <w:t>Non-GAAP net income attributable to Itron, Inc. was $27.9 million compared with $5.1 million in the same period last year.</w:t>
      </w:r>
    </w:p>
    <w:p>
      <w:pPr>
        <w:spacing w:after="0" w:line="63" w:lineRule="exact"/>
        <w:rPr>
          <w:rFonts w:ascii="Arial" w:cs="Arial" w:eastAsia="Arial" w:hAnsi="Arial"/>
          <w:sz w:val="18"/>
          <w:szCs w:val="18"/>
          <w:color w:val="222222"/>
        </w:rPr>
      </w:pPr>
    </w:p>
    <w:p>
      <w:pPr>
        <w:ind w:left="260" w:hanging="171"/>
        <w:spacing w:after="0"/>
        <w:tabs>
          <w:tab w:leader="none" w:pos="260" w:val="left"/>
        </w:tabs>
        <w:numPr>
          <w:ilvl w:val="0"/>
          <w:numId w:val="5"/>
        </w:numPr>
        <w:rPr>
          <w:rFonts w:ascii="Arial" w:cs="Arial" w:eastAsia="Arial" w:hAnsi="Arial"/>
          <w:sz w:val="18"/>
          <w:szCs w:val="18"/>
          <w:color w:val="222222"/>
        </w:rPr>
      </w:pPr>
      <w:r>
        <w:rPr>
          <w:rFonts w:ascii="Arial" w:cs="Arial" w:eastAsia="Arial" w:hAnsi="Arial"/>
          <w:sz w:val="18"/>
          <w:szCs w:val="18"/>
          <w:color w:val="222222"/>
        </w:rPr>
        <w:t>Non-GAAP diluted EPS was $0.70, an increase of $0.57 compared with the same period last year.</w:t>
      </w:r>
    </w:p>
    <w:p>
      <w:pPr>
        <w:spacing w:after="0" w:line="63" w:lineRule="exact"/>
        <w:rPr>
          <w:rFonts w:ascii="Arial" w:cs="Arial" w:eastAsia="Arial" w:hAnsi="Arial"/>
          <w:sz w:val="18"/>
          <w:szCs w:val="18"/>
          <w:color w:val="222222"/>
        </w:rPr>
      </w:pPr>
    </w:p>
    <w:p>
      <w:pPr>
        <w:ind w:left="260" w:hanging="171"/>
        <w:spacing w:after="0"/>
        <w:tabs>
          <w:tab w:leader="none" w:pos="260" w:val="left"/>
        </w:tabs>
        <w:numPr>
          <w:ilvl w:val="0"/>
          <w:numId w:val="5"/>
        </w:numPr>
        <w:rPr>
          <w:rFonts w:ascii="Arial" w:cs="Arial" w:eastAsia="Arial" w:hAnsi="Arial"/>
          <w:sz w:val="18"/>
          <w:szCs w:val="18"/>
          <w:color w:val="222222"/>
        </w:rPr>
      </w:pPr>
      <w:r>
        <w:rPr>
          <w:rFonts w:ascii="Arial" w:cs="Arial" w:eastAsia="Arial" w:hAnsi="Arial"/>
          <w:sz w:val="18"/>
          <w:szCs w:val="18"/>
          <w:color w:val="222222"/>
        </w:rPr>
        <w:t>Adjusted EBITDA increased $26.2 million, or 66%, compared with the same period last year.</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Stock Repurchase Authorization</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March 14, 2019, Itron's Board of Directors authorized the Company to repurchase up to $50 million of our common stock over a 12-month period (the 2019 Stock Repurchase Program). Following the announcement of the program and through March 31, 2019, we repurchased 165,400 shares at an average share price of $47.25 (including commissions) for a total of $7.8 million. Subsequent to March 31, 2019, we repurchased an additional 363,996 shares at an average price of $47.21 (including commissions) for a total of $17.2 million. The remaining amount authorized for repurchase under the 2019 Stock Repurchase Program is $25 million. In accordance with the terms of our 5% senior notes indenture maturing January 15, 2026, we are limited to a total of $25 million in stock repurchases in 2019. As we have already met that threshold, we will not repurchase any more shares for the remainder of 2019.</w:t>
      </w:r>
    </w:p>
    <w:p>
      <w:pPr>
        <w:spacing w:after="0" w:line="16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2018 Restructuring Projects</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February 22, 2018, our Board of Directors approved a restructuring plan (2018 Projects) to continue our efforts to optimize our global supply chain and manufacturing operations, research and development, and sales and marketing organizations. We expect to substantially complete the plan by the end of 2020. We recognized restructuring expense of $5.6 million related to the 2018 Projects during the three months ended March 31, 2019, and we anticipate an additional $15.3 million to be recognized in future periods. At the conclusion of the 2018 Projects, we anticipate annualized savings of $45 million to $50 million. For further discussion of restructuring activities, refer to Item 1: "Financial Statements (Unaudited), Note 12: Restructuring."</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222222"/>
        </w:rPr>
        <w:t>The following table summarizes the changes in GAAP and Non-GAAP financial measures: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0" w:type="dxa"/>
            <w:vAlign w:val="bottom"/>
            <w:gridSpan w:val="6"/>
          </w:tcPr>
          <w:p>
            <w:pPr>
              <w:ind w:left="640"/>
              <w:spacing w:after="0"/>
              <w:rPr>
                <w:sz w:val="20"/>
                <w:szCs w:val="20"/>
                <w:color w:val="auto"/>
              </w:rPr>
            </w:pPr>
            <w:r>
              <w:rPr>
                <w:rFonts w:ascii="Arial" w:cs="Arial" w:eastAsia="Arial" w:hAnsi="Arial"/>
                <w:sz w:val="16"/>
                <w:szCs w:val="16"/>
                <w:b w:val="1"/>
                <w:bCs w:val="1"/>
                <w:color w:val="auto"/>
              </w:rPr>
              <w:t>Three Months Ended March 31,</w:t>
            </w:r>
          </w:p>
        </w:tc>
      </w:tr>
      <w:tr>
        <w:trPr>
          <w:trHeight w:val="33"/>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8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1"/>
        </w:trPr>
        <w:tc>
          <w:tcPr>
            <w:tcW w:w="40" w:type="dxa"/>
            <w:vAlign w:val="bottom"/>
          </w:tcPr>
          <w:p>
            <w:pPr>
              <w:spacing w:after="0"/>
              <w:rPr>
                <w:sz w:val="20"/>
                <w:szCs w:val="20"/>
                <w:color w:val="auto"/>
              </w:rPr>
            </w:pPr>
          </w:p>
        </w:tc>
        <w:tc>
          <w:tcPr>
            <w:tcW w:w="7280" w:type="dxa"/>
            <w:vAlign w:val="bottom"/>
            <w:gridSpan w:val="2"/>
          </w:tcPr>
          <w:p>
            <w:pPr>
              <w:spacing w:after="0"/>
              <w:rPr>
                <w:sz w:val="20"/>
                <w:szCs w:val="20"/>
                <w:color w:val="auto"/>
              </w:rPr>
            </w:pPr>
            <w:r>
              <w:rPr>
                <w:rFonts w:ascii="Arial" w:cs="Arial" w:eastAsia="Arial" w:hAnsi="Arial"/>
                <w:sz w:val="16"/>
                <w:szCs w:val="16"/>
                <w:i w:val="1"/>
                <w:iCs w:val="1"/>
                <w:color w:val="auto"/>
              </w:rPr>
              <w:t>In thousands, except margin and per share data</w:t>
            </w:r>
          </w:p>
        </w:tc>
        <w:tc>
          <w:tcPr>
            <w:tcW w:w="300" w:type="dxa"/>
            <w:vAlign w:val="bottom"/>
          </w:tcPr>
          <w:p>
            <w:pPr>
              <w:spacing w:after="0"/>
              <w:rPr>
                <w:sz w:val="20"/>
                <w:szCs w:val="20"/>
                <w:color w:val="auto"/>
              </w:rPr>
            </w:pPr>
          </w:p>
        </w:tc>
        <w:tc>
          <w:tcPr>
            <w:tcW w:w="1000" w:type="dxa"/>
            <w:vAlign w:val="bottom"/>
          </w:tcPr>
          <w:p>
            <w:pPr>
              <w:jc w:val="right"/>
              <w:ind w:right="41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1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1240" w:type="dxa"/>
            <w:vAlign w:val="bottom"/>
          </w:tcPr>
          <w:p>
            <w:pPr>
              <w:ind w:left="260"/>
              <w:spacing w:after="0"/>
              <w:rPr>
                <w:sz w:val="20"/>
                <w:szCs w:val="20"/>
                <w:color w:val="auto"/>
              </w:rPr>
            </w:pPr>
            <w:r>
              <w:rPr>
                <w:rFonts w:ascii="Arial" w:cs="Arial" w:eastAsia="Arial" w:hAnsi="Arial"/>
                <w:sz w:val="16"/>
                <w:szCs w:val="16"/>
                <w:b w:val="1"/>
                <w:bCs w:val="1"/>
                <w:color w:val="auto"/>
              </w:rPr>
              <w:t>% Change</w:t>
            </w:r>
          </w:p>
        </w:tc>
      </w:tr>
      <w:tr>
        <w:trPr>
          <w:trHeight w:val="33"/>
        </w:trPr>
        <w:tc>
          <w:tcPr>
            <w:tcW w:w="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3"/>
        </w:trPr>
        <w:tc>
          <w:tcPr>
            <w:tcW w:w="40" w:type="dxa"/>
            <w:vAlign w:val="bottom"/>
          </w:tcPr>
          <w:p>
            <w:pPr>
              <w:spacing w:after="0"/>
              <w:rPr>
                <w:sz w:val="15"/>
                <w:szCs w:val="15"/>
                <w:color w:val="auto"/>
              </w:rPr>
            </w:pPr>
          </w:p>
        </w:tc>
        <w:tc>
          <w:tcPr>
            <w:tcW w:w="46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b w:val="1"/>
                <w:bCs w:val="1"/>
                <w:color w:val="auto"/>
                <w:w w:val="95"/>
              </w:rPr>
              <w:t>GAAP</w:t>
            </w:r>
          </w:p>
        </w:tc>
        <w:tc>
          <w:tcPr>
            <w:tcW w:w="6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285"/>
        </w:trPr>
        <w:tc>
          <w:tcPr>
            <w:tcW w:w="40" w:type="dxa"/>
            <w:vAlign w:val="bottom"/>
          </w:tcPr>
          <w:p>
            <w:pPr>
              <w:spacing w:after="0"/>
              <w:rPr>
                <w:sz w:val="24"/>
                <w:szCs w:val="24"/>
                <w:color w:val="auto"/>
              </w:rPr>
            </w:pPr>
          </w:p>
        </w:tc>
        <w:tc>
          <w:tcPr>
            <w:tcW w:w="7280" w:type="dxa"/>
            <w:vAlign w:val="bottom"/>
            <w:gridSpan w:val="2"/>
          </w:tcPr>
          <w:p>
            <w:pPr>
              <w:spacing w:after="0"/>
              <w:rPr>
                <w:sz w:val="20"/>
                <w:szCs w:val="20"/>
                <w:color w:val="auto"/>
              </w:rPr>
            </w:pPr>
            <w:r>
              <w:rPr>
                <w:rFonts w:ascii="Arial" w:cs="Arial" w:eastAsia="Arial" w:hAnsi="Arial"/>
                <w:sz w:val="16"/>
                <w:szCs w:val="16"/>
                <w:color w:val="auto"/>
              </w:rPr>
              <w:t>Revenues</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7"/>
        </w:trPr>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6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2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Product revenues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544,850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537,110</w:t>
            </w:r>
          </w:p>
        </w:tc>
        <w:tc>
          <w:tcPr>
            <w:tcW w:w="1360" w:type="dxa"/>
            <w:vAlign w:val="bottom"/>
            <w:tcBorders>
              <w:bottom w:val="single" w:sz="8" w:color="CCEEFF"/>
            </w:tcBorders>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86"/>
              </w:rPr>
              <w:t>1%</w:t>
            </w:r>
          </w:p>
        </w:tc>
      </w:tr>
      <w:tr>
        <w:trPr>
          <w:trHeight w:val="237"/>
        </w:trPr>
        <w:tc>
          <w:tcPr>
            <w:tcW w:w="40" w:type="dxa"/>
            <w:vAlign w:val="bottom"/>
          </w:tcPr>
          <w:p>
            <w:pPr>
              <w:spacing w:after="0"/>
              <w:rPr>
                <w:sz w:val="20"/>
                <w:szCs w:val="20"/>
                <w:color w:val="auto"/>
              </w:rPr>
            </w:pPr>
          </w:p>
        </w:tc>
        <w:tc>
          <w:tcPr>
            <w:tcW w:w="7280" w:type="dxa"/>
            <w:vAlign w:val="bottom"/>
            <w:gridSpan w:val="2"/>
          </w:tcPr>
          <w:p>
            <w:pPr>
              <w:ind w:left="240"/>
              <w:spacing w:after="0"/>
              <w:rPr>
                <w:sz w:val="20"/>
                <w:szCs w:val="20"/>
                <w:color w:val="auto"/>
              </w:rPr>
            </w:pPr>
            <w:r>
              <w:rPr>
                <w:rFonts w:ascii="Arial" w:cs="Arial" w:eastAsia="Arial" w:hAnsi="Arial"/>
                <w:sz w:val="16"/>
                <w:szCs w:val="16"/>
                <w:color w:val="auto"/>
              </w:rPr>
              <w:t>Service revenues</w:t>
            </w:r>
          </w:p>
        </w:tc>
        <w:tc>
          <w:tcPr>
            <w:tcW w:w="300" w:type="dxa"/>
            <w:vAlign w:val="bottom"/>
          </w:tcPr>
          <w:p>
            <w:pPr>
              <w:spacing w:after="0"/>
              <w:rPr>
                <w:sz w:val="20"/>
                <w:szCs w:val="20"/>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69,726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70,111</w:t>
            </w:r>
          </w:p>
        </w:tc>
        <w:tc>
          <w:tcPr>
            <w:tcW w:w="1360" w:type="dxa"/>
            <w:vAlign w:val="bottom"/>
            <w:gridSpan w:val="2"/>
          </w:tcPr>
          <w:p>
            <w:pPr>
              <w:jc w:val="center"/>
              <w:ind w:left="39"/>
              <w:spacing w:after="0"/>
              <w:rPr>
                <w:sz w:val="20"/>
                <w:szCs w:val="20"/>
                <w:color w:val="auto"/>
              </w:rPr>
            </w:pPr>
            <w:r>
              <w:rPr>
                <w:rFonts w:ascii="Arial" w:cs="Arial" w:eastAsia="Arial" w:hAnsi="Arial"/>
                <w:sz w:val="16"/>
                <w:szCs w:val="16"/>
                <w:color w:val="auto"/>
                <w:w w:val="94"/>
              </w:rPr>
              <w:t>(1)%</w:t>
            </w:r>
          </w:p>
        </w:tc>
      </w:tr>
      <w:tr>
        <w:trPr>
          <w:trHeight w:val="33"/>
        </w:trPr>
        <w:tc>
          <w:tcPr>
            <w:tcW w:w="4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68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30"/>
        </w:trPr>
        <w:tc>
          <w:tcPr>
            <w:tcW w:w="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6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revenues</w:t>
            </w: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614,576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607,221</w:t>
            </w:r>
          </w:p>
        </w:tc>
        <w:tc>
          <w:tcPr>
            <w:tcW w:w="1360" w:type="dxa"/>
            <w:vAlign w:val="bottom"/>
            <w:tcBorders>
              <w:bottom w:val="single" w:sz="8" w:color="CCEEFF"/>
            </w:tcBorders>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86"/>
              </w:rPr>
              <w:t>1%</w:t>
            </w:r>
          </w:p>
        </w:tc>
      </w:tr>
      <w:tr>
        <w:trPr>
          <w:trHeight w:val="297"/>
        </w:trPr>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2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Gross profit</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187,263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179,855</w:t>
            </w:r>
          </w:p>
        </w:tc>
        <w:tc>
          <w:tcPr>
            <w:tcW w:w="1360" w:type="dxa"/>
            <w:vAlign w:val="bottom"/>
            <w:tcBorders>
              <w:bottom w:val="single" w:sz="8" w:color="CCEEFF"/>
            </w:tcBorders>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86"/>
              </w:rPr>
              <w:t>4%</w:t>
            </w:r>
          </w:p>
        </w:tc>
      </w:tr>
      <w:tr>
        <w:trPr>
          <w:trHeight w:val="237"/>
        </w:trPr>
        <w:tc>
          <w:tcPr>
            <w:tcW w:w="40" w:type="dxa"/>
            <w:vAlign w:val="bottom"/>
          </w:tcPr>
          <w:p>
            <w:pPr>
              <w:spacing w:after="0"/>
              <w:rPr>
                <w:sz w:val="20"/>
                <w:szCs w:val="20"/>
                <w:color w:val="auto"/>
              </w:rPr>
            </w:pPr>
          </w:p>
        </w:tc>
        <w:tc>
          <w:tcPr>
            <w:tcW w:w="7280" w:type="dxa"/>
            <w:vAlign w:val="bottom"/>
            <w:gridSpan w:val="2"/>
          </w:tcPr>
          <w:p>
            <w:pPr>
              <w:spacing w:after="0"/>
              <w:rPr>
                <w:sz w:val="20"/>
                <w:szCs w:val="20"/>
                <w:color w:val="auto"/>
              </w:rPr>
            </w:pPr>
            <w:r>
              <w:rPr>
                <w:rFonts w:ascii="Arial" w:cs="Arial" w:eastAsia="Arial" w:hAnsi="Arial"/>
                <w:sz w:val="16"/>
                <w:szCs w:val="16"/>
                <w:color w:val="auto"/>
              </w:rPr>
              <w:t>Operating expenses</w:t>
            </w:r>
          </w:p>
        </w:tc>
        <w:tc>
          <w:tcPr>
            <w:tcW w:w="300" w:type="dxa"/>
            <w:vAlign w:val="bottom"/>
          </w:tcPr>
          <w:p>
            <w:pPr>
              <w:spacing w:after="0"/>
              <w:rPr>
                <w:sz w:val="20"/>
                <w:szCs w:val="20"/>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166,440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320,303</w:t>
            </w:r>
          </w:p>
        </w:tc>
        <w:tc>
          <w:tcPr>
            <w:tcW w:w="1360" w:type="dxa"/>
            <w:vAlign w:val="bottom"/>
            <w:gridSpan w:val="2"/>
          </w:tcPr>
          <w:p>
            <w:pPr>
              <w:jc w:val="center"/>
              <w:ind w:left="39"/>
              <w:spacing w:after="0"/>
              <w:rPr>
                <w:sz w:val="20"/>
                <w:szCs w:val="20"/>
                <w:color w:val="auto"/>
              </w:rPr>
            </w:pPr>
            <w:r>
              <w:rPr>
                <w:rFonts w:ascii="Arial" w:cs="Arial" w:eastAsia="Arial" w:hAnsi="Arial"/>
                <w:sz w:val="16"/>
                <w:szCs w:val="16"/>
                <w:color w:val="auto"/>
                <w:w w:val="93"/>
              </w:rPr>
              <w:t>(48)%</w:t>
            </w:r>
          </w:p>
        </w:tc>
      </w:tr>
      <w:tr>
        <w:trPr>
          <w:trHeight w:val="33"/>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2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Operating income (loss)</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20,823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(140,448)</w:t>
            </w:r>
          </w:p>
        </w:tc>
        <w:tc>
          <w:tcPr>
            <w:tcW w:w="1360" w:type="dxa"/>
            <w:vAlign w:val="bottom"/>
            <w:tcBorders>
              <w:bottom w:val="single" w:sz="8" w:color="CCEEFF"/>
            </w:tcBorders>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2"/>
              </w:rPr>
              <w:t>(115)%</w:t>
            </w:r>
          </w:p>
        </w:tc>
      </w:tr>
      <w:tr>
        <w:trPr>
          <w:trHeight w:val="237"/>
        </w:trPr>
        <w:tc>
          <w:tcPr>
            <w:tcW w:w="40" w:type="dxa"/>
            <w:vAlign w:val="bottom"/>
          </w:tcPr>
          <w:p>
            <w:pPr>
              <w:spacing w:after="0"/>
              <w:rPr>
                <w:sz w:val="20"/>
                <w:szCs w:val="20"/>
                <w:color w:val="auto"/>
              </w:rPr>
            </w:pPr>
          </w:p>
        </w:tc>
        <w:tc>
          <w:tcPr>
            <w:tcW w:w="7280" w:type="dxa"/>
            <w:vAlign w:val="bottom"/>
            <w:gridSpan w:val="2"/>
          </w:tcPr>
          <w:p>
            <w:pPr>
              <w:spacing w:after="0"/>
              <w:rPr>
                <w:sz w:val="20"/>
                <w:szCs w:val="20"/>
                <w:color w:val="auto"/>
              </w:rPr>
            </w:pPr>
            <w:r>
              <w:rPr>
                <w:rFonts w:ascii="Arial" w:cs="Arial" w:eastAsia="Arial" w:hAnsi="Arial"/>
                <w:sz w:val="16"/>
                <w:szCs w:val="16"/>
                <w:color w:val="auto"/>
              </w:rPr>
              <w:t>Other income (expense)</w:t>
            </w:r>
          </w:p>
        </w:tc>
        <w:tc>
          <w:tcPr>
            <w:tcW w:w="30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(14,851)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(16,010)</w:t>
            </w:r>
          </w:p>
        </w:tc>
        <w:tc>
          <w:tcPr>
            <w:tcW w:w="1360" w:type="dxa"/>
            <w:vAlign w:val="bottom"/>
            <w:gridSpan w:val="2"/>
          </w:tcPr>
          <w:p>
            <w:pPr>
              <w:jc w:val="center"/>
              <w:ind w:left="39"/>
              <w:spacing w:after="0"/>
              <w:rPr>
                <w:sz w:val="20"/>
                <w:szCs w:val="20"/>
                <w:color w:val="auto"/>
              </w:rPr>
            </w:pPr>
            <w:r>
              <w:rPr>
                <w:rFonts w:ascii="Arial" w:cs="Arial" w:eastAsia="Arial" w:hAnsi="Arial"/>
                <w:sz w:val="16"/>
                <w:szCs w:val="16"/>
                <w:color w:val="auto"/>
                <w:w w:val="94"/>
              </w:rPr>
              <w:t>(7)%</w:t>
            </w:r>
          </w:p>
        </w:tc>
      </w:tr>
      <w:tr>
        <w:trPr>
          <w:trHeight w:val="33"/>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2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Income tax benefit (provision)</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(6,121)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11,188</w:t>
            </w:r>
          </w:p>
        </w:tc>
        <w:tc>
          <w:tcPr>
            <w:tcW w:w="1360" w:type="dxa"/>
            <w:vAlign w:val="bottom"/>
            <w:tcBorders>
              <w:bottom w:val="single" w:sz="8" w:color="CCEEFF"/>
            </w:tcBorders>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2"/>
              </w:rPr>
              <w:t>(155)%</w:t>
            </w:r>
          </w:p>
        </w:tc>
      </w:tr>
      <w:tr>
        <w:trPr>
          <w:trHeight w:val="237"/>
        </w:trPr>
        <w:tc>
          <w:tcPr>
            <w:tcW w:w="40" w:type="dxa"/>
            <w:vAlign w:val="bottom"/>
          </w:tcPr>
          <w:p>
            <w:pPr>
              <w:spacing w:after="0"/>
              <w:rPr>
                <w:sz w:val="20"/>
                <w:szCs w:val="20"/>
                <w:color w:val="auto"/>
              </w:rPr>
            </w:pPr>
          </w:p>
        </w:tc>
        <w:tc>
          <w:tcPr>
            <w:tcW w:w="7280" w:type="dxa"/>
            <w:vAlign w:val="bottom"/>
            <w:gridSpan w:val="2"/>
          </w:tcPr>
          <w:p>
            <w:pPr>
              <w:spacing w:after="0"/>
              <w:rPr>
                <w:sz w:val="20"/>
                <w:szCs w:val="20"/>
                <w:color w:val="auto"/>
              </w:rPr>
            </w:pPr>
            <w:r>
              <w:rPr>
                <w:rFonts w:ascii="Arial" w:cs="Arial" w:eastAsia="Arial" w:hAnsi="Arial"/>
                <w:sz w:val="16"/>
                <w:szCs w:val="16"/>
                <w:color w:val="auto"/>
              </w:rPr>
              <w:t>Net loss attributable to Itron, Inc.</w:t>
            </w:r>
          </w:p>
        </w:tc>
        <w:tc>
          <w:tcPr>
            <w:tcW w:w="30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(1,907)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(145,666)</w:t>
            </w:r>
          </w:p>
        </w:tc>
        <w:tc>
          <w:tcPr>
            <w:tcW w:w="1360" w:type="dxa"/>
            <w:vAlign w:val="bottom"/>
            <w:gridSpan w:val="2"/>
          </w:tcPr>
          <w:p>
            <w:pPr>
              <w:jc w:val="center"/>
              <w:ind w:left="39"/>
              <w:spacing w:after="0"/>
              <w:rPr>
                <w:sz w:val="20"/>
                <w:szCs w:val="20"/>
                <w:color w:val="auto"/>
              </w:rPr>
            </w:pPr>
            <w:r>
              <w:rPr>
                <w:rFonts w:ascii="Arial" w:cs="Arial" w:eastAsia="Arial" w:hAnsi="Arial"/>
                <w:sz w:val="16"/>
                <w:szCs w:val="16"/>
                <w:color w:val="auto"/>
                <w:w w:val="93"/>
              </w:rPr>
              <w:t>(99)%</w:t>
            </w:r>
          </w:p>
        </w:tc>
      </w:tr>
      <w:tr>
        <w:trPr>
          <w:trHeight w:val="33"/>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97"/>
        </w:trPr>
        <w:tc>
          <w:tcPr>
            <w:tcW w:w="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68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bl>
    <w:p>
      <w:pPr>
        <w:spacing w:after="0" w:line="13" w:lineRule="exact"/>
        <w:rPr>
          <w:sz w:val="20"/>
          <w:szCs w:val="20"/>
          <w:color w:val="auto"/>
        </w:rPr>
      </w:pPr>
    </w:p>
    <w:p>
      <w:pPr>
        <w:ind w:left="40"/>
        <w:spacing w:after="0"/>
        <w:rPr>
          <w:sz w:val="20"/>
          <w:szCs w:val="20"/>
          <w:color w:val="auto"/>
        </w:rPr>
      </w:pPr>
      <w:r>
        <w:rPr>
          <w:rFonts w:ascii="Arial" w:cs="Arial" w:eastAsia="Arial" w:hAnsi="Arial"/>
          <w:sz w:val="16"/>
          <w:szCs w:val="16"/>
          <w:b w:val="1"/>
          <w:bCs w:val="1"/>
          <w:u w:val="single" w:color="auto"/>
          <w:color w:val="auto"/>
        </w:rPr>
        <w:t>Non-GAAP</w:t>
      </w:r>
      <w:r>
        <w:rPr>
          <w:rFonts w:ascii="Arial" w:cs="Arial" w:eastAsia="Arial" w:hAnsi="Arial"/>
          <w:sz w:val="21"/>
          <w:szCs w:val="21"/>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43"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Non-GAAP operating expenses</w:t>
      </w:r>
    </w:p>
    <w:p>
      <w:pPr>
        <w:spacing w:after="0" w:line="75"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Non-GAAP operating income</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5"/>
          <w:szCs w:val="15"/>
          <w:color w:val="auto"/>
        </w:rPr>
        <w:t>Non-GAAP net income attributable to Itron, Inc.</w:t>
      </w:r>
    </w:p>
    <w:p>
      <w:pPr>
        <w:spacing w:after="0" w:line="84" w:lineRule="exact"/>
        <w:rPr>
          <w:sz w:val="20"/>
          <w:szCs w:val="20"/>
          <w:color w:val="auto"/>
        </w:rPr>
      </w:pPr>
    </w:p>
    <w:p>
      <w:pPr>
        <w:ind w:left="40"/>
        <w:spacing w:after="0"/>
        <w:rPr>
          <w:sz w:val="20"/>
          <w:szCs w:val="20"/>
          <w:color w:val="auto"/>
        </w:rPr>
      </w:pPr>
      <w:r>
        <w:rPr>
          <w:rFonts w:ascii="Arial" w:cs="Arial" w:eastAsia="Arial" w:hAnsi="Arial"/>
          <w:sz w:val="16"/>
          <w:szCs w:val="16"/>
          <w:color w:val="auto"/>
        </w:rPr>
        <w:t>Adjusted EBITDA</w:t>
      </w:r>
    </w:p>
    <w:p>
      <w:pPr>
        <w:spacing w:after="0" w:line="379" w:lineRule="exact"/>
        <w:rPr>
          <w:sz w:val="20"/>
          <w:szCs w:val="20"/>
          <w:color w:val="auto"/>
        </w:rPr>
      </w:pPr>
    </w:p>
    <w:p>
      <w:pPr>
        <w:ind w:left="40"/>
        <w:spacing w:after="0"/>
        <w:rPr>
          <w:sz w:val="20"/>
          <w:szCs w:val="20"/>
          <w:color w:val="auto"/>
        </w:rPr>
      </w:pPr>
      <w:r>
        <w:rPr>
          <w:rFonts w:ascii="Arial" w:cs="Arial" w:eastAsia="Arial" w:hAnsi="Arial"/>
          <w:sz w:val="16"/>
          <w:szCs w:val="16"/>
          <w:b w:val="1"/>
          <w:bCs w:val="1"/>
          <w:u w:val="single" w:color="auto"/>
          <w:color w:val="auto"/>
        </w:rPr>
        <w:t>GAAP Margins and Earnings Per Share</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6"/>
          <w:szCs w:val="16"/>
          <w:color w:val="auto"/>
        </w:rPr>
        <w:t>Gross margin</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Product gross margin</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Service gross margin</w:t>
      </w:r>
    </w:p>
    <w:p>
      <w:pPr>
        <w:spacing w:after="0" w:line="8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Total gross margin</w:t>
      </w:r>
    </w:p>
    <w:p>
      <w:pPr>
        <w:spacing w:after="0" w:line="383" w:lineRule="exact"/>
        <w:rPr>
          <w:sz w:val="20"/>
          <w:szCs w:val="20"/>
          <w:color w:val="auto"/>
        </w:rPr>
      </w:pPr>
    </w:p>
    <w:p>
      <w:pPr>
        <w:ind w:left="40"/>
        <w:spacing w:after="0"/>
        <w:rPr>
          <w:sz w:val="20"/>
          <w:szCs w:val="20"/>
          <w:color w:val="auto"/>
        </w:rPr>
      </w:pPr>
      <w:r>
        <w:rPr>
          <w:rFonts w:ascii="Arial" w:cs="Arial" w:eastAsia="Arial" w:hAnsi="Arial"/>
          <w:sz w:val="16"/>
          <w:szCs w:val="16"/>
          <w:color w:val="auto"/>
        </w:rPr>
        <w:t>Operating margin</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Basic EPS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Diluted EPS</w:t>
      </w:r>
    </w:p>
    <w:p>
      <w:pPr>
        <w:spacing w:after="0" w:line="379" w:lineRule="exact"/>
        <w:rPr>
          <w:sz w:val="20"/>
          <w:szCs w:val="20"/>
          <w:color w:val="auto"/>
        </w:rPr>
      </w:pPr>
    </w:p>
    <w:p>
      <w:pPr>
        <w:ind w:left="40"/>
        <w:spacing w:after="0"/>
        <w:rPr>
          <w:sz w:val="20"/>
          <w:szCs w:val="20"/>
          <w:color w:val="auto"/>
        </w:rPr>
      </w:pPr>
      <w:r>
        <w:rPr>
          <w:rFonts w:ascii="Arial" w:cs="Arial" w:eastAsia="Arial" w:hAnsi="Arial"/>
          <w:sz w:val="16"/>
          <w:szCs w:val="16"/>
          <w:b w:val="1"/>
          <w:bCs w:val="1"/>
          <w:u w:val="single" w:color="auto"/>
          <w:color w:val="auto"/>
        </w:rPr>
        <w:t>Non-GAAP Earnings Per Share</w:t>
      </w:r>
      <w:r>
        <w:rPr>
          <w:rFonts w:ascii="Arial" w:cs="Arial" w:eastAsia="Arial" w:hAnsi="Arial"/>
          <w:sz w:val="21"/>
          <w:szCs w:val="21"/>
          <w:b w:val="1"/>
          <w:bCs w:val="1"/>
          <w:color w:val="auto"/>
          <w:vertAlign w:val="superscript"/>
        </w:rPr>
        <w:t>(1)</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130,557</w:t>
            </w:r>
          </w:p>
        </w:tc>
        <w:tc>
          <w:tcPr>
            <w:tcW w:w="4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79"/>
              <w:spacing w:after="0"/>
              <w:rPr>
                <w:sz w:val="20"/>
                <w:szCs w:val="20"/>
                <w:color w:val="auto"/>
              </w:rPr>
            </w:pPr>
            <w:r>
              <w:rPr>
                <w:rFonts w:ascii="Arial" w:cs="Arial" w:eastAsia="Arial" w:hAnsi="Arial"/>
                <w:sz w:val="16"/>
                <w:szCs w:val="16"/>
                <w:color w:val="auto"/>
              </w:rPr>
              <w:t>152,051</w:t>
            </w:r>
          </w:p>
        </w:tc>
        <w:tc>
          <w:tcPr>
            <w:tcW w:w="780" w:type="dxa"/>
            <w:vAlign w:val="bottom"/>
          </w:tcPr>
          <w:p>
            <w:pPr>
              <w:jc w:val="center"/>
              <w:ind w:left="299"/>
              <w:spacing w:after="0"/>
              <w:rPr>
                <w:sz w:val="20"/>
                <w:szCs w:val="20"/>
                <w:color w:val="auto"/>
              </w:rPr>
            </w:pPr>
            <w:r>
              <w:rPr>
                <w:rFonts w:ascii="Arial" w:cs="Arial" w:eastAsia="Arial" w:hAnsi="Arial"/>
                <w:sz w:val="16"/>
                <w:szCs w:val="16"/>
                <w:color w:val="auto"/>
                <w:w w:val="93"/>
              </w:rPr>
              <w:t>(14)%</w:t>
            </w:r>
          </w:p>
        </w:tc>
      </w:tr>
      <w:tr>
        <w:trPr>
          <w:trHeight w:val="270"/>
        </w:trPr>
        <w:tc>
          <w:tcPr>
            <w:tcW w:w="34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56,706</w:t>
            </w:r>
          </w:p>
        </w:tc>
        <w:tc>
          <w:tcPr>
            <w:tcW w:w="480" w:type="dxa"/>
            <w:vAlign w:val="bottom"/>
          </w:tcPr>
          <w:p>
            <w:pPr>
              <w:spacing w:after="0"/>
              <w:rPr>
                <w:sz w:val="23"/>
                <w:szCs w:val="23"/>
                <w:color w:val="auto"/>
              </w:rPr>
            </w:pPr>
          </w:p>
        </w:tc>
        <w:tc>
          <w:tcPr>
            <w:tcW w:w="1140" w:type="dxa"/>
            <w:vAlign w:val="bottom"/>
          </w:tcPr>
          <w:p>
            <w:pPr>
              <w:jc w:val="right"/>
              <w:ind w:right="279"/>
              <w:spacing w:after="0"/>
              <w:rPr>
                <w:sz w:val="20"/>
                <w:szCs w:val="20"/>
                <w:color w:val="auto"/>
              </w:rPr>
            </w:pPr>
            <w:r>
              <w:rPr>
                <w:rFonts w:ascii="Arial" w:cs="Arial" w:eastAsia="Arial" w:hAnsi="Arial"/>
                <w:sz w:val="16"/>
                <w:szCs w:val="16"/>
                <w:color w:val="auto"/>
              </w:rPr>
              <w:t>27,804</w:t>
            </w:r>
          </w:p>
        </w:tc>
        <w:tc>
          <w:tcPr>
            <w:tcW w:w="780" w:type="dxa"/>
            <w:vAlign w:val="bottom"/>
          </w:tcPr>
          <w:p>
            <w:pPr>
              <w:jc w:val="center"/>
              <w:ind w:left="279"/>
              <w:spacing w:after="0"/>
              <w:rPr>
                <w:sz w:val="20"/>
                <w:szCs w:val="20"/>
                <w:color w:val="auto"/>
              </w:rPr>
            </w:pPr>
            <w:r>
              <w:rPr>
                <w:rFonts w:ascii="Arial" w:cs="Arial" w:eastAsia="Arial" w:hAnsi="Arial"/>
                <w:sz w:val="16"/>
                <w:szCs w:val="16"/>
                <w:color w:val="auto"/>
                <w:w w:val="92"/>
              </w:rPr>
              <w:t>104%</w:t>
            </w:r>
          </w:p>
        </w:tc>
      </w:tr>
      <w:tr>
        <w:trPr>
          <w:trHeight w:val="270"/>
        </w:trPr>
        <w:tc>
          <w:tcPr>
            <w:tcW w:w="34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27,890</w:t>
            </w:r>
          </w:p>
        </w:tc>
        <w:tc>
          <w:tcPr>
            <w:tcW w:w="480" w:type="dxa"/>
            <w:vAlign w:val="bottom"/>
          </w:tcPr>
          <w:p>
            <w:pPr>
              <w:spacing w:after="0"/>
              <w:rPr>
                <w:sz w:val="23"/>
                <w:szCs w:val="23"/>
                <w:color w:val="auto"/>
              </w:rPr>
            </w:pPr>
          </w:p>
        </w:tc>
        <w:tc>
          <w:tcPr>
            <w:tcW w:w="1140" w:type="dxa"/>
            <w:vAlign w:val="bottom"/>
          </w:tcPr>
          <w:p>
            <w:pPr>
              <w:jc w:val="right"/>
              <w:ind w:right="279"/>
              <w:spacing w:after="0"/>
              <w:rPr>
                <w:sz w:val="20"/>
                <w:szCs w:val="20"/>
                <w:color w:val="auto"/>
              </w:rPr>
            </w:pPr>
            <w:r>
              <w:rPr>
                <w:rFonts w:ascii="Arial" w:cs="Arial" w:eastAsia="Arial" w:hAnsi="Arial"/>
                <w:sz w:val="16"/>
                <w:szCs w:val="16"/>
                <w:color w:val="auto"/>
              </w:rPr>
              <w:t>5,094</w:t>
            </w:r>
          </w:p>
        </w:tc>
        <w:tc>
          <w:tcPr>
            <w:tcW w:w="780" w:type="dxa"/>
            <w:vAlign w:val="bottom"/>
          </w:tcPr>
          <w:p>
            <w:pPr>
              <w:jc w:val="center"/>
              <w:ind w:left="279"/>
              <w:spacing w:after="0"/>
              <w:rPr>
                <w:sz w:val="20"/>
                <w:szCs w:val="20"/>
                <w:color w:val="auto"/>
              </w:rPr>
            </w:pPr>
            <w:r>
              <w:rPr>
                <w:rFonts w:ascii="Arial" w:cs="Arial" w:eastAsia="Arial" w:hAnsi="Arial"/>
                <w:sz w:val="16"/>
                <w:szCs w:val="16"/>
                <w:color w:val="auto"/>
                <w:w w:val="92"/>
              </w:rPr>
              <w:t>448%</w:t>
            </w:r>
          </w:p>
        </w:tc>
      </w:tr>
      <w:tr>
        <w:trPr>
          <w:trHeight w:val="270"/>
        </w:trPr>
        <w:tc>
          <w:tcPr>
            <w:tcW w:w="34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65,758</w:t>
            </w:r>
          </w:p>
        </w:tc>
        <w:tc>
          <w:tcPr>
            <w:tcW w:w="480" w:type="dxa"/>
            <w:vAlign w:val="bottom"/>
          </w:tcPr>
          <w:p>
            <w:pPr>
              <w:spacing w:after="0"/>
              <w:rPr>
                <w:sz w:val="23"/>
                <w:szCs w:val="23"/>
                <w:color w:val="auto"/>
              </w:rPr>
            </w:pPr>
          </w:p>
        </w:tc>
        <w:tc>
          <w:tcPr>
            <w:tcW w:w="1140" w:type="dxa"/>
            <w:vAlign w:val="bottom"/>
          </w:tcPr>
          <w:p>
            <w:pPr>
              <w:jc w:val="right"/>
              <w:ind w:right="279"/>
              <w:spacing w:after="0"/>
              <w:rPr>
                <w:sz w:val="20"/>
                <w:szCs w:val="20"/>
                <w:color w:val="auto"/>
              </w:rPr>
            </w:pPr>
            <w:r>
              <w:rPr>
                <w:rFonts w:ascii="Arial" w:cs="Arial" w:eastAsia="Arial" w:hAnsi="Arial"/>
                <w:sz w:val="16"/>
                <w:szCs w:val="16"/>
                <w:color w:val="auto"/>
              </w:rPr>
              <w:t>39,573</w:t>
            </w:r>
          </w:p>
        </w:tc>
        <w:tc>
          <w:tcPr>
            <w:tcW w:w="780" w:type="dxa"/>
            <w:vAlign w:val="bottom"/>
          </w:tcPr>
          <w:p>
            <w:pPr>
              <w:jc w:val="center"/>
              <w:ind w:left="299"/>
              <w:spacing w:after="0"/>
              <w:rPr>
                <w:sz w:val="20"/>
                <w:szCs w:val="20"/>
                <w:color w:val="auto"/>
              </w:rPr>
            </w:pPr>
            <w:r>
              <w:rPr>
                <w:rFonts w:ascii="Arial" w:cs="Arial" w:eastAsia="Arial" w:hAnsi="Arial"/>
                <w:sz w:val="16"/>
                <w:szCs w:val="16"/>
                <w:color w:val="auto"/>
                <w:w w:val="87"/>
              </w:rPr>
              <w:t>66%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-4655185</wp:posOffset>
            </wp:positionH>
            <wp:positionV relativeFrom="paragraph">
              <wp:posOffset>-321310</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-4655185</wp:posOffset>
            </wp:positionH>
            <wp:positionV relativeFrom="paragraph">
              <wp:posOffset>20955</wp:posOffset>
            </wp:positionV>
            <wp:extent cx="7246620" cy="1885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-4655185</wp:posOffset>
            </wp:positionH>
            <wp:positionV relativeFrom="paragraph">
              <wp:posOffset>381000</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29.1%</w:t>
            </w:r>
          </w:p>
        </w:tc>
        <w:tc>
          <w:tcPr>
            <w:tcW w:w="5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28.7 %</w:t>
            </w:r>
          </w:p>
        </w:tc>
      </w:tr>
      <w:tr>
        <w:trPr>
          <w:trHeight w:val="270"/>
        </w:trPr>
        <w:tc>
          <w:tcPr>
            <w:tcW w:w="4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40.9%</w:t>
            </w:r>
          </w:p>
        </w:tc>
        <w:tc>
          <w:tcPr>
            <w:tcW w:w="5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36.5 %</w:t>
            </w:r>
          </w:p>
        </w:tc>
      </w:tr>
      <w:tr>
        <w:trPr>
          <w:trHeight w:val="270"/>
        </w:trPr>
        <w:tc>
          <w:tcPr>
            <w:tcW w:w="4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30.5%</w:t>
            </w:r>
          </w:p>
        </w:tc>
        <w:tc>
          <w:tcPr>
            <w:tcW w:w="5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29.6 %</w:t>
            </w:r>
          </w:p>
        </w:tc>
      </w:tr>
      <w:tr>
        <w:trPr>
          <w:trHeight w:val="567"/>
        </w:trPr>
        <w:tc>
          <w:tcPr>
            <w:tcW w:w="4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3.4%</w:t>
            </w:r>
          </w:p>
        </w:tc>
        <w:tc>
          <w:tcPr>
            <w:tcW w:w="5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(23.1)%</w:t>
            </w:r>
          </w:p>
        </w:tc>
      </w:tr>
      <w:tr>
        <w:trPr>
          <w:trHeight w:val="270"/>
        </w:trPr>
        <w:tc>
          <w:tcPr>
            <w:tcW w:w="420" w:type="dxa"/>
            <w:vAlign w:val="bottom"/>
          </w:tcPr>
          <w:p>
            <w:pPr>
              <w:jc w:val="right"/>
              <w:ind w:right="264"/>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(0.05)</w:t>
            </w:r>
          </w:p>
        </w:tc>
        <w:tc>
          <w:tcPr>
            <w:tcW w:w="52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(3.74)</w:t>
            </w:r>
          </w:p>
        </w:tc>
      </w:tr>
      <w:tr>
        <w:trPr>
          <w:trHeight w:val="270"/>
        </w:trPr>
        <w:tc>
          <w:tcPr>
            <w:tcW w:w="420" w:type="dxa"/>
            <w:vAlign w:val="bottom"/>
          </w:tcPr>
          <w:p>
            <w:pPr>
              <w:jc w:val="right"/>
              <w:ind w:right="264"/>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(0.05)</w:t>
            </w:r>
          </w:p>
        </w:tc>
        <w:tc>
          <w:tcPr>
            <w:tcW w:w="52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(3.74)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-4655185</wp:posOffset>
            </wp:positionH>
            <wp:positionV relativeFrom="paragraph">
              <wp:posOffset>-1024890</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-4655185</wp:posOffset>
            </wp:positionH>
            <wp:positionV relativeFrom="paragraph">
              <wp:posOffset>-681355</wp:posOffset>
            </wp:positionV>
            <wp:extent cx="7246620" cy="1885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-4655185</wp:posOffset>
            </wp:positionH>
            <wp:positionV relativeFrom="paragraph">
              <wp:posOffset>-321310</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-4655185</wp:posOffset>
            </wp:positionH>
            <wp:positionV relativeFrom="paragraph">
              <wp:posOffset>20955</wp:posOffset>
            </wp:positionV>
            <wp:extent cx="7246620" cy="1885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-4655185</wp:posOffset>
            </wp:positionH>
            <wp:positionV relativeFrom="paragraph">
              <wp:posOffset>381000</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27" w:lineRule="exact"/>
        <w:rPr>
          <w:sz w:val="20"/>
          <w:szCs w:val="20"/>
          <w:color w:val="auto"/>
        </w:rPr>
      </w:pPr>
    </w:p>
    <w:p>
      <w:pPr>
        <w:sectPr>
          <w:pgSz w:w="11900" w:h="16838" w:orient="portrait"/>
          <w:cols w:equalWidth="0" w:num="2">
            <w:col w:w="6620" w:space="720"/>
            <w:col w:w="4080"/>
          </w:cols>
          <w:pgMar w:left="240" w:top="125" w:right="239" w:bottom="1440" w:gutter="0" w:footer="0" w:header="0"/>
          <w:type w:val="continuous"/>
        </w:sectPr>
      </w:pPr>
    </w:p>
    <w:p>
      <w:pPr>
        <w:ind w:left="40"/>
        <w:spacing w:after="0"/>
        <w:tabs>
          <w:tab w:leader="none" w:pos="7320" w:val="left"/>
          <w:tab w:leader="none" w:pos="8140" w:val="left"/>
          <w:tab w:leader="none" w:pos="8720" w:val="left"/>
          <w:tab w:leader="none" w:pos="9540" w:val="left"/>
        </w:tabs>
        <w:rPr>
          <w:sz w:val="20"/>
          <w:szCs w:val="20"/>
          <w:color w:val="auto"/>
        </w:rPr>
      </w:pPr>
      <w:r>
        <w:rPr>
          <w:rFonts w:ascii="Arial" w:cs="Arial" w:eastAsia="Arial" w:hAnsi="Arial"/>
          <w:sz w:val="16"/>
          <w:szCs w:val="16"/>
          <w:color w:val="auto"/>
        </w:rPr>
        <w:t>Non-GAAP diluted EPS</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0.70</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5"/>
          <w:szCs w:val="15"/>
          <w:color w:val="auto"/>
        </w:rPr>
        <w:t>0.13</w:t>
      </w:r>
    </w:p>
    <w:p>
      <w:pPr>
        <w:spacing w:after="0" w:line="265" w:lineRule="exact"/>
        <w:rPr>
          <w:sz w:val="20"/>
          <w:szCs w:val="20"/>
          <w:color w:val="auto"/>
        </w:rPr>
      </w:pPr>
    </w:p>
    <w:p>
      <w:pPr>
        <w:ind w:left="340" w:right="20" w:hanging="332"/>
        <w:spacing w:after="0" w:line="217" w:lineRule="auto"/>
        <w:tabs>
          <w:tab w:leader="none" w:pos="340" w:val="left"/>
        </w:tabs>
        <w:numPr>
          <w:ilvl w:val="0"/>
          <w:numId w:val="6"/>
        </w:numPr>
        <w:rPr>
          <w:rFonts w:ascii="Arial" w:cs="Arial" w:eastAsia="Arial" w:hAnsi="Arial"/>
          <w:sz w:val="22"/>
          <w:szCs w:val="22"/>
          <w:color w:val="auto"/>
          <w:vertAlign w:val="superscript"/>
        </w:rPr>
      </w:pPr>
      <w:r>
        <w:rPr>
          <w:rFonts w:ascii="Arial" w:cs="Arial" w:eastAsia="Arial" w:hAnsi="Arial"/>
          <w:sz w:val="16"/>
          <w:szCs w:val="16"/>
          <w:color w:val="auto"/>
        </w:rPr>
        <w:t>These measures exclude certain expenses that we do not believe are indicative of our core operating results. See pages 43-45 for information about these non-GAAP measures and reconciliations to the most comparable GAAP measures.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type w:val="continuous"/>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Endpoints Summary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Our revenue is driven significantly by sales of endpoints. We classify our endpoints into two categories:</w:t>
      </w:r>
    </w:p>
    <w:p>
      <w:pPr>
        <w:spacing w:after="0" w:line="157" w:lineRule="exact"/>
        <w:rPr>
          <w:sz w:val="20"/>
          <w:szCs w:val="20"/>
          <w:color w:val="auto"/>
        </w:rPr>
      </w:pPr>
    </w:p>
    <w:p>
      <w:pPr>
        <w:ind w:left="660" w:hanging="328"/>
        <w:spacing w:after="0" w:line="342"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Standard Endpoints </w:t>
      </w:r>
      <w:r>
        <w:rPr>
          <w:rFonts w:ascii="Arial" w:cs="Arial" w:eastAsia="Arial" w:hAnsi="Arial"/>
          <w:sz w:val="16"/>
          <w:szCs w:val="16"/>
          <w:color w:val="auto"/>
        </w:rPr>
        <w:t>– an Itron product with no built-in remote reading communication technology, which is delivered primarily via our Device</w:t>
      </w:r>
      <w:r>
        <w:rPr>
          <w:rFonts w:ascii="Arial" w:cs="Arial" w:eastAsia="Arial" w:hAnsi="Arial"/>
          <w:sz w:val="16"/>
          <w:szCs w:val="16"/>
          <w:i w:val="1"/>
          <w:iCs w:val="1"/>
          <w:color w:val="auto"/>
        </w:rPr>
        <w:t xml:space="preserve"> </w:t>
      </w:r>
      <w:r>
        <w:rPr>
          <w:rFonts w:ascii="Arial" w:cs="Arial" w:eastAsia="Arial" w:hAnsi="Arial"/>
          <w:sz w:val="16"/>
          <w:szCs w:val="16"/>
          <w:color w:val="auto"/>
        </w:rPr>
        <w:t>Solutions segment. The majority of our standard devices are used for delivery and metrology in the electricity, water, and gas distribution industries.</w:t>
      </w:r>
    </w:p>
    <w:p>
      <w:pPr>
        <w:spacing w:after="0" w:line="123" w:lineRule="exact"/>
        <w:rPr>
          <w:rFonts w:ascii="Arial" w:cs="Arial" w:eastAsia="Arial" w:hAnsi="Arial"/>
          <w:sz w:val="16"/>
          <w:szCs w:val="16"/>
          <w:color w:val="auto"/>
        </w:rPr>
      </w:pPr>
    </w:p>
    <w:p>
      <w:pPr>
        <w:jc w:val="both"/>
        <w:ind w:left="660" w:hanging="328"/>
        <w:spacing w:after="0" w:line="255"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Networked Endpoints </w:t>
      </w:r>
      <w:r>
        <w:rPr>
          <w:rFonts w:ascii="Arial" w:cs="Arial" w:eastAsia="Arial" w:hAnsi="Arial"/>
          <w:sz w:val="18"/>
          <w:szCs w:val="18"/>
          <w:color w:val="auto"/>
        </w:rPr>
        <w:t>– an Itron product with one-way communication or two-way communication of data including remote device configuration</w:t>
      </w:r>
      <w:r>
        <w:rPr>
          <w:rFonts w:ascii="Arial" w:cs="Arial" w:eastAsia="Arial" w:hAnsi="Arial"/>
          <w:sz w:val="18"/>
          <w:szCs w:val="18"/>
          <w:i w:val="1"/>
          <w:iCs w:val="1"/>
          <w:color w:val="auto"/>
        </w:rPr>
        <w:t xml:space="preserve"> </w:t>
      </w:r>
      <w:r>
        <w:rPr>
          <w:rFonts w:ascii="Arial" w:cs="Arial" w:eastAsia="Arial" w:hAnsi="Arial"/>
          <w:sz w:val="18"/>
          <w:szCs w:val="18"/>
          <w:color w:val="auto"/>
        </w:rPr>
        <w:t>and upgrade (consisting primarily of our OpenWay® or Gen X technology). This primarily includes Itron devices used in electricity, water, and gas distribution industries that are delivered via our Networked Solutions Segment. Networked endpoints also include smart communication modules and network interface cards (NICs). NICs are communicating modules that can be sold separately from the device directly to our customers or to third party manufacturers for use in endpoints such as electric, water, and gas meters; streetlights and smart city devices; sensors or another standard device that the end customer would like to connect to our OpenWay or Gen X Networked Solutions. These endpoints are primarily delivered via our Networked Solutions segment.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endpoints shipped is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3520" w:type="dxa"/>
            <w:vAlign w:val="bottom"/>
            <w:gridSpan w:val="3"/>
          </w:tcPr>
          <w:p>
            <w:pPr>
              <w:jc w:val="right"/>
              <w:ind w:right="559"/>
              <w:spacing w:after="0"/>
              <w:rPr>
                <w:sz w:val="20"/>
                <w:szCs w:val="20"/>
                <w:color w:val="auto"/>
              </w:rPr>
            </w:pPr>
            <w:r>
              <w:rPr>
                <w:rFonts w:ascii="Arial" w:cs="Arial" w:eastAsia="Arial" w:hAnsi="Arial"/>
                <w:sz w:val="16"/>
                <w:szCs w:val="16"/>
                <w:b w:val="1"/>
                <w:bCs w:val="1"/>
                <w:color w:val="auto"/>
              </w:rPr>
              <w:t>Three Months Ended March 31,</w:t>
            </w:r>
          </w:p>
        </w:tc>
      </w:tr>
      <w:tr>
        <w:trPr>
          <w:trHeight w:val="33"/>
        </w:trPr>
        <w:tc>
          <w:tcPr>
            <w:tcW w:w="790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31"/>
        </w:trPr>
        <w:tc>
          <w:tcPr>
            <w:tcW w:w="7900" w:type="dxa"/>
            <w:vAlign w:val="bottom"/>
          </w:tcPr>
          <w:p>
            <w:pPr>
              <w:ind w:left="40"/>
              <w:spacing w:after="0"/>
              <w:rPr>
                <w:sz w:val="20"/>
                <w:szCs w:val="20"/>
                <w:color w:val="auto"/>
              </w:rPr>
            </w:pPr>
            <w:r>
              <w:rPr>
                <w:rFonts w:ascii="Arial" w:cs="Arial" w:eastAsia="Arial" w:hAnsi="Arial"/>
                <w:sz w:val="16"/>
                <w:szCs w:val="16"/>
                <w:i w:val="1"/>
                <w:iCs w:val="1"/>
                <w:color w:val="auto"/>
              </w:rPr>
              <w:t>Units in thousands</w:t>
            </w:r>
          </w:p>
        </w:tc>
        <w:tc>
          <w:tcPr>
            <w:tcW w:w="1720" w:type="dxa"/>
            <w:vAlign w:val="bottom"/>
          </w:tcPr>
          <w:p>
            <w:pPr>
              <w:jc w:val="right"/>
              <w:ind w:right="61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17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2018</w:t>
            </w:r>
          </w:p>
        </w:tc>
      </w:tr>
      <w:tr>
        <w:trPr>
          <w:trHeight w:val="33"/>
        </w:trPr>
        <w:tc>
          <w:tcPr>
            <w:tcW w:w="79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31"/>
        </w:trPr>
        <w:tc>
          <w:tcPr>
            <w:tcW w:w="7900" w:type="dxa"/>
            <w:vAlign w:val="bottom"/>
          </w:tcPr>
          <w:p>
            <w:pPr>
              <w:ind w:left="40"/>
              <w:spacing w:after="0"/>
              <w:rPr>
                <w:sz w:val="20"/>
                <w:szCs w:val="20"/>
                <w:color w:val="auto"/>
              </w:rPr>
            </w:pPr>
            <w:r>
              <w:rPr>
                <w:rFonts w:ascii="Arial" w:cs="Arial" w:eastAsia="Arial" w:hAnsi="Arial"/>
                <w:sz w:val="16"/>
                <w:szCs w:val="16"/>
                <w:color w:val="auto"/>
              </w:rPr>
              <w:t>Itron Endpoints</w:t>
            </w: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33"/>
        </w:trPr>
        <w:tc>
          <w:tcPr>
            <w:tcW w:w="79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Standard endpoints</w:t>
            </w: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3,960</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4,140</w:t>
            </w: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Networked endpoints</w:t>
            </w: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5,490</w:t>
            </w:r>
          </w:p>
        </w:tc>
        <w:tc>
          <w:tcPr>
            <w:tcW w:w="100" w:type="dxa"/>
            <w:vAlign w:val="bottom"/>
          </w:tcPr>
          <w:p>
            <w:pPr>
              <w:spacing w:after="0"/>
              <w:rPr>
                <w:sz w:val="20"/>
                <w:szCs w:val="20"/>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5,540</w:t>
            </w:r>
          </w:p>
        </w:tc>
      </w:tr>
      <w:tr>
        <w:trPr>
          <w:trHeight w:val="33"/>
        </w:trPr>
        <w:tc>
          <w:tcPr>
            <w:tcW w:w="79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endpoints</w:t>
            </w:r>
          </w:p>
        </w:tc>
        <w:tc>
          <w:tcPr>
            <w:tcW w:w="17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9,450</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9,680</w:t>
            </w:r>
          </w:p>
        </w:tc>
      </w:tr>
      <w:tr>
        <w:trPr>
          <w:trHeight w:val="20"/>
        </w:trPr>
        <w:tc>
          <w:tcPr>
            <w:tcW w:w="79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 and Gross Margin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actual results and effects of changes in foreign currency exchange rates in revenues and gross profit were as follows: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2920" w:type="dxa"/>
            <w:vAlign w:val="bottom"/>
            <w:gridSpan w:val="4"/>
            <w:vMerge w:val="restart"/>
          </w:tcPr>
          <w:p>
            <w:pPr>
              <w:ind w:left="700"/>
              <w:spacing w:after="0"/>
              <w:rPr>
                <w:sz w:val="20"/>
                <w:szCs w:val="20"/>
                <w:color w:val="auto"/>
              </w:rPr>
            </w:pPr>
            <w:r>
              <w:rPr>
                <w:rFonts w:ascii="Arial" w:cs="Arial" w:eastAsia="Arial" w:hAnsi="Arial"/>
                <w:sz w:val="16"/>
                <w:szCs w:val="16"/>
                <w:b w:val="1"/>
                <w:bCs w:val="1"/>
                <w:color w:val="auto"/>
                <w:w w:val="93"/>
              </w:rPr>
              <w:t>Three Months Ended March 31,</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0"/>
              </w:rPr>
              <w:t>Effect of Changes in</w:t>
            </w: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12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2920" w:type="dxa"/>
            <w:vAlign w:val="bottom"/>
            <w:gridSpan w:val="4"/>
            <w:vMerge w:val="continue"/>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80" w:type="dxa"/>
            <w:vAlign w:val="bottom"/>
            <w:gridSpan w:val="2"/>
            <w:vMerge w:val="restart"/>
          </w:tcPr>
          <w:p>
            <w:pPr>
              <w:jc w:val="center"/>
              <w:ind w:right="240"/>
              <w:spacing w:after="0" w:line="142" w:lineRule="exact"/>
              <w:rPr>
                <w:sz w:val="20"/>
                <w:szCs w:val="20"/>
                <w:color w:val="auto"/>
              </w:rPr>
            </w:pPr>
            <w:r>
              <w:rPr>
                <w:rFonts w:ascii="Arial" w:cs="Arial" w:eastAsia="Arial" w:hAnsi="Arial"/>
                <w:sz w:val="16"/>
                <w:szCs w:val="16"/>
                <w:b w:val="1"/>
                <w:bCs w:val="1"/>
                <w:color w:val="auto"/>
                <w:w w:val="92"/>
              </w:rPr>
              <w:t>Foreign Currency</w:t>
            </w:r>
          </w:p>
        </w:tc>
        <w:tc>
          <w:tcPr>
            <w:tcW w:w="1560" w:type="dxa"/>
            <w:vAlign w:val="bottom"/>
            <w:gridSpan w:val="3"/>
            <w:vMerge w:val="restart"/>
          </w:tcPr>
          <w:p>
            <w:pPr>
              <w:ind w:left="60"/>
              <w:spacing w:after="0" w:line="142" w:lineRule="exact"/>
              <w:rPr>
                <w:sz w:val="20"/>
                <w:szCs w:val="20"/>
                <w:color w:val="auto"/>
              </w:rPr>
            </w:pPr>
            <w:r>
              <w:rPr>
                <w:rFonts w:ascii="Arial" w:cs="Arial" w:eastAsia="Arial" w:hAnsi="Arial"/>
                <w:sz w:val="16"/>
                <w:szCs w:val="16"/>
                <w:b w:val="1"/>
                <w:bCs w:val="1"/>
                <w:color w:val="auto"/>
              </w:rPr>
              <w:t>Constant Currency</w:t>
            </w:r>
          </w:p>
        </w:tc>
        <w:tc>
          <w:tcPr>
            <w:tcW w:w="1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gridSpan w:val="2"/>
            <w:vMerge w:val="continue"/>
          </w:tcPr>
          <w:p>
            <w:pPr>
              <w:spacing w:after="0"/>
              <w:rPr>
                <w:sz w:val="2"/>
                <w:szCs w:val="2"/>
                <w:color w:val="auto"/>
              </w:rPr>
            </w:pPr>
          </w:p>
        </w:tc>
        <w:tc>
          <w:tcPr>
            <w:tcW w:w="1560" w:type="dxa"/>
            <w:vAlign w:val="bottom"/>
            <w:gridSpan w:val="3"/>
            <w:vMerge w:val="continue"/>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120" w:type="dxa"/>
            <w:vAlign w:val="bottom"/>
          </w:tcPr>
          <w:p>
            <w:pPr>
              <w:spacing w:after="0"/>
              <w:rPr>
                <w:sz w:val="22"/>
                <w:szCs w:val="22"/>
                <w:color w:val="auto"/>
              </w:rPr>
            </w:pPr>
          </w:p>
        </w:tc>
        <w:tc>
          <w:tcPr>
            <w:tcW w:w="2980" w:type="dxa"/>
            <w:vAlign w:val="bottom"/>
            <w:tcBorders>
              <w:bottom w:val="single" w:sz="8" w:color="auto"/>
            </w:tcBorders>
          </w:tcPr>
          <w:p>
            <w:pPr>
              <w:ind w:left="40"/>
              <w:spacing w:after="0"/>
              <w:rPr>
                <w:sz w:val="20"/>
                <w:szCs w:val="20"/>
                <w:color w:val="auto"/>
              </w:rPr>
            </w:pPr>
            <w:r>
              <w:rPr>
                <w:rFonts w:ascii="Arial" w:cs="Arial" w:eastAsia="Arial" w:hAnsi="Arial"/>
                <w:sz w:val="16"/>
                <w:szCs w:val="16"/>
                <w:i w:val="1"/>
                <w:iCs w:val="1"/>
                <w:color w:val="auto"/>
              </w:rPr>
              <w:t>In thousands</w:t>
            </w:r>
          </w:p>
        </w:tc>
        <w:tc>
          <w:tcPr>
            <w:tcW w:w="1060" w:type="dxa"/>
            <w:vAlign w:val="bottom"/>
            <w:tcBorders>
              <w:bottom w:val="single" w:sz="8" w:color="auto"/>
            </w:tcBorders>
          </w:tcPr>
          <w:p>
            <w:pPr>
              <w:ind w:left="700"/>
              <w:spacing w:after="0"/>
              <w:rPr>
                <w:sz w:val="20"/>
                <w:szCs w:val="20"/>
                <w:color w:val="auto"/>
              </w:rPr>
            </w:pPr>
            <w:r>
              <w:rPr>
                <w:rFonts w:ascii="Arial" w:cs="Arial" w:eastAsia="Arial" w:hAnsi="Arial"/>
                <w:sz w:val="16"/>
                <w:szCs w:val="16"/>
                <w:b w:val="1"/>
                <w:bCs w:val="1"/>
                <w:color w:val="auto"/>
                <w:w w:val="95"/>
              </w:rPr>
              <w:t>2019</w:t>
            </w:r>
          </w:p>
        </w:tc>
        <w:tc>
          <w:tcPr>
            <w:tcW w:w="660" w:type="dxa"/>
            <w:vAlign w:val="bottom"/>
            <w:tcBorders>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6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88"/>
              </w:rPr>
              <w:t>Exchange Rates</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Change</w:t>
            </w:r>
            <w:r>
              <w:rPr>
                <w:rFonts w:ascii="Arial" w:cs="Arial" w:eastAsia="Arial" w:hAnsi="Arial"/>
                <w:sz w:val="21"/>
                <w:szCs w:val="21"/>
                <w:b w:val="1"/>
                <w:bCs w:val="1"/>
                <w:color w:val="auto"/>
                <w:vertAlign w:val="superscript"/>
              </w:rPr>
              <w:t>(1)</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98"/>
              </w:rPr>
              <w:t>Total Change</w:t>
            </w:r>
          </w:p>
        </w:tc>
        <w:tc>
          <w:tcPr>
            <w:tcW w:w="0" w:type="dxa"/>
            <w:vAlign w:val="bottom"/>
          </w:tcPr>
          <w:p>
            <w:pPr>
              <w:spacing w:after="0"/>
              <w:rPr>
                <w:sz w:val="1"/>
                <w:szCs w:val="1"/>
                <w:color w:val="auto"/>
              </w:rPr>
            </w:pPr>
          </w:p>
        </w:tc>
      </w:tr>
      <w:tr>
        <w:trPr>
          <w:trHeight w:val="231"/>
        </w:trPr>
        <w:tc>
          <w:tcPr>
            <w:tcW w:w="3100" w:type="dxa"/>
            <w:vAlign w:val="bottom"/>
            <w:gridSpan w:val="2"/>
          </w:tcPr>
          <w:p>
            <w:pPr>
              <w:ind w:left="40"/>
              <w:spacing w:after="0"/>
              <w:rPr>
                <w:sz w:val="20"/>
                <w:szCs w:val="20"/>
                <w:color w:val="auto"/>
              </w:rPr>
            </w:pPr>
            <w:r>
              <w:rPr>
                <w:rFonts w:ascii="Arial" w:cs="Arial" w:eastAsia="Arial" w:hAnsi="Arial"/>
                <w:sz w:val="16"/>
                <w:szCs w:val="16"/>
                <w:b w:val="1"/>
                <w:bCs w:val="1"/>
                <w:i w:val="1"/>
                <w:iCs w:val="1"/>
                <w:color w:val="auto"/>
              </w:rPr>
              <w:t>Total Company</w:t>
            </w:r>
          </w:p>
        </w:tc>
        <w:tc>
          <w:tcPr>
            <w:tcW w:w="10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2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20" w:type="dxa"/>
            <w:vAlign w:val="bottom"/>
            <w:tcBorders>
              <w:bottom w:val="single" w:sz="8" w:color="CCEEFF"/>
            </w:tcBorders>
            <w:shd w:val="clear" w:color="auto" w:fill="CCEEFF"/>
          </w:tcPr>
          <w:p>
            <w:pPr>
              <w:spacing w:after="0"/>
              <w:rPr>
                <w:sz w:val="21"/>
                <w:szCs w:val="21"/>
                <w:color w:val="auto"/>
              </w:rPr>
            </w:pPr>
          </w:p>
        </w:tc>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614,576</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607,221</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(21,962)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29,317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7,355</w:t>
            </w:r>
          </w:p>
        </w:tc>
        <w:tc>
          <w:tcPr>
            <w:tcW w:w="0" w:type="dxa"/>
            <w:vAlign w:val="bottom"/>
          </w:tcPr>
          <w:p>
            <w:pPr>
              <w:spacing w:after="0"/>
              <w:rPr>
                <w:sz w:val="1"/>
                <w:szCs w:val="1"/>
                <w:color w:val="auto"/>
              </w:rPr>
            </w:pPr>
          </w:p>
        </w:tc>
      </w:tr>
      <w:tr>
        <w:trPr>
          <w:trHeight w:val="237"/>
        </w:trPr>
        <w:tc>
          <w:tcPr>
            <w:tcW w:w="120" w:type="dxa"/>
            <w:vAlign w:val="bottom"/>
          </w:tcPr>
          <w:p>
            <w:pPr>
              <w:spacing w:after="0"/>
              <w:rPr>
                <w:sz w:val="20"/>
                <w:szCs w:val="20"/>
                <w:color w:val="auto"/>
              </w:rPr>
            </w:pPr>
          </w:p>
        </w:tc>
        <w:tc>
          <w:tcPr>
            <w:tcW w:w="2980" w:type="dxa"/>
            <w:vAlign w:val="bottom"/>
          </w:tcPr>
          <w:p>
            <w:pPr>
              <w:ind w:left="40"/>
              <w:spacing w:after="0"/>
              <w:rPr>
                <w:sz w:val="20"/>
                <w:szCs w:val="20"/>
                <w:color w:val="auto"/>
              </w:rPr>
            </w:pPr>
            <w:r>
              <w:rPr>
                <w:rFonts w:ascii="Arial" w:cs="Arial" w:eastAsia="Arial" w:hAnsi="Arial"/>
                <w:sz w:val="16"/>
                <w:szCs w:val="16"/>
                <w:color w:val="auto"/>
              </w:rPr>
              <w:t>Gross profit</w:t>
            </w:r>
          </w:p>
        </w:tc>
        <w:tc>
          <w:tcPr>
            <w:tcW w:w="10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w w:val="89"/>
              </w:rPr>
              <w:t>187,263</w:t>
            </w: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w w:val="89"/>
              </w:rPr>
              <w:t>179,855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(5,014)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12,422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7,408</w:t>
            </w:r>
          </w:p>
        </w:tc>
        <w:tc>
          <w:tcPr>
            <w:tcW w:w="0" w:type="dxa"/>
            <w:vAlign w:val="bottom"/>
          </w:tcPr>
          <w:p>
            <w:pPr>
              <w:spacing w:after="0"/>
              <w:rPr>
                <w:sz w:val="1"/>
                <w:szCs w:val="1"/>
                <w:color w:val="auto"/>
              </w:rPr>
            </w:pPr>
          </w:p>
        </w:tc>
      </w:tr>
    </w:tbl>
    <w:p>
      <w:pPr>
        <w:spacing w:after="0" w:line="239" w:lineRule="exact"/>
        <w:rPr>
          <w:sz w:val="20"/>
          <w:szCs w:val="20"/>
          <w:color w:val="auto"/>
        </w:rPr>
      </w:pPr>
    </w:p>
    <w:p>
      <w:pPr>
        <w:ind w:left="340" w:hanging="332"/>
        <w:spacing w:after="0" w:line="217" w:lineRule="auto"/>
        <w:tabs>
          <w:tab w:leader="none" w:pos="340" w:val="left"/>
        </w:tabs>
        <w:numPr>
          <w:ilvl w:val="0"/>
          <w:numId w:val="8"/>
        </w:numPr>
        <w:rPr>
          <w:rFonts w:ascii="Arial" w:cs="Arial" w:eastAsia="Arial" w:hAnsi="Arial"/>
          <w:sz w:val="22"/>
          <w:szCs w:val="22"/>
          <w:color w:val="auto"/>
          <w:vertAlign w:val="superscript"/>
        </w:rPr>
      </w:pPr>
      <w:r>
        <w:rPr>
          <w:rFonts w:ascii="Arial" w:cs="Arial" w:eastAsia="Arial" w:hAnsi="Arial"/>
          <w:sz w:val="16"/>
          <w:szCs w:val="16"/>
          <w:color w:val="auto"/>
        </w:rPr>
        <w:t>Constant currency change is a non-GAAP financial measure and represents the total change between periods excluding the effect of changes in foreign currency exchange rates.</w:t>
      </w:r>
    </w:p>
    <w:p>
      <w:pPr>
        <w:spacing w:after="0" w:line="19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222222"/>
        </w:rPr>
        <w:t xml:space="preserve">Revenues increased $7.4 million, or 1%, for the </w:t>
      </w:r>
      <w:r>
        <w:rPr>
          <w:rFonts w:ascii="Arial" w:cs="Arial" w:eastAsia="Arial" w:hAnsi="Arial"/>
          <w:sz w:val="17"/>
          <w:szCs w:val="17"/>
          <w:color w:val="000000"/>
        </w:rPr>
        <w:t>three months ended</w:t>
      </w:r>
      <w:r>
        <w:rPr>
          <w:rFonts w:ascii="Arial" w:cs="Arial" w:eastAsia="Arial" w:hAnsi="Arial"/>
          <w:sz w:val="17"/>
          <w:szCs w:val="17"/>
          <w:color w:val="222222"/>
        </w:rPr>
        <w:t xml:space="preserve"> months ended </w:t>
      </w:r>
      <w:r>
        <w:rPr>
          <w:rFonts w:ascii="Arial" w:cs="Arial" w:eastAsia="Arial" w:hAnsi="Arial"/>
          <w:sz w:val="17"/>
          <w:szCs w:val="17"/>
          <w:color w:val="000000"/>
        </w:rPr>
        <w:t>March 31, 2019</w:t>
      </w:r>
      <w:r>
        <w:rPr>
          <w:rFonts w:ascii="Arial" w:cs="Arial" w:eastAsia="Arial" w:hAnsi="Arial"/>
          <w:sz w:val="17"/>
          <w:szCs w:val="17"/>
          <w:color w:val="222222"/>
        </w:rPr>
        <w:t xml:space="preserve">, compared with the same period in </w:t>
      </w:r>
      <w:r>
        <w:rPr>
          <w:rFonts w:ascii="Arial" w:cs="Arial" w:eastAsia="Arial" w:hAnsi="Arial"/>
          <w:sz w:val="17"/>
          <w:szCs w:val="17"/>
          <w:color w:val="000000"/>
        </w:rPr>
        <w:t>2018</w:t>
      </w:r>
      <w:r>
        <w:rPr>
          <w:rFonts w:ascii="Arial" w:cs="Arial" w:eastAsia="Arial" w:hAnsi="Arial"/>
          <w:sz w:val="17"/>
          <w:szCs w:val="17"/>
          <w:color w:val="222222"/>
        </w:rPr>
        <w:t xml:space="preserve">. This growth for the three months ended </w:t>
      </w:r>
      <w:r>
        <w:rPr>
          <w:rFonts w:ascii="Arial" w:cs="Arial" w:eastAsia="Arial" w:hAnsi="Arial"/>
          <w:sz w:val="17"/>
          <w:szCs w:val="17"/>
          <w:color w:val="000000"/>
        </w:rPr>
        <w:t>March 31, 2019</w:t>
      </w:r>
      <w:r>
        <w:rPr>
          <w:rFonts w:ascii="Arial" w:cs="Arial" w:eastAsia="Arial" w:hAnsi="Arial"/>
          <w:sz w:val="17"/>
          <w:szCs w:val="17"/>
          <w:color w:val="222222"/>
        </w:rPr>
        <w:t xml:space="preserve"> was driven primarily by the Networked Solutions segment, which increased $34.1 million for the three months ended </w:t>
      </w:r>
      <w:r>
        <w:rPr>
          <w:rFonts w:ascii="Arial" w:cs="Arial" w:eastAsia="Arial" w:hAnsi="Arial"/>
          <w:sz w:val="17"/>
          <w:szCs w:val="17"/>
          <w:color w:val="000000"/>
        </w:rPr>
        <w:t>March 31, 2019</w:t>
      </w:r>
      <w:r>
        <w:rPr>
          <w:rFonts w:ascii="Arial" w:cs="Arial" w:eastAsia="Arial" w:hAnsi="Arial"/>
          <w:sz w:val="17"/>
          <w:szCs w:val="17"/>
          <w:color w:val="222222"/>
        </w:rPr>
        <w:t>. The Outcomes segment was flat when compared with the first quarter last year, and the Device Solutions segment decreased by $27.6</w:t>
      </w:r>
      <w:r>
        <w:rPr>
          <w:rFonts w:ascii="Arial" w:cs="Arial" w:eastAsia="Arial" w:hAnsi="Arial"/>
          <w:sz w:val="17"/>
          <w:szCs w:val="17"/>
          <w:color w:val="000000"/>
        </w:rPr>
        <w:t xml:space="preserve"> </w:t>
      </w:r>
      <w:r>
        <w:rPr>
          <w:rFonts w:ascii="Arial" w:cs="Arial" w:eastAsia="Arial" w:hAnsi="Arial"/>
          <w:sz w:val="17"/>
          <w:szCs w:val="17"/>
          <w:color w:val="222222"/>
        </w:rPr>
        <w:t>million. Changes in exchange rates unfavorably impacted total revenues by $22.0 million during the period. Product revenues increased $7.7 million, or 1%. Service revenues during the first quarter of 2019 decreased slightly by $0.4 million, or 1%.</w:t>
      </w:r>
    </w:p>
    <w:p>
      <w:pPr>
        <w:spacing w:after="0" w:line="17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Gross Margin</w:t>
      </w:r>
    </w:p>
    <w:p>
      <w:pPr>
        <w:spacing w:after="0" w:line="23"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222222"/>
        </w:rPr>
        <w:t xml:space="preserve">Gross margin for the </w:t>
      </w:r>
      <w:r>
        <w:rPr>
          <w:rFonts w:ascii="Arial" w:cs="Arial" w:eastAsia="Arial" w:hAnsi="Arial"/>
          <w:sz w:val="16"/>
          <w:szCs w:val="16"/>
          <w:color w:val="000000"/>
        </w:rPr>
        <w:t>first</w:t>
      </w:r>
      <w:r>
        <w:rPr>
          <w:rFonts w:ascii="Arial" w:cs="Arial" w:eastAsia="Arial" w:hAnsi="Arial"/>
          <w:sz w:val="16"/>
          <w:szCs w:val="16"/>
          <w:color w:val="222222"/>
        </w:rPr>
        <w:t xml:space="preserve"> quarter of </w:t>
      </w:r>
      <w:r>
        <w:rPr>
          <w:rFonts w:ascii="Arial" w:cs="Arial" w:eastAsia="Arial" w:hAnsi="Arial"/>
          <w:sz w:val="16"/>
          <w:szCs w:val="16"/>
          <w:color w:val="000000"/>
        </w:rPr>
        <w:t>2019</w:t>
      </w:r>
      <w:r>
        <w:rPr>
          <w:rFonts w:ascii="Arial" w:cs="Arial" w:eastAsia="Arial" w:hAnsi="Arial"/>
          <w:sz w:val="16"/>
          <w:szCs w:val="16"/>
          <w:color w:val="222222"/>
        </w:rPr>
        <w:t xml:space="preserve"> was 30.5%, compared with 29.6% for the same period in </w:t>
      </w:r>
      <w:r>
        <w:rPr>
          <w:rFonts w:ascii="Arial" w:cs="Arial" w:eastAsia="Arial" w:hAnsi="Arial"/>
          <w:sz w:val="16"/>
          <w:szCs w:val="16"/>
          <w:color w:val="000000"/>
        </w:rPr>
        <w:t>2018</w:t>
      </w:r>
      <w:r>
        <w:rPr>
          <w:rFonts w:ascii="Arial" w:cs="Arial" w:eastAsia="Arial" w:hAnsi="Arial"/>
          <w:sz w:val="16"/>
          <w:szCs w:val="16"/>
          <w:color w:val="222222"/>
        </w:rPr>
        <w:t xml:space="preserve">. Our gross margin associated with product sales increased to 29.1% for the three months ended </w:t>
      </w:r>
      <w:r>
        <w:rPr>
          <w:rFonts w:ascii="Arial" w:cs="Arial" w:eastAsia="Arial" w:hAnsi="Arial"/>
          <w:sz w:val="16"/>
          <w:szCs w:val="16"/>
          <w:color w:val="000000"/>
        </w:rPr>
        <w:t>March 31, 2019</w:t>
      </w:r>
      <w:r>
        <w:rPr>
          <w:rFonts w:ascii="Arial" w:cs="Arial" w:eastAsia="Arial" w:hAnsi="Arial"/>
          <w:sz w:val="16"/>
          <w:szCs w:val="16"/>
          <w:color w:val="222222"/>
        </w:rPr>
        <w:t xml:space="preserve"> compared with 28.7% for the same period in 2018. The product gross margin in 2019 was favorably impacted by product mix, including sales of software in our Networked Solutions segment, and lower warranty costs. Gross margin associated with our service revenues increased to 40.9% for the three months ended </w:t>
      </w:r>
      <w:r>
        <w:rPr>
          <w:rFonts w:ascii="Arial" w:cs="Arial" w:eastAsia="Arial" w:hAnsi="Arial"/>
          <w:sz w:val="16"/>
          <w:szCs w:val="16"/>
          <w:color w:val="000000"/>
        </w:rPr>
        <w:t>March 31, 2019</w:t>
      </w:r>
      <w:r>
        <w:rPr>
          <w:rFonts w:ascii="Arial" w:cs="Arial" w:eastAsia="Arial" w:hAnsi="Arial"/>
          <w:sz w:val="16"/>
          <w:szCs w:val="16"/>
          <w:color w:val="222222"/>
        </w:rPr>
        <w:t xml:space="preserve"> as compared with 36.5% for the same period in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actual results and effects of changes in foreign currency exchange rates in operating expenses were as follows: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2920" w:type="dxa"/>
            <w:vAlign w:val="bottom"/>
            <w:gridSpan w:val="4"/>
            <w:vMerge w:val="restart"/>
          </w:tcPr>
          <w:p>
            <w:pPr>
              <w:jc w:val="right"/>
              <w:spacing w:after="0"/>
              <w:rPr>
                <w:sz w:val="20"/>
                <w:szCs w:val="20"/>
                <w:color w:val="auto"/>
              </w:rPr>
            </w:pPr>
            <w:r>
              <w:rPr>
                <w:rFonts w:ascii="Arial" w:cs="Arial" w:eastAsia="Arial" w:hAnsi="Arial"/>
                <w:sz w:val="16"/>
                <w:szCs w:val="16"/>
                <w:b w:val="1"/>
                <w:bCs w:val="1"/>
                <w:color w:val="auto"/>
              </w:rPr>
              <w:t>Three Months Ended March 31,</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gridSpan w:val="3"/>
          </w:tcPr>
          <w:p>
            <w:pPr>
              <w:ind w:left="40"/>
              <w:spacing w:after="0"/>
              <w:rPr>
                <w:sz w:val="20"/>
                <w:szCs w:val="20"/>
                <w:color w:val="auto"/>
              </w:rPr>
            </w:pPr>
            <w:r>
              <w:rPr>
                <w:rFonts w:ascii="Arial" w:cs="Arial" w:eastAsia="Arial" w:hAnsi="Arial"/>
                <w:sz w:val="16"/>
                <w:szCs w:val="16"/>
                <w:b w:val="1"/>
                <w:bCs w:val="1"/>
                <w:color w:val="auto"/>
                <w:w w:val="99"/>
              </w:rPr>
              <w:t>Effect of Changes in</w:t>
            </w: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12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2920" w:type="dxa"/>
            <w:vAlign w:val="bottom"/>
            <w:gridSpan w:val="4"/>
            <w:vMerge w:val="continue"/>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80" w:type="dxa"/>
            <w:vAlign w:val="bottom"/>
            <w:gridSpan w:val="2"/>
            <w:vMerge w:val="restart"/>
          </w:tcPr>
          <w:p>
            <w:pPr>
              <w:spacing w:after="0" w:line="142" w:lineRule="exact"/>
              <w:rPr>
                <w:sz w:val="20"/>
                <w:szCs w:val="20"/>
                <w:color w:val="auto"/>
              </w:rPr>
            </w:pPr>
            <w:r>
              <w:rPr>
                <w:rFonts w:ascii="Arial" w:cs="Arial" w:eastAsia="Arial" w:hAnsi="Arial"/>
                <w:sz w:val="16"/>
                <w:szCs w:val="16"/>
                <w:b w:val="1"/>
                <w:bCs w:val="1"/>
                <w:color w:val="auto"/>
              </w:rPr>
              <w:t>Foreign Currency</w:t>
            </w:r>
          </w:p>
        </w:tc>
        <w:tc>
          <w:tcPr>
            <w:tcW w:w="1560" w:type="dxa"/>
            <w:vAlign w:val="bottom"/>
            <w:gridSpan w:val="3"/>
            <w:vMerge w:val="restart"/>
          </w:tcPr>
          <w:p>
            <w:pPr>
              <w:ind w:left="60"/>
              <w:spacing w:after="0" w:line="142" w:lineRule="exact"/>
              <w:rPr>
                <w:sz w:val="20"/>
                <w:szCs w:val="20"/>
                <w:color w:val="auto"/>
              </w:rPr>
            </w:pPr>
            <w:r>
              <w:rPr>
                <w:rFonts w:ascii="Arial" w:cs="Arial" w:eastAsia="Arial" w:hAnsi="Arial"/>
                <w:sz w:val="16"/>
                <w:szCs w:val="16"/>
                <w:b w:val="1"/>
                <w:bCs w:val="1"/>
                <w:color w:val="auto"/>
              </w:rPr>
              <w:t>Constant Currency</w:t>
            </w:r>
          </w:p>
        </w:tc>
        <w:tc>
          <w:tcPr>
            <w:tcW w:w="1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gridSpan w:val="2"/>
            <w:vMerge w:val="continue"/>
          </w:tcPr>
          <w:p>
            <w:pPr>
              <w:spacing w:after="0"/>
              <w:rPr>
                <w:sz w:val="2"/>
                <w:szCs w:val="2"/>
                <w:color w:val="auto"/>
              </w:rPr>
            </w:pPr>
          </w:p>
        </w:tc>
        <w:tc>
          <w:tcPr>
            <w:tcW w:w="1560" w:type="dxa"/>
            <w:vAlign w:val="bottom"/>
            <w:gridSpan w:val="3"/>
            <w:vMerge w:val="continue"/>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120" w:type="dxa"/>
            <w:vAlign w:val="bottom"/>
          </w:tcPr>
          <w:p>
            <w:pPr>
              <w:spacing w:after="0"/>
              <w:rPr>
                <w:sz w:val="22"/>
                <w:szCs w:val="22"/>
                <w:color w:val="auto"/>
              </w:rPr>
            </w:pPr>
          </w:p>
        </w:tc>
        <w:tc>
          <w:tcPr>
            <w:tcW w:w="2980" w:type="dxa"/>
            <w:vAlign w:val="bottom"/>
            <w:tcBorders>
              <w:bottom w:val="single" w:sz="8" w:color="auto"/>
            </w:tcBorders>
          </w:tcPr>
          <w:p>
            <w:pPr>
              <w:ind w:left="40"/>
              <w:spacing w:after="0"/>
              <w:rPr>
                <w:sz w:val="20"/>
                <w:szCs w:val="20"/>
                <w:color w:val="auto"/>
              </w:rPr>
            </w:pPr>
            <w:r>
              <w:rPr>
                <w:rFonts w:ascii="Arial" w:cs="Arial" w:eastAsia="Arial" w:hAnsi="Arial"/>
                <w:sz w:val="16"/>
                <w:szCs w:val="16"/>
                <w:i w:val="1"/>
                <w:iCs w:val="1"/>
                <w:color w:val="auto"/>
              </w:rPr>
              <w:t>In thousands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660" w:type="dxa"/>
            <w:vAlign w:val="bottom"/>
            <w:tcBorders>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6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3"/>
              </w:rPr>
              <w:t>Exchange Rates</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Change</w:t>
            </w:r>
            <w:r>
              <w:rPr>
                <w:rFonts w:ascii="Arial" w:cs="Arial" w:eastAsia="Arial" w:hAnsi="Arial"/>
                <w:sz w:val="21"/>
                <w:szCs w:val="21"/>
                <w:b w:val="1"/>
                <w:bCs w:val="1"/>
                <w:color w:val="auto"/>
                <w:vertAlign w:val="superscript"/>
              </w:rPr>
              <w:t>(1)</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98"/>
              </w:rPr>
              <w:t>Total Change</w:t>
            </w:r>
          </w:p>
        </w:tc>
        <w:tc>
          <w:tcPr>
            <w:tcW w:w="0" w:type="dxa"/>
            <w:vAlign w:val="bottom"/>
          </w:tcPr>
          <w:p>
            <w:pPr>
              <w:spacing w:after="0"/>
              <w:rPr>
                <w:sz w:val="1"/>
                <w:szCs w:val="1"/>
                <w:color w:val="auto"/>
              </w:rPr>
            </w:pPr>
          </w:p>
        </w:tc>
      </w:tr>
      <w:tr>
        <w:trPr>
          <w:trHeight w:val="231"/>
        </w:trPr>
        <w:tc>
          <w:tcPr>
            <w:tcW w:w="3100" w:type="dxa"/>
            <w:vAlign w:val="bottom"/>
            <w:gridSpan w:val="2"/>
          </w:tcPr>
          <w:p>
            <w:pPr>
              <w:ind w:left="40"/>
              <w:spacing w:after="0"/>
              <w:rPr>
                <w:sz w:val="20"/>
                <w:szCs w:val="20"/>
                <w:color w:val="auto"/>
              </w:rPr>
            </w:pPr>
            <w:r>
              <w:rPr>
                <w:rFonts w:ascii="Arial" w:cs="Arial" w:eastAsia="Arial" w:hAnsi="Arial"/>
                <w:sz w:val="16"/>
                <w:szCs w:val="16"/>
                <w:b w:val="1"/>
                <w:bCs w:val="1"/>
                <w:i w:val="1"/>
                <w:iCs w:val="1"/>
                <w:color w:val="auto"/>
              </w:rPr>
              <w:t>Total Company</w:t>
            </w:r>
          </w:p>
        </w:tc>
        <w:tc>
          <w:tcPr>
            <w:tcW w:w="10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2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20" w:type="dxa"/>
            <w:vAlign w:val="bottom"/>
            <w:tcBorders>
              <w:bottom w:val="single" w:sz="8" w:color="CCEEFF"/>
            </w:tcBorders>
            <w:shd w:val="clear" w:color="auto" w:fill="CCEEFF"/>
          </w:tcPr>
          <w:p>
            <w:pPr>
              <w:spacing w:after="0"/>
              <w:rPr>
                <w:sz w:val="21"/>
                <w:szCs w:val="21"/>
                <w:color w:val="auto"/>
              </w:rPr>
            </w:pPr>
          </w:p>
        </w:tc>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Sales, general and administrative</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92,715</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154,414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(4,502)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(57,197)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(61,699)</w:t>
            </w:r>
          </w:p>
        </w:tc>
        <w:tc>
          <w:tcPr>
            <w:tcW w:w="0" w:type="dxa"/>
            <w:vAlign w:val="bottom"/>
          </w:tcPr>
          <w:p>
            <w:pPr>
              <w:spacing w:after="0"/>
              <w:rPr>
                <w:sz w:val="1"/>
                <w:szCs w:val="1"/>
                <w:color w:val="auto"/>
              </w:rPr>
            </w:pPr>
          </w:p>
        </w:tc>
      </w:tr>
      <w:tr>
        <w:trPr>
          <w:trHeight w:val="237"/>
        </w:trPr>
        <w:tc>
          <w:tcPr>
            <w:tcW w:w="120" w:type="dxa"/>
            <w:vAlign w:val="bottom"/>
          </w:tcPr>
          <w:p>
            <w:pPr>
              <w:spacing w:after="0"/>
              <w:rPr>
                <w:sz w:val="20"/>
                <w:szCs w:val="20"/>
                <w:color w:val="auto"/>
              </w:rPr>
            </w:pPr>
          </w:p>
        </w:tc>
        <w:tc>
          <w:tcPr>
            <w:tcW w:w="2980" w:type="dxa"/>
            <w:vAlign w:val="bottom"/>
          </w:tcPr>
          <w:p>
            <w:pPr>
              <w:ind w:left="40"/>
              <w:spacing w:after="0"/>
              <w:rPr>
                <w:sz w:val="20"/>
                <w:szCs w:val="20"/>
                <w:color w:val="auto"/>
              </w:rPr>
            </w:pPr>
            <w:r>
              <w:rPr>
                <w:rFonts w:ascii="Arial" w:cs="Arial" w:eastAsia="Arial" w:hAnsi="Arial"/>
                <w:sz w:val="16"/>
                <w:szCs w:val="16"/>
                <w:color w:val="auto"/>
              </w:rPr>
              <w:t>Research and development</w:t>
            </w:r>
          </w:p>
        </w:tc>
        <w:tc>
          <w:tcPr>
            <w:tcW w:w="10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50,490</w:t>
            </w: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60,284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(696)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(9,098)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(9,794)</w:t>
            </w:r>
          </w:p>
        </w:tc>
        <w:tc>
          <w:tcPr>
            <w:tcW w:w="0" w:type="dxa"/>
            <w:vAlign w:val="bottom"/>
          </w:tcPr>
          <w:p>
            <w:pPr>
              <w:spacing w:after="0"/>
              <w:rPr>
                <w:sz w:val="1"/>
                <w:szCs w:val="1"/>
                <w:color w:val="auto"/>
              </w:rPr>
            </w:pPr>
          </w:p>
        </w:tc>
      </w:tr>
      <w:tr>
        <w:trPr>
          <w:trHeight w:val="33"/>
        </w:trPr>
        <w:tc>
          <w:tcPr>
            <w:tcW w:w="1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20" w:type="dxa"/>
            <w:vAlign w:val="bottom"/>
            <w:tcBorders>
              <w:bottom w:val="single" w:sz="8" w:color="CCEEFF"/>
            </w:tcBorders>
            <w:shd w:val="clear" w:color="auto" w:fill="CCEEFF"/>
          </w:tcPr>
          <w:p>
            <w:pPr>
              <w:spacing w:after="0"/>
              <w:rPr>
                <w:sz w:val="21"/>
                <w:szCs w:val="21"/>
                <w:color w:val="auto"/>
              </w:rPr>
            </w:pPr>
          </w:p>
        </w:tc>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Amortization of intangible assets</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15,973</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17,740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(1,767)</w:t>
            </w:r>
          </w:p>
        </w:tc>
        <w:tc>
          <w:tcPr>
            <w:tcW w:w="0" w:type="dxa"/>
            <w:vAlign w:val="bottom"/>
          </w:tcPr>
          <w:p>
            <w:pPr>
              <w:spacing w:after="0"/>
              <w:rPr>
                <w:sz w:val="1"/>
                <w:szCs w:val="1"/>
                <w:color w:val="auto"/>
              </w:rPr>
            </w:pPr>
          </w:p>
        </w:tc>
      </w:tr>
      <w:tr>
        <w:trPr>
          <w:trHeight w:val="237"/>
        </w:trPr>
        <w:tc>
          <w:tcPr>
            <w:tcW w:w="120" w:type="dxa"/>
            <w:vAlign w:val="bottom"/>
          </w:tcPr>
          <w:p>
            <w:pPr>
              <w:spacing w:after="0"/>
              <w:rPr>
                <w:sz w:val="20"/>
                <w:szCs w:val="20"/>
                <w:color w:val="auto"/>
              </w:rPr>
            </w:pPr>
          </w:p>
        </w:tc>
        <w:tc>
          <w:tcPr>
            <w:tcW w:w="2980" w:type="dxa"/>
            <w:vAlign w:val="bottom"/>
          </w:tcPr>
          <w:p>
            <w:pPr>
              <w:ind w:left="40"/>
              <w:spacing w:after="0"/>
              <w:rPr>
                <w:sz w:val="20"/>
                <w:szCs w:val="20"/>
                <w:color w:val="auto"/>
              </w:rPr>
            </w:pPr>
            <w:r>
              <w:rPr>
                <w:rFonts w:ascii="Arial" w:cs="Arial" w:eastAsia="Arial" w:hAnsi="Arial"/>
                <w:sz w:val="16"/>
                <w:szCs w:val="16"/>
                <w:color w:val="auto"/>
              </w:rPr>
              <w:t>Restructuring</w:t>
            </w:r>
          </w:p>
        </w:tc>
        <w:tc>
          <w:tcPr>
            <w:tcW w:w="10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7,262</w:t>
            </w: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87,865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(7,362)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(73,241)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(80,603)</w:t>
            </w:r>
          </w:p>
        </w:tc>
        <w:tc>
          <w:tcPr>
            <w:tcW w:w="0" w:type="dxa"/>
            <w:vAlign w:val="bottom"/>
          </w:tcPr>
          <w:p>
            <w:pPr>
              <w:spacing w:after="0"/>
              <w:rPr>
                <w:sz w:val="1"/>
                <w:szCs w:val="1"/>
                <w:color w:val="auto"/>
              </w:rPr>
            </w:pPr>
          </w:p>
        </w:tc>
      </w:tr>
      <w:tr>
        <w:trPr>
          <w:trHeight w:val="33"/>
        </w:trPr>
        <w:tc>
          <w:tcPr>
            <w:tcW w:w="120" w:type="dxa"/>
            <w:vAlign w:val="bottom"/>
            <w:tcBorders>
              <w:bottom w:val="single" w:sz="8" w:color="CCEEFF"/>
            </w:tcBorders>
          </w:tcPr>
          <w:p>
            <w:pPr>
              <w:spacing w:after="0"/>
              <w:rPr>
                <w:sz w:val="2"/>
                <w:szCs w:val="2"/>
                <w:color w:val="auto"/>
              </w:rPr>
            </w:pPr>
          </w:p>
        </w:tc>
        <w:tc>
          <w:tcPr>
            <w:tcW w:w="29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120" w:type="dxa"/>
            <w:vAlign w:val="bottom"/>
            <w:tcBorders>
              <w:bottom w:val="single" w:sz="8" w:color="CCEEFF"/>
            </w:tcBorders>
            <w:shd w:val="clear" w:color="auto" w:fill="CCEEFF"/>
          </w:tcPr>
          <w:p>
            <w:pPr>
              <w:spacing w:after="0"/>
              <w:rPr>
                <w:sz w:val="21"/>
                <w:szCs w:val="21"/>
                <w:color w:val="auto"/>
              </w:rPr>
            </w:pPr>
          </w:p>
        </w:tc>
        <w:tc>
          <w:tcPr>
            <w:tcW w:w="2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Operating expenses</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166,440</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320,303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(12,815)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(141,048)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(153,863)</w:t>
            </w:r>
          </w:p>
        </w:tc>
        <w:tc>
          <w:tcPr>
            <w:tcW w:w="0" w:type="dxa"/>
            <w:vAlign w:val="bottom"/>
          </w:tcPr>
          <w:p>
            <w:pPr>
              <w:spacing w:after="0"/>
              <w:rPr>
                <w:sz w:val="1"/>
                <w:szCs w:val="1"/>
                <w:color w:val="auto"/>
              </w:rPr>
            </w:pPr>
          </w:p>
        </w:tc>
      </w:tr>
      <w:tr>
        <w:trPr>
          <w:trHeight w:val="20"/>
        </w:trPr>
        <w:tc>
          <w:tcPr>
            <w:tcW w:w="120" w:type="dxa"/>
            <w:vAlign w:val="bottom"/>
            <w:tcBorders>
              <w:top w:val="single" w:sz="8" w:color="CCEEFF"/>
            </w:tcBorders>
          </w:tcPr>
          <w:p>
            <w:pPr>
              <w:spacing w:after="0" w:line="20" w:lineRule="exact"/>
              <w:rPr>
                <w:sz w:val="1"/>
                <w:szCs w:val="1"/>
                <w:color w:val="auto"/>
              </w:rPr>
            </w:pPr>
          </w:p>
        </w:tc>
        <w:tc>
          <w:tcPr>
            <w:tcW w:w="29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340" w:hanging="332"/>
        <w:spacing w:after="0" w:line="217" w:lineRule="auto"/>
        <w:tabs>
          <w:tab w:leader="none" w:pos="340" w:val="left"/>
        </w:tabs>
        <w:numPr>
          <w:ilvl w:val="0"/>
          <w:numId w:val="9"/>
        </w:numPr>
        <w:rPr>
          <w:rFonts w:ascii="Arial" w:cs="Arial" w:eastAsia="Arial" w:hAnsi="Arial"/>
          <w:sz w:val="22"/>
          <w:szCs w:val="22"/>
          <w:color w:val="auto"/>
          <w:vertAlign w:val="superscript"/>
        </w:rPr>
      </w:pPr>
      <w:r>
        <w:rPr>
          <w:rFonts w:ascii="Arial" w:cs="Arial" w:eastAsia="Arial" w:hAnsi="Arial"/>
          <w:sz w:val="16"/>
          <w:szCs w:val="16"/>
          <w:color w:val="auto"/>
        </w:rPr>
        <w:t>Constant currency change is a non-GAAP financial measure and represents the total change between periods excluding the effect of changes in foreign currency exchange rates.</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expenses decreased $153.9 million for the three months ended March 31, 2019 as compared with the same period in 2018. This was primarily due to the decrease of $80.6 million in restructuring expense and the $61.7 million decrease in sales, general, and administrative expenses due to benefits from restructuring and integration initiatives. Acquisition and integration costs, which are classified within sales, general and administrative expenses, decreased by $51.1 million from the first quarter of 2018.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components of other income (expense):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80" w:type="dxa"/>
            <w:vAlign w:val="bottom"/>
            <w:gridSpan w:val="4"/>
          </w:tcPr>
          <w:p>
            <w:pPr>
              <w:jc w:val="right"/>
              <w:ind w:right="439"/>
              <w:spacing w:after="0"/>
              <w:rPr>
                <w:sz w:val="20"/>
                <w:szCs w:val="20"/>
                <w:color w:val="auto"/>
              </w:rPr>
            </w:pPr>
            <w:r>
              <w:rPr>
                <w:rFonts w:ascii="Arial" w:cs="Arial" w:eastAsia="Arial" w:hAnsi="Arial"/>
                <w:sz w:val="16"/>
                <w:szCs w:val="16"/>
                <w:b w:val="1"/>
                <w:bCs w:val="1"/>
                <w:color w:val="auto"/>
              </w:rPr>
              <w:t>Three Months Ended March 31,</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33"/>
        </w:trPr>
        <w:tc>
          <w:tcPr>
            <w:tcW w:w="7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1"/>
        </w:trPr>
        <w:tc>
          <w:tcPr>
            <w:tcW w:w="7080" w:type="dxa"/>
            <w:vAlign w:val="bottom"/>
          </w:tcPr>
          <w:p>
            <w:pPr>
              <w:ind w:left="40"/>
              <w:spacing w:after="0"/>
              <w:rPr>
                <w:sz w:val="20"/>
                <w:szCs w:val="20"/>
                <w:color w:val="auto"/>
              </w:rPr>
            </w:pPr>
            <w:r>
              <w:rPr>
                <w:rFonts w:ascii="Arial" w:cs="Arial" w:eastAsia="Arial" w:hAnsi="Arial"/>
                <w:sz w:val="16"/>
                <w:szCs w:val="16"/>
                <w:i w:val="1"/>
                <w:iCs w:val="1"/>
                <w:color w:val="auto"/>
              </w:rPr>
              <w:t>In thousands</w:t>
            </w:r>
          </w:p>
        </w:tc>
        <w:tc>
          <w:tcPr>
            <w:tcW w:w="340" w:type="dxa"/>
            <w:vAlign w:val="bottom"/>
          </w:tcPr>
          <w:p>
            <w:pPr>
              <w:spacing w:after="0"/>
              <w:rPr>
                <w:sz w:val="20"/>
                <w:szCs w:val="20"/>
                <w:color w:val="auto"/>
              </w:rPr>
            </w:pPr>
          </w:p>
        </w:tc>
        <w:tc>
          <w:tcPr>
            <w:tcW w:w="1280" w:type="dxa"/>
            <w:vAlign w:val="bottom"/>
          </w:tcPr>
          <w:p>
            <w:pPr>
              <w:jc w:val="right"/>
              <w:ind w:right="55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53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900" w:type="dxa"/>
            <w:vAlign w:val="bottom"/>
          </w:tcPr>
          <w:p>
            <w:pPr>
              <w:ind w:left="80"/>
              <w:spacing w:after="0"/>
              <w:rPr>
                <w:sz w:val="20"/>
                <w:szCs w:val="20"/>
                <w:color w:val="auto"/>
              </w:rPr>
            </w:pPr>
            <w:r>
              <w:rPr>
                <w:rFonts w:ascii="Arial" w:cs="Arial" w:eastAsia="Arial" w:hAnsi="Arial"/>
                <w:sz w:val="16"/>
                <w:szCs w:val="16"/>
                <w:b w:val="1"/>
                <w:bCs w:val="1"/>
                <w:color w:val="auto"/>
              </w:rPr>
              <w:t>% Change</w:t>
            </w:r>
          </w:p>
        </w:tc>
      </w:tr>
      <w:tr>
        <w:trPr>
          <w:trHeight w:val="33"/>
        </w:trPr>
        <w:tc>
          <w:tcPr>
            <w:tcW w:w="7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income</w:t>
            </w: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328</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661</w:t>
            </w:r>
          </w:p>
        </w:tc>
        <w:tc>
          <w:tcPr>
            <w:tcW w:w="1020" w:type="dxa"/>
            <w:vAlign w:val="bottom"/>
            <w:tcBorders>
              <w:bottom w:val="single" w:sz="8" w:color="CCEEFF"/>
            </w:tcBorders>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8"/>
              </w:rPr>
              <w:t>(50)%</w:t>
            </w:r>
          </w:p>
        </w:tc>
      </w:tr>
      <w:tr>
        <w:trPr>
          <w:trHeight w:val="237"/>
        </w:trPr>
        <w:tc>
          <w:tcPr>
            <w:tcW w:w="708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3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(12,335)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(12,113)</w:t>
            </w:r>
          </w:p>
        </w:tc>
        <w:tc>
          <w:tcPr>
            <w:tcW w:w="1020" w:type="dxa"/>
            <w:vAlign w:val="bottom"/>
            <w:gridSpan w:val="2"/>
          </w:tcPr>
          <w:p>
            <w:pPr>
              <w:jc w:val="center"/>
              <w:ind w:left="39"/>
              <w:spacing w:after="0"/>
              <w:rPr>
                <w:sz w:val="20"/>
                <w:szCs w:val="20"/>
                <w:color w:val="auto"/>
              </w:rPr>
            </w:pPr>
            <w:r>
              <w:rPr>
                <w:rFonts w:ascii="Arial" w:cs="Arial" w:eastAsia="Arial" w:hAnsi="Arial"/>
                <w:sz w:val="16"/>
                <w:szCs w:val="16"/>
                <w:color w:val="auto"/>
                <w:w w:val="94"/>
              </w:rPr>
              <w:t>2%</w:t>
            </w:r>
          </w:p>
        </w:tc>
      </w:tr>
      <w:tr>
        <w:trPr>
          <w:trHeight w:val="33"/>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Amortization of prepaid debt fees</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(3,391)</w:t>
            </w:r>
          </w:p>
        </w:tc>
        <w:tc>
          <w:tcPr>
            <w:tcW w:w="1020" w:type="dxa"/>
            <w:vAlign w:val="bottom"/>
            <w:tcBorders>
              <w:bottom w:val="single" w:sz="8" w:color="CCEEFF"/>
            </w:tcBorders>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8"/>
              </w:rPr>
              <w:t>(65)%</w:t>
            </w:r>
          </w:p>
        </w:tc>
      </w:tr>
      <w:tr>
        <w:trPr>
          <w:trHeight w:val="237"/>
        </w:trPr>
        <w:tc>
          <w:tcPr>
            <w:tcW w:w="7080" w:type="dxa"/>
            <w:vAlign w:val="bottom"/>
          </w:tcPr>
          <w:p>
            <w:pPr>
              <w:ind w:left="40"/>
              <w:spacing w:after="0"/>
              <w:rPr>
                <w:sz w:val="20"/>
                <w:szCs w:val="20"/>
                <w:color w:val="auto"/>
              </w:rPr>
            </w:pPr>
            <w:r>
              <w:rPr>
                <w:rFonts w:ascii="Arial" w:cs="Arial" w:eastAsia="Arial" w:hAnsi="Arial"/>
                <w:sz w:val="16"/>
                <w:szCs w:val="16"/>
                <w:color w:val="auto"/>
              </w:rPr>
              <w:t>Other income (expense), net</w:t>
            </w:r>
          </w:p>
        </w:tc>
        <w:tc>
          <w:tcPr>
            <w:tcW w:w="3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(1,644)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(1,167)</w:t>
            </w:r>
          </w:p>
        </w:tc>
        <w:tc>
          <w:tcPr>
            <w:tcW w:w="1020" w:type="dxa"/>
            <w:vAlign w:val="bottom"/>
            <w:gridSpan w:val="2"/>
          </w:tcPr>
          <w:p>
            <w:pPr>
              <w:jc w:val="center"/>
              <w:ind w:left="39"/>
              <w:spacing w:after="0"/>
              <w:rPr>
                <w:sz w:val="20"/>
                <w:szCs w:val="20"/>
                <w:color w:val="auto"/>
              </w:rPr>
            </w:pPr>
            <w:r>
              <w:rPr>
                <w:rFonts w:ascii="Arial" w:cs="Arial" w:eastAsia="Arial" w:hAnsi="Arial"/>
                <w:sz w:val="16"/>
                <w:szCs w:val="16"/>
                <w:color w:val="auto"/>
                <w:w w:val="93"/>
              </w:rPr>
              <w:t>41%</w:t>
            </w:r>
          </w:p>
        </w:tc>
      </w:tr>
      <w:tr>
        <w:trPr>
          <w:trHeight w:val="33"/>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other income (expense)</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(14,851)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(16,010)</w:t>
            </w:r>
          </w:p>
        </w:tc>
        <w:tc>
          <w:tcPr>
            <w:tcW w:w="1020" w:type="dxa"/>
            <w:vAlign w:val="bottom"/>
            <w:tcBorders>
              <w:bottom w:val="single" w:sz="8" w:color="CCEEFF"/>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4"/>
              </w:rPr>
              <w:t>(7)%</w:t>
            </w: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other income (expense) for the three months ended March 31, 2019 was a net expense of $14.9 million, compared with $16.0 million in the same period in 2018. This was primarily due to the lower amortization of prepaid debt fees in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Provision</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For the three months ended March 31, 2019, our income tax expense was $6.1 million compared with income tax benefit of $11.2 million for the same period in 2018. Our tax rate for the three months ended March 31, 2019 of 102% differed from the federal statutory rate of 21% due to the forecasted mix of earnings in domestic and international jurisdictions and losses experienced in jurisdictions with valuation allowances on deferred tax assets. Our tax rate for the three months ended March 31, 2018 of 7% differed from the federal statutory rate of 21% due to the forecasted mix of earnings in domestic and international jurisdictions, a benefit related to excess stock based compensation, and losses experienced in jurisdictions with valuation allowances on deferred tax assets.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Segment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a description of our operating segments, refer to Item 1: "Financial Statements (Unaudited) Note 15: Segment Information."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0" w:type="dxa"/>
            <w:vAlign w:val="bottom"/>
            <w:gridSpan w:val="6"/>
          </w:tcPr>
          <w:p>
            <w:pPr>
              <w:ind w:left="100"/>
              <w:spacing w:after="0"/>
              <w:rPr>
                <w:sz w:val="20"/>
                <w:szCs w:val="20"/>
                <w:color w:val="auto"/>
              </w:rPr>
            </w:pPr>
            <w:r>
              <w:rPr>
                <w:rFonts w:ascii="Arial" w:cs="Arial" w:eastAsia="Arial" w:hAnsi="Arial"/>
                <w:sz w:val="14"/>
                <w:szCs w:val="14"/>
                <w:b w:val="1"/>
                <w:bCs w:val="1"/>
                <w:color w:val="auto"/>
              </w:rPr>
              <w:t>Three Months Ended March 31,</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50"/>
        </w:trPr>
        <w:tc>
          <w:tcPr>
            <w:tcW w:w="674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 Change</w:t>
            </w:r>
          </w:p>
        </w:tc>
        <w:tc>
          <w:tcPr>
            <w:tcW w:w="900" w:type="dxa"/>
            <w:vAlign w:val="bottom"/>
          </w:tcPr>
          <w:p>
            <w:pPr>
              <w:spacing w:after="0"/>
              <w:rPr>
                <w:sz w:val="21"/>
                <w:szCs w:val="21"/>
                <w:color w:val="auto"/>
              </w:rPr>
            </w:pPr>
          </w:p>
        </w:tc>
      </w:tr>
      <w:tr>
        <w:trPr>
          <w:trHeight w:val="264"/>
        </w:trPr>
        <w:tc>
          <w:tcPr>
            <w:tcW w:w="6740" w:type="dxa"/>
            <w:vAlign w:val="bottom"/>
            <w:tcBorders>
              <w:top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Segment Revenues</w:t>
            </w:r>
          </w:p>
        </w:tc>
        <w:tc>
          <w:tcPr>
            <w:tcW w:w="14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6"/>
        </w:trPr>
        <w:tc>
          <w:tcPr>
            <w:tcW w:w="6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Device Solutions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221,755</w:t>
            </w:r>
          </w:p>
        </w:tc>
        <w:tc>
          <w:tcPr>
            <w:tcW w:w="420" w:type="dxa"/>
            <w:vAlign w:val="bottom"/>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249,367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center"/>
              <w:ind w:right="48"/>
              <w:spacing w:after="0"/>
              <w:rPr>
                <w:sz w:val="20"/>
                <w:szCs w:val="20"/>
                <w:color w:val="auto"/>
              </w:rPr>
            </w:pPr>
            <w:r>
              <w:rPr>
                <w:rFonts w:ascii="Arial" w:cs="Arial" w:eastAsia="Arial" w:hAnsi="Arial"/>
                <w:sz w:val="14"/>
                <w:szCs w:val="14"/>
                <w:color w:val="auto"/>
                <w:w w:val="96"/>
              </w:rPr>
              <w:t>(11)%</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64"/>
        </w:trPr>
        <w:tc>
          <w:tcPr>
            <w:tcW w:w="6740" w:type="dxa"/>
            <w:vAlign w:val="bottom"/>
          </w:tcPr>
          <w:p>
            <w:pPr>
              <w:ind w:left="180"/>
              <w:spacing w:after="0"/>
              <w:rPr>
                <w:sz w:val="20"/>
                <w:szCs w:val="20"/>
                <w:color w:val="auto"/>
              </w:rPr>
            </w:pPr>
            <w:r>
              <w:rPr>
                <w:rFonts w:ascii="Arial" w:cs="Arial" w:eastAsia="Arial" w:hAnsi="Arial"/>
                <w:sz w:val="14"/>
                <w:szCs w:val="14"/>
                <w:color w:val="auto"/>
              </w:rPr>
              <w:t>Networked Solutions</w:t>
            </w:r>
          </w:p>
        </w:tc>
        <w:tc>
          <w:tcPr>
            <w:tcW w:w="1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336,427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302,338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center"/>
              <w:ind w:right="28"/>
              <w:spacing w:after="0"/>
              <w:rPr>
                <w:sz w:val="20"/>
                <w:szCs w:val="20"/>
                <w:color w:val="auto"/>
              </w:rPr>
            </w:pPr>
            <w:r>
              <w:rPr>
                <w:rFonts w:ascii="Arial" w:cs="Arial" w:eastAsia="Arial" w:hAnsi="Arial"/>
                <w:sz w:val="14"/>
                <w:szCs w:val="14"/>
                <w:color w:val="auto"/>
                <w:w w:val="92"/>
              </w:rPr>
              <w:t>11%</w:t>
            </w: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0"/>
        </w:trPr>
        <w:tc>
          <w:tcPr>
            <w:tcW w:w="6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Outcomes</w:t>
            </w:r>
          </w:p>
        </w:tc>
        <w:tc>
          <w:tcPr>
            <w:tcW w:w="1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56,394</w:t>
            </w:r>
          </w:p>
        </w:tc>
        <w:tc>
          <w:tcPr>
            <w:tcW w:w="100" w:type="dxa"/>
            <w:vAlign w:val="bottom"/>
            <w:tcBorders>
              <w:bottom w:val="single" w:sz="8" w:color="auto"/>
            </w:tcBorders>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55,516</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center"/>
              <w:ind w:right="28"/>
              <w:spacing w:after="0"/>
              <w:rPr>
                <w:sz w:val="20"/>
                <w:szCs w:val="20"/>
                <w:color w:val="auto"/>
              </w:rPr>
            </w:pPr>
            <w:r>
              <w:rPr>
                <w:rFonts w:ascii="Arial" w:cs="Arial" w:eastAsia="Arial" w:hAnsi="Arial"/>
                <w:sz w:val="14"/>
                <w:szCs w:val="14"/>
                <w:color w:val="auto"/>
                <w:w w:val="88"/>
              </w:rPr>
              <w:t>2%</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43"/>
        </w:trPr>
        <w:tc>
          <w:tcPr>
            <w:tcW w:w="6740" w:type="dxa"/>
            <w:vAlign w:val="bottom"/>
          </w:tcPr>
          <w:p>
            <w:pPr>
              <w:ind w:left="660"/>
              <w:spacing w:after="0"/>
              <w:rPr>
                <w:sz w:val="20"/>
                <w:szCs w:val="20"/>
                <w:color w:val="auto"/>
              </w:rPr>
            </w:pPr>
            <w:r>
              <w:rPr>
                <w:rFonts w:ascii="Arial" w:cs="Arial" w:eastAsia="Arial" w:hAnsi="Arial"/>
                <w:sz w:val="14"/>
                <w:szCs w:val="14"/>
                <w:color w:val="auto"/>
              </w:rPr>
              <w:t>Total revenues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614,576</w:t>
            </w:r>
          </w:p>
        </w:tc>
        <w:tc>
          <w:tcPr>
            <w:tcW w:w="10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607,221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center"/>
              <w:ind w:right="28"/>
              <w:spacing w:after="0"/>
              <w:rPr>
                <w:sz w:val="20"/>
                <w:szCs w:val="20"/>
                <w:color w:val="auto"/>
              </w:rPr>
            </w:pPr>
            <w:r>
              <w:rPr>
                <w:rFonts w:ascii="Arial" w:cs="Arial" w:eastAsia="Arial" w:hAnsi="Arial"/>
                <w:sz w:val="14"/>
                <w:szCs w:val="14"/>
                <w:color w:val="auto"/>
                <w:w w:val="88"/>
              </w:rPr>
              <w:t>1%</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0"/>
        </w:trPr>
        <w:tc>
          <w:tcPr>
            <w:tcW w:w="6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515"/>
        </w:trPr>
        <w:tc>
          <w:tcPr>
            <w:tcW w:w="67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6"/>
          </w:tcPr>
          <w:p>
            <w:pPr>
              <w:jc w:val="right"/>
              <w:ind w:right="440"/>
              <w:spacing w:after="0"/>
              <w:rPr>
                <w:sz w:val="20"/>
                <w:szCs w:val="20"/>
                <w:color w:val="auto"/>
              </w:rPr>
            </w:pPr>
            <w:r>
              <w:rPr>
                <w:rFonts w:ascii="Arial" w:cs="Arial" w:eastAsia="Arial" w:hAnsi="Arial"/>
                <w:sz w:val="14"/>
                <w:szCs w:val="14"/>
                <w:b w:val="1"/>
                <w:bCs w:val="1"/>
                <w:color w:val="auto"/>
                <w:w w:val="97"/>
              </w:rPr>
              <w:t>Three Months Ended March 31,</w:t>
            </w:r>
          </w:p>
        </w:tc>
        <w:tc>
          <w:tcPr>
            <w:tcW w:w="900" w:type="dxa"/>
            <w:vAlign w:val="bottom"/>
            <w:tcBorders>
              <w:bottom w:val="single" w:sz="8" w:color="auto"/>
            </w:tcBorders>
          </w:tcPr>
          <w:p>
            <w:pPr>
              <w:spacing w:after="0"/>
              <w:rPr>
                <w:sz w:val="24"/>
                <w:szCs w:val="24"/>
                <w:color w:val="auto"/>
              </w:rPr>
            </w:pPr>
          </w:p>
        </w:tc>
      </w:tr>
      <w:tr>
        <w:trPr>
          <w:trHeight w:val="264"/>
        </w:trPr>
        <w:tc>
          <w:tcPr>
            <w:tcW w:w="674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w w:val="96"/>
              </w:rPr>
              <w:t>2019</w:t>
            </w:r>
          </w:p>
        </w:tc>
        <w:tc>
          <w:tcPr>
            <w:tcW w:w="9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900" w:type="dxa"/>
            <w:vAlign w:val="bottom"/>
            <w:tcBorders>
              <w:bottom w:val="single" w:sz="8" w:color="auto"/>
            </w:tcBorders>
          </w:tcPr>
          <w:p>
            <w:pPr>
              <w:spacing w:after="0"/>
              <w:rPr>
                <w:sz w:val="22"/>
                <w:szCs w:val="22"/>
                <w:color w:val="auto"/>
              </w:rPr>
            </w:pPr>
          </w:p>
        </w:tc>
      </w:tr>
      <w:tr>
        <w:trPr>
          <w:trHeight w:val="156"/>
        </w:trPr>
        <w:tc>
          <w:tcPr>
            <w:tcW w:w="6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b w:val="1"/>
                <w:bCs w:val="1"/>
                <w:i w:val="1"/>
                <w:iCs w:val="1"/>
                <w:color w:val="auto"/>
                <w:w w:val="83"/>
              </w:rPr>
              <w:t>Gross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center"/>
              <w:ind w:right="280"/>
              <w:spacing w:after="0" w:line="157" w:lineRule="exact"/>
              <w:rPr>
                <w:sz w:val="20"/>
                <w:szCs w:val="20"/>
                <w:color w:val="auto"/>
              </w:rPr>
            </w:pPr>
            <w:r>
              <w:rPr>
                <w:rFonts w:ascii="Arial" w:cs="Arial" w:eastAsia="Arial" w:hAnsi="Arial"/>
                <w:sz w:val="14"/>
                <w:szCs w:val="14"/>
                <w:b w:val="1"/>
                <w:bCs w:val="1"/>
                <w:i w:val="1"/>
                <w:iCs w:val="1"/>
                <w:color w:val="auto"/>
                <w:w w:val="83"/>
              </w:rPr>
              <w:t>Gross</w:t>
            </w:r>
          </w:p>
        </w:tc>
        <w:tc>
          <w:tcPr>
            <w:tcW w:w="120" w:type="dxa"/>
            <w:vAlign w:val="bottom"/>
          </w:tcPr>
          <w:p>
            <w:pPr>
              <w:spacing w:after="0"/>
              <w:rPr>
                <w:sz w:val="13"/>
                <w:szCs w:val="13"/>
                <w:color w:val="auto"/>
              </w:rPr>
            </w:pPr>
          </w:p>
        </w:tc>
        <w:tc>
          <w:tcPr>
            <w:tcW w:w="1120" w:type="dxa"/>
            <w:vAlign w:val="bottom"/>
            <w:gridSpan w:val="2"/>
          </w:tcPr>
          <w:p>
            <w:pPr>
              <w:jc w:val="center"/>
              <w:ind w:right="220"/>
              <w:spacing w:after="0" w:line="157" w:lineRule="exact"/>
              <w:rPr>
                <w:sz w:val="20"/>
                <w:szCs w:val="20"/>
                <w:color w:val="auto"/>
              </w:rPr>
            </w:pPr>
            <w:r>
              <w:rPr>
                <w:rFonts w:ascii="Arial" w:cs="Arial" w:eastAsia="Arial" w:hAnsi="Arial"/>
                <w:sz w:val="14"/>
                <w:szCs w:val="14"/>
                <w:b w:val="1"/>
                <w:bCs w:val="1"/>
                <w:i w:val="1"/>
                <w:iCs w:val="1"/>
                <w:color w:val="auto"/>
                <w:w w:val="83"/>
              </w:rPr>
              <w:t>Gross</w:t>
            </w:r>
          </w:p>
        </w:tc>
        <w:tc>
          <w:tcPr>
            <w:tcW w:w="900" w:type="dxa"/>
            <w:vAlign w:val="bottom"/>
          </w:tcPr>
          <w:p>
            <w:pPr>
              <w:jc w:val="center"/>
              <w:spacing w:after="0" w:line="157" w:lineRule="exact"/>
              <w:rPr>
                <w:sz w:val="20"/>
                <w:szCs w:val="20"/>
                <w:color w:val="auto"/>
              </w:rPr>
            </w:pPr>
            <w:r>
              <w:rPr>
                <w:rFonts w:ascii="Arial" w:cs="Arial" w:eastAsia="Arial" w:hAnsi="Arial"/>
                <w:sz w:val="14"/>
                <w:szCs w:val="14"/>
                <w:b w:val="1"/>
                <w:bCs w:val="1"/>
                <w:i w:val="1"/>
                <w:iCs w:val="1"/>
                <w:color w:val="auto"/>
                <w:w w:val="83"/>
              </w:rPr>
              <w:t>Gross</w:t>
            </w:r>
          </w:p>
        </w:tc>
      </w:tr>
      <w:tr>
        <w:trPr>
          <w:trHeight w:val="188"/>
        </w:trPr>
        <w:tc>
          <w:tcPr>
            <w:tcW w:w="674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92"/>
              </w:rPr>
              <w:t>Profit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i w:val="1"/>
                <w:iCs w:val="1"/>
                <w:color w:val="auto"/>
                <w:w w:val="95"/>
              </w:rPr>
              <w:t>Margin</w:t>
            </w:r>
          </w:p>
        </w:tc>
        <w:tc>
          <w:tcPr>
            <w:tcW w:w="12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i w:val="1"/>
                <w:iCs w:val="1"/>
                <w:color w:val="auto"/>
                <w:w w:val="92"/>
              </w:rPr>
              <w:t>Profit</w:t>
            </w:r>
          </w:p>
        </w:tc>
        <w:tc>
          <w:tcPr>
            <w:tcW w:w="900" w:type="dxa"/>
            <w:vAlign w:val="bottom"/>
          </w:tcPr>
          <w:p>
            <w:pPr>
              <w:jc w:val="center"/>
              <w:spacing w:after="0"/>
              <w:rPr>
                <w:sz w:val="20"/>
                <w:szCs w:val="20"/>
                <w:color w:val="auto"/>
              </w:rPr>
            </w:pPr>
            <w:r>
              <w:rPr>
                <w:rFonts w:ascii="Arial" w:cs="Arial" w:eastAsia="Arial" w:hAnsi="Arial"/>
                <w:sz w:val="14"/>
                <w:szCs w:val="14"/>
                <w:b w:val="1"/>
                <w:bCs w:val="1"/>
                <w:i w:val="1"/>
                <w:iCs w:val="1"/>
                <w:color w:val="auto"/>
              </w:rPr>
              <w:t>Margin</w:t>
            </w:r>
          </w:p>
        </w:tc>
      </w:tr>
      <w:tr>
        <w:trPr>
          <w:trHeight w:val="264"/>
        </w:trPr>
        <w:tc>
          <w:tcPr>
            <w:tcW w:w="6740" w:type="dxa"/>
            <w:vAlign w:val="bottom"/>
            <w:tcBorders>
              <w:top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Segment Gross Profit and Margin</w:t>
            </w:r>
          </w:p>
        </w:tc>
        <w:tc>
          <w:tcPr>
            <w:tcW w:w="14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r>
      <w:tr>
        <w:trPr>
          <w:trHeight w:val="276"/>
        </w:trPr>
        <w:tc>
          <w:tcPr>
            <w:tcW w:w="6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Device Solutions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39,916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jc w:val="center"/>
              <w:ind w:right="108"/>
              <w:spacing w:after="0"/>
              <w:rPr>
                <w:sz w:val="20"/>
                <w:szCs w:val="20"/>
                <w:color w:val="auto"/>
              </w:rPr>
            </w:pPr>
            <w:r>
              <w:rPr>
                <w:rFonts w:ascii="Arial" w:cs="Arial" w:eastAsia="Arial" w:hAnsi="Arial"/>
                <w:sz w:val="14"/>
                <w:szCs w:val="14"/>
                <w:color w:val="auto"/>
                <w:w w:val="95"/>
              </w:rPr>
              <w:t>18.0%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53,604</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21.5%</w:t>
            </w:r>
          </w:p>
        </w:tc>
      </w:tr>
      <w:tr>
        <w:trPr>
          <w:trHeight w:val="264"/>
        </w:trPr>
        <w:tc>
          <w:tcPr>
            <w:tcW w:w="6740" w:type="dxa"/>
            <w:vAlign w:val="bottom"/>
          </w:tcPr>
          <w:p>
            <w:pPr>
              <w:ind w:left="180"/>
              <w:spacing w:after="0"/>
              <w:rPr>
                <w:sz w:val="20"/>
                <w:szCs w:val="20"/>
                <w:color w:val="auto"/>
              </w:rPr>
            </w:pPr>
            <w:r>
              <w:rPr>
                <w:rFonts w:ascii="Arial" w:cs="Arial" w:eastAsia="Arial" w:hAnsi="Arial"/>
                <w:sz w:val="14"/>
                <w:szCs w:val="14"/>
                <w:color w:val="auto"/>
              </w:rPr>
              <w:t>Networked Solutions</w:t>
            </w:r>
          </w:p>
        </w:tc>
        <w:tc>
          <w:tcPr>
            <w:tcW w:w="1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127,068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jc w:val="center"/>
              <w:ind w:right="108"/>
              <w:spacing w:after="0"/>
              <w:rPr>
                <w:sz w:val="20"/>
                <w:szCs w:val="20"/>
                <w:color w:val="auto"/>
              </w:rPr>
            </w:pPr>
            <w:r>
              <w:rPr>
                <w:rFonts w:ascii="Arial" w:cs="Arial" w:eastAsia="Arial" w:hAnsi="Arial"/>
                <w:sz w:val="14"/>
                <w:szCs w:val="14"/>
                <w:color w:val="auto"/>
                <w:w w:val="95"/>
              </w:rPr>
              <w:t>37.8%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114,241</w:t>
            </w:r>
          </w:p>
        </w:tc>
        <w:tc>
          <w:tcPr>
            <w:tcW w:w="12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5"/>
              </w:rPr>
              <w:t>37.8%</w:t>
            </w:r>
          </w:p>
        </w:tc>
      </w:tr>
      <w:tr>
        <w:trPr>
          <w:trHeight w:val="270"/>
        </w:trPr>
        <w:tc>
          <w:tcPr>
            <w:tcW w:w="6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Outcomes</w:t>
            </w:r>
          </w:p>
        </w:tc>
        <w:tc>
          <w:tcPr>
            <w:tcW w:w="1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20,279</w:t>
            </w:r>
          </w:p>
        </w:tc>
        <w:tc>
          <w:tcPr>
            <w:tcW w:w="100" w:type="dxa"/>
            <w:vAlign w:val="bottom"/>
            <w:tcBorders>
              <w:bottom w:val="single" w:sz="8" w:color="auto"/>
            </w:tcBorders>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jc w:val="center"/>
              <w:ind w:right="108"/>
              <w:spacing w:after="0"/>
              <w:rPr>
                <w:sz w:val="20"/>
                <w:szCs w:val="20"/>
                <w:color w:val="auto"/>
              </w:rPr>
            </w:pPr>
            <w:r>
              <w:rPr>
                <w:rFonts w:ascii="Arial" w:cs="Arial" w:eastAsia="Arial" w:hAnsi="Arial"/>
                <w:sz w:val="14"/>
                <w:szCs w:val="14"/>
                <w:color w:val="auto"/>
                <w:w w:val="95"/>
              </w:rPr>
              <w:t>36.0%</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12,010</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21.6%</w:t>
            </w:r>
          </w:p>
        </w:tc>
      </w:tr>
      <w:tr>
        <w:trPr>
          <w:trHeight w:val="243"/>
        </w:trPr>
        <w:tc>
          <w:tcPr>
            <w:tcW w:w="6740" w:type="dxa"/>
            <w:vAlign w:val="bottom"/>
          </w:tcPr>
          <w:p>
            <w:pPr>
              <w:ind w:left="660"/>
              <w:spacing w:after="0"/>
              <w:rPr>
                <w:sz w:val="20"/>
                <w:szCs w:val="20"/>
                <w:color w:val="auto"/>
              </w:rPr>
            </w:pPr>
            <w:r>
              <w:rPr>
                <w:rFonts w:ascii="Arial" w:cs="Arial" w:eastAsia="Arial" w:hAnsi="Arial"/>
                <w:sz w:val="14"/>
                <w:szCs w:val="14"/>
                <w:color w:val="auto"/>
              </w:rPr>
              <w:t>Total gross profit and margin</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187,263</w:t>
            </w:r>
          </w:p>
        </w:tc>
        <w:tc>
          <w:tcPr>
            <w:tcW w:w="10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center"/>
              <w:ind w:right="108"/>
              <w:spacing w:after="0"/>
              <w:rPr>
                <w:sz w:val="20"/>
                <w:szCs w:val="20"/>
                <w:color w:val="auto"/>
              </w:rPr>
            </w:pPr>
            <w:r>
              <w:rPr>
                <w:rFonts w:ascii="Arial" w:cs="Arial" w:eastAsia="Arial" w:hAnsi="Arial"/>
                <w:sz w:val="14"/>
                <w:szCs w:val="14"/>
                <w:color w:val="auto"/>
                <w:w w:val="95"/>
              </w:rPr>
              <w:t>30.5%</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179,855</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5"/>
              </w:rPr>
              <w:t>29.6%</w:t>
            </w:r>
          </w:p>
        </w:tc>
      </w:tr>
      <w:tr>
        <w:trPr>
          <w:trHeight w:val="20"/>
        </w:trPr>
        <w:tc>
          <w:tcPr>
            <w:tcW w:w="6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515"/>
        </w:trPr>
        <w:tc>
          <w:tcPr>
            <w:tcW w:w="6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0" w:type="dxa"/>
            <w:vAlign w:val="bottom"/>
            <w:gridSpan w:val="6"/>
          </w:tcPr>
          <w:p>
            <w:pPr>
              <w:ind w:left="100"/>
              <w:spacing w:after="0"/>
              <w:rPr>
                <w:sz w:val="20"/>
                <w:szCs w:val="20"/>
                <w:color w:val="auto"/>
              </w:rPr>
            </w:pPr>
            <w:r>
              <w:rPr>
                <w:rFonts w:ascii="Arial" w:cs="Arial" w:eastAsia="Arial" w:hAnsi="Arial"/>
                <w:sz w:val="14"/>
                <w:szCs w:val="14"/>
                <w:b w:val="1"/>
                <w:bCs w:val="1"/>
                <w:color w:val="auto"/>
              </w:rPr>
              <w:t>Three Months Ended March 31,</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50"/>
        </w:trPr>
        <w:tc>
          <w:tcPr>
            <w:tcW w:w="674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 Change</w:t>
            </w:r>
          </w:p>
        </w:tc>
        <w:tc>
          <w:tcPr>
            <w:tcW w:w="900" w:type="dxa"/>
            <w:vAlign w:val="bottom"/>
          </w:tcPr>
          <w:p>
            <w:pPr>
              <w:spacing w:after="0"/>
              <w:rPr>
                <w:sz w:val="21"/>
                <w:szCs w:val="21"/>
                <w:color w:val="auto"/>
              </w:rPr>
            </w:pPr>
          </w:p>
        </w:tc>
      </w:tr>
      <w:tr>
        <w:trPr>
          <w:trHeight w:val="264"/>
        </w:trPr>
        <w:tc>
          <w:tcPr>
            <w:tcW w:w="6740" w:type="dxa"/>
            <w:vAlign w:val="bottom"/>
            <w:tcBorders>
              <w:top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Segment Operating Expenses</w:t>
            </w:r>
          </w:p>
        </w:tc>
        <w:tc>
          <w:tcPr>
            <w:tcW w:w="14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6"/>
        </w:trPr>
        <w:tc>
          <w:tcPr>
            <w:tcW w:w="6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Device Solutions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14,459</w:t>
            </w:r>
          </w:p>
        </w:tc>
        <w:tc>
          <w:tcPr>
            <w:tcW w:w="420" w:type="dxa"/>
            <w:vAlign w:val="bottom"/>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15,412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center"/>
              <w:ind w:right="28"/>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64"/>
        </w:trPr>
        <w:tc>
          <w:tcPr>
            <w:tcW w:w="6740" w:type="dxa"/>
            <w:vAlign w:val="bottom"/>
          </w:tcPr>
          <w:p>
            <w:pPr>
              <w:ind w:left="180"/>
              <w:spacing w:after="0"/>
              <w:rPr>
                <w:sz w:val="20"/>
                <w:szCs w:val="20"/>
                <w:color w:val="auto"/>
              </w:rPr>
            </w:pPr>
            <w:r>
              <w:rPr>
                <w:rFonts w:ascii="Arial" w:cs="Arial" w:eastAsia="Arial" w:hAnsi="Arial"/>
                <w:sz w:val="14"/>
                <w:szCs w:val="14"/>
                <w:color w:val="auto"/>
              </w:rPr>
              <w:t>Networked Solutions</w:t>
            </w:r>
          </w:p>
        </w:tc>
        <w:tc>
          <w:tcPr>
            <w:tcW w:w="1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31,746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34,298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center"/>
              <w:ind w:right="2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6"/>
        </w:trPr>
        <w:tc>
          <w:tcPr>
            <w:tcW w:w="6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Outcomes</w:t>
            </w: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9,869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12,665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center"/>
              <w:ind w:right="48"/>
              <w:spacing w:after="0"/>
              <w:rPr>
                <w:sz w:val="20"/>
                <w:szCs w:val="20"/>
                <w:color w:val="auto"/>
              </w:rPr>
            </w:pPr>
            <w:r>
              <w:rPr>
                <w:rFonts w:ascii="Arial" w:cs="Arial" w:eastAsia="Arial" w:hAnsi="Arial"/>
                <w:sz w:val="14"/>
                <w:szCs w:val="14"/>
                <w:color w:val="auto"/>
                <w:w w:val="96"/>
              </w:rPr>
              <w:t>(22)%</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64"/>
        </w:trPr>
        <w:tc>
          <w:tcPr>
            <w:tcW w:w="67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Corporate unallocated</w:t>
            </w:r>
          </w:p>
        </w:tc>
        <w:tc>
          <w:tcPr>
            <w:tcW w:w="1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110,366</w:t>
            </w: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257,928</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0" w:type="dxa"/>
            <w:vAlign w:val="bottom"/>
            <w:tcBorders>
              <w:bottom w:val="single" w:sz="8" w:color="CCEEFF"/>
            </w:tcBorders>
          </w:tcPr>
          <w:p>
            <w:pPr>
              <w:jc w:val="center"/>
              <w:ind w:right="48"/>
              <w:spacing w:after="0"/>
              <w:rPr>
                <w:sz w:val="20"/>
                <w:szCs w:val="20"/>
                <w:color w:val="auto"/>
              </w:rPr>
            </w:pPr>
            <w:r>
              <w:rPr>
                <w:rFonts w:ascii="Arial" w:cs="Arial" w:eastAsia="Arial" w:hAnsi="Arial"/>
                <w:sz w:val="14"/>
                <w:szCs w:val="14"/>
                <w:color w:val="auto"/>
                <w:w w:val="96"/>
              </w:rPr>
              <w:t>(57)%</w:t>
            </w: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CCEEFF"/>
            </w:tcBorders>
          </w:tcPr>
          <w:p>
            <w:pPr>
              <w:spacing w:after="0"/>
              <w:rPr>
                <w:sz w:val="22"/>
                <w:szCs w:val="22"/>
                <w:color w:val="auto"/>
              </w:rPr>
            </w:pPr>
          </w:p>
        </w:tc>
      </w:tr>
      <w:tr>
        <w:trPr>
          <w:trHeight w:val="243"/>
        </w:trPr>
        <w:tc>
          <w:tcPr>
            <w:tcW w:w="6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4"/>
                <w:szCs w:val="14"/>
                <w:color w:val="auto"/>
              </w:rPr>
              <w:t>Total operating expenses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166,440</w:t>
            </w:r>
          </w:p>
        </w:tc>
        <w:tc>
          <w:tcPr>
            <w:tcW w:w="10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320,303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center"/>
              <w:ind w:right="48"/>
              <w:spacing w:after="0"/>
              <w:rPr>
                <w:sz w:val="20"/>
                <w:szCs w:val="20"/>
                <w:color w:val="auto"/>
              </w:rPr>
            </w:pPr>
            <w:r>
              <w:rPr>
                <w:rFonts w:ascii="Arial" w:cs="Arial" w:eastAsia="Arial" w:hAnsi="Arial"/>
                <w:sz w:val="14"/>
                <w:szCs w:val="14"/>
                <w:color w:val="auto"/>
                <w:w w:val="96"/>
              </w:rPr>
              <w:t>(48)%</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0"/>
        </w:trPr>
        <w:tc>
          <w:tcPr>
            <w:tcW w:w="6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515"/>
        </w:trPr>
        <w:tc>
          <w:tcPr>
            <w:tcW w:w="67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6"/>
          </w:tcPr>
          <w:p>
            <w:pPr>
              <w:jc w:val="right"/>
              <w:ind w:right="440"/>
              <w:spacing w:after="0"/>
              <w:rPr>
                <w:sz w:val="20"/>
                <w:szCs w:val="20"/>
                <w:color w:val="auto"/>
              </w:rPr>
            </w:pPr>
            <w:r>
              <w:rPr>
                <w:rFonts w:ascii="Arial" w:cs="Arial" w:eastAsia="Arial" w:hAnsi="Arial"/>
                <w:sz w:val="14"/>
                <w:szCs w:val="14"/>
                <w:b w:val="1"/>
                <w:bCs w:val="1"/>
                <w:color w:val="auto"/>
                <w:w w:val="97"/>
              </w:rPr>
              <w:t>Three Months Ended March 31,</w:t>
            </w:r>
          </w:p>
        </w:tc>
        <w:tc>
          <w:tcPr>
            <w:tcW w:w="900" w:type="dxa"/>
            <w:vAlign w:val="bottom"/>
            <w:tcBorders>
              <w:bottom w:val="single" w:sz="8" w:color="auto"/>
            </w:tcBorders>
          </w:tcPr>
          <w:p>
            <w:pPr>
              <w:spacing w:after="0"/>
              <w:rPr>
                <w:sz w:val="24"/>
                <w:szCs w:val="24"/>
                <w:color w:val="auto"/>
              </w:rPr>
            </w:pPr>
          </w:p>
        </w:tc>
      </w:tr>
      <w:tr>
        <w:trPr>
          <w:trHeight w:val="264"/>
        </w:trPr>
        <w:tc>
          <w:tcPr>
            <w:tcW w:w="674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w w:val="96"/>
              </w:rPr>
              <w:t>2019</w:t>
            </w:r>
          </w:p>
        </w:tc>
        <w:tc>
          <w:tcPr>
            <w:tcW w:w="9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900" w:type="dxa"/>
            <w:vAlign w:val="bottom"/>
            <w:tcBorders>
              <w:bottom w:val="single" w:sz="8" w:color="auto"/>
            </w:tcBorders>
          </w:tcPr>
          <w:p>
            <w:pPr>
              <w:spacing w:after="0"/>
              <w:rPr>
                <w:sz w:val="22"/>
                <w:szCs w:val="22"/>
                <w:color w:val="auto"/>
              </w:rPr>
            </w:pPr>
          </w:p>
        </w:tc>
      </w:tr>
      <w:tr>
        <w:trPr>
          <w:trHeight w:val="156"/>
        </w:trPr>
        <w:tc>
          <w:tcPr>
            <w:tcW w:w="6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b w:val="1"/>
                <w:bCs w:val="1"/>
                <w:i w:val="1"/>
                <w:iCs w:val="1"/>
                <w:color w:val="auto"/>
                <w:w w:val="90"/>
              </w:rPr>
              <w:t>Operating</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center"/>
              <w:ind w:right="300"/>
              <w:spacing w:after="0" w:line="157" w:lineRule="exact"/>
              <w:rPr>
                <w:sz w:val="20"/>
                <w:szCs w:val="20"/>
                <w:color w:val="auto"/>
              </w:rPr>
            </w:pPr>
            <w:r>
              <w:rPr>
                <w:rFonts w:ascii="Arial" w:cs="Arial" w:eastAsia="Arial" w:hAnsi="Arial"/>
                <w:sz w:val="14"/>
                <w:szCs w:val="14"/>
                <w:b w:val="1"/>
                <w:bCs w:val="1"/>
                <w:i w:val="1"/>
                <w:iCs w:val="1"/>
                <w:color w:val="auto"/>
                <w:w w:val="90"/>
              </w:rPr>
              <w:t>Operating</w:t>
            </w:r>
          </w:p>
        </w:tc>
        <w:tc>
          <w:tcPr>
            <w:tcW w:w="120" w:type="dxa"/>
            <w:vAlign w:val="bottom"/>
          </w:tcPr>
          <w:p>
            <w:pPr>
              <w:spacing w:after="0"/>
              <w:rPr>
                <w:sz w:val="13"/>
                <w:szCs w:val="13"/>
                <w:color w:val="auto"/>
              </w:rPr>
            </w:pPr>
          </w:p>
        </w:tc>
        <w:tc>
          <w:tcPr>
            <w:tcW w:w="1120" w:type="dxa"/>
            <w:vAlign w:val="bottom"/>
            <w:gridSpan w:val="2"/>
          </w:tcPr>
          <w:p>
            <w:pPr>
              <w:jc w:val="center"/>
              <w:ind w:right="240"/>
              <w:spacing w:after="0" w:line="157" w:lineRule="exact"/>
              <w:rPr>
                <w:sz w:val="20"/>
                <w:szCs w:val="20"/>
                <w:color w:val="auto"/>
              </w:rPr>
            </w:pPr>
            <w:r>
              <w:rPr>
                <w:rFonts w:ascii="Arial" w:cs="Arial" w:eastAsia="Arial" w:hAnsi="Arial"/>
                <w:sz w:val="14"/>
                <w:szCs w:val="14"/>
                <w:b w:val="1"/>
                <w:bCs w:val="1"/>
                <w:i w:val="1"/>
                <w:iCs w:val="1"/>
                <w:color w:val="auto"/>
                <w:w w:val="90"/>
              </w:rPr>
              <w:t>Operating</w:t>
            </w:r>
          </w:p>
        </w:tc>
        <w:tc>
          <w:tcPr>
            <w:tcW w:w="900" w:type="dxa"/>
            <w:vAlign w:val="bottom"/>
          </w:tcPr>
          <w:p>
            <w:pPr>
              <w:jc w:val="center"/>
              <w:spacing w:after="0" w:line="157" w:lineRule="exact"/>
              <w:rPr>
                <w:sz w:val="20"/>
                <w:szCs w:val="20"/>
                <w:color w:val="auto"/>
              </w:rPr>
            </w:pPr>
            <w:r>
              <w:rPr>
                <w:rFonts w:ascii="Arial" w:cs="Arial" w:eastAsia="Arial" w:hAnsi="Arial"/>
                <w:sz w:val="14"/>
                <w:szCs w:val="14"/>
                <w:b w:val="1"/>
                <w:bCs w:val="1"/>
                <w:i w:val="1"/>
                <w:iCs w:val="1"/>
                <w:color w:val="auto"/>
                <w:w w:val="90"/>
              </w:rPr>
              <w:t>Operating</w:t>
            </w:r>
          </w:p>
        </w:tc>
      </w:tr>
      <w:tr>
        <w:trPr>
          <w:trHeight w:val="188"/>
        </w:trPr>
        <w:tc>
          <w:tcPr>
            <w:tcW w:w="674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90"/>
              </w:rPr>
              <w:t>Income (Loss)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i w:val="1"/>
                <w:iCs w:val="1"/>
                <w:color w:val="auto"/>
                <w:w w:val="95"/>
              </w:rPr>
              <w:t>Margin</w:t>
            </w:r>
          </w:p>
        </w:tc>
        <w:tc>
          <w:tcPr>
            <w:tcW w:w="12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i w:val="1"/>
                <w:iCs w:val="1"/>
                <w:color w:val="auto"/>
                <w:w w:val="90"/>
              </w:rPr>
              <w:t>Income (Loss)</w:t>
            </w:r>
          </w:p>
        </w:tc>
        <w:tc>
          <w:tcPr>
            <w:tcW w:w="900" w:type="dxa"/>
            <w:vAlign w:val="bottom"/>
          </w:tcPr>
          <w:p>
            <w:pPr>
              <w:jc w:val="center"/>
              <w:spacing w:after="0"/>
              <w:rPr>
                <w:sz w:val="20"/>
                <w:szCs w:val="20"/>
                <w:color w:val="auto"/>
              </w:rPr>
            </w:pPr>
            <w:r>
              <w:rPr>
                <w:rFonts w:ascii="Arial" w:cs="Arial" w:eastAsia="Arial" w:hAnsi="Arial"/>
                <w:sz w:val="14"/>
                <w:szCs w:val="14"/>
                <w:b w:val="1"/>
                <w:bCs w:val="1"/>
                <w:i w:val="1"/>
                <w:iCs w:val="1"/>
                <w:color w:val="auto"/>
              </w:rPr>
              <w:t>Margin</w:t>
            </w:r>
          </w:p>
        </w:tc>
      </w:tr>
      <w:tr>
        <w:trPr>
          <w:trHeight w:val="264"/>
        </w:trPr>
        <w:tc>
          <w:tcPr>
            <w:tcW w:w="6740" w:type="dxa"/>
            <w:vAlign w:val="bottom"/>
            <w:tcBorders>
              <w:top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Segment Operating Income (Loss) and Operating Margin</w:t>
            </w:r>
          </w:p>
        </w:tc>
        <w:tc>
          <w:tcPr>
            <w:tcW w:w="14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r>
      <w:tr>
        <w:trPr>
          <w:trHeight w:val="276"/>
        </w:trPr>
        <w:tc>
          <w:tcPr>
            <w:tcW w:w="6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Device Solutions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25,457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jc w:val="center"/>
              <w:ind w:right="128"/>
              <w:spacing w:after="0"/>
              <w:rPr>
                <w:sz w:val="20"/>
                <w:szCs w:val="20"/>
                <w:color w:val="auto"/>
              </w:rPr>
            </w:pPr>
            <w:r>
              <w:rPr>
                <w:rFonts w:ascii="Arial" w:cs="Arial" w:eastAsia="Arial" w:hAnsi="Arial"/>
                <w:sz w:val="14"/>
                <w:szCs w:val="14"/>
                <w:color w:val="auto"/>
                <w:w w:val="90"/>
              </w:rPr>
              <w:t>11.5%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38,192</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15.3%</w:t>
            </w:r>
          </w:p>
        </w:tc>
      </w:tr>
      <w:tr>
        <w:trPr>
          <w:trHeight w:val="264"/>
        </w:trPr>
        <w:tc>
          <w:tcPr>
            <w:tcW w:w="6740" w:type="dxa"/>
            <w:vAlign w:val="bottom"/>
          </w:tcPr>
          <w:p>
            <w:pPr>
              <w:ind w:left="180"/>
              <w:spacing w:after="0"/>
              <w:rPr>
                <w:sz w:val="20"/>
                <w:szCs w:val="20"/>
                <w:color w:val="auto"/>
              </w:rPr>
            </w:pPr>
            <w:r>
              <w:rPr>
                <w:rFonts w:ascii="Arial" w:cs="Arial" w:eastAsia="Arial" w:hAnsi="Arial"/>
                <w:sz w:val="14"/>
                <w:szCs w:val="14"/>
                <w:color w:val="auto"/>
              </w:rPr>
              <w:t>Networked Solutions</w:t>
            </w:r>
          </w:p>
        </w:tc>
        <w:tc>
          <w:tcPr>
            <w:tcW w:w="1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95,322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jc w:val="center"/>
              <w:ind w:right="108"/>
              <w:spacing w:after="0"/>
              <w:rPr>
                <w:sz w:val="20"/>
                <w:szCs w:val="20"/>
                <w:color w:val="auto"/>
              </w:rPr>
            </w:pPr>
            <w:r>
              <w:rPr>
                <w:rFonts w:ascii="Arial" w:cs="Arial" w:eastAsia="Arial" w:hAnsi="Arial"/>
                <w:sz w:val="14"/>
                <w:szCs w:val="14"/>
                <w:color w:val="auto"/>
                <w:w w:val="95"/>
              </w:rPr>
              <w:t>28.3%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79,943</w:t>
            </w:r>
          </w:p>
        </w:tc>
        <w:tc>
          <w:tcPr>
            <w:tcW w:w="12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5"/>
              </w:rPr>
              <w:t>26.4%</w:t>
            </w:r>
          </w:p>
        </w:tc>
      </w:tr>
      <w:tr>
        <w:trPr>
          <w:trHeight w:val="276"/>
        </w:trPr>
        <w:tc>
          <w:tcPr>
            <w:tcW w:w="6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Outcomes</w:t>
            </w: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10,410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jc w:val="center"/>
              <w:ind w:right="108"/>
              <w:spacing w:after="0"/>
              <w:rPr>
                <w:sz w:val="20"/>
                <w:szCs w:val="20"/>
                <w:color w:val="auto"/>
              </w:rPr>
            </w:pPr>
            <w:r>
              <w:rPr>
                <w:rFonts w:ascii="Arial" w:cs="Arial" w:eastAsia="Arial" w:hAnsi="Arial"/>
                <w:sz w:val="14"/>
                <w:szCs w:val="14"/>
                <w:color w:val="auto"/>
                <w:w w:val="95"/>
              </w:rPr>
              <w:t>18.5%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(655)</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(1.2)%</w:t>
            </w:r>
          </w:p>
        </w:tc>
      </w:tr>
      <w:tr>
        <w:trPr>
          <w:trHeight w:val="264"/>
        </w:trPr>
        <w:tc>
          <w:tcPr>
            <w:tcW w:w="67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Corporate unallocated</w:t>
            </w: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(110,366)</w:t>
            </w:r>
          </w:p>
        </w:tc>
        <w:tc>
          <w:tcPr>
            <w:tcW w:w="14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960" w:type="dxa"/>
            <w:vAlign w:val="bottom"/>
            <w:tcBorders>
              <w:bottom w:val="single" w:sz="8" w:color="CCEEFF"/>
            </w:tcBorders>
          </w:tcPr>
          <w:p>
            <w:pPr>
              <w:jc w:val="center"/>
              <w:ind w:right="108"/>
              <w:spacing w:after="0"/>
              <w:rPr>
                <w:sz w:val="20"/>
                <w:szCs w:val="20"/>
                <w:color w:val="auto"/>
              </w:rPr>
            </w:pPr>
            <w:r>
              <w:rPr>
                <w:rFonts w:ascii="Arial" w:cs="Arial" w:eastAsia="Arial" w:hAnsi="Arial"/>
                <w:sz w:val="14"/>
                <w:szCs w:val="14"/>
                <w:color w:val="auto"/>
                <w:w w:val="93"/>
              </w:rPr>
              <w:t>(18.0)%</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(257,928)</w:t>
            </w: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3"/>
              </w:rPr>
              <w:t>(42.5)%</w:t>
            </w:r>
          </w:p>
        </w:tc>
      </w:tr>
      <w:tr>
        <w:trPr>
          <w:trHeight w:val="243"/>
        </w:trPr>
        <w:tc>
          <w:tcPr>
            <w:tcW w:w="67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4"/>
                <w:szCs w:val="14"/>
                <w:color w:val="auto"/>
              </w:rPr>
              <w:t>Total Company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20,823</w:t>
            </w:r>
          </w:p>
        </w:tc>
        <w:tc>
          <w:tcPr>
            <w:tcW w:w="10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center"/>
              <w:ind w:right="108"/>
              <w:spacing w:after="0"/>
              <w:rPr>
                <w:sz w:val="20"/>
                <w:szCs w:val="20"/>
                <w:color w:val="auto"/>
              </w:rPr>
            </w:pPr>
            <w:r>
              <w:rPr>
                <w:rFonts w:ascii="Arial" w:cs="Arial" w:eastAsia="Arial" w:hAnsi="Arial"/>
                <w:sz w:val="14"/>
                <w:szCs w:val="14"/>
                <w:color w:val="auto"/>
                <w:w w:val="93"/>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(140,448)</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3"/>
              </w:rPr>
              <w:t>(23.1)%</w:t>
            </w:r>
          </w:p>
        </w:tc>
      </w:tr>
      <w:tr>
        <w:trPr>
          <w:trHeight w:val="20"/>
        </w:trPr>
        <w:tc>
          <w:tcPr>
            <w:tcW w:w="6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Device Solutions: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effects of changes in foreign currency exchange rates and the constant currency changes in certain Device Solutions operating segment financial results were as follows: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00" w:type="dxa"/>
            <w:vAlign w:val="bottom"/>
          </w:tcPr>
          <w:p>
            <w:pPr>
              <w:spacing w:after="0"/>
              <w:rPr>
                <w:sz w:val="17"/>
                <w:szCs w:val="17"/>
                <w:color w:val="auto"/>
              </w:rPr>
            </w:pPr>
          </w:p>
        </w:tc>
        <w:tc>
          <w:tcPr>
            <w:tcW w:w="2920" w:type="dxa"/>
            <w:vAlign w:val="bottom"/>
            <w:gridSpan w:val="4"/>
            <w:vMerge w:val="restart"/>
          </w:tcPr>
          <w:p>
            <w:pPr>
              <w:ind w:left="700"/>
              <w:spacing w:after="0"/>
              <w:rPr>
                <w:sz w:val="20"/>
                <w:szCs w:val="20"/>
                <w:color w:val="auto"/>
              </w:rPr>
            </w:pPr>
            <w:r>
              <w:rPr>
                <w:rFonts w:ascii="Arial" w:cs="Arial" w:eastAsia="Arial" w:hAnsi="Arial"/>
                <w:sz w:val="16"/>
                <w:szCs w:val="16"/>
                <w:b w:val="1"/>
                <w:bCs w:val="1"/>
                <w:color w:val="auto"/>
                <w:w w:val="93"/>
              </w:rPr>
              <w:t>Three Months Ended March 31,</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0"/>
              </w:rPr>
              <w:t>Effect of Changes in</w:t>
            </w: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3100" w:type="dxa"/>
            <w:vAlign w:val="bottom"/>
          </w:tcPr>
          <w:p>
            <w:pPr>
              <w:spacing w:after="0"/>
              <w:rPr>
                <w:sz w:val="11"/>
                <w:szCs w:val="11"/>
                <w:color w:val="auto"/>
              </w:rPr>
            </w:pPr>
          </w:p>
        </w:tc>
        <w:tc>
          <w:tcPr>
            <w:tcW w:w="2920" w:type="dxa"/>
            <w:vAlign w:val="bottom"/>
            <w:gridSpan w:val="4"/>
            <w:vMerge w:val="continue"/>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80" w:type="dxa"/>
            <w:vAlign w:val="bottom"/>
            <w:gridSpan w:val="2"/>
            <w:vMerge w:val="restart"/>
          </w:tcPr>
          <w:p>
            <w:pPr>
              <w:jc w:val="center"/>
              <w:ind w:right="240"/>
              <w:spacing w:after="0" w:line="142" w:lineRule="exact"/>
              <w:rPr>
                <w:sz w:val="20"/>
                <w:szCs w:val="20"/>
                <w:color w:val="auto"/>
              </w:rPr>
            </w:pPr>
            <w:r>
              <w:rPr>
                <w:rFonts w:ascii="Arial" w:cs="Arial" w:eastAsia="Arial" w:hAnsi="Arial"/>
                <w:sz w:val="16"/>
                <w:szCs w:val="16"/>
                <w:b w:val="1"/>
                <w:bCs w:val="1"/>
                <w:color w:val="auto"/>
                <w:w w:val="92"/>
              </w:rPr>
              <w:t>Foreign Currency</w:t>
            </w:r>
          </w:p>
        </w:tc>
        <w:tc>
          <w:tcPr>
            <w:tcW w:w="1560" w:type="dxa"/>
            <w:vAlign w:val="bottom"/>
            <w:gridSpan w:val="3"/>
            <w:vMerge w:val="restart"/>
          </w:tcPr>
          <w:p>
            <w:pPr>
              <w:jc w:val="center"/>
              <w:ind w:right="100"/>
              <w:spacing w:after="0" w:line="142" w:lineRule="exact"/>
              <w:rPr>
                <w:sz w:val="20"/>
                <w:szCs w:val="20"/>
                <w:color w:val="auto"/>
              </w:rPr>
            </w:pPr>
            <w:r>
              <w:rPr>
                <w:rFonts w:ascii="Arial" w:cs="Arial" w:eastAsia="Arial" w:hAnsi="Arial"/>
                <w:sz w:val="16"/>
                <w:szCs w:val="16"/>
                <w:b w:val="1"/>
                <w:bCs w:val="1"/>
                <w:color w:val="auto"/>
                <w:w w:val="93"/>
              </w:rPr>
              <w:t>Constant Currency</w:t>
            </w:r>
          </w:p>
        </w:tc>
        <w:tc>
          <w:tcPr>
            <w:tcW w:w="1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gridSpan w:val="2"/>
            <w:vMerge w:val="continue"/>
          </w:tcPr>
          <w:p>
            <w:pPr>
              <w:spacing w:after="0"/>
              <w:rPr>
                <w:sz w:val="2"/>
                <w:szCs w:val="2"/>
                <w:color w:val="auto"/>
              </w:rPr>
            </w:pPr>
          </w:p>
        </w:tc>
        <w:tc>
          <w:tcPr>
            <w:tcW w:w="1560" w:type="dxa"/>
            <w:vAlign w:val="bottom"/>
            <w:gridSpan w:val="3"/>
            <w:vMerge w:val="continue"/>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100" w:type="dxa"/>
            <w:vAlign w:val="bottom"/>
          </w:tcPr>
          <w:p>
            <w:pPr>
              <w:ind w:left="160"/>
              <w:spacing w:after="0"/>
              <w:rPr>
                <w:sz w:val="20"/>
                <w:szCs w:val="20"/>
                <w:color w:val="auto"/>
              </w:rPr>
            </w:pPr>
            <w:r>
              <w:rPr>
                <w:rFonts w:ascii="Arial" w:cs="Arial" w:eastAsia="Arial" w:hAnsi="Arial"/>
                <w:sz w:val="16"/>
                <w:szCs w:val="16"/>
                <w:i w:val="1"/>
                <w:iCs w:val="1"/>
                <w:color w:val="auto"/>
              </w:rPr>
              <w:t>In thousands</w:t>
            </w:r>
          </w:p>
        </w:tc>
        <w:tc>
          <w:tcPr>
            <w:tcW w:w="1060" w:type="dxa"/>
            <w:vAlign w:val="bottom"/>
          </w:tcPr>
          <w:p>
            <w:pPr>
              <w:ind w:left="700"/>
              <w:spacing w:after="0"/>
              <w:rPr>
                <w:sz w:val="20"/>
                <w:szCs w:val="20"/>
                <w:color w:val="auto"/>
              </w:rPr>
            </w:pPr>
            <w:r>
              <w:rPr>
                <w:rFonts w:ascii="Arial" w:cs="Arial" w:eastAsia="Arial" w:hAnsi="Arial"/>
                <w:sz w:val="16"/>
                <w:szCs w:val="16"/>
                <w:b w:val="1"/>
                <w:bCs w:val="1"/>
                <w:color w:val="auto"/>
                <w:w w:val="95"/>
              </w:rPr>
              <w:t>2019</w:t>
            </w:r>
          </w:p>
        </w:tc>
        <w:tc>
          <w:tcPr>
            <w:tcW w:w="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Exchange Rates</w:t>
            </w:r>
          </w:p>
        </w:tc>
        <w:tc>
          <w:tcPr>
            <w:tcW w:w="240" w:type="dxa"/>
            <w:vAlign w:val="bottom"/>
          </w:tcPr>
          <w:p>
            <w:pPr>
              <w:spacing w:after="0"/>
              <w:rPr>
                <w:sz w:val="22"/>
                <w:szCs w:val="22"/>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7"/>
              </w:rPr>
              <w:t>Change</w:t>
            </w:r>
            <w:r>
              <w:rPr>
                <w:rFonts w:ascii="Arial" w:cs="Arial" w:eastAsia="Arial" w:hAnsi="Arial"/>
                <w:sz w:val="21"/>
                <w:szCs w:val="21"/>
                <w:b w:val="1"/>
                <w:bCs w:val="1"/>
                <w:color w:val="auto"/>
                <w:w w:val="87"/>
                <w:vertAlign w:val="superscript"/>
              </w:rPr>
              <w:t>(1)</w:t>
            </w:r>
          </w:p>
        </w:tc>
        <w:tc>
          <w:tcPr>
            <w:tcW w:w="180" w:type="dxa"/>
            <w:vAlign w:val="bottom"/>
          </w:tcPr>
          <w:p>
            <w:pPr>
              <w:spacing w:after="0"/>
              <w:rPr>
                <w:sz w:val="22"/>
                <w:szCs w:val="22"/>
                <w:color w:val="auto"/>
              </w:rPr>
            </w:pPr>
          </w:p>
        </w:tc>
        <w:tc>
          <w:tcPr>
            <w:tcW w:w="1280" w:type="dxa"/>
            <w:vAlign w:val="bottom"/>
          </w:tcPr>
          <w:p>
            <w:pPr>
              <w:jc w:val="right"/>
              <w:ind w:right="179"/>
              <w:spacing w:after="0"/>
              <w:rPr>
                <w:sz w:val="20"/>
                <w:szCs w:val="20"/>
                <w:color w:val="auto"/>
              </w:rPr>
            </w:pPr>
            <w:r>
              <w:rPr>
                <w:rFonts w:ascii="Arial" w:cs="Arial" w:eastAsia="Arial" w:hAnsi="Arial"/>
                <w:sz w:val="16"/>
                <w:szCs w:val="16"/>
                <w:b w:val="1"/>
                <w:bCs w:val="1"/>
                <w:color w:val="auto"/>
                <w:w w:val="98"/>
              </w:rPr>
              <w:t>Total Change</w:t>
            </w:r>
          </w:p>
        </w:tc>
        <w:tc>
          <w:tcPr>
            <w:tcW w:w="0" w:type="dxa"/>
            <w:vAlign w:val="bottom"/>
          </w:tcPr>
          <w:p>
            <w:pPr>
              <w:spacing w:after="0"/>
              <w:rPr>
                <w:sz w:val="1"/>
                <w:szCs w:val="1"/>
                <w:color w:val="auto"/>
              </w:rPr>
            </w:pPr>
          </w:p>
        </w:tc>
      </w:tr>
      <w:tr>
        <w:trPr>
          <w:trHeight w:val="231"/>
        </w:trPr>
        <w:tc>
          <w:tcPr>
            <w:tcW w:w="310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i w:val="1"/>
                <w:iCs w:val="1"/>
                <w:color w:val="auto"/>
              </w:rPr>
              <w:t>Device Solutions Segment</w:t>
            </w:r>
          </w:p>
        </w:tc>
        <w:tc>
          <w:tcPr>
            <w:tcW w:w="10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100" w:type="dxa"/>
            <w:vAlign w:val="bottom"/>
            <w:tcBorders>
              <w:bottom w:val="single" w:sz="8" w:color="auto"/>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Revenues</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221,755</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249,367</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(17,023)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(27,612)</w:t>
            </w:r>
          </w:p>
        </w:tc>
        <w:tc>
          <w:tcPr>
            <w:tcW w:w="0" w:type="dxa"/>
            <w:vAlign w:val="bottom"/>
          </w:tcPr>
          <w:p>
            <w:pPr>
              <w:spacing w:after="0"/>
              <w:rPr>
                <w:sz w:val="1"/>
                <w:szCs w:val="1"/>
                <w:color w:val="auto"/>
              </w:rPr>
            </w:pPr>
          </w:p>
        </w:tc>
      </w:tr>
      <w:tr>
        <w:trPr>
          <w:trHeight w:val="237"/>
        </w:trPr>
        <w:tc>
          <w:tcPr>
            <w:tcW w:w="3100" w:type="dxa"/>
            <w:vAlign w:val="bottom"/>
          </w:tcPr>
          <w:p>
            <w:pPr>
              <w:ind w:left="160"/>
              <w:spacing w:after="0"/>
              <w:rPr>
                <w:sz w:val="20"/>
                <w:szCs w:val="20"/>
                <w:color w:val="auto"/>
              </w:rPr>
            </w:pPr>
            <w:r>
              <w:rPr>
                <w:rFonts w:ascii="Arial" w:cs="Arial" w:eastAsia="Arial" w:hAnsi="Arial"/>
                <w:sz w:val="16"/>
                <w:szCs w:val="16"/>
                <w:color w:val="auto"/>
              </w:rPr>
              <w:t>Gross profit</w:t>
            </w:r>
          </w:p>
        </w:tc>
        <w:tc>
          <w:tcPr>
            <w:tcW w:w="10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39,916</w:t>
            </w: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53,604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(3,370)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(10,318)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(13,688)</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1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Operating expenses</w:t>
            </w:r>
          </w:p>
        </w:tc>
        <w:tc>
          <w:tcPr>
            <w:tcW w:w="106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14,459</w:t>
            </w: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15,412</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(953)</w:t>
            </w:r>
          </w:p>
        </w:tc>
        <w:tc>
          <w:tcPr>
            <w:tcW w:w="0" w:type="dxa"/>
            <w:vAlign w:val="bottom"/>
          </w:tcPr>
          <w:p>
            <w:pPr>
              <w:spacing w:after="0"/>
              <w:rPr>
                <w:sz w:val="1"/>
                <w:szCs w:val="1"/>
                <w:color w:val="auto"/>
              </w:rPr>
            </w:pPr>
          </w:p>
        </w:tc>
      </w:tr>
      <w:tr>
        <w:trPr>
          <w:trHeight w:val="33"/>
        </w:trPr>
        <w:tc>
          <w:tcPr>
            <w:tcW w:w="31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340" w:hanging="332"/>
        <w:spacing w:after="0" w:line="217" w:lineRule="auto"/>
        <w:tabs>
          <w:tab w:leader="none" w:pos="340" w:val="left"/>
        </w:tabs>
        <w:numPr>
          <w:ilvl w:val="0"/>
          <w:numId w:val="10"/>
        </w:numPr>
        <w:rPr>
          <w:rFonts w:ascii="Arial" w:cs="Arial" w:eastAsia="Arial" w:hAnsi="Arial"/>
          <w:sz w:val="22"/>
          <w:szCs w:val="22"/>
          <w:color w:val="auto"/>
          <w:vertAlign w:val="superscript"/>
        </w:rPr>
      </w:pPr>
      <w:r>
        <w:rPr>
          <w:rFonts w:ascii="Arial" w:cs="Arial" w:eastAsia="Arial" w:hAnsi="Arial"/>
          <w:sz w:val="16"/>
          <w:szCs w:val="16"/>
          <w:color w:val="auto"/>
        </w:rPr>
        <w:t>Constant currency change is a non-GAAP financial measure and represents the total change between periods excluding the effect of changes in foreign currency exchange rates.</w:t>
      </w:r>
    </w:p>
    <w:p>
      <w:pPr>
        <w:spacing w:after="0" w:line="19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 - Three months ended March 31, 2019 vs. Three months ended March 31, 2018</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Revenues decreased $27.6 million, or 11% for the three months ended March 31, 2019 compared with the same period in 2018. During the three months ended March 31, 2019, product revenue decreased due to reduced shipments for certain customer projects in Europe, Middle East, and Africa (EMEA). Changes in foreign currency exchange rates unfavorably impacted revenues by $17.0 million.</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Gross Margin - Three months ended March 31, 2019 vs. Three months ended March 31, 2018</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Gross margin was 18.0% for the three months ended March 31, 2019, compared with 21.5% for the same period in 2018. The 350 basis point decrease over the prior year was primarily the result of unfavorable product mix and increased component costs, partially offset by reduced warranty expense.</w:t>
      </w:r>
    </w:p>
    <w:p>
      <w:pPr>
        <w:spacing w:after="0" w:line="16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Expenses - Three months ended March 31, 2019 vs. Three months ended March 31, 2018</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Operating expenses decreased $1.0 million, or 6%, for the three months ended March 31, 2019, compared with the same period in 2018. The decrease was primarily a result of lower research and development expense, which offset higher product marketing expense.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Networked Solutions: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effects of changes in foreign currency exchange rates and the constant currency changes in certain Networked Solutions operating segment financial results were as follows: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00" w:type="dxa"/>
            <w:vAlign w:val="bottom"/>
          </w:tcPr>
          <w:p>
            <w:pPr>
              <w:spacing w:after="0"/>
              <w:rPr>
                <w:sz w:val="17"/>
                <w:szCs w:val="17"/>
                <w:color w:val="auto"/>
              </w:rPr>
            </w:pPr>
          </w:p>
        </w:tc>
        <w:tc>
          <w:tcPr>
            <w:tcW w:w="2920" w:type="dxa"/>
            <w:vAlign w:val="bottom"/>
            <w:gridSpan w:val="4"/>
            <w:vMerge w:val="restart"/>
          </w:tcPr>
          <w:p>
            <w:pPr>
              <w:ind w:left="700"/>
              <w:spacing w:after="0"/>
              <w:rPr>
                <w:sz w:val="20"/>
                <w:szCs w:val="20"/>
                <w:color w:val="auto"/>
              </w:rPr>
            </w:pPr>
            <w:r>
              <w:rPr>
                <w:rFonts w:ascii="Arial" w:cs="Arial" w:eastAsia="Arial" w:hAnsi="Arial"/>
                <w:sz w:val="16"/>
                <w:szCs w:val="16"/>
                <w:b w:val="1"/>
                <w:bCs w:val="1"/>
                <w:color w:val="auto"/>
                <w:w w:val="93"/>
              </w:rPr>
              <w:t>Three Months Ended March 31,</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0"/>
              </w:rPr>
              <w:t>Effect of Changes in</w:t>
            </w: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3100" w:type="dxa"/>
            <w:vAlign w:val="bottom"/>
          </w:tcPr>
          <w:p>
            <w:pPr>
              <w:spacing w:after="0"/>
              <w:rPr>
                <w:sz w:val="11"/>
                <w:szCs w:val="11"/>
                <w:color w:val="auto"/>
              </w:rPr>
            </w:pPr>
          </w:p>
        </w:tc>
        <w:tc>
          <w:tcPr>
            <w:tcW w:w="2920" w:type="dxa"/>
            <w:vAlign w:val="bottom"/>
            <w:gridSpan w:val="4"/>
            <w:vMerge w:val="continue"/>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80" w:type="dxa"/>
            <w:vAlign w:val="bottom"/>
            <w:gridSpan w:val="2"/>
            <w:vMerge w:val="restart"/>
          </w:tcPr>
          <w:p>
            <w:pPr>
              <w:jc w:val="center"/>
              <w:ind w:right="240"/>
              <w:spacing w:after="0" w:line="142" w:lineRule="exact"/>
              <w:rPr>
                <w:sz w:val="20"/>
                <w:szCs w:val="20"/>
                <w:color w:val="auto"/>
              </w:rPr>
            </w:pPr>
            <w:r>
              <w:rPr>
                <w:rFonts w:ascii="Arial" w:cs="Arial" w:eastAsia="Arial" w:hAnsi="Arial"/>
                <w:sz w:val="16"/>
                <w:szCs w:val="16"/>
                <w:b w:val="1"/>
                <w:bCs w:val="1"/>
                <w:color w:val="auto"/>
                <w:w w:val="92"/>
              </w:rPr>
              <w:t>Foreign Currency</w:t>
            </w:r>
          </w:p>
        </w:tc>
        <w:tc>
          <w:tcPr>
            <w:tcW w:w="1560" w:type="dxa"/>
            <w:vAlign w:val="bottom"/>
            <w:gridSpan w:val="3"/>
            <w:vMerge w:val="restart"/>
          </w:tcPr>
          <w:p>
            <w:pPr>
              <w:jc w:val="center"/>
              <w:ind w:right="100"/>
              <w:spacing w:after="0" w:line="142" w:lineRule="exact"/>
              <w:rPr>
                <w:sz w:val="20"/>
                <w:szCs w:val="20"/>
                <w:color w:val="auto"/>
              </w:rPr>
            </w:pPr>
            <w:r>
              <w:rPr>
                <w:rFonts w:ascii="Arial" w:cs="Arial" w:eastAsia="Arial" w:hAnsi="Arial"/>
                <w:sz w:val="16"/>
                <w:szCs w:val="16"/>
                <w:b w:val="1"/>
                <w:bCs w:val="1"/>
                <w:color w:val="auto"/>
                <w:w w:val="93"/>
              </w:rPr>
              <w:t>Constant Currency</w:t>
            </w:r>
          </w:p>
        </w:tc>
        <w:tc>
          <w:tcPr>
            <w:tcW w:w="1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gridSpan w:val="2"/>
            <w:vMerge w:val="continue"/>
          </w:tcPr>
          <w:p>
            <w:pPr>
              <w:spacing w:after="0"/>
              <w:rPr>
                <w:sz w:val="2"/>
                <w:szCs w:val="2"/>
                <w:color w:val="auto"/>
              </w:rPr>
            </w:pPr>
          </w:p>
        </w:tc>
        <w:tc>
          <w:tcPr>
            <w:tcW w:w="1560" w:type="dxa"/>
            <w:vAlign w:val="bottom"/>
            <w:gridSpan w:val="3"/>
            <w:vMerge w:val="continue"/>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100" w:type="dxa"/>
            <w:vAlign w:val="bottom"/>
          </w:tcPr>
          <w:p>
            <w:pPr>
              <w:ind w:left="160"/>
              <w:spacing w:after="0"/>
              <w:rPr>
                <w:sz w:val="20"/>
                <w:szCs w:val="20"/>
                <w:color w:val="auto"/>
              </w:rPr>
            </w:pPr>
            <w:r>
              <w:rPr>
                <w:rFonts w:ascii="Arial" w:cs="Arial" w:eastAsia="Arial" w:hAnsi="Arial"/>
                <w:sz w:val="16"/>
                <w:szCs w:val="16"/>
                <w:i w:val="1"/>
                <w:iCs w:val="1"/>
                <w:color w:val="auto"/>
              </w:rPr>
              <w:t>In thousands</w:t>
            </w:r>
          </w:p>
        </w:tc>
        <w:tc>
          <w:tcPr>
            <w:tcW w:w="1060" w:type="dxa"/>
            <w:vAlign w:val="bottom"/>
          </w:tcPr>
          <w:p>
            <w:pPr>
              <w:ind w:left="700"/>
              <w:spacing w:after="0"/>
              <w:rPr>
                <w:sz w:val="20"/>
                <w:szCs w:val="20"/>
                <w:color w:val="auto"/>
              </w:rPr>
            </w:pPr>
            <w:r>
              <w:rPr>
                <w:rFonts w:ascii="Arial" w:cs="Arial" w:eastAsia="Arial" w:hAnsi="Arial"/>
                <w:sz w:val="16"/>
                <w:szCs w:val="16"/>
                <w:b w:val="1"/>
                <w:bCs w:val="1"/>
                <w:color w:val="auto"/>
                <w:w w:val="95"/>
              </w:rPr>
              <w:t>2019</w:t>
            </w:r>
          </w:p>
        </w:tc>
        <w:tc>
          <w:tcPr>
            <w:tcW w:w="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Exchange Rates</w:t>
            </w:r>
          </w:p>
        </w:tc>
        <w:tc>
          <w:tcPr>
            <w:tcW w:w="240" w:type="dxa"/>
            <w:vAlign w:val="bottom"/>
          </w:tcPr>
          <w:p>
            <w:pPr>
              <w:spacing w:after="0"/>
              <w:rPr>
                <w:sz w:val="22"/>
                <w:szCs w:val="22"/>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7"/>
              </w:rPr>
              <w:t>Change</w:t>
            </w:r>
            <w:r>
              <w:rPr>
                <w:rFonts w:ascii="Arial" w:cs="Arial" w:eastAsia="Arial" w:hAnsi="Arial"/>
                <w:sz w:val="21"/>
                <w:szCs w:val="21"/>
                <w:b w:val="1"/>
                <w:bCs w:val="1"/>
                <w:color w:val="auto"/>
                <w:w w:val="87"/>
                <w:vertAlign w:val="superscript"/>
              </w:rPr>
              <w:t>(1)</w:t>
            </w:r>
          </w:p>
        </w:tc>
        <w:tc>
          <w:tcPr>
            <w:tcW w:w="180" w:type="dxa"/>
            <w:vAlign w:val="bottom"/>
          </w:tcPr>
          <w:p>
            <w:pPr>
              <w:spacing w:after="0"/>
              <w:rPr>
                <w:sz w:val="22"/>
                <w:szCs w:val="22"/>
                <w:color w:val="auto"/>
              </w:rPr>
            </w:pPr>
          </w:p>
        </w:tc>
        <w:tc>
          <w:tcPr>
            <w:tcW w:w="1280" w:type="dxa"/>
            <w:vAlign w:val="bottom"/>
          </w:tcPr>
          <w:p>
            <w:pPr>
              <w:jc w:val="right"/>
              <w:ind w:right="179"/>
              <w:spacing w:after="0"/>
              <w:rPr>
                <w:sz w:val="20"/>
                <w:szCs w:val="20"/>
                <w:color w:val="auto"/>
              </w:rPr>
            </w:pPr>
            <w:r>
              <w:rPr>
                <w:rFonts w:ascii="Arial" w:cs="Arial" w:eastAsia="Arial" w:hAnsi="Arial"/>
                <w:sz w:val="16"/>
                <w:szCs w:val="16"/>
                <w:b w:val="1"/>
                <w:bCs w:val="1"/>
                <w:color w:val="auto"/>
                <w:w w:val="98"/>
              </w:rPr>
              <w:t>Total Change</w:t>
            </w:r>
          </w:p>
        </w:tc>
        <w:tc>
          <w:tcPr>
            <w:tcW w:w="0" w:type="dxa"/>
            <w:vAlign w:val="bottom"/>
          </w:tcPr>
          <w:p>
            <w:pPr>
              <w:spacing w:after="0"/>
              <w:rPr>
                <w:sz w:val="1"/>
                <w:szCs w:val="1"/>
                <w:color w:val="auto"/>
              </w:rPr>
            </w:pPr>
          </w:p>
        </w:tc>
      </w:tr>
      <w:tr>
        <w:trPr>
          <w:trHeight w:val="231"/>
        </w:trPr>
        <w:tc>
          <w:tcPr>
            <w:tcW w:w="310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i w:val="1"/>
                <w:iCs w:val="1"/>
                <w:color w:val="auto"/>
              </w:rPr>
              <w:t>Networked Solutions Segment</w:t>
            </w:r>
          </w:p>
        </w:tc>
        <w:tc>
          <w:tcPr>
            <w:tcW w:w="10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100" w:type="dxa"/>
            <w:vAlign w:val="bottom"/>
            <w:tcBorders>
              <w:bottom w:val="single" w:sz="8" w:color="auto"/>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Revenues</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336,427</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302,338</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(3,638)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37,727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34,089</w:t>
            </w:r>
          </w:p>
        </w:tc>
        <w:tc>
          <w:tcPr>
            <w:tcW w:w="0" w:type="dxa"/>
            <w:vAlign w:val="bottom"/>
          </w:tcPr>
          <w:p>
            <w:pPr>
              <w:spacing w:after="0"/>
              <w:rPr>
                <w:sz w:val="1"/>
                <w:szCs w:val="1"/>
                <w:color w:val="auto"/>
              </w:rPr>
            </w:pPr>
          </w:p>
        </w:tc>
      </w:tr>
      <w:tr>
        <w:trPr>
          <w:trHeight w:val="237"/>
        </w:trPr>
        <w:tc>
          <w:tcPr>
            <w:tcW w:w="3100" w:type="dxa"/>
            <w:vAlign w:val="bottom"/>
          </w:tcPr>
          <w:p>
            <w:pPr>
              <w:ind w:left="160"/>
              <w:spacing w:after="0"/>
              <w:rPr>
                <w:sz w:val="20"/>
                <w:szCs w:val="20"/>
                <w:color w:val="auto"/>
              </w:rPr>
            </w:pPr>
            <w:r>
              <w:rPr>
                <w:rFonts w:ascii="Arial" w:cs="Arial" w:eastAsia="Arial" w:hAnsi="Arial"/>
                <w:sz w:val="16"/>
                <w:szCs w:val="16"/>
                <w:color w:val="auto"/>
              </w:rPr>
              <w:t>Gross profit</w:t>
            </w:r>
          </w:p>
        </w:tc>
        <w:tc>
          <w:tcPr>
            <w:tcW w:w="10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w w:val="89"/>
              </w:rPr>
              <w:t>127,068</w:t>
            </w: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w w:val="89"/>
              </w:rPr>
              <w:t>114,241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(1,107)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13,934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12,827</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1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Operating expenses</w:t>
            </w:r>
          </w:p>
        </w:tc>
        <w:tc>
          <w:tcPr>
            <w:tcW w:w="106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31,746</w:t>
            </w: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34,298</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(2,552)</w:t>
            </w:r>
          </w:p>
        </w:tc>
        <w:tc>
          <w:tcPr>
            <w:tcW w:w="0" w:type="dxa"/>
            <w:vAlign w:val="bottom"/>
          </w:tcPr>
          <w:p>
            <w:pPr>
              <w:spacing w:after="0"/>
              <w:rPr>
                <w:sz w:val="1"/>
                <w:szCs w:val="1"/>
                <w:color w:val="auto"/>
              </w:rPr>
            </w:pPr>
          </w:p>
        </w:tc>
      </w:tr>
      <w:tr>
        <w:trPr>
          <w:trHeight w:val="33"/>
        </w:trPr>
        <w:tc>
          <w:tcPr>
            <w:tcW w:w="31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340" w:hanging="332"/>
        <w:spacing w:after="0" w:line="217" w:lineRule="auto"/>
        <w:tabs>
          <w:tab w:leader="none" w:pos="340" w:val="left"/>
        </w:tabs>
        <w:numPr>
          <w:ilvl w:val="0"/>
          <w:numId w:val="11"/>
        </w:numPr>
        <w:rPr>
          <w:rFonts w:ascii="Arial" w:cs="Arial" w:eastAsia="Arial" w:hAnsi="Arial"/>
          <w:sz w:val="22"/>
          <w:szCs w:val="22"/>
          <w:color w:val="auto"/>
          <w:vertAlign w:val="superscript"/>
        </w:rPr>
      </w:pPr>
      <w:r>
        <w:rPr>
          <w:rFonts w:ascii="Arial" w:cs="Arial" w:eastAsia="Arial" w:hAnsi="Arial"/>
          <w:sz w:val="16"/>
          <w:szCs w:val="16"/>
          <w:color w:val="auto"/>
        </w:rPr>
        <w:t>Constant currency change is a non-GAAP financial measure and represents the total change between periods excluding the effect of changes in foreign currency exchange rates.</w:t>
      </w:r>
    </w:p>
    <w:p>
      <w:pPr>
        <w:spacing w:after="0" w:line="19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 - Three months ended March 31, 2019 vs. Three months ended March 31, 2018</w:t>
      </w:r>
    </w:p>
    <w:p>
      <w:pPr>
        <w:spacing w:after="0" w:line="23"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Revenues increased $34.1 million, or 11%, for the three months ended March 31, 2019 compared with the same period in 2018. This was primarily related to increased hardware and software sales offset by $3.6 million of unfavorable changes in foreign currency exchange rates.</w:t>
      </w:r>
    </w:p>
    <w:p>
      <w:pPr>
        <w:spacing w:after="0" w:line="18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Gross Margin - Three months ended March 31, 2019 vs. Three months ended March 31, 2018</w:t>
      </w:r>
    </w:p>
    <w:p>
      <w:pPr>
        <w:spacing w:after="0" w:line="23"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Gross margin was 37.8% for the three months ended March 31, 2019 and 2018. Increased margins for hardware and software sales were offset by increased services costs.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Expenses - Three months ended March 31, 2019 vs. Three months ended March 31, 2018</w:t>
      </w:r>
    </w:p>
    <w:p>
      <w:pPr>
        <w:spacing w:after="0" w:line="2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Operating expenses decreased $2.6 million, or 7%, for the three months ended March 31, 2019, compared with the same period in 2018, primarily related to lower research and development costs.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Outcomes: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effects of changes in foreign currency exchange rates and the constant currency changes in certain Outcomes operating segment financial results were as follows: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00" w:type="dxa"/>
            <w:vAlign w:val="bottom"/>
          </w:tcPr>
          <w:p>
            <w:pPr>
              <w:spacing w:after="0"/>
              <w:rPr>
                <w:sz w:val="17"/>
                <w:szCs w:val="17"/>
                <w:color w:val="auto"/>
              </w:rPr>
            </w:pPr>
          </w:p>
        </w:tc>
        <w:tc>
          <w:tcPr>
            <w:tcW w:w="2960" w:type="dxa"/>
            <w:vAlign w:val="bottom"/>
            <w:gridSpan w:val="4"/>
            <w:vMerge w:val="restart"/>
          </w:tcPr>
          <w:p>
            <w:pPr>
              <w:ind w:left="700"/>
              <w:spacing w:after="0"/>
              <w:rPr>
                <w:sz w:val="20"/>
                <w:szCs w:val="20"/>
                <w:color w:val="auto"/>
              </w:rPr>
            </w:pPr>
            <w:r>
              <w:rPr>
                <w:rFonts w:ascii="Arial" w:cs="Arial" w:eastAsia="Arial" w:hAnsi="Arial"/>
                <w:sz w:val="16"/>
                <w:szCs w:val="16"/>
                <w:b w:val="1"/>
                <w:bCs w:val="1"/>
                <w:color w:val="auto"/>
                <w:w w:val="94"/>
              </w:rPr>
              <w:t>Three Months Ended March 31,</w:t>
            </w: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0"/>
              </w:rPr>
              <w:t>Effect of Changes in</w:t>
            </w: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3100" w:type="dxa"/>
            <w:vAlign w:val="bottom"/>
          </w:tcPr>
          <w:p>
            <w:pPr>
              <w:spacing w:after="0"/>
              <w:rPr>
                <w:sz w:val="11"/>
                <w:szCs w:val="11"/>
                <w:color w:val="auto"/>
              </w:rPr>
            </w:pPr>
          </w:p>
        </w:tc>
        <w:tc>
          <w:tcPr>
            <w:tcW w:w="2960" w:type="dxa"/>
            <w:vAlign w:val="bottom"/>
            <w:gridSpan w:val="4"/>
            <w:vMerge w:val="continue"/>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80" w:type="dxa"/>
            <w:vAlign w:val="bottom"/>
            <w:gridSpan w:val="2"/>
            <w:vMerge w:val="restart"/>
          </w:tcPr>
          <w:p>
            <w:pPr>
              <w:jc w:val="center"/>
              <w:ind w:right="240"/>
              <w:spacing w:after="0" w:line="142" w:lineRule="exact"/>
              <w:rPr>
                <w:sz w:val="20"/>
                <w:szCs w:val="20"/>
                <w:color w:val="auto"/>
              </w:rPr>
            </w:pPr>
            <w:r>
              <w:rPr>
                <w:rFonts w:ascii="Arial" w:cs="Arial" w:eastAsia="Arial" w:hAnsi="Arial"/>
                <w:sz w:val="16"/>
                <w:szCs w:val="16"/>
                <w:b w:val="1"/>
                <w:bCs w:val="1"/>
                <w:color w:val="auto"/>
                <w:w w:val="92"/>
              </w:rPr>
              <w:t>Foreign Currency</w:t>
            </w:r>
          </w:p>
        </w:tc>
        <w:tc>
          <w:tcPr>
            <w:tcW w:w="1560" w:type="dxa"/>
            <w:vAlign w:val="bottom"/>
            <w:gridSpan w:val="3"/>
            <w:vMerge w:val="restart"/>
          </w:tcPr>
          <w:p>
            <w:pPr>
              <w:jc w:val="center"/>
              <w:ind w:right="100"/>
              <w:spacing w:after="0" w:line="142" w:lineRule="exact"/>
              <w:rPr>
                <w:sz w:val="20"/>
                <w:szCs w:val="20"/>
                <w:color w:val="auto"/>
              </w:rPr>
            </w:pPr>
            <w:r>
              <w:rPr>
                <w:rFonts w:ascii="Arial" w:cs="Arial" w:eastAsia="Arial" w:hAnsi="Arial"/>
                <w:sz w:val="16"/>
                <w:szCs w:val="16"/>
                <w:b w:val="1"/>
                <w:bCs w:val="1"/>
                <w:color w:val="auto"/>
                <w:w w:val="93"/>
              </w:rPr>
              <w:t>Constant Currency</w:t>
            </w:r>
          </w:p>
        </w:tc>
        <w:tc>
          <w:tcPr>
            <w:tcW w:w="1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gridSpan w:val="2"/>
            <w:vMerge w:val="continue"/>
          </w:tcPr>
          <w:p>
            <w:pPr>
              <w:spacing w:after="0"/>
              <w:rPr>
                <w:sz w:val="2"/>
                <w:szCs w:val="2"/>
                <w:color w:val="auto"/>
              </w:rPr>
            </w:pPr>
          </w:p>
        </w:tc>
        <w:tc>
          <w:tcPr>
            <w:tcW w:w="1560" w:type="dxa"/>
            <w:vAlign w:val="bottom"/>
            <w:gridSpan w:val="3"/>
            <w:vMerge w:val="continue"/>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100" w:type="dxa"/>
            <w:vAlign w:val="bottom"/>
          </w:tcPr>
          <w:p>
            <w:pPr>
              <w:ind w:left="160"/>
              <w:spacing w:after="0"/>
              <w:rPr>
                <w:sz w:val="20"/>
                <w:szCs w:val="20"/>
                <w:color w:val="auto"/>
              </w:rPr>
            </w:pPr>
            <w:r>
              <w:rPr>
                <w:rFonts w:ascii="Arial" w:cs="Arial" w:eastAsia="Arial" w:hAnsi="Arial"/>
                <w:sz w:val="16"/>
                <w:szCs w:val="16"/>
                <w:i w:val="1"/>
                <w:iCs w:val="1"/>
                <w:color w:val="auto"/>
              </w:rPr>
              <w:t>In thousands</w:t>
            </w:r>
          </w:p>
        </w:tc>
        <w:tc>
          <w:tcPr>
            <w:tcW w:w="1100" w:type="dxa"/>
            <w:vAlign w:val="bottom"/>
          </w:tcPr>
          <w:p>
            <w:pPr>
              <w:ind w:left="700"/>
              <w:spacing w:after="0"/>
              <w:rPr>
                <w:sz w:val="20"/>
                <w:szCs w:val="20"/>
                <w:color w:val="auto"/>
              </w:rPr>
            </w:pPr>
            <w:r>
              <w:rPr>
                <w:rFonts w:ascii="Arial" w:cs="Arial" w:eastAsia="Arial" w:hAnsi="Arial"/>
                <w:sz w:val="16"/>
                <w:szCs w:val="16"/>
                <w:b w:val="1"/>
                <w:bCs w:val="1"/>
                <w:color w:val="auto"/>
              </w:rPr>
              <w:t>2019</w:t>
            </w:r>
          </w:p>
        </w:tc>
        <w:tc>
          <w:tcPr>
            <w:tcW w:w="6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Exchange Rates</w:t>
            </w:r>
          </w:p>
        </w:tc>
        <w:tc>
          <w:tcPr>
            <w:tcW w:w="240" w:type="dxa"/>
            <w:vAlign w:val="bottom"/>
          </w:tcPr>
          <w:p>
            <w:pPr>
              <w:spacing w:after="0"/>
              <w:rPr>
                <w:sz w:val="22"/>
                <w:szCs w:val="22"/>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7"/>
              </w:rPr>
              <w:t>Change</w:t>
            </w:r>
            <w:r>
              <w:rPr>
                <w:rFonts w:ascii="Arial" w:cs="Arial" w:eastAsia="Arial" w:hAnsi="Arial"/>
                <w:sz w:val="21"/>
                <w:szCs w:val="21"/>
                <w:b w:val="1"/>
                <w:bCs w:val="1"/>
                <w:color w:val="auto"/>
                <w:w w:val="87"/>
                <w:vertAlign w:val="superscript"/>
              </w:rPr>
              <w:t>(1)</w:t>
            </w:r>
          </w:p>
        </w:tc>
        <w:tc>
          <w:tcPr>
            <w:tcW w:w="180" w:type="dxa"/>
            <w:vAlign w:val="bottom"/>
          </w:tcPr>
          <w:p>
            <w:pPr>
              <w:spacing w:after="0"/>
              <w:rPr>
                <w:sz w:val="22"/>
                <w:szCs w:val="22"/>
                <w:color w:val="auto"/>
              </w:rPr>
            </w:pPr>
          </w:p>
        </w:tc>
        <w:tc>
          <w:tcPr>
            <w:tcW w:w="1280" w:type="dxa"/>
            <w:vAlign w:val="bottom"/>
          </w:tcPr>
          <w:p>
            <w:pPr>
              <w:jc w:val="right"/>
              <w:ind w:right="179"/>
              <w:spacing w:after="0"/>
              <w:rPr>
                <w:sz w:val="20"/>
                <w:szCs w:val="20"/>
                <w:color w:val="auto"/>
              </w:rPr>
            </w:pPr>
            <w:r>
              <w:rPr>
                <w:rFonts w:ascii="Arial" w:cs="Arial" w:eastAsia="Arial" w:hAnsi="Arial"/>
                <w:sz w:val="16"/>
                <w:szCs w:val="16"/>
                <w:b w:val="1"/>
                <w:bCs w:val="1"/>
                <w:color w:val="auto"/>
                <w:w w:val="98"/>
              </w:rPr>
              <w:t>Total Change</w:t>
            </w:r>
          </w:p>
        </w:tc>
        <w:tc>
          <w:tcPr>
            <w:tcW w:w="0" w:type="dxa"/>
            <w:vAlign w:val="bottom"/>
          </w:tcPr>
          <w:p>
            <w:pPr>
              <w:spacing w:after="0"/>
              <w:rPr>
                <w:sz w:val="1"/>
                <w:szCs w:val="1"/>
                <w:color w:val="auto"/>
              </w:rPr>
            </w:pPr>
          </w:p>
        </w:tc>
      </w:tr>
      <w:tr>
        <w:trPr>
          <w:trHeight w:val="231"/>
        </w:trPr>
        <w:tc>
          <w:tcPr>
            <w:tcW w:w="310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i w:val="1"/>
                <w:iCs w:val="1"/>
                <w:color w:val="auto"/>
              </w:rPr>
              <w:t>Outcomes Segment</w:t>
            </w:r>
          </w:p>
        </w:tc>
        <w:tc>
          <w:tcPr>
            <w:tcW w:w="110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100" w:type="dxa"/>
            <w:vAlign w:val="bottom"/>
            <w:tcBorders>
              <w:bottom w:val="single" w:sz="8" w:color="auto"/>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Revenues</w:t>
            </w:r>
          </w:p>
        </w:tc>
        <w:tc>
          <w:tcPr>
            <w:tcW w:w="1100" w:type="dxa"/>
            <w:vAlign w:val="bottom"/>
            <w:tcBorders>
              <w:bottom w:val="single" w:sz="8" w:color="CCEEFF"/>
            </w:tcBorders>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8"/>
              </w:rPr>
              <w:t>56,394</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8"/>
              </w:rPr>
              <w:t>55,516</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878</w:t>
            </w:r>
          </w:p>
        </w:tc>
        <w:tc>
          <w:tcPr>
            <w:tcW w:w="0" w:type="dxa"/>
            <w:vAlign w:val="bottom"/>
          </w:tcPr>
          <w:p>
            <w:pPr>
              <w:spacing w:after="0"/>
              <w:rPr>
                <w:sz w:val="1"/>
                <w:szCs w:val="1"/>
                <w:color w:val="auto"/>
              </w:rPr>
            </w:pPr>
          </w:p>
        </w:tc>
      </w:tr>
      <w:tr>
        <w:trPr>
          <w:trHeight w:val="237"/>
        </w:trPr>
        <w:tc>
          <w:tcPr>
            <w:tcW w:w="3100" w:type="dxa"/>
            <w:vAlign w:val="bottom"/>
          </w:tcPr>
          <w:p>
            <w:pPr>
              <w:ind w:left="160"/>
              <w:spacing w:after="0"/>
              <w:rPr>
                <w:sz w:val="20"/>
                <w:szCs w:val="20"/>
                <w:color w:val="auto"/>
              </w:rPr>
            </w:pPr>
            <w:r>
              <w:rPr>
                <w:rFonts w:ascii="Arial" w:cs="Arial" w:eastAsia="Arial" w:hAnsi="Arial"/>
                <w:sz w:val="16"/>
                <w:szCs w:val="16"/>
                <w:color w:val="auto"/>
              </w:rPr>
              <w:t>Gross profit</w:t>
            </w:r>
          </w:p>
        </w:tc>
        <w:tc>
          <w:tcPr>
            <w:tcW w:w="110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w w:val="98"/>
              </w:rPr>
              <w:t>20,279</w:t>
            </w: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w w:val="98"/>
              </w:rPr>
              <w:t>12,010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(426)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8,695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8,269</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1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Operating expenses</w:t>
            </w:r>
          </w:p>
        </w:tc>
        <w:tc>
          <w:tcPr>
            <w:tcW w:w="110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9,869</w:t>
            </w: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98"/>
              </w:rPr>
              <w:t>12,665</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(2,796)</w:t>
            </w:r>
          </w:p>
        </w:tc>
        <w:tc>
          <w:tcPr>
            <w:tcW w:w="0" w:type="dxa"/>
            <w:vAlign w:val="bottom"/>
          </w:tcPr>
          <w:p>
            <w:pPr>
              <w:spacing w:after="0"/>
              <w:rPr>
                <w:sz w:val="1"/>
                <w:szCs w:val="1"/>
                <w:color w:val="auto"/>
              </w:rPr>
            </w:pPr>
          </w:p>
        </w:tc>
      </w:tr>
      <w:tr>
        <w:trPr>
          <w:trHeight w:val="33"/>
        </w:trPr>
        <w:tc>
          <w:tcPr>
            <w:tcW w:w="31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340" w:hanging="332"/>
        <w:spacing w:after="0" w:line="217" w:lineRule="auto"/>
        <w:tabs>
          <w:tab w:leader="none" w:pos="340" w:val="left"/>
        </w:tabs>
        <w:numPr>
          <w:ilvl w:val="0"/>
          <w:numId w:val="12"/>
        </w:numPr>
        <w:rPr>
          <w:rFonts w:ascii="Arial" w:cs="Arial" w:eastAsia="Arial" w:hAnsi="Arial"/>
          <w:sz w:val="22"/>
          <w:szCs w:val="22"/>
          <w:color w:val="auto"/>
          <w:vertAlign w:val="superscript"/>
        </w:rPr>
      </w:pPr>
      <w:r>
        <w:rPr>
          <w:rFonts w:ascii="Arial" w:cs="Arial" w:eastAsia="Arial" w:hAnsi="Arial"/>
          <w:sz w:val="16"/>
          <w:szCs w:val="16"/>
          <w:color w:val="auto"/>
        </w:rPr>
        <w:t>Constant currency change is a non-GAAP financial measure and represents the total change between periods excluding the effect of changes in foreign currency exchange rates.</w:t>
      </w:r>
    </w:p>
    <w:p>
      <w:pPr>
        <w:spacing w:after="0" w:line="19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 - Three months ended March 31, 2019 vs. Three months ended March 31, 2018</w:t>
      </w:r>
    </w:p>
    <w:p>
      <w:pPr>
        <w:spacing w:after="0" w:line="23" w:lineRule="exact"/>
        <w:rPr>
          <w:sz w:val="20"/>
          <w:szCs w:val="20"/>
          <w:color w:val="auto"/>
        </w:rPr>
      </w:pPr>
    </w:p>
    <w:p>
      <w:pPr>
        <w:jc w:val="both"/>
        <w:spacing w:after="0" w:line="323" w:lineRule="auto"/>
        <w:rPr>
          <w:sz w:val="20"/>
          <w:szCs w:val="20"/>
          <w:color w:val="auto"/>
        </w:rPr>
      </w:pPr>
      <w:r>
        <w:rPr>
          <w:rFonts w:ascii="Arial" w:cs="Arial" w:eastAsia="Arial" w:hAnsi="Arial"/>
          <w:sz w:val="16"/>
          <w:szCs w:val="16"/>
          <w:color w:val="auto"/>
        </w:rPr>
        <w:t>Revenues increased $0.9 million, or 2%, for the three months ended March 31, 2019, compared with the same period in 2018. The increase was driven by growth in managed and professional services. Revenues were unfavorably impacted by $1.3 million due to changes in foreign currency exchange rates.</w:t>
      </w:r>
    </w:p>
    <w:p>
      <w:pPr>
        <w:spacing w:after="0" w:line="13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Gross Margin - Three months ended March 31, 2019 vs. Three months ended March 31, 2018</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Gross margin increased to 36.0%, compared with 21.6% in 2018. The 1440 basis point increase in gross margin was driven primarily by the higher margin growth in software license and managed services, as well as lower costs for services delivery.</w:t>
      </w:r>
    </w:p>
    <w:p>
      <w:pPr>
        <w:spacing w:after="0" w:line="18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Expenses - Three months ended March 31, 2019 vs. Three months ended March 31, 2018</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Operating expenses for the three months ended March 31, 2019 decreased $2.8 million, or 22%, compared with 2018. This was primarily related to lower research and development expenses.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unallocated:</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Corporate Unallocated Expenses - Three months ended March 31, 2019 vs. Three months ended March 31, 2018</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Operating expenses not directly associated with an operating segment are classified as "Corporate unallocated." These expenses decreased by $147.6 million, or 57%, for the three months ended March 31, 2019 compared with the same period in 2018. The decrease was primarily due to lower SSNI acquisition and integration costs and lower restructuring costs in 2019.</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Bookings and Backlog of Orders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Bookings for a reported period represent customer contracts and purchase orders received during the period for hardware, software, and services that have met certain conditions, such as regulatory and/or contractual approval. Total backlog represents committed but undelivered products and services for contracts and purchase orders at period-end. Twelve-month backlog represents the portion of total backlog that we estimate will be recognized as revenue over the next 12 months. Backlog is not a complete measure of our future revenues as we also receive significant book-and-ship orders, as well as frame contracts. Bookings and backlog may fluctuate significantly due to the timing of large project awards. In addition, annual or multi-year contracts are subject to rescheduling and cancellation by customers due to the long-term nature of the contracts. Beginning total backlog, plus bookings, minus revenues, will not equal ending total backlog due to miscellaneous contract adjustments, foreign currency fluctuations, and other factors. Total bookings and backlog include certain contracts with termination for convenience clause, which will not agree to the total transaction price allocated to remaining performance obligations disclosed in Item 8: "Financial Statements and Supplementary Data, Note 16: Revenues".</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0" w:type="dxa"/>
            <w:vAlign w:val="bottom"/>
          </w:tcPr>
          <w:p>
            <w:pPr>
              <w:jc w:val="center"/>
              <w:ind w:right="419"/>
              <w:spacing w:after="0"/>
              <w:rPr>
                <w:sz w:val="20"/>
                <w:szCs w:val="20"/>
                <w:color w:val="auto"/>
              </w:rPr>
            </w:pPr>
            <w:r>
              <w:rPr>
                <w:rFonts w:ascii="Arial" w:cs="Arial" w:eastAsia="Arial" w:hAnsi="Arial"/>
                <w:sz w:val="16"/>
                <w:szCs w:val="16"/>
                <w:b w:val="1"/>
                <w:bCs w:val="1"/>
                <w:color w:val="auto"/>
                <w:w w:val="92"/>
              </w:rPr>
              <w:t>Ending</w:t>
            </w:r>
          </w:p>
        </w:tc>
        <w:tc>
          <w:tcPr>
            <w:tcW w:w="540" w:type="dxa"/>
            <w:vAlign w:val="bottom"/>
          </w:tcPr>
          <w:p>
            <w:pPr>
              <w:spacing w:after="0"/>
              <w:rPr>
                <w:sz w:val="17"/>
                <w:szCs w:val="17"/>
                <w:color w:val="auto"/>
              </w:rPr>
            </w:pPr>
          </w:p>
        </w:tc>
        <w:tc>
          <w:tcPr>
            <w:tcW w:w="1820" w:type="dxa"/>
            <w:vAlign w:val="bottom"/>
          </w:tcPr>
          <w:p>
            <w:pPr>
              <w:jc w:val="center"/>
              <w:ind w:right="359"/>
              <w:spacing w:after="0"/>
              <w:rPr>
                <w:sz w:val="20"/>
                <w:szCs w:val="20"/>
                <w:color w:val="auto"/>
              </w:rPr>
            </w:pPr>
            <w:r>
              <w:rPr>
                <w:rFonts w:ascii="Arial" w:cs="Arial" w:eastAsia="Arial" w:hAnsi="Arial"/>
                <w:sz w:val="16"/>
                <w:szCs w:val="16"/>
                <w:b w:val="1"/>
                <w:bCs w:val="1"/>
                <w:color w:val="auto"/>
                <w:w w:val="92"/>
              </w:rPr>
              <w:t>Ending</w:t>
            </w:r>
          </w:p>
        </w:tc>
      </w:tr>
      <w:tr>
        <w:trPr>
          <w:trHeight w:val="203"/>
        </w:trPr>
        <w:tc>
          <w:tcPr>
            <w:tcW w:w="4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jc w:val="center"/>
              <w:ind w:left="499"/>
              <w:spacing w:after="0"/>
              <w:rPr>
                <w:sz w:val="20"/>
                <w:szCs w:val="20"/>
                <w:color w:val="auto"/>
              </w:rPr>
            </w:pPr>
            <w:r>
              <w:rPr>
                <w:rFonts w:ascii="Arial" w:cs="Arial" w:eastAsia="Arial" w:hAnsi="Arial"/>
                <w:sz w:val="16"/>
                <w:szCs w:val="16"/>
                <w:b w:val="1"/>
                <w:bCs w:val="1"/>
                <w:color w:val="auto"/>
                <w:w w:val="98"/>
              </w:rPr>
              <w:t>Quarterly</w:t>
            </w:r>
          </w:p>
        </w:tc>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0" w:type="dxa"/>
            <w:vAlign w:val="bottom"/>
          </w:tcPr>
          <w:p>
            <w:pPr>
              <w:jc w:val="center"/>
              <w:ind w:right="419"/>
              <w:spacing w:after="0"/>
              <w:rPr>
                <w:sz w:val="20"/>
                <w:szCs w:val="20"/>
                <w:color w:val="auto"/>
              </w:rPr>
            </w:pPr>
            <w:r>
              <w:rPr>
                <w:rFonts w:ascii="Arial" w:cs="Arial" w:eastAsia="Arial" w:hAnsi="Arial"/>
                <w:sz w:val="16"/>
                <w:szCs w:val="16"/>
                <w:b w:val="1"/>
                <w:bCs w:val="1"/>
                <w:color w:val="auto"/>
                <w:w w:val="88"/>
              </w:rPr>
              <w:t>Total</w:t>
            </w:r>
          </w:p>
        </w:tc>
        <w:tc>
          <w:tcPr>
            <w:tcW w:w="540" w:type="dxa"/>
            <w:vAlign w:val="bottom"/>
          </w:tcPr>
          <w:p>
            <w:pPr>
              <w:spacing w:after="0"/>
              <w:rPr>
                <w:sz w:val="17"/>
                <w:szCs w:val="17"/>
                <w:color w:val="auto"/>
              </w:rPr>
            </w:pPr>
          </w:p>
        </w:tc>
        <w:tc>
          <w:tcPr>
            <w:tcW w:w="1820" w:type="dxa"/>
            <w:vAlign w:val="bottom"/>
          </w:tcPr>
          <w:p>
            <w:pPr>
              <w:jc w:val="center"/>
              <w:ind w:right="379"/>
              <w:spacing w:after="0"/>
              <w:rPr>
                <w:sz w:val="20"/>
                <w:szCs w:val="20"/>
                <w:color w:val="auto"/>
              </w:rPr>
            </w:pPr>
            <w:r>
              <w:rPr>
                <w:rFonts w:ascii="Arial" w:cs="Arial" w:eastAsia="Arial" w:hAnsi="Arial"/>
                <w:sz w:val="16"/>
                <w:szCs w:val="16"/>
                <w:b w:val="1"/>
                <w:bCs w:val="1"/>
                <w:color w:val="auto"/>
                <w:w w:val="95"/>
              </w:rPr>
              <w:t>12-Month</w:t>
            </w:r>
          </w:p>
        </w:tc>
      </w:tr>
      <w:tr>
        <w:trPr>
          <w:trHeight w:val="210"/>
        </w:trPr>
        <w:tc>
          <w:tcPr>
            <w:tcW w:w="4360" w:type="dxa"/>
            <w:vAlign w:val="bottom"/>
            <w:gridSpan w:val="2"/>
          </w:tcPr>
          <w:p>
            <w:pPr>
              <w:ind w:left="40"/>
              <w:spacing w:after="0"/>
              <w:rPr>
                <w:sz w:val="20"/>
                <w:szCs w:val="20"/>
                <w:color w:val="auto"/>
              </w:rPr>
            </w:pPr>
            <w:r>
              <w:rPr>
                <w:rFonts w:ascii="Arial" w:cs="Arial" w:eastAsia="Arial" w:hAnsi="Arial"/>
                <w:sz w:val="16"/>
                <w:szCs w:val="16"/>
                <w:b w:val="1"/>
                <w:bCs w:val="1"/>
                <w:color w:val="auto"/>
              </w:rPr>
              <w:t>Quarter Ended</w:t>
            </w:r>
          </w:p>
        </w:tc>
        <w:tc>
          <w:tcPr>
            <w:tcW w:w="1720" w:type="dxa"/>
            <w:vAlign w:val="bottom"/>
          </w:tcPr>
          <w:p>
            <w:pPr>
              <w:jc w:val="center"/>
              <w:ind w:left="519"/>
              <w:spacing w:after="0"/>
              <w:rPr>
                <w:sz w:val="20"/>
                <w:szCs w:val="20"/>
                <w:color w:val="auto"/>
              </w:rPr>
            </w:pPr>
            <w:r>
              <w:rPr>
                <w:rFonts w:ascii="Arial" w:cs="Arial" w:eastAsia="Arial" w:hAnsi="Arial"/>
                <w:sz w:val="16"/>
                <w:szCs w:val="16"/>
                <w:b w:val="1"/>
                <w:bCs w:val="1"/>
                <w:color w:val="auto"/>
                <w:w w:val="87"/>
              </w:rPr>
              <w:t>Bookings</w:t>
            </w: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0" w:type="dxa"/>
            <w:vAlign w:val="bottom"/>
          </w:tcPr>
          <w:p>
            <w:pPr>
              <w:jc w:val="center"/>
              <w:ind w:right="439"/>
              <w:spacing w:after="0"/>
              <w:rPr>
                <w:sz w:val="20"/>
                <w:szCs w:val="20"/>
                <w:color w:val="auto"/>
              </w:rPr>
            </w:pPr>
            <w:r>
              <w:rPr>
                <w:rFonts w:ascii="Arial" w:cs="Arial" w:eastAsia="Arial" w:hAnsi="Arial"/>
                <w:sz w:val="16"/>
                <w:szCs w:val="16"/>
                <w:b w:val="1"/>
                <w:bCs w:val="1"/>
                <w:color w:val="auto"/>
                <w:w w:val="89"/>
              </w:rPr>
              <w:t>Backlog</w:t>
            </w:r>
          </w:p>
        </w:tc>
        <w:tc>
          <w:tcPr>
            <w:tcW w:w="540" w:type="dxa"/>
            <w:vAlign w:val="bottom"/>
          </w:tcPr>
          <w:p>
            <w:pPr>
              <w:spacing w:after="0"/>
              <w:rPr>
                <w:sz w:val="18"/>
                <w:szCs w:val="18"/>
                <w:color w:val="auto"/>
              </w:rPr>
            </w:pPr>
          </w:p>
        </w:tc>
        <w:tc>
          <w:tcPr>
            <w:tcW w:w="1820" w:type="dxa"/>
            <w:vAlign w:val="bottom"/>
          </w:tcPr>
          <w:p>
            <w:pPr>
              <w:jc w:val="center"/>
              <w:ind w:right="379"/>
              <w:spacing w:after="0"/>
              <w:rPr>
                <w:sz w:val="20"/>
                <w:szCs w:val="20"/>
                <w:color w:val="auto"/>
              </w:rPr>
            </w:pPr>
            <w:r>
              <w:rPr>
                <w:rFonts w:ascii="Arial" w:cs="Arial" w:eastAsia="Arial" w:hAnsi="Arial"/>
                <w:sz w:val="16"/>
                <w:szCs w:val="16"/>
                <w:b w:val="1"/>
                <w:bCs w:val="1"/>
                <w:color w:val="auto"/>
                <w:w w:val="89"/>
              </w:rPr>
              <w:t>Backlog</w:t>
            </w:r>
          </w:p>
        </w:tc>
      </w:tr>
      <w:tr>
        <w:trPr>
          <w:trHeight w:val="33"/>
        </w:trPr>
        <w:tc>
          <w:tcPr>
            <w:tcW w:w="4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31"/>
        </w:trPr>
        <w:tc>
          <w:tcPr>
            <w:tcW w:w="4360" w:type="dxa"/>
            <w:vAlign w:val="bottom"/>
            <w:gridSpan w:val="2"/>
          </w:tcPr>
          <w:p>
            <w:pPr>
              <w:ind w:left="40"/>
              <w:spacing w:after="0"/>
              <w:rPr>
                <w:sz w:val="20"/>
                <w:szCs w:val="20"/>
                <w:color w:val="auto"/>
              </w:rPr>
            </w:pPr>
            <w:r>
              <w:rPr>
                <w:rFonts w:ascii="Arial" w:cs="Arial" w:eastAsia="Arial" w:hAnsi="Arial"/>
                <w:sz w:val="16"/>
                <w:szCs w:val="16"/>
                <w:i w:val="1"/>
                <w:iCs w:val="1"/>
                <w:color w:val="auto"/>
              </w:rPr>
              <w:t>In millions</w:t>
            </w:r>
          </w:p>
        </w:tc>
        <w:tc>
          <w:tcPr>
            <w:tcW w:w="17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33"/>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March 31, 2019</w:t>
            </w:r>
          </w:p>
        </w:tc>
        <w:tc>
          <w:tcPr>
            <w:tcW w:w="1720" w:type="dxa"/>
            <w:vAlign w:val="bottom"/>
            <w:tcBorders>
              <w:bottom w:val="single" w:sz="8" w:color="CCEEFF"/>
            </w:tcBorders>
            <w:shd w:val="clear" w:color="auto" w:fill="CCEEFF"/>
          </w:tcPr>
          <w:p>
            <w:pPr>
              <w:jc w:val="right"/>
              <w:ind w:right="153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473</w:t>
            </w:r>
          </w:p>
        </w:tc>
        <w:tc>
          <w:tcPr>
            <w:tcW w:w="5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3,022</w:t>
            </w:r>
          </w:p>
        </w:tc>
        <w:tc>
          <w:tcPr>
            <w:tcW w:w="5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1,375</w:t>
            </w:r>
          </w:p>
        </w:tc>
      </w:tr>
      <w:tr>
        <w:trPr>
          <w:trHeight w:val="237"/>
        </w:trPr>
        <w:tc>
          <w:tcPr>
            <w:tcW w:w="4360" w:type="dxa"/>
            <w:vAlign w:val="bottom"/>
            <w:gridSpan w:val="2"/>
          </w:tcPr>
          <w:p>
            <w:pPr>
              <w:ind w:left="40"/>
              <w:spacing w:after="0"/>
              <w:rPr>
                <w:sz w:val="20"/>
                <w:szCs w:val="20"/>
                <w:color w:val="auto"/>
              </w:rPr>
            </w:pPr>
            <w:r>
              <w:rPr>
                <w:rFonts w:ascii="Arial" w:cs="Arial" w:eastAsia="Arial" w:hAnsi="Arial"/>
                <w:sz w:val="16"/>
                <w:szCs w:val="16"/>
                <w:color w:val="auto"/>
              </w:rPr>
              <w:t>December 31, 2018</w:t>
            </w:r>
          </w:p>
        </w:tc>
        <w:tc>
          <w:tcPr>
            <w:tcW w:w="1720" w:type="dxa"/>
            <w:vAlign w:val="bottom"/>
          </w:tcPr>
          <w:p>
            <w:pPr>
              <w:spacing w:after="0"/>
              <w:rPr>
                <w:sz w:val="20"/>
                <w:szCs w:val="20"/>
                <w:color w:val="auto"/>
              </w:rPr>
            </w:pPr>
          </w:p>
        </w:tc>
        <w:tc>
          <w:tcPr>
            <w:tcW w:w="600" w:type="dxa"/>
            <w:vAlign w:val="bottom"/>
          </w:tcPr>
          <w:p>
            <w:pPr>
              <w:jc w:val="right"/>
              <w:ind w:right="59"/>
              <w:spacing w:after="0"/>
              <w:rPr>
                <w:sz w:val="20"/>
                <w:szCs w:val="20"/>
                <w:color w:val="auto"/>
              </w:rPr>
            </w:pPr>
            <w:r>
              <w:rPr>
                <w:rFonts w:ascii="Arial" w:cs="Arial" w:eastAsia="Arial" w:hAnsi="Arial"/>
                <w:sz w:val="16"/>
                <w:szCs w:val="16"/>
                <w:color w:val="auto"/>
              </w:rPr>
              <w:t>786</w:t>
            </w:r>
          </w:p>
        </w:tc>
        <w:tc>
          <w:tcPr>
            <w:tcW w:w="580" w:type="dxa"/>
            <w:vAlign w:val="bottom"/>
          </w:tcPr>
          <w:p>
            <w:pPr>
              <w:spacing w:after="0"/>
              <w:rPr>
                <w:sz w:val="20"/>
                <w:szCs w:val="20"/>
                <w:color w:val="auto"/>
              </w:rPr>
            </w:pPr>
          </w:p>
        </w:tc>
        <w:tc>
          <w:tcPr>
            <w:tcW w:w="1800" w:type="dxa"/>
            <w:vAlign w:val="bottom"/>
          </w:tcPr>
          <w:p>
            <w:pPr>
              <w:jc w:val="right"/>
              <w:ind w:right="39"/>
              <w:spacing w:after="0"/>
              <w:rPr>
                <w:sz w:val="20"/>
                <w:szCs w:val="20"/>
                <w:color w:val="auto"/>
              </w:rPr>
            </w:pPr>
            <w:r>
              <w:rPr>
                <w:rFonts w:ascii="Arial" w:cs="Arial" w:eastAsia="Arial" w:hAnsi="Arial"/>
                <w:sz w:val="16"/>
                <w:szCs w:val="16"/>
                <w:color w:val="auto"/>
              </w:rPr>
              <w:t>3,173</w:t>
            </w:r>
          </w:p>
        </w:tc>
        <w:tc>
          <w:tcPr>
            <w:tcW w:w="540" w:type="dxa"/>
            <w:vAlign w:val="bottom"/>
          </w:tcPr>
          <w:p>
            <w:pPr>
              <w:spacing w:after="0"/>
              <w:rPr>
                <w:sz w:val="20"/>
                <w:szCs w:val="20"/>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1,349</w:t>
            </w:r>
          </w:p>
        </w:tc>
      </w:tr>
      <w:tr>
        <w:trPr>
          <w:trHeight w:val="33"/>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September 30, 2018</w:t>
            </w:r>
          </w:p>
        </w:tc>
        <w:tc>
          <w:tcPr>
            <w:tcW w:w="17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593</w:t>
            </w:r>
          </w:p>
        </w:tc>
        <w:tc>
          <w:tcPr>
            <w:tcW w:w="5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3,112</w:t>
            </w:r>
          </w:p>
        </w:tc>
        <w:tc>
          <w:tcPr>
            <w:tcW w:w="5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1,350</w:t>
            </w:r>
          </w:p>
        </w:tc>
      </w:tr>
      <w:tr>
        <w:trPr>
          <w:trHeight w:val="237"/>
        </w:trPr>
        <w:tc>
          <w:tcPr>
            <w:tcW w:w="4360" w:type="dxa"/>
            <w:vAlign w:val="bottom"/>
            <w:gridSpan w:val="2"/>
          </w:tcPr>
          <w:p>
            <w:pPr>
              <w:ind w:left="40"/>
              <w:spacing w:after="0"/>
              <w:rPr>
                <w:sz w:val="20"/>
                <w:szCs w:val="20"/>
                <w:color w:val="auto"/>
              </w:rPr>
            </w:pPr>
            <w:r>
              <w:rPr>
                <w:rFonts w:ascii="Arial" w:cs="Arial" w:eastAsia="Arial" w:hAnsi="Arial"/>
                <w:sz w:val="16"/>
                <w:szCs w:val="16"/>
                <w:color w:val="auto"/>
              </w:rPr>
              <w:t>June 30, 2018</w:t>
            </w:r>
          </w:p>
        </w:tc>
        <w:tc>
          <w:tcPr>
            <w:tcW w:w="1720" w:type="dxa"/>
            <w:vAlign w:val="bottom"/>
          </w:tcPr>
          <w:p>
            <w:pPr>
              <w:spacing w:after="0"/>
              <w:rPr>
                <w:sz w:val="20"/>
                <w:szCs w:val="20"/>
                <w:color w:val="auto"/>
              </w:rPr>
            </w:pPr>
          </w:p>
        </w:tc>
        <w:tc>
          <w:tcPr>
            <w:tcW w:w="600" w:type="dxa"/>
            <w:vAlign w:val="bottom"/>
          </w:tcPr>
          <w:p>
            <w:pPr>
              <w:jc w:val="right"/>
              <w:ind w:right="59"/>
              <w:spacing w:after="0"/>
              <w:rPr>
                <w:sz w:val="20"/>
                <w:szCs w:val="20"/>
                <w:color w:val="auto"/>
              </w:rPr>
            </w:pPr>
            <w:r>
              <w:rPr>
                <w:rFonts w:ascii="Arial" w:cs="Arial" w:eastAsia="Arial" w:hAnsi="Arial"/>
                <w:sz w:val="16"/>
                <w:szCs w:val="16"/>
                <w:color w:val="auto"/>
              </w:rPr>
              <w:t>579</w:t>
            </w:r>
          </w:p>
        </w:tc>
        <w:tc>
          <w:tcPr>
            <w:tcW w:w="580" w:type="dxa"/>
            <w:vAlign w:val="bottom"/>
          </w:tcPr>
          <w:p>
            <w:pPr>
              <w:spacing w:after="0"/>
              <w:rPr>
                <w:sz w:val="20"/>
                <w:szCs w:val="20"/>
                <w:color w:val="auto"/>
              </w:rPr>
            </w:pPr>
          </w:p>
        </w:tc>
        <w:tc>
          <w:tcPr>
            <w:tcW w:w="1800" w:type="dxa"/>
            <w:vAlign w:val="bottom"/>
          </w:tcPr>
          <w:p>
            <w:pPr>
              <w:jc w:val="right"/>
              <w:ind w:right="39"/>
              <w:spacing w:after="0"/>
              <w:rPr>
                <w:sz w:val="20"/>
                <w:szCs w:val="20"/>
                <w:color w:val="auto"/>
              </w:rPr>
            </w:pPr>
            <w:r>
              <w:rPr>
                <w:rFonts w:ascii="Arial" w:cs="Arial" w:eastAsia="Arial" w:hAnsi="Arial"/>
                <w:sz w:val="16"/>
                <w:szCs w:val="16"/>
                <w:color w:val="auto"/>
              </w:rPr>
              <w:t>3,113</w:t>
            </w:r>
          </w:p>
        </w:tc>
        <w:tc>
          <w:tcPr>
            <w:tcW w:w="540" w:type="dxa"/>
            <w:vAlign w:val="bottom"/>
          </w:tcPr>
          <w:p>
            <w:pPr>
              <w:spacing w:after="0"/>
              <w:rPr>
                <w:sz w:val="20"/>
                <w:szCs w:val="20"/>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1,426</w:t>
            </w:r>
          </w:p>
        </w:tc>
      </w:tr>
      <w:tr>
        <w:trPr>
          <w:trHeight w:val="33"/>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37"/>
        </w:trPr>
        <w:tc>
          <w:tcPr>
            <w:tcW w:w="43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March 31, 2018</w:t>
            </w:r>
          </w:p>
        </w:tc>
        <w:tc>
          <w:tcPr>
            <w:tcW w:w="172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557</w:t>
            </w:r>
          </w:p>
        </w:tc>
        <w:tc>
          <w:tcPr>
            <w:tcW w:w="580" w:type="dxa"/>
            <w:vAlign w:val="bottom"/>
            <w:shd w:val="clear" w:color="auto" w:fill="CCEEFF"/>
          </w:tcPr>
          <w:p>
            <w:pPr>
              <w:spacing w:after="0"/>
              <w:rPr>
                <w:sz w:val="20"/>
                <w:szCs w:val="20"/>
                <w:color w:val="auto"/>
              </w:rPr>
            </w:pPr>
          </w:p>
        </w:tc>
        <w:tc>
          <w:tcPr>
            <w:tcW w:w="18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3,139</w:t>
            </w:r>
          </w:p>
        </w:tc>
        <w:tc>
          <w:tcPr>
            <w:tcW w:w="540" w:type="dxa"/>
            <w:vAlign w:val="bottom"/>
            <w:shd w:val="clear" w:color="auto" w:fill="CCEEFF"/>
          </w:tcPr>
          <w:p>
            <w:pPr>
              <w:spacing w:after="0"/>
              <w:rPr>
                <w:sz w:val="20"/>
                <w:szCs w:val="20"/>
                <w:color w:val="auto"/>
              </w:rPr>
            </w:pPr>
          </w:p>
        </w:tc>
        <w:tc>
          <w:tcPr>
            <w:tcW w:w="1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1,363</w:t>
            </w:r>
          </w:p>
        </w:tc>
      </w:tr>
      <w:tr>
        <w:trPr>
          <w:trHeight w:val="33"/>
        </w:trPr>
        <w:tc>
          <w:tcPr>
            <w:tcW w:w="4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Information:</w:t>
      </w:r>
    </w:p>
    <w:p>
      <w:pPr>
        <w:spacing w:after="0" w:line="200" w:lineRule="exact"/>
        <w:rPr>
          <w:sz w:val="20"/>
          <w:szCs w:val="20"/>
          <w:color w:val="auto"/>
        </w:rPr>
      </w:pPr>
    </w:p>
    <w:p>
      <w:pPr>
        <w:spacing w:after="0" w:line="273"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Cash provided by (used in) operating activities</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color w:val="auto"/>
        </w:rPr>
        <w:t>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Cash provided by (used in) financing activities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Effect of exchange rates on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803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4"/>
          <w:szCs w:val="14"/>
          <w:color w:val="auto"/>
        </w:rPr>
        <w:t>Decrease in cash, cash equivalents, and restricted cash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37465</wp:posOffset>
            </wp:positionV>
            <wp:extent cx="223837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0" w:type="dxa"/>
            <w:vAlign w:val="bottom"/>
          </w:tcPr>
          <w:p>
            <w:pPr>
              <w:spacing w:after="0"/>
              <w:rPr>
                <w:sz w:val="18"/>
                <w:szCs w:val="18"/>
                <w:color w:val="auto"/>
              </w:rPr>
            </w:pPr>
          </w:p>
        </w:tc>
        <w:tc>
          <w:tcPr>
            <w:tcW w:w="1320" w:type="dxa"/>
            <w:vAlign w:val="bottom"/>
          </w:tcPr>
          <w:p>
            <w:pPr>
              <w:jc w:val="right"/>
              <w:ind w:right="61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2018</w:t>
            </w:r>
          </w:p>
        </w:tc>
      </w:tr>
      <w:tr>
        <w:trPr>
          <w:trHeight w:val="33"/>
        </w:trPr>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24,924</w:t>
            </w:r>
          </w:p>
        </w:tc>
        <w:tc>
          <w:tcPr>
            <w:tcW w:w="12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(24,448)</w:t>
            </w:r>
          </w:p>
        </w:tc>
      </w:tr>
      <w:tr>
        <w:trPr>
          <w:trHeight w:val="270"/>
        </w:trPr>
        <w:tc>
          <w:tcPr>
            <w:tcW w:w="4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(11,116)</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(819,821)</w:t>
            </w:r>
          </w:p>
        </w:tc>
      </w:tr>
      <w:tr>
        <w:trPr>
          <w:trHeight w:val="270"/>
        </w:trPr>
        <w:tc>
          <w:tcPr>
            <w:tcW w:w="4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(23,243)</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501,839</w:t>
            </w:r>
          </w:p>
        </w:tc>
      </w:tr>
      <w:tr>
        <w:trPr>
          <w:trHeight w:val="270"/>
        </w:trPr>
        <w:tc>
          <w:tcPr>
            <w:tcW w:w="400" w:type="dxa"/>
            <w:vAlign w:val="bottom"/>
          </w:tcPr>
          <w:p>
            <w:pPr>
              <w:spacing w:after="0"/>
              <w:rPr>
                <w:sz w:val="23"/>
                <w:szCs w:val="23"/>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72</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563</w:t>
            </w:r>
          </w:p>
        </w:tc>
      </w:tr>
      <w:tr>
        <w:trPr>
          <w:trHeight w:val="33"/>
        </w:trPr>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(9,363)</w:t>
            </w:r>
          </w:p>
        </w:tc>
        <w:tc>
          <w:tcPr>
            <w:tcW w:w="12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(341,867)</w:t>
            </w:r>
          </w:p>
        </w:tc>
      </w:tr>
      <w:tr>
        <w:trPr>
          <w:trHeight w:val="33"/>
        </w:trPr>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180" w:space="720"/>
            <w:col w:w="3520"/>
          </w:cols>
          <w:pgMar w:left="240" w:top="125" w:right="239" w:bottom="1440" w:gutter="0" w:footer="0" w:header="0"/>
          <w:type w:val="continuous"/>
        </w:sectPr>
      </w:pPr>
    </w:p>
    <w:p>
      <w:pPr>
        <w:spacing w:after="0" w:line="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Cash, cash equivalents, and restricted cash was $113.0 million at March 31, 2019, compared with $122.3 million at December 31, 2018. The $9.4 million decrease in cash, cash equivalents, and restricted cash for the three months ended March 31, 2019 was primarily the result of net payments on debt, acquisitions of property, plant, and equipment, and repurchases of shares, all of which were partially offset by cash inflows from operations.</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Operating activities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Cash provided by operating activities during the three months ended March 31, 2019 was $24.9 million compared with cash used in operating activities of $24.4 million during the same period in 2018. The increase was primarily due to increased earnings and lower acquisition and integration costs and restructuring costs.</w:t>
      </w:r>
    </w:p>
    <w:p>
      <w:pPr>
        <w:spacing w:after="0" w:line="19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Investing activities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Cash used by investing activities during the three months ended March 31, 2019 was $808.7 million lower compared with the same period in 2018. This decreased use of cash was primarily related to the acquisition of SSNI in 2018.</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Financing activities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cash used in financing activities during the three months ended March 31, 2019 was $23.2 million, compared with $501.8 million for the same period in 2018. In 2018, we had net draws on our debt of $523.5 million to fund the acquisition of SSNI. In 2019, we had net repayments of debt of $14.1 million and stock repurchases of $8.5 million.</w:t>
      </w:r>
    </w:p>
    <w:p>
      <w:pPr>
        <w:spacing w:after="0" w:line="19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Effect of exchange rates on cash and cash equivalents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effect of exchange rates on the cash balances of currencies held in foreign denominations for the three months ended March 31, 2019 was an increase of $0.1 million, compared with an increase of $0.6 million for the same period in 2018. The impact of exchange rates is the result of an increase in the U.S. dollar value compared with most foreign currencies during the three months ended March 31, 2019, compared with a decrease in value compared with most foreign currencies during the same period in 2018.</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type w:val="continuous"/>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Free cash flow (Non-GAAP)</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To supplement our Consolidated Statements of Cash Flows presented on a GAAP basis, we use the non-GAAP measure of free cash flow to analyze cash flows generated from our operations. The presentation of non-GAAP free cash flow is not meant to be considered in isolation or as an alternative to net income as an indicator of our performance, or as an alternative to cash flows from operating activities as a measure of liquidity. We calculate free cash flows, using amounts from our Consolidated Statements of Cash Flows,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140" w:type="dxa"/>
            <w:vAlign w:val="bottom"/>
            <w:gridSpan w:val="4"/>
          </w:tcPr>
          <w:p>
            <w:pPr>
              <w:jc w:val="right"/>
              <w:ind w:right="559"/>
              <w:spacing w:after="0"/>
              <w:rPr>
                <w:sz w:val="20"/>
                <w:szCs w:val="20"/>
                <w:color w:val="auto"/>
              </w:rPr>
            </w:pPr>
            <w:r>
              <w:rPr>
                <w:rFonts w:ascii="Arial" w:cs="Arial" w:eastAsia="Arial" w:hAnsi="Arial"/>
                <w:sz w:val="16"/>
                <w:szCs w:val="16"/>
                <w:b w:val="1"/>
                <w:bCs w:val="1"/>
                <w:color w:val="auto"/>
              </w:rPr>
              <w:t>Three Months Ended March 31,</w:t>
            </w:r>
          </w:p>
        </w:tc>
      </w:tr>
      <w:tr>
        <w:trPr>
          <w:trHeight w:val="33"/>
        </w:trPr>
        <w:tc>
          <w:tcPr>
            <w:tcW w:w="79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7900" w:type="dxa"/>
            <w:vAlign w:val="bottom"/>
          </w:tcPr>
          <w:p>
            <w:pPr>
              <w:ind w:left="40"/>
              <w:spacing w:after="0"/>
              <w:rPr>
                <w:sz w:val="20"/>
                <w:szCs w:val="20"/>
                <w:color w:val="auto"/>
              </w:rPr>
            </w:pPr>
            <w:r>
              <w:rPr>
                <w:rFonts w:ascii="Arial" w:cs="Arial" w:eastAsia="Arial" w:hAnsi="Arial"/>
                <w:sz w:val="16"/>
                <w:szCs w:val="16"/>
                <w:i w:val="1"/>
                <w:iCs w:val="1"/>
                <w:color w:val="auto"/>
              </w:rPr>
              <w:t>In thousands</w:t>
            </w:r>
          </w:p>
        </w:tc>
        <w:tc>
          <w:tcPr>
            <w:tcW w:w="380" w:type="dxa"/>
            <w:vAlign w:val="bottom"/>
          </w:tcPr>
          <w:p>
            <w:pPr>
              <w:spacing w:after="0"/>
              <w:rPr>
                <w:sz w:val="20"/>
                <w:szCs w:val="20"/>
                <w:color w:val="auto"/>
              </w:rPr>
            </w:pPr>
          </w:p>
        </w:tc>
        <w:tc>
          <w:tcPr>
            <w:tcW w:w="1340" w:type="dxa"/>
            <w:vAlign w:val="bottom"/>
          </w:tcPr>
          <w:p>
            <w:pPr>
              <w:jc w:val="right"/>
              <w:ind w:right="61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2018</w:t>
            </w:r>
          </w:p>
        </w:tc>
      </w:tr>
      <w:tr>
        <w:trPr>
          <w:trHeight w:val="33"/>
        </w:trPr>
        <w:tc>
          <w:tcPr>
            <w:tcW w:w="7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provided by (used in) operating activities</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24,924</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(24,448)</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Acquisitions of property, plant, and equipment</w:t>
            </w:r>
          </w:p>
        </w:tc>
        <w:tc>
          <w:tcPr>
            <w:tcW w:w="3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(11,415)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(17,433)</w:t>
            </w:r>
          </w:p>
        </w:tc>
      </w:tr>
      <w:tr>
        <w:trPr>
          <w:trHeight w:val="33"/>
        </w:trPr>
        <w:tc>
          <w:tcPr>
            <w:tcW w:w="79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Free cash flow</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13,509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(41,881)</w:t>
            </w:r>
          </w:p>
        </w:tc>
      </w:tr>
      <w:tr>
        <w:trPr>
          <w:trHeight w:val="20"/>
        </w:trPr>
        <w:tc>
          <w:tcPr>
            <w:tcW w:w="79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Free cash flow increased primarily as a result of higher cash provided by operating activities due to a significant decrease in acquisition and integration costs related to our acquisition of SSNI in the 2018 period. See the cash flow discussion of operating activities above. In addition, acquisition of property, plant, and equipment decreased $6.0 million during the three months ended March 31, 2019 primarily due to investments related to our </w:t>
      </w:r>
      <w:r>
        <w:rPr>
          <w:rFonts w:ascii="Arial" w:cs="Arial" w:eastAsia="Arial" w:hAnsi="Arial"/>
          <w:sz w:val="18"/>
          <w:szCs w:val="18"/>
          <w:color w:val="222222"/>
        </w:rPr>
        <w:t>strategic sourcing projects</w:t>
      </w:r>
      <w:r>
        <w:rPr>
          <w:rFonts w:ascii="Arial" w:cs="Arial" w:eastAsia="Arial" w:hAnsi="Arial"/>
          <w:sz w:val="18"/>
          <w:szCs w:val="18"/>
          <w:color w:val="auto"/>
        </w:rPr>
        <w:t xml:space="preserve"> </w:t>
      </w:r>
      <w:r>
        <w:rPr>
          <w:rFonts w:ascii="Arial" w:cs="Arial" w:eastAsia="Arial" w:hAnsi="Arial"/>
          <w:sz w:val="18"/>
          <w:szCs w:val="18"/>
          <w:color w:val="222222"/>
        </w:rPr>
        <w:t>and related manufacturing and supplier transitions in 2018.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no off-balance sheet financing agreements or guarantees as defined by Item 303 of Regulation S-K at March 31, 2019 and December 31, 2018 that we believe are reasonably likely to have a current or future effect on our financial condition, results of operations, or cash flows.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principal sources of liquidity are cash flows from operations, borrowings, and sales of common stock. Cash flows may fluctuate and are sensitive to many factors including changes in working capital and the timing and magnitude of capital expenditures and payments of debt. Working capital, which represents current assets less current liabilities, continues to be a net favorable position.</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Borrowings</w:t>
      </w:r>
    </w:p>
    <w:p>
      <w:pPr>
        <w:spacing w:after="0" w:line="2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January 5, 2018, we entered into a credit agreement providing for committed credit facilities in the amount of $1.2 billion U.S. dollars, which amended and restated in its entirety our credit agreement dated June 23, 2015 and replaced committed facilities in the amount of $725 million. The 2018 credit facility consists of a $650 million U.S. dollar term loan (the term loan) and a multicurrency revolving line of credit (the revolver) with a principal amount of up to $500 million. The revolver also contains a $300 million standby letter of credit sub-facility and a $50 million swingline sub-facility. Both the term loan and the revolver mature on January 5, 2023 and can be repaid without penalty. Amounts repaid on the term loan may not be reborrowed and amounts borrowed under the revolver during the credit facility term may be repaid and reborrowed until the revolver's maturity, at which time all outstanding loans together with all accrued and unpaid interest must be repaid. During the quarter ended March 31, 2019, we made debt prepayments on the term loan in excess of required principal payments and intend to make additional payments in excess of our current portion of debt in the next year.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For further description of our borrowing, refer to Item 1: "Financial Statements (Unaudited), Note 6: Debt."</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For a description of our letters of credit and performance bonds, and the amounts available for additional borrowings or letters of credit under our lines of credit, including the revolver that is part of our credit facility, refer to Item 1: "Financial Statements (Unaudited), Note 11: Commitments and Contingencies."</w:t>
      </w:r>
    </w:p>
    <w:p>
      <w:pPr>
        <w:spacing w:after="0" w:line="12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Silver Spring Networks, Inc. Acquisition</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part of the acquisition of SSNI, we announced an integration plan to obtain approximately $50 million of annualized savings by the end of 2020. We have recognized $11.6 million of the acquisition and integration related expenses during the three months ended March 31, 2019 and expect to recognize an additional $10 million to $20 million of expenses in future periods, of which approximately 95% will be cash expenses. The majority of the additional expenses are expected to be recognized over the next 12 months.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Restructuring</w:t>
      </w:r>
    </w:p>
    <w:p>
      <w:pPr>
        <w:spacing w:after="0" w:line="2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As of March 31, 2019, $71.9 million was accrued for restructuring projects, of which $30.6 million is expected to be paid over the next 12 months. We also expect to recognize approximately $16.1 million in future restructuring costs, which will result in cash expenditures.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For further details regarding our restructuring activities, refer to Item 1: "Financial Statements (Unaudited), Note 12: Restructuring."</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Stock Repurchase Authorization</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March 14, 2019, Itron's Board of Directors authorized the Company to repurchase up to $50 million of our common stock over a 12-month period (the 2019 Stock Repurchase Program). Following the announcement of the program and through March 31, 2019, we repurchased 165,400 shares at an average share price of $47.25 (including commissions) for a total of $7.8 million. Subsequent to March 31, 2019, we repurchased an additional 363,996 shares at an average price of $47.21 (including commissions) for a total of $17.2 million. The remaining amount authorized for repurchase under the 2019 Stock Repurchase Program is $25 million. In accordance with the terms of our 5% senior notes indenture maturing January 15, 2026, we are limited to a total of $25 million in stock repurchases in 2019. As we have already met that threshold, we will not repurchase any more shares for the remainder of 2019.</w:t>
      </w:r>
    </w:p>
    <w:p>
      <w:pPr>
        <w:spacing w:after="0" w:line="16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Other Liquidity Considerations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tax credits and net operating loss carryforwards in various jurisdictions that are available to reduce cash taxes. However, utilization of tax credits and net operating losses are limited in certain jurisdictions. Based on current projections, we expect to pay, net of refunds, approximately $1 million in state taxes and $19 million in local and foreign taxes during 2019. We do not expect to pay any U.S. federal taxes. For a discussion of our tax provision and unrecognized tax benefits, see Item 1: "Financial Statements (Unaudited), Note 10: Income Taxes."</w:t>
      </w:r>
    </w:p>
    <w:p>
      <w:pPr>
        <w:spacing w:after="0" w:line="1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March 31, 2019, we are under examination by certain tax authorities for the 2010 to 2017 tax years. The material jurisdictions where we are subject to examination for the 2010 to 2017 tax years include, among others, the United States, France, Germany, Italy, Brazil, and the United Kingdom. No material changes have occurred to previously disclosed assessments. We believe we have appropriately accrued for the expected outcome of all tax matters and do not currently anticipate that the ultimate resolution of these examinations will have a material adverse effect on our financial condition, future results of operations, or liquidity.</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March 31, 2019, there was $29.7 million of cash and short-term investments held by certain foreign subsidiaries in which we are permanently reinvested for tax purposes. As a result of recent changes in U.S. tax legislation, any repatriation in the future would not result in U.S. federal income tax. Accordingly, there is no provision for U.S. deferred taxes on this cash. If this cash were repatriated to fund U.S. operations, additional withholding tax costs may be incurred. Tax is only one of the many factors that we consider in the management of global cash. Accordingly, the amount of taxes that we would need to accrue and pay to repatriate foreign cash could vary significantly.</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several of our consolidated international subsidiaries, we have joint venture partners, who are minority shareholders. Although these entities are not wholly-owned by Itron, Inc., we consolidate them because we have a greater than 50% ownership interest and/or because we exercise control over the operations. The noncontrolling interest balance in our Consolidated Balance Sheets represents the proportional share of the equity of the joint venture entities, which is attributable to the minority shareholders. At March 31, 2019, $7.0 million of our consolidated cash balance is held in our joint venture entities. As a result, the minority shareholders of these entities have rights to their proportional share of this cash balance, and there may be limitations on our ability to repatriate cash to the United States from these entities.</w:t>
      </w:r>
    </w:p>
    <w:p>
      <w:pPr>
        <w:spacing w:after="0" w:line="19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General Liquidity Overview</w:t>
      </w:r>
    </w:p>
    <w:p>
      <w:pPr>
        <w:spacing w:after="0" w:line="2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 xml:space="preserve">We expect to grow through a combination of internal new research and development, licensing technology from and to others, distribution agreements, partnering arrangements, and acquisitions of technology or other companies. We expect these activities to be funded with existing cash, cash flow from operations, borrowings, or the sale of common stock or other securities. We believe existing sources of liquidity will be sufficient to fund our existing operations and obligations for the next 12 months and into the foreseeable future, but offer no assurances. Our liquidity could be affected by the stability of the electricity, gas, and water industries, competitive pressures, </w:t>
      </w:r>
      <w:r>
        <w:rPr>
          <w:rFonts w:ascii="Arial" w:cs="Arial" w:eastAsia="Arial" w:hAnsi="Arial"/>
          <w:sz w:val="18"/>
          <w:szCs w:val="18"/>
          <w:color w:val="222222"/>
        </w:rPr>
        <w:t>our dependence on certain key vendors and components,</w:t>
      </w:r>
      <w:r>
        <w:rPr>
          <w:rFonts w:ascii="Arial" w:cs="Arial" w:eastAsia="Arial" w:hAnsi="Arial"/>
          <w:sz w:val="18"/>
          <w:szCs w:val="18"/>
          <w:color w:val="auto"/>
        </w:rPr>
        <w:t xml:space="preserve"> changes in estimated liabilities for product warranties and/or litigation, future business combinations, capital market fluctuations, international risks, and other factors described under "Risk Factors" within Item 1A of Part I of our Annual Report on Form 10-K for the fiscal year ended December 31, 2018, which was filed with the SEC on February 28, 2019, as well as "Quantitative and Qualitative Disclosures About Market Risk" within Item 3 of Part I included in this Quarterly Report on Form 10-Q.</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Refer to Item 1: "Financial Statements (Unaudited), Note 11: Commitments and Contingencies."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 and Policies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The preparation of our consolidated financial statements in conformity with GAAP requires us to make estimates and assumptions that affect amounts reported in the consolidated financial statements. Changes in these estimates and assumptions are considered reasonably possible and may have a material effect on our consolidated financial statements and thus actual results could differ from the amounts reported and disclosed herein. Our critical accounting policies that require the use of estimates and assumptions were discussed in detail in the 2018 Annual Report on Form 10-K and have not changed materially, with the exception of the adoption of Accounting Standards Codification (ASC) 842, </w:t>
      </w:r>
      <w:r>
        <w:rPr>
          <w:rFonts w:ascii="Arial" w:cs="Arial" w:eastAsia="Arial" w:hAnsi="Arial"/>
          <w:sz w:val="17"/>
          <w:szCs w:val="17"/>
          <w:i w:val="1"/>
          <w:iCs w:val="1"/>
          <w:color w:val="auto"/>
        </w:rPr>
        <w:t>Leases</w:t>
      </w:r>
      <w:r>
        <w:rPr>
          <w:rFonts w:ascii="Arial" w:cs="Arial" w:eastAsia="Arial" w:hAnsi="Arial"/>
          <w:sz w:val="17"/>
          <w:szCs w:val="17"/>
          <w:color w:val="auto"/>
        </w:rPr>
        <w:t>.</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Refer to Item 1: "Financial Statements (Unaudited), Note 1: Summary of Significant Accounting Policies" included in this Quarterly Report on Form 10-Q for further disclosures regarding new accounting pronouncements.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accompanying schedule contains non-GAAP financial measures. To supplement our consolidated financial statements, which are prepared in accordance with GAAP, we use certain non-GAAP financial measures, including non-GAAP operating expense, non-GAAP operating income, non-GAAP net income, non-GAAP diluted EPS, adjusted EBITDA, constant currency and free cash flow. The presentation of this financial information is not intended to be considered in isolation or as a substitute for, or superior to, the financial information prepared and presented in accordance with GAAP, and other companies may define such measures differently. We use these non-GAAP financial measures for financial and operational decision making and/or as a means for determining executive compensation. Management believes that these non-GAAP financial measures provide meaningful supplemental information regarding our performance and ability to service debt by excluding certain expenses that may not be indicative of our recurring core operational results. These non-GAAP financial measures facilitate management's internal comparisons to our historical performance as well as comparisons to our competitors' operating results. Our executive compensation plans exclude non-cash charges related to amortization of intangibles and certain discrete cash and non-cash charges such as acquisition and integration related expenses, restructuring charges or goodwill impairment charges. We believe that both management and investors benefit from referring to these non-GAAP financial measures in assessing our performance and when planning, forecasting and analyzing future periods. We believe these non-GAAP financial measures are useful to investors because they provide greater transparency with respect to key metrics used by management in its financial and operational decision making and because they are used by our institutional investors and the analyst community to analyze the health of our business.</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u w:val="single" w:color="auto"/>
          <w:color w:val="auto"/>
        </w:rPr>
        <w:t>Non-GAAP operating expenses</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non-GAAP operating income</w:t>
      </w:r>
      <w:r>
        <w:rPr>
          <w:rFonts w:ascii="Arial" w:cs="Arial" w:eastAsia="Arial" w:hAnsi="Arial"/>
          <w:sz w:val="17"/>
          <w:szCs w:val="17"/>
          <w:color w:val="auto"/>
        </w:rPr>
        <w:t xml:space="preserve"> – We define non-GAAP operating expenses as operating expenses excluding certain expenses related to the amortization of intangible assets, restructuring, acquisition and integration, and goodwill impairment. We define non-GAAP operating income as operating income excluding the expenses related to the amortization of intangible assets, restructuring, acquisition and integration, corporate transition costs, and goodwill impairment. Acquisition and integration related expenses include costs, which are incurred to affect and integrate business combinations, such as professional fees, certain employee retention and salaries related to integration, severances, contract terminations, travel costs related to knowledge transfer, system conversion costs, and asset impairment charges. We consider these non-GAAP financial measures to be useful metrics for management and investors because they exclude the effect of expenses that are related to acquisitions and restructuring projects. By excluding these expenses, we believe that it is easier for management and investors to compare our financial results over multiple periods and analyze trends in our operations. For example, in certain periods expenses related to amortization of intangible assets may decrease, which would improve GAAP operating margins, yet the improvement in GAAP operating margins due to this lower expense is not necessarily reflective of an improvement in our core business. There are some limitations related to the use of non-GAAP operating expenses and non-GAAP operating income versus operating expenses and operating income calculated in accordance with GAAP. We compensate for these limitations by providing specific information about the GAAP amounts excluded from non-GAAP operating expense and non-GAAP operating income and evaluating non-GAAP operating expense and non-GAAP operating income together with GAAP operating expense and GAAP operating income.</w:t>
      </w:r>
    </w:p>
    <w:p>
      <w:pPr>
        <w:spacing w:after="0" w:line="1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u w:val="single" w:color="auto"/>
          <w:color w:val="auto"/>
        </w:rPr>
        <w:t>Non-GAAP net income</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non-GAAP diluted EPS</w:t>
      </w:r>
      <w:r>
        <w:rPr>
          <w:rFonts w:ascii="Arial" w:cs="Arial" w:eastAsia="Arial" w:hAnsi="Arial"/>
          <w:sz w:val="18"/>
          <w:szCs w:val="18"/>
          <w:color w:val="auto"/>
        </w:rPr>
        <w:t xml:space="preserve"> – We define non-GAAP net income as net income attributable to Itron, Inc. excluding the expenses associated with amortization of intangible assets, restructuring, acquisition and integration, goodwill impairment, amortization of debt placement fees, corporate transition costs, and the tax effect of excluding these expenses. We define non-GAAP diluted EPS as non-GAAP net income divided by the weighted average shares, on a diluted basis, outstanding during each period. We consider these financial measures to be useful metrics for management and investors for the same reasons that we use non-GAAP operating income. The same limitations described above regarding our use of non-GAAP operating income apply to our use of non-GAAP net income and non-GAAP diluted EPS. We compensate for these limitations by providing specific information regarding the GAAP amounts excluded from these non-GAAP measures and evaluating non-GAAP net income and non-GAAP diluted EPS together with GAAP net income attributable to Itron, Inc. and GAAP diluted EPS.</w:t>
      </w:r>
    </w:p>
    <w:p>
      <w:pPr>
        <w:spacing w:after="0" w:line="19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For interim periods, beginning the first quarter of 2019, the budgeted annual effective tax rate (AETR) is used, adjusted for any discrete items, as defined in ASC 740 - Income Taxes. The budgeted AETR is determined at the beginning of the fiscal year. The AETR is revised throughout the year based on changes to our full-year forecast. If the revised AETR increases or decreases by 200 basis points or more from the budgeted AETR due to changes in the full-year forecast during the year, the revised AETR is used in place of the budgeted AETR beginning with the quarter the 200 basis point threshold is exceeded and going forward for all subsequent interim quarters in the year. We continue to assess the AETR based on latest forecast throughout the year and use the most recent AETR anytime it increases or decreases by 200 basis points or more from the prior interim period.</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u w:val="single" w:color="auto"/>
          <w:color w:val="auto"/>
        </w:rPr>
        <w:t>Adjusted EBITDA</w:t>
      </w:r>
      <w:r>
        <w:rPr>
          <w:rFonts w:ascii="Arial" w:cs="Arial" w:eastAsia="Arial" w:hAnsi="Arial"/>
          <w:sz w:val="18"/>
          <w:szCs w:val="18"/>
          <w:color w:val="auto"/>
        </w:rPr>
        <w:t xml:space="preserve"> – We define adjusted EBITDA as net income (a) minus interest income, (b) plus interest expense, depreciation and amortization of intangible assets, restructuring, acquisition and integration related expense, corporate transition cost, goodwill impairment and (c) excluding income tax provision or benefit. Management uses adjusted EBITDA as a performance measure for executive compensation. A limitation to using adjusted EBITDA is that it does not represent the total increase or decrease in the cash balance for the period and the measure includes some non-cash items and excludes other non-cash items. Additionally, the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items that we exclude in our calculation of adjusted EBITDA may differ from the items that our peer companies exclude when they report their results. We compensate for these limitations by providing a reconciliation of this measure to GAAP net income.</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u w:val="single" w:color="auto"/>
          <w:color w:val="auto"/>
        </w:rPr>
        <w:t>Free cash flow</w:t>
      </w:r>
      <w:r>
        <w:rPr>
          <w:rFonts w:ascii="Arial" w:cs="Arial" w:eastAsia="Arial" w:hAnsi="Arial"/>
          <w:sz w:val="17"/>
          <w:szCs w:val="17"/>
          <w:color w:val="auto"/>
        </w:rPr>
        <w:t xml:space="preserve"> – We define free cash flow as cash provided by (used in) operating activities less cash used for acquisitions of property, plant and equipment. We believe free cash flow provides investors with a relevant measure of liquidity and a useful basis for assessing our ability to fund our operations and repay our debt. The same limitations described above regarding our use of adjusted EBITDA apply to our use of free cash flow. We compensate for these limitations by providing specific information regarding the GAAP amounts and reconciling to free cash flow.</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u w:val="single" w:color="auto"/>
          <w:color w:val="auto"/>
        </w:rPr>
        <w:t>Constant currency</w:t>
      </w:r>
      <w:r>
        <w:rPr>
          <w:rFonts w:ascii="Arial" w:cs="Arial" w:eastAsia="Arial" w:hAnsi="Arial"/>
          <w:sz w:val="17"/>
          <w:szCs w:val="17"/>
          <w:color w:val="auto"/>
        </w:rPr>
        <w:t xml:space="preserve"> – We refer to the impact of foreign currency exchange rate fluctuations in our discussions of financial results, which references the differences between the foreign currency exchange rates used to translate operating results from local currencies into U.S. dollars for financial reporting purposes. We also use the term "constant currency," which represents financial results adjusted to exclude changes in foreign currency exchange rates as compared with the rates in the comparable prior year period. We calculate the "constant currency" change as the difference between the current period results and the comparable prior period's results restated using current period foreign currency exchange rates.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GAAP Measures to Non-GAAP Measures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accompanying tables have more detail on the GAAP financial measures that are most directly comparable to the non-GAAP financial measures and the related reconciliations between these financial measures.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40" w:type="dxa"/>
            <w:vAlign w:val="bottom"/>
          </w:tcPr>
          <w:p>
            <w:pPr>
              <w:ind w:left="40"/>
              <w:spacing w:after="0"/>
              <w:rPr>
                <w:sz w:val="20"/>
                <w:szCs w:val="20"/>
                <w:color w:val="auto"/>
              </w:rPr>
            </w:pPr>
            <w:r>
              <w:rPr>
                <w:rFonts w:ascii="Arial" w:cs="Arial" w:eastAsia="Arial" w:hAnsi="Arial"/>
                <w:sz w:val="16"/>
                <w:szCs w:val="16"/>
                <w:b w:val="1"/>
                <w:bCs w:val="1"/>
                <w:color w:val="auto"/>
              </w:rPr>
              <w:t>TOTAL COMPANY RECONCILIATIONS</w:t>
            </w:r>
          </w:p>
        </w:tc>
        <w:tc>
          <w:tcPr>
            <w:tcW w:w="380" w:type="dxa"/>
            <w:vAlign w:val="bottom"/>
          </w:tcPr>
          <w:p>
            <w:pPr>
              <w:spacing w:after="0"/>
              <w:rPr>
                <w:sz w:val="18"/>
                <w:szCs w:val="18"/>
                <w:color w:val="auto"/>
              </w:rPr>
            </w:pPr>
          </w:p>
        </w:tc>
        <w:tc>
          <w:tcPr>
            <w:tcW w:w="3100" w:type="dxa"/>
            <w:vAlign w:val="bottom"/>
            <w:gridSpan w:val="4"/>
          </w:tcPr>
          <w:p>
            <w:pPr>
              <w:jc w:val="right"/>
              <w:ind w:right="538"/>
              <w:spacing w:after="0"/>
              <w:rPr>
                <w:sz w:val="20"/>
                <w:szCs w:val="20"/>
                <w:color w:val="auto"/>
              </w:rPr>
            </w:pPr>
            <w:r>
              <w:rPr>
                <w:rFonts w:ascii="Arial" w:cs="Arial" w:eastAsia="Arial" w:hAnsi="Arial"/>
                <w:sz w:val="16"/>
                <w:szCs w:val="16"/>
                <w:b w:val="1"/>
                <w:bCs w:val="1"/>
                <w:color w:val="auto"/>
              </w:rPr>
              <w:t>Three Months Ended March 31,</w:t>
            </w:r>
          </w:p>
        </w:tc>
        <w:tc>
          <w:tcPr>
            <w:tcW w:w="0" w:type="dxa"/>
            <w:vAlign w:val="bottom"/>
          </w:tcPr>
          <w:p>
            <w:pPr>
              <w:spacing w:after="0"/>
              <w:rPr>
                <w:sz w:val="1"/>
                <w:szCs w:val="1"/>
                <w:color w:val="auto"/>
              </w:rPr>
            </w:pPr>
          </w:p>
        </w:tc>
      </w:tr>
      <w:tr>
        <w:trPr>
          <w:trHeight w:val="33"/>
        </w:trPr>
        <w:tc>
          <w:tcPr>
            <w:tcW w:w="79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940" w:type="dxa"/>
            <w:vAlign w:val="bottom"/>
          </w:tcPr>
          <w:p>
            <w:pPr>
              <w:ind w:left="140"/>
              <w:spacing w:after="0"/>
              <w:rPr>
                <w:sz w:val="20"/>
                <w:szCs w:val="20"/>
                <w:color w:val="auto"/>
              </w:rPr>
            </w:pPr>
            <w:r>
              <w:rPr>
                <w:rFonts w:ascii="Arial" w:cs="Arial" w:eastAsia="Arial" w:hAnsi="Arial"/>
                <w:sz w:val="16"/>
                <w:szCs w:val="16"/>
                <w:i w:val="1"/>
                <w:iCs w:val="1"/>
                <w:color w:val="auto"/>
              </w:rPr>
              <w:t>In thousands, except per share data</w:t>
            </w:r>
          </w:p>
        </w:tc>
        <w:tc>
          <w:tcPr>
            <w:tcW w:w="3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98"/>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33"/>
        </w:trPr>
        <w:tc>
          <w:tcPr>
            <w:tcW w:w="7940" w:type="dxa"/>
            <w:vAlign w:val="bottom"/>
            <w:vMerge w:val="restart"/>
          </w:tcPr>
          <w:p>
            <w:pPr>
              <w:ind w:left="140"/>
              <w:spacing w:after="0"/>
              <w:rPr>
                <w:sz w:val="20"/>
                <w:szCs w:val="20"/>
                <w:color w:val="auto"/>
              </w:rPr>
            </w:pPr>
            <w:r>
              <w:rPr>
                <w:rFonts w:ascii="Arial" w:cs="Arial" w:eastAsia="Arial" w:hAnsi="Arial"/>
                <w:sz w:val="16"/>
                <w:szCs w:val="16"/>
                <w:b w:val="1"/>
                <w:bCs w:val="1"/>
                <w:color w:val="auto"/>
              </w:rPr>
              <w:t>NON-GAAP OPERATING EXPENSES</w:t>
            </w: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940" w:type="dxa"/>
            <w:vAlign w:val="bottom"/>
            <w:vMerge w:val="continue"/>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GAAP operating expenses</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166,440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320,303</w:t>
            </w:r>
          </w:p>
        </w:tc>
        <w:tc>
          <w:tcPr>
            <w:tcW w:w="0" w:type="dxa"/>
            <w:vAlign w:val="bottom"/>
          </w:tcPr>
          <w:p>
            <w:pPr>
              <w:spacing w:after="0"/>
              <w:rPr>
                <w:sz w:val="1"/>
                <w:szCs w:val="1"/>
                <w:color w:val="auto"/>
              </w:rPr>
            </w:pPr>
          </w:p>
        </w:tc>
      </w:tr>
      <w:tr>
        <w:trPr>
          <w:trHeight w:val="237"/>
        </w:trPr>
        <w:tc>
          <w:tcPr>
            <w:tcW w:w="7940" w:type="dxa"/>
            <w:vAlign w:val="bottom"/>
          </w:tcPr>
          <w:p>
            <w:pPr>
              <w:ind w:left="460"/>
              <w:spacing w:after="0"/>
              <w:rPr>
                <w:sz w:val="20"/>
                <w:szCs w:val="20"/>
                <w:color w:val="auto"/>
              </w:rPr>
            </w:pPr>
            <w:r>
              <w:rPr>
                <w:rFonts w:ascii="Arial" w:cs="Arial" w:eastAsia="Arial" w:hAnsi="Arial"/>
                <w:sz w:val="16"/>
                <w:szCs w:val="16"/>
                <w:color w:val="auto"/>
              </w:rPr>
              <w:t>Amortization of intangible assets</w:t>
            </w: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(15,973)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(17,740)</w:t>
            </w:r>
          </w:p>
        </w:tc>
        <w:tc>
          <w:tcPr>
            <w:tcW w:w="0" w:type="dxa"/>
            <w:vAlign w:val="bottom"/>
          </w:tcPr>
          <w:p>
            <w:pPr>
              <w:spacing w:after="0"/>
              <w:rPr>
                <w:sz w:val="1"/>
                <w:szCs w:val="1"/>
                <w:color w:val="auto"/>
              </w:rPr>
            </w:pPr>
          </w:p>
        </w:tc>
      </w:tr>
      <w:tr>
        <w:trPr>
          <w:trHeight w:val="33"/>
        </w:trPr>
        <w:tc>
          <w:tcPr>
            <w:tcW w:w="7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Restructuring</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(7,262)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(87,865)</w:t>
            </w:r>
          </w:p>
        </w:tc>
        <w:tc>
          <w:tcPr>
            <w:tcW w:w="0" w:type="dxa"/>
            <w:vAlign w:val="bottom"/>
          </w:tcPr>
          <w:p>
            <w:pPr>
              <w:spacing w:after="0"/>
              <w:rPr>
                <w:sz w:val="1"/>
                <w:szCs w:val="1"/>
                <w:color w:val="auto"/>
              </w:rPr>
            </w:pPr>
          </w:p>
        </w:tc>
      </w:tr>
      <w:tr>
        <w:trPr>
          <w:trHeight w:val="263"/>
        </w:trPr>
        <w:tc>
          <w:tcPr>
            <w:tcW w:w="7940" w:type="dxa"/>
            <w:vAlign w:val="bottom"/>
          </w:tcPr>
          <w:p>
            <w:pPr>
              <w:ind w:left="460"/>
              <w:spacing w:after="0"/>
              <w:rPr>
                <w:sz w:val="20"/>
                <w:szCs w:val="20"/>
                <w:color w:val="auto"/>
              </w:rPr>
            </w:pPr>
            <w:r>
              <w:rPr>
                <w:rFonts w:ascii="Arial" w:cs="Arial" w:eastAsia="Arial" w:hAnsi="Arial"/>
                <w:sz w:val="16"/>
                <w:szCs w:val="16"/>
                <w:color w:val="auto"/>
              </w:rPr>
              <w:t>Corporate transition cost</w:t>
            </w:r>
          </w:p>
        </w:tc>
        <w:tc>
          <w:tcPr>
            <w:tcW w:w="3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(1,083)</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79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Acquisition and integration related expense</w:t>
            </w:r>
          </w:p>
        </w:tc>
        <w:tc>
          <w:tcPr>
            <w:tcW w:w="38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(11,565)</w:t>
            </w:r>
          </w:p>
        </w:tc>
        <w:tc>
          <w:tcPr>
            <w:tcW w:w="1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(62,647)</w:t>
            </w:r>
          </w:p>
        </w:tc>
        <w:tc>
          <w:tcPr>
            <w:tcW w:w="0" w:type="dxa"/>
            <w:vAlign w:val="bottom"/>
          </w:tcPr>
          <w:p>
            <w:pPr>
              <w:spacing w:after="0"/>
              <w:rPr>
                <w:sz w:val="1"/>
                <w:szCs w:val="1"/>
                <w:color w:val="auto"/>
              </w:rPr>
            </w:pPr>
          </w:p>
        </w:tc>
      </w:tr>
      <w:tr>
        <w:trPr>
          <w:trHeight w:val="284"/>
        </w:trPr>
        <w:tc>
          <w:tcPr>
            <w:tcW w:w="794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Non-GAAP operating expenses</w:t>
            </w: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130,557</w:t>
            </w:r>
          </w:p>
        </w:tc>
        <w:tc>
          <w:tcPr>
            <w:tcW w:w="1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6"/>
                <w:szCs w:val="16"/>
                <w:color w:val="auto"/>
              </w:rPr>
              <w:t>152,051</w:t>
            </w:r>
          </w:p>
        </w:tc>
        <w:tc>
          <w:tcPr>
            <w:tcW w:w="0" w:type="dxa"/>
            <w:vAlign w:val="bottom"/>
          </w:tcPr>
          <w:p>
            <w:pPr>
              <w:spacing w:after="0"/>
              <w:rPr>
                <w:sz w:val="1"/>
                <w:szCs w:val="1"/>
                <w:color w:val="auto"/>
              </w:rPr>
            </w:pPr>
          </w:p>
        </w:tc>
      </w:tr>
      <w:tr>
        <w:trPr>
          <w:trHeight w:val="149"/>
        </w:trPr>
        <w:tc>
          <w:tcPr>
            <w:tcW w:w="79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7940" w:type="dxa"/>
            <w:vAlign w:val="bottom"/>
          </w:tcPr>
          <w:p>
            <w:pPr>
              <w:ind w:left="140"/>
              <w:spacing w:after="0"/>
              <w:rPr>
                <w:sz w:val="20"/>
                <w:szCs w:val="20"/>
                <w:color w:val="auto"/>
              </w:rPr>
            </w:pPr>
            <w:r>
              <w:rPr>
                <w:rFonts w:ascii="Arial" w:cs="Arial" w:eastAsia="Arial" w:hAnsi="Arial"/>
                <w:sz w:val="16"/>
                <w:szCs w:val="16"/>
                <w:b w:val="1"/>
                <w:bCs w:val="1"/>
                <w:color w:val="auto"/>
              </w:rPr>
              <w:t>NON-GAAP OPERATING INCOME</w:t>
            </w: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GAAP operating income (loss)</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20,823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(140,448)</w:t>
            </w:r>
          </w:p>
        </w:tc>
        <w:tc>
          <w:tcPr>
            <w:tcW w:w="0" w:type="dxa"/>
            <w:vAlign w:val="bottom"/>
          </w:tcPr>
          <w:p>
            <w:pPr>
              <w:spacing w:after="0"/>
              <w:rPr>
                <w:sz w:val="1"/>
                <w:szCs w:val="1"/>
                <w:color w:val="auto"/>
              </w:rPr>
            </w:pPr>
          </w:p>
        </w:tc>
      </w:tr>
      <w:tr>
        <w:trPr>
          <w:trHeight w:val="237"/>
        </w:trPr>
        <w:tc>
          <w:tcPr>
            <w:tcW w:w="7940" w:type="dxa"/>
            <w:vAlign w:val="bottom"/>
          </w:tcPr>
          <w:p>
            <w:pPr>
              <w:ind w:left="460"/>
              <w:spacing w:after="0"/>
              <w:rPr>
                <w:sz w:val="20"/>
                <w:szCs w:val="20"/>
                <w:color w:val="auto"/>
              </w:rPr>
            </w:pPr>
            <w:r>
              <w:rPr>
                <w:rFonts w:ascii="Arial" w:cs="Arial" w:eastAsia="Arial" w:hAnsi="Arial"/>
                <w:sz w:val="16"/>
                <w:szCs w:val="16"/>
                <w:color w:val="auto"/>
              </w:rPr>
              <w:t>Amortization of intangible assets</w:t>
            </w: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15,973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8"/>
              <w:spacing w:after="0"/>
              <w:rPr>
                <w:sz w:val="20"/>
                <w:szCs w:val="20"/>
                <w:color w:val="auto"/>
              </w:rPr>
            </w:pPr>
            <w:r>
              <w:rPr>
                <w:rFonts w:ascii="Arial" w:cs="Arial" w:eastAsia="Arial" w:hAnsi="Arial"/>
                <w:sz w:val="16"/>
                <w:szCs w:val="16"/>
                <w:color w:val="auto"/>
              </w:rPr>
              <w:t>17,740</w:t>
            </w:r>
          </w:p>
        </w:tc>
        <w:tc>
          <w:tcPr>
            <w:tcW w:w="0" w:type="dxa"/>
            <w:vAlign w:val="bottom"/>
          </w:tcPr>
          <w:p>
            <w:pPr>
              <w:spacing w:after="0"/>
              <w:rPr>
                <w:sz w:val="1"/>
                <w:szCs w:val="1"/>
                <w:color w:val="auto"/>
              </w:rPr>
            </w:pPr>
          </w:p>
        </w:tc>
      </w:tr>
      <w:tr>
        <w:trPr>
          <w:trHeight w:val="33"/>
        </w:trPr>
        <w:tc>
          <w:tcPr>
            <w:tcW w:w="7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Restructuring</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7,262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87,865</w:t>
            </w:r>
          </w:p>
        </w:tc>
        <w:tc>
          <w:tcPr>
            <w:tcW w:w="0" w:type="dxa"/>
            <w:vAlign w:val="bottom"/>
          </w:tcPr>
          <w:p>
            <w:pPr>
              <w:spacing w:after="0"/>
              <w:rPr>
                <w:sz w:val="1"/>
                <w:szCs w:val="1"/>
                <w:color w:val="auto"/>
              </w:rPr>
            </w:pPr>
          </w:p>
        </w:tc>
      </w:tr>
      <w:tr>
        <w:trPr>
          <w:trHeight w:val="263"/>
        </w:trPr>
        <w:tc>
          <w:tcPr>
            <w:tcW w:w="7940" w:type="dxa"/>
            <w:vAlign w:val="bottom"/>
          </w:tcPr>
          <w:p>
            <w:pPr>
              <w:ind w:left="460"/>
              <w:spacing w:after="0"/>
              <w:rPr>
                <w:sz w:val="20"/>
                <w:szCs w:val="20"/>
                <w:color w:val="auto"/>
              </w:rPr>
            </w:pPr>
            <w:r>
              <w:rPr>
                <w:rFonts w:ascii="Arial" w:cs="Arial" w:eastAsia="Arial" w:hAnsi="Arial"/>
                <w:sz w:val="16"/>
                <w:szCs w:val="16"/>
                <w:color w:val="auto"/>
              </w:rPr>
              <w:t>Corporate transition cost</w:t>
            </w:r>
          </w:p>
        </w:tc>
        <w:tc>
          <w:tcPr>
            <w:tcW w:w="3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1,083</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79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Acquisition and integration related expense</w:t>
            </w:r>
          </w:p>
        </w:tc>
        <w:tc>
          <w:tcPr>
            <w:tcW w:w="38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11,565</w:t>
            </w:r>
          </w:p>
        </w:tc>
        <w:tc>
          <w:tcPr>
            <w:tcW w:w="1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62,647</w:t>
            </w:r>
          </w:p>
        </w:tc>
        <w:tc>
          <w:tcPr>
            <w:tcW w:w="0" w:type="dxa"/>
            <w:vAlign w:val="bottom"/>
          </w:tcPr>
          <w:p>
            <w:pPr>
              <w:spacing w:after="0"/>
              <w:rPr>
                <w:sz w:val="1"/>
                <w:szCs w:val="1"/>
                <w:color w:val="auto"/>
              </w:rPr>
            </w:pPr>
          </w:p>
        </w:tc>
      </w:tr>
      <w:tr>
        <w:trPr>
          <w:trHeight w:val="284"/>
        </w:trPr>
        <w:tc>
          <w:tcPr>
            <w:tcW w:w="794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Non-GAAP operating income</w:t>
            </w: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56,706</w:t>
            </w:r>
          </w:p>
        </w:tc>
        <w:tc>
          <w:tcPr>
            <w:tcW w:w="1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6"/>
                <w:szCs w:val="16"/>
                <w:color w:val="auto"/>
              </w:rPr>
              <w:t>27,804</w:t>
            </w:r>
          </w:p>
        </w:tc>
        <w:tc>
          <w:tcPr>
            <w:tcW w:w="0" w:type="dxa"/>
            <w:vAlign w:val="bottom"/>
          </w:tcPr>
          <w:p>
            <w:pPr>
              <w:spacing w:after="0"/>
              <w:rPr>
                <w:sz w:val="1"/>
                <w:szCs w:val="1"/>
                <w:color w:val="auto"/>
              </w:rPr>
            </w:pPr>
          </w:p>
        </w:tc>
      </w:tr>
      <w:tr>
        <w:trPr>
          <w:trHeight w:val="149"/>
        </w:trPr>
        <w:tc>
          <w:tcPr>
            <w:tcW w:w="79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7940" w:type="dxa"/>
            <w:vAlign w:val="bottom"/>
          </w:tcPr>
          <w:p>
            <w:pPr>
              <w:ind w:left="140"/>
              <w:spacing w:after="0"/>
              <w:rPr>
                <w:sz w:val="20"/>
                <w:szCs w:val="20"/>
                <w:color w:val="auto"/>
              </w:rPr>
            </w:pPr>
            <w:r>
              <w:rPr>
                <w:rFonts w:ascii="Arial" w:cs="Arial" w:eastAsia="Arial" w:hAnsi="Arial"/>
                <w:sz w:val="16"/>
                <w:szCs w:val="16"/>
                <w:b w:val="1"/>
                <w:bCs w:val="1"/>
                <w:color w:val="auto"/>
              </w:rPr>
              <w:t>NON-GAAP NET INCOME &amp; DILUTED EPS</w:t>
            </w: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GAAP loss attributable to Itron, Inc.</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(1,907)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(145,666)</w:t>
            </w:r>
          </w:p>
        </w:tc>
        <w:tc>
          <w:tcPr>
            <w:tcW w:w="0" w:type="dxa"/>
            <w:vAlign w:val="bottom"/>
          </w:tcPr>
          <w:p>
            <w:pPr>
              <w:spacing w:after="0"/>
              <w:rPr>
                <w:sz w:val="1"/>
                <w:szCs w:val="1"/>
                <w:color w:val="auto"/>
              </w:rPr>
            </w:pPr>
          </w:p>
        </w:tc>
      </w:tr>
      <w:tr>
        <w:trPr>
          <w:trHeight w:val="237"/>
        </w:trPr>
        <w:tc>
          <w:tcPr>
            <w:tcW w:w="7940" w:type="dxa"/>
            <w:vAlign w:val="bottom"/>
          </w:tcPr>
          <w:p>
            <w:pPr>
              <w:ind w:left="460"/>
              <w:spacing w:after="0"/>
              <w:rPr>
                <w:sz w:val="20"/>
                <w:szCs w:val="20"/>
                <w:color w:val="auto"/>
              </w:rPr>
            </w:pPr>
            <w:r>
              <w:rPr>
                <w:rFonts w:ascii="Arial" w:cs="Arial" w:eastAsia="Arial" w:hAnsi="Arial"/>
                <w:sz w:val="16"/>
                <w:szCs w:val="16"/>
                <w:color w:val="auto"/>
              </w:rPr>
              <w:t>Amortization of intangible assets</w:t>
            </w: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15,973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8"/>
              <w:spacing w:after="0"/>
              <w:rPr>
                <w:sz w:val="20"/>
                <w:szCs w:val="20"/>
                <w:color w:val="auto"/>
              </w:rPr>
            </w:pPr>
            <w:r>
              <w:rPr>
                <w:rFonts w:ascii="Arial" w:cs="Arial" w:eastAsia="Arial" w:hAnsi="Arial"/>
                <w:sz w:val="16"/>
                <w:szCs w:val="16"/>
                <w:color w:val="auto"/>
              </w:rPr>
              <w:t>17,740</w:t>
            </w:r>
          </w:p>
        </w:tc>
        <w:tc>
          <w:tcPr>
            <w:tcW w:w="0" w:type="dxa"/>
            <w:vAlign w:val="bottom"/>
          </w:tcPr>
          <w:p>
            <w:pPr>
              <w:spacing w:after="0"/>
              <w:rPr>
                <w:sz w:val="1"/>
                <w:szCs w:val="1"/>
                <w:color w:val="auto"/>
              </w:rPr>
            </w:pPr>
          </w:p>
        </w:tc>
      </w:tr>
      <w:tr>
        <w:trPr>
          <w:trHeight w:val="33"/>
        </w:trPr>
        <w:tc>
          <w:tcPr>
            <w:tcW w:w="7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Amortization of debt placement fees</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3,343</w:t>
            </w:r>
          </w:p>
        </w:tc>
        <w:tc>
          <w:tcPr>
            <w:tcW w:w="0" w:type="dxa"/>
            <w:vAlign w:val="bottom"/>
          </w:tcPr>
          <w:p>
            <w:pPr>
              <w:spacing w:after="0"/>
              <w:rPr>
                <w:sz w:val="1"/>
                <w:szCs w:val="1"/>
                <w:color w:val="auto"/>
              </w:rPr>
            </w:pPr>
          </w:p>
        </w:tc>
      </w:tr>
      <w:tr>
        <w:trPr>
          <w:trHeight w:val="237"/>
        </w:trPr>
        <w:tc>
          <w:tcPr>
            <w:tcW w:w="7940" w:type="dxa"/>
            <w:vAlign w:val="bottom"/>
          </w:tcPr>
          <w:p>
            <w:pPr>
              <w:ind w:left="460"/>
              <w:spacing w:after="0"/>
              <w:rPr>
                <w:sz w:val="20"/>
                <w:szCs w:val="20"/>
                <w:color w:val="auto"/>
              </w:rPr>
            </w:pPr>
            <w:r>
              <w:rPr>
                <w:rFonts w:ascii="Arial" w:cs="Arial" w:eastAsia="Arial" w:hAnsi="Arial"/>
                <w:sz w:val="16"/>
                <w:szCs w:val="16"/>
                <w:color w:val="auto"/>
              </w:rPr>
              <w:t>Restructuring</w:t>
            </w: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7,262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8"/>
              <w:spacing w:after="0"/>
              <w:rPr>
                <w:sz w:val="20"/>
                <w:szCs w:val="20"/>
                <w:color w:val="auto"/>
              </w:rPr>
            </w:pPr>
            <w:r>
              <w:rPr>
                <w:rFonts w:ascii="Arial" w:cs="Arial" w:eastAsia="Arial" w:hAnsi="Arial"/>
                <w:sz w:val="16"/>
                <w:szCs w:val="16"/>
                <w:color w:val="auto"/>
              </w:rPr>
              <w:t>87,865</w:t>
            </w:r>
          </w:p>
        </w:tc>
        <w:tc>
          <w:tcPr>
            <w:tcW w:w="0" w:type="dxa"/>
            <w:vAlign w:val="bottom"/>
          </w:tcPr>
          <w:p>
            <w:pPr>
              <w:spacing w:after="0"/>
              <w:rPr>
                <w:sz w:val="1"/>
                <w:szCs w:val="1"/>
                <w:color w:val="auto"/>
              </w:rPr>
            </w:pPr>
          </w:p>
        </w:tc>
      </w:tr>
      <w:tr>
        <w:trPr>
          <w:trHeight w:val="33"/>
        </w:trPr>
        <w:tc>
          <w:tcPr>
            <w:tcW w:w="7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Corporate transition cost</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1,083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7940" w:type="dxa"/>
            <w:vAlign w:val="bottom"/>
          </w:tcPr>
          <w:p>
            <w:pPr>
              <w:ind w:left="460"/>
              <w:spacing w:after="0"/>
              <w:rPr>
                <w:sz w:val="20"/>
                <w:szCs w:val="20"/>
                <w:color w:val="auto"/>
              </w:rPr>
            </w:pPr>
            <w:r>
              <w:rPr>
                <w:rFonts w:ascii="Arial" w:cs="Arial" w:eastAsia="Arial" w:hAnsi="Arial"/>
                <w:sz w:val="16"/>
                <w:szCs w:val="16"/>
                <w:color w:val="auto"/>
              </w:rPr>
              <w:t>Acquisition and integration related expense</w:t>
            </w: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11,565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8"/>
              <w:spacing w:after="0"/>
              <w:rPr>
                <w:sz w:val="20"/>
                <w:szCs w:val="20"/>
                <w:color w:val="auto"/>
              </w:rPr>
            </w:pPr>
            <w:r>
              <w:rPr>
                <w:rFonts w:ascii="Arial" w:cs="Arial" w:eastAsia="Arial" w:hAnsi="Arial"/>
                <w:sz w:val="16"/>
                <w:szCs w:val="16"/>
                <w:color w:val="auto"/>
              </w:rPr>
              <w:t>62,647</w:t>
            </w:r>
          </w:p>
        </w:tc>
        <w:tc>
          <w:tcPr>
            <w:tcW w:w="0" w:type="dxa"/>
            <w:vAlign w:val="bottom"/>
          </w:tcPr>
          <w:p>
            <w:pPr>
              <w:spacing w:after="0"/>
              <w:rPr>
                <w:sz w:val="1"/>
                <w:szCs w:val="1"/>
                <w:color w:val="auto"/>
              </w:rPr>
            </w:pPr>
          </w:p>
        </w:tc>
      </w:tr>
      <w:tr>
        <w:trPr>
          <w:trHeight w:val="33"/>
        </w:trPr>
        <w:tc>
          <w:tcPr>
            <w:tcW w:w="7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Income tax effect of non-GAAP adjustments</w:t>
            </w:r>
            <w:r>
              <w:rPr>
                <w:rFonts w:ascii="Arial" w:cs="Arial" w:eastAsia="Arial" w:hAnsi="Arial"/>
                <w:sz w:val="21"/>
                <w:szCs w:val="21"/>
                <w:color w:val="auto"/>
                <w:vertAlign w:val="superscript"/>
              </w:rPr>
              <w:t>(1)</w:t>
            </w:r>
          </w:p>
        </w:tc>
        <w:tc>
          <w:tcPr>
            <w:tcW w:w="3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(7,242)</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(20,835)</w:t>
            </w:r>
          </w:p>
        </w:tc>
        <w:tc>
          <w:tcPr>
            <w:tcW w:w="0" w:type="dxa"/>
            <w:vAlign w:val="bottom"/>
          </w:tcPr>
          <w:p>
            <w:pPr>
              <w:spacing w:after="0"/>
              <w:rPr>
                <w:sz w:val="1"/>
                <w:szCs w:val="1"/>
                <w:color w:val="auto"/>
              </w:rPr>
            </w:pPr>
          </w:p>
        </w:tc>
      </w:tr>
      <w:tr>
        <w:trPr>
          <w:trHeight w:val="290"/>
        </w:trPr>
        <w:tc>
          <w:tcPr>
            <w:tcW w:w="794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 xml:space="preserve">Non-GAAP net income attributable to Itron, Inc. </w:t>
            </w:r>
            <w:r>
              <w:rPr>
                <w:rFonts w:ascii="Arial" w:cs="Arial" w:eastAsia="Arial" w:hAnsi="Arial"/>
                <w:sz w:val="21"/>
                <w:szCs w:val="21"/>
                <w:color w:val="auto"/>
                <w:vertAlign w:val="superscript"/>
              </w:rPr>
              <w:t>(1)</w:t>
            </w: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27,890</w:t>
            </w: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5,094</w:t>
            </w:r>
          </w:p>
        </w:tc>
        <w:tc>
          <w:tcPr>
            <w:tcW w:w="0" w:type="dxa"/>
            <w:vAlign w:val="bottom"/>
          </w:tcPr>
          <w:p>
            <w:pPr>
              <w:spacing w:after="0"/>
              <w:rPr>
                <w:sz w:val="1"/>
                <w:szCs w:val="1"/>
                <w:color w:val="auto"/>
              </w:rPr>
            </w:pPr>
          </w:p>
        </w:tc>
      </w:tr>
      <w:tr>
        <w:trPr>
          <w:trHeight w:val="251"/>
        </w:trPr>
        <w:tc>
          <w:tcPr>
            <w:tcW w:w="79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794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 xml:space="preserve">Non-GAAP diluted EPS </w:t>
            </w:r>
            <w:r>
              <w:rPr>
                <w:rFonts w:ascii="Arial" w:cs="Arial" w:eastAsia="Arial" w:hAnsi="Arial"/>
                <w:sz w:val="21"/>
                <w:szCs w:val="21"/>
                <w:color w:val="auto"/>
                <w:vertAlign w:val="superscript"/>
              </w:rPr>
              <w:t>(1)</w:t>
            </w: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0.70</w:t>
            </w: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0.13</w:t>
            </w:r>
          </w:p>
        </w:tc>
        <w:tc>
          <w:tcPr>
            <w:tcW w:w="0" w:type="dxa"/>
            <w:vAlign w:val="bottom"/>
          </w:tcPr>
          <w:p>
            <w:pPr>
              <w:spacing w:after="0"/>
              <w:rPr>
                <w:sz w:val="1"/>
                <w:szCs w:val="1"/>
                <w:color w:val="auto"/>
              </w:rPr>
            </w:pPr>
          </w:p>
        </w:tc>
      </w:tr>
      <w:tr>
        <w:trPr>
          <w:trHeight w:val="251"/>
        </w:trPr>
        <w:tc>
          <w:tcPr>
            <w:tcW w:w="79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0"/>
        </w:trPr>
        <w:tc>
          <w:tcPr>
            <w:tcW w:w="794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Weighted average common shares outstanding - Diluted</w:t>
            </w: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40,066</w:t>
            </w: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39,773</w:t>
            </w:r>
          </w:p>
        </w:tc>
        <w:tc>
          <w:tcPr>
            <w:tcW w:w="0" w:type="dxa"/>
            <w:vAlign w:val="bottom"/>
          </w:tcPr>
          <w:p>
            <w:pPr>
              <w:spacing w:after="0"/>
              <w:rPr>
                <w:sz w:val="1"/>
                <w:szCs w:val="1"/>
                <w:color w:val="auto"/>
              </w:rPr>
            </w:pPr>
          </w:p>
        </w:tc>
      </w:tr>
      <w:tr>
        <w:trPr>
          <w:trHeight w:val="149"/>
        </w:trPr>
        <w:tc>
          <w:tcPr>
            <w:tcW w:w="79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7940" w:type="dxa"/>
            <w:vAlign w:val="bottom"/>
          </w:tcPr>
          <w:p>
            <w:pPr>
              <w:ind w:left="140"/>
              <w:spacing w:after="0"/>
              <w:rPr>
                <w:sz w:val="20"/>
                <w:szCs w:val="20"/>
                <w:color w:val="auto"/>
              </w:rPr>
            </w:pPr>
            <w:r>
              <w:rPr>
                <w:rFonts w:ascii="Arial" w:cs="Arial" w:eastAsia="Arial" w:hAnsi="Arial"/>
                <w:sz w:val="16"/>
                <w:szCs w:val="16"/>
                <w:b w:val="1"/>
                <w:bCs w:val="1"/>
                <w:color w:val="auto"/>
              </w:rPr>
              <w:t>ADJUSTED EBITDA</w:t>
            </w: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GAAP loss attributable to Itron, Inc.</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(1,907)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(145,666)</w:t>
            </w:r>
          </w:p>
        </w:tc>
        <w:tc>
          <w:tcPr>
            <w:tcW w:w="0" w:type="dxa"/>
            <w:vAlign w:val="bottom"/>
          </w:tcPr>
          <w:p>
            <w:pPr>
              <w:spacing w:after="0"/>
              <w:rPr>
                <w:sz w:val="1"/>
                <w:szCs w:val="1"/>
                <w:color w:val="auto"/>
              </w:rPr>
            </w:pPr>
          </w:p>
        </w:tc>
      </w:tr>
      <w:tr>
        <w:trPr>
          <w:trHeight w:val="237"/>
        </w:trPr>
        <w:tc>
          <w:tcPr>
            <w:tcW w:w="7940" w:type="dxa"/>
            <w:vAlign w:val="bottom"/>
          </w:tcPr>
          <w:p>
            <w:pPr>
              <w:ind w:left="460"/>
              <w:spacing w:after="0"/>
              <w:rPr>
                <w:sz w:val="20"/>
                <w:szCs w:val="20"/>
                <w:color w:val="auto"/>
              </w:rPr>
            </w:pPr>
            <w:r>
              <w:rPr>
                <w:rFonts w:ascii="Arial" w:cs="Arial" w:eastAsia="Arial" w:hAnsi="Arial"/>
                <w:sz w:val="16"/>
                <w:szCs w:val="16"/>
                <w:color w:val="auto"/>
              </w:rPr>
              <w:t>Interest income</w:t>
            </w: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(328)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(661)</w:t>
            </w:r>
          </w:p>
        </w:tc>
        <w:tc>
          <w:tcPr>
            <w:tcW w:w="0" w:type="dxa"/>
            <w:vAlign w:val="bottom"/>
          </w:tcPr>
          <w:p>
            <w:pPr>
              <w:spacing w:after="0"/>
              <w:rPr>
                <w:sz w:val="1"/>
                <w:szCs w:val="1"/>
                <w:color w:val="auto"/>
              </w:rPr>
            </w:pPr>
          </w:p>
        </w:tc>
      </w:tr>
      <w:tr>
        <w:trPr>
          <w:trHeight w:val="33"/>
        </w:trPr>
        <w:tc>
          <w:tcPr>
            <w:tcW w:w="7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Interest expense</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13,535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15,504</w:t>
            </w:r>
          </w:p>
        </w:tc>
        <w:tc>
          <w:tcPr>
            <w:tcW w:w="0" w:type="dxa"/>
            <w:vAlign w:val="bottom"/>
          </w:tcPr>
          <w:p>
            <w:pPr>
              <w:spacing w:after="0"/>
              <w:rPr>
                <w:sz w:val="1"/>
                <w:szCs w:val="1"/>
                <w:color w:val="auto"/>
              </w:rPr>
            </w:pPr>
          </w:p>
        </w:tc>
      </w:tr>
      <w:tr>
        <w:trPr>
          <w:trHeight w:val="237"/>
        </w:trPr>
        <w:tc>
          <w:tcPr>
            <w:tcW w:w="7940" w:type="dxa"/>
            <w:vAlign w:val="bottom"/>
          </w:tcPr>
          <w:p>
            <w:pPr>
              <w:ind w:left="460"/>
              <w:spacing w:after="0"/>
              <w:rPr>
                <w:sz w:val="20"/>
                <w:szCs w:val="20"/>
                <w:color w:val="auto"/>
              </w:rPr>
            </w:pPr>
            <w:r>
              <w:rPr>
                <w:rFonts w:ascii="Arial" w:cs="Arial" w:eastAsia="Arial" w:hAnsi="Arial"/>
                <w:sz w:val="16"/>
                <w:szCs w:val="16"/>
                <w:color w:val="auto"/>
              </w:rPr>
              <w:t>Income tax provision (benefit)</w:t>
            </w: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6,121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(11,188)</w:t>
            </w:r>
          </w:p>
        </w:tc>
        <w:tc>
          <w:tcPr>
            <w:tcW w:w="0" w:type="dxa"/>
            <w:vAlign w:val="bottom"/>
          </w:tcPr>
          <w:p>
            <w:pPr>
              <w:spacing w:after="0"/>
              <w:rPr>
                <w:sz w:val="1"/>
                <w:szCs w:val="1"/>
                <w:color w:val="auto"/>
              </w:rPr>
            </w:pPr>
          </w:p>
        </w:tc>
      </w:tr>
      <w:tr>
        <w:trPr>
          <w:trHeight w:val="33"/>
        </w:trPr>
        <w:tc>
          <w:tcPr>
            <w:tcW w:w="7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Depreciation and amortization of intangible assets</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28,427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31,072</w:t>
            </w:r>
          </w:p>
        </w:tc>
        <w:tc>
          <w:tcPr>
            <w:tcW w:w="0" w:type="dxa"/>
            <w:vAlign w:val="bottom"/>
          </w:tcPr>
          <w:p>
            <w:pPr>
              <w:spacing w:after="0"/>
              <w:rPr>
                <w:sz w:val="1"/>
                <w:szCs w:val="1"/>
                <w:color w:val="auto"/>
              </w:rPr>
            </w:pPr>
          </w:p>
        </w:tc>
      </w:tr>
      <w:tr>
        <w:trPr>
          <w:trHeight w:val="237"/>
        </w:trPr>
        <w:tc>
          <w:tcPr>
            <w:tcW w:w="7940" w:type="dxa"/>
            <w:vAlign w:val="bottom"/>
          </w:tcPr>
          <w:p>
            <w:pPr>
              <w:ind w:left="460"/>
              <w:spacing w:after="0"/>
              <w:rPr>
                <w:sz w:val="20"/>
                <w:szCs w:val="20"/>
                <w:color w:val="auto"/>
              </w:rPr>
            </w:pPr>
            <w:r>
              <w:rPr>
                <w:rFonts w:ascii="Arial" w:cs="Arial" w:eastAsia="Arial" w:hAnsi="Arial"/>
                <w:sz w:val="16"/>
                <w:szCs w:val="16"/>
                <w:color w:val="auto"/>
              </w:rPr>
              <w:t>Restructuring</w:t>
            </w: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7,262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8"/>
              <w:spacing w:after="0"/>
              <w:rPr>
                <w:sz w:val="20"/>
                <w:szCs w:val="20"/>
                <w:color w:val="auto"/>
              </w:rPr>
            </w:pPr>
            <w:r>
              <w:rPr>
                <w:rFonts w:ascii="Arial" w:cs="Arial" w:eastAsia="Arial" w:hAnsi="Arial"/>
                <w:sz w:val="16"/>
                <w:szCs w:val="16"/>
                <w:color w:val="auto"/>
              </w:rPr>
              <w:t>87,865</w:t>
            </w:r>
          </w:p>
        </w:tc>
        <w:tc>
          <w:tcPr>
            <w:tcW w:w="0" w:type="dxa"/>
            <w:vAlign w:val="bottom"/>
          </w:tcPr>
          <w:p>
            <w:pPr>
              <w:spacing w:after="0"/>
              <w:rPr>
                <w:sz w:val="1"/>
                <w:szCs w:val="1"/>
                <w:color w:val="auto"/>
              </w:rPr>
            </w:pPr>
          </w:p>
        </w:tc>
      </w:tr>
      <w:tr>
        <w:trPr>
          <w:trHeight w:val="33"/>
        </w:trPr>
        <w:tc>
          <w:tcPr>
            <w:tcW w:w="7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Corporate transition cost</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1,083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7940" w:type="dxa"/>
            <w:vAlign w:val="bottom"/>
          </w:tcPr>
          <w:p>
            <w:pPr>
              <w:ind w:left="460"/>
              <w:spacing w:after="0"/>
              <w:rPr>
                <w:sz w:val="20"/>
                <w:szCs w:val="20"/>
                <w:color w:val="auto"/>
              </w:rPr>
            </w:pPr>
            <w:r>
              <w:rPr>
                <w:rFonts w:ascii="Arial" w:cs="Arial" w:eastAsia="Arial" w:hAnsi="Arial"/>
                <w:sz w:val="16"/>
                <w:szCs w:val="16"/>
                <w:color w:val="auto"/>
              </w:rPr>
              <w:t>Acquisition and integration related expense</w:t>
            </w: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11,565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8"/>
              <w:spacing w:after="0"/>
              <w:rPr>
                <w:sz w:val="20"/>
                <w:szCs w:val="20"/>
                <w:color w:val="auto"/>
              </w:rPr>
            </w:pPr>
            <w:r>
              <w:rPr>
                <w:rFonts w:ascii="Arial" w:cs="Arial" w:eastAsia="Arial" w:hAnsi="Arial"/>
                <w:sz w:val="16"/>
                <w:szCs w:val="16"/>
                <w:color w:val="auto"/>
              </w:rPr>
              <w:t>62,647</w:t>
            </w:r>
          </w:p>
        </w:tc>
        <w:tc>
          <w:tcPr>
            <w:tcW w:w="0" w:type="dxa"/>
            <w:vAlign w:val="bottom"/>
          </w:tcPr>
          <w:p>
            <w:pPr>
              <w:spacing w:after="0"/>
              <w:rPr>
                <w:sz w:val="1"/>
                <w:szCs w:val="1"/>
                <w:color w:val="auto"/>
              </w:rPr>
            </w:pPr>
          </w:p>
        </w:tc>
      </w:tr>
      <w:tr>
        <w:trPr>
          <w:trHeight w:val="33"/>
        </w:trPr>
        <w:tc>
          <w:tcPr>
            <w:tcW w:w="79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Adjusted EBITDA</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65,758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39,573</w:t>
            </w: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79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b w:val="1"/>
                <w:bCs w:val="1"/>
                <w:color w:val="auto"/>
              </w:rPr>
              <w:t>FREE CASH FLOW</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940" w:type="dxa"/>
            <w:vAlign w:val="bottom"/>
          </w:tcPr>
          <w:p>
            <w:pPr>
              <w:ind w:left="460"/>
              <w:spacing w:after="0"/>
              <w:rPr>
                <w:sz w:val="20"/>
                <w:szCs w:val="20"/>
                <w:color w:val="auto"/>
              </w:rPr>
            </w:pPr>
            <w:r>
              <w:rPr>
                <w:rFonts w:ascii="Arial" w:cs="Arial" w:eastAsia="Arial" w:hAnsi="Arial"/>
                <w:sz w:val="16"/>
                <w:szCs w:val="16"/>
                <w:color w:val="auto"/>
              </w:rPr>
              <w:t>Cash provided by (used in) operating activities</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24,924</w:t>
            </w:r>
          </w:p>
        </w:tc>
        <w:tc>
          <w:tcPr>
            <w:tcW w:w="12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(24,448)</w:t>
            </w:r>
          </w:p>
        </w:tc>
        <w:tc>
          <w:tcPr>
            <w:tcW w:w="0" w:type="dxa"/>
            <w:vAlign w:val="bottom"/>
          </w:tcPr>
          <w:p>
            <w:pPr>
              <w:spacing w:after="0"/>
              <w:rPr>
                <w:sz w:val="1"/>
                <w:szCs w:val="1"/>
                <w:color w:val="auto"/>
              </w:rPr>
            </w:pPr>
          </w:p>
        </w:tc>
      </w:tr>
      <w:tr>
        <w:trPr>
          <w:trHeight w:val="33"/>
        </w:trPr>
        <w:tc>
          <w:tcPr>
            <w:tcW w:w="7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Acquisitions of property, plant, and equipment</w:t>
            </w: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(11,415)</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(17,433)</w:t>
            </w:r>
          </w:p>
        </w:tc>
        <w:tc>
          <w:tcPr>
            <w:tcW w:w="0" w:type="dxa"/>
            <w:vAlign w:val="bottom"/>
          </w:tcPr>
          <w:p>
            <w:pPr>
              <w:spacing w:after="0"/>
              <w:rPr>
                <w:sz w:val="1"/>
                <w:szCs w:val="1"/>
                <w:color w:val="auto"/>
              </w:rPr>
            </w:pPr>
          </w:p>
        </w:tc>
      </w:tr>
      <w:tr>
        <w:trPr>
          <w:trHeight w:val="231"/>
        </w:trPr>
        <w:tc>
          <w:tcPr>
            <w:tcW w:w="7940" w:type="dxa"/>
            <w:vAlign w:val="bottom"/>
          </w:tcPr>
          <w:p>
            <w:pPr>
              <w:ind w:left="340"/>
              <w:spacing w:after="0"/>
              <w:rPr>
                <w:sz w:val="20"/>
                <w:szCs w:val="20"/>
                <w:color w:val="auto"/>
              </w:rPr>
            </w:pPr>
            <w:r>
              <w:rPr>
                <w:rFonts w:ascii="Arial" w:cs="Arial" w:eastAsia="Arial" w:hAnsi="Arial"/>
                <w:sz w:val="16"/>
                <w:szCs w:val="16"/>
                <w:color w:val="auto"/>
              </w:rPr>
              <w:t>Free Cash Flow</w:t>
            </w: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13,509</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(41,881)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5039360</wp:posOffset>
            </wp:positionH>
            <wp:positionV relativeFrom="paragraph">
              <wp:posOffset>12700</wp:posOffset>
            </wp:positionV>
            <wp:extent cx="221234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212340" cy="26035"/>
                    </a:xfrm>
                    <a:prstGeom prst="rect">
                      <a:avLst/>
                    </a:prstGeom>
                    <a:noFill/>
                  </pic:spPr>
                </pic:pic>
              </a:graphicData>
            </a:graphic>
          </wp:anchor>
        </w:drawing>
      </w:r>
    </w:p>
    <w:p>
      <w:pPr>
        <w:spacing w:after="0" w:line="30" w:lineRule="exact"/>
        <w:rPr>
          <w:sz w:val="20"/>
          <w:szCs w:val="20"/>
          <w:color w:val="auto"/>
        </w:rPr>
      </w:pPr>
    </w:p>
    <w:p>
      <w:pPr>
        <w:jc w:val="both"/>
        <w:ind w:left="340" w:hanging="332"/>
        <w:spacing w:after="0" w:line="235" w:lineRule="auto"/>
        <w:tabs>
          <w:tab w:leader="none" w:pos="340" w:val="left"/>
        </w:tabs>
        <w:numPr>
          <w:ilvl w:val="0"/>
          <w:numId w:val="13"/>
        </w:numPr>
        <w:rPr>
          <w:rFonts w:ascii="Arial" w:cs="Arial" w:eastAsia="Arial" w:hAnsi="Arial"/>
          <w:sz w:val="22"/>
          <w:szCs w:val="22"/>
          <w:color w:val="auto"/>
          <w:vertAlign w:val="superscript"/>
        </w:rPr>
      </w:pPr>
      <w:r>
        <w:rPr>
          <w:rFonts w:ascii="Arial" w:cs="Arial" w:eastAsia="Arial" w:hAnsi="Arial"/>
          <w:sz w:val="16"/>
          <w:szCs w:val="16"/>
          <w:color w:val="auto"/>
        </w:rPr>
        <w:t>The income tax effect of non-GAAP adjustments is calculated using the statutory tax rates for the relevant jurisdictions, provided no valuation allowance exists. If a valuation allowance exists, there is no tax impact to the non-GAAP adjustment. Effective for the first quarter of 2019, we use the budgeted annual effective tax rate (AETR) for interim periods, with adjustments for discrete items, as defined in ASC 740 - Income Taxes. This method impacts interim periods only and does not impact full year tax results, as any difference between the budgeted or revised AETR and the actual AETR for non-GAAP adjustments would be recognized in the fourth quarter of the year. If the revised methodology had been applied in the first quarter of 2018, non-GAAP net income would have increased by $4.1 million to $9.2 million, and diluted non-GAAP EPS would have increased by $0.10 to $0.23.</w:t>
      </w:r>
    </w:p>
    <w:p>
      <w:pPr>
        <w:sectPr>
          <w:pgSz w:w="11900" w:h="16838" w:orient="portrait"/>
          <w:cols w:equalWidth="0" w:num="1">
            <w:col w:w="11420"/>
          </w:cols>
          <w:pgMar w:left="240" w:top="125" w:right="239" w:bottom="231" w:gutter="0" w:footer="0" w:header="0"/>
        </w:sect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20"/>
          </w:cols>
          <w:pgMar w:left="240" w:top="125" w:right="239" w:bottom="231" w:gutter="0" w:footer="0" w:header="0"/>
          <w:type w:val="continuous"/>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the normal course of business, we are exposed to interest rate and foreign currency exchange rate risks that could impact our financial position and results of operations. As part of our risk management strategy, we may use derivative financial instruments to hedge certain foreign currency and interest rate exposures. Our objective is to offset gains and losses resulting from these exposures with losses and gains on the derivative contracts used to hedge them, therefore reducing the impact of volatility on earnings or protecting the fair values of assets and liabilities. We use derivative contracts only to manage existing underlying exposures. Accordingly, we do not use derivative contracts for trading or speculative purposes.</w:t>
      </w:r>
    </w:p>
    <w:p>
      <w:pPr>
        <w:spacing w:after="0" w:line="17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Interest Rate Risk</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exposed to interest rate risk through our variable rate debt instruments. In October 2015, we entered into an interest rate swap, which is effective from August 31, 2016 to June 23, 2020, and converts $214 million of our LIBOR-based debt from a floating LIBOR interest rate to a fixed interest rate of 1.42% (excluding the applicable margin on the debt). The notional balance will amortize to maturity at the same rate as required minimum payments on our term loan. At March 31, 2019, our LIBOR-based debt balance was $623.8 million.</w:t>
      </w:r>
    </w:p>
    <w:p>
      <w:pPr>
        <w:spacing w:after="0" w:line="1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November 2015, we entered into three interest rate cap contracts with a total notional amount of $100 million. The interest rate cap contracts expire on June 23, 2020 and were entered into in order to limit our interest rate exposure on $100 million of our variable LIBOR-based debt up to 2.00%. In the event LIBOR is higher than 2.00%, we will pay interest at the capped rate of 2.00% with respect to the $100 million notional amount of such agreements. The interest rate cap contracts do not include the effect of the applicable margin.</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April 2018, we entered into a cross-currency swap, which converts $56.0 million of floating rate U.S. Dollar denominated debt into fixed rate euro denominated debt. This cross-currency swap matures on April 30, 2021 and mitigates the risk associated with fluctuations in interest and currency rates impacting cash flows related to a U.S. Dollar denominated debt in a euro functional currency entity.</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table below provides information about our financial instruments that are sensitive to changes in interest rates and the scheduled minimum repayment of principal and the weighted average interest rates at March 31, 2019. Weighted average variable rates in the table are based on implied forward rates in the Reuters U.S. dollar yield curve as of March 31, 2019 and our estimated leverage ratio, which determines our additional interest rate margin at March 31, 2019.</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60" w:type="dxa"/>
            <w:vAlign w:val="bottom"/>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220" w:type="dxa"/>
            <w:vAlign w:val="bottom"/>
          </w:tcPr>
          <w:p>
            <w:pPr>
              <w:spacing w:after="0"/>
              <w:rPr>
                <w:sz w:val="16"/>
                <w:szCs w:val="16"/>
                <w:color w:val="auto"/>
              </w:rPr>
            </w:pPr>
          </w:p>
        </w:tc>
        <w:tc>
          <w:tcPr>
            <w:tcW w:w="720" w:type="dxa"/>
            <w:vAlign w:val="bottom"/>
          </w:tcPr>
          <w:p>
            <w:pPr>
              <w:jc w:val="right"/>
              <w:ind w:right="24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ind w:right="24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ind w:right="24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ind w:right="24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ind w:right="24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288"/>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6"/>
                <w:szCs w:val="16"/>
                <w:color w:val="auto"/>
              </w:rPr>
            </w:pPr>
          </w:p>
        </w:tc>
        <w:tc>
          <w:tcPr>
            <w:tcW w:w="880" w:type="dxa"/>
            <w:vAlign w:val="bottom"/>
          </w:tcPr>
          <w:p>
            <w:pPr>
              <w:jc w:val="right"/>
              <w:ind w:right="108"/>
              <w:spacing w:after="0"/>
              <w:rPr>
                <w:sz w:val="20"/>
                <w:szCs w:val="20"/>
                <w:color w:val="auto"/>
              </w:rPr>
            </w:pPr>
            <w:r>
              <w:rPr>
                <w:rFonts w:ascii="Arial" w:cs="Arial" w:eastAsia="Arial" w:hAnsi="Arial"/>
                <w:sz w:val="14"/>
                <w:szCs w:val="14"/>
                <w:b w:val="1"/>
                <w:bCs w:val="1"/>
                <w:color w:val="auto"/>
              </w:rPr>
              <w:t>Fair Value</w:t>
            </w:r>
          </w:p>
        </w:tc>
      </w:tr>
      <w:tr>
        <w:trPr>
          <w:trHeight w:val="534"/>
        </w:trPr>
        <w:tc>
          <w:tcPr>
            <w:tcW w:w="2960" w:type="dxa"/>
            <w:vAlign w:val="bottom"/>
          </w:tcPr>
          <w:p>
            <w:pPr>
              <w:ind w:left="40"/>
              <w:spacing w:after="0"/>
              <w:rPr>
                <w:sz w:val="20"/>
                <w:szCs w:val="20"/>
                <w:color w:val="auto"/>
              </w:rPr>
            </w:pPr>
            <w:r>
              <w:rPr>
                <w:rFonts w:ascii="Arial" w:cs="Arial" w:eastAsia="Arial" w:hAnsi="Arial"/>
                <w:sz w:val="14"/>
                <w:szCs w:val="14"/>
                <w:i w:val="1"/>
                <w:iCs w:val="1"/>
                <w:color w:val="auto"/>
              </w:rPr>
              <w:t>Variable Rate Debt</w:t>
            </w:r>
          </w:p>
        </w:tc>
        <w:tc>
          <w:tcPr>
            <w:tcW w:w="2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r>
      <w:tr>
        <w:trPr>
          <w:trHeight w:val="276"/>
        </w:trPr>
        <w:tc>
          <w:tcPr>
            <w:tcW w:w="2960" w:type="dxa"/>
            <w:vAlign w:val="bottom"/>
            <w:shd w:val="clear" w:color="auto" w:fill="CCEEFF"/>
          </w:tcPr>
          <w:p>
            <w:pPr>
              <w:ind w:left="620"/>
              <w:spacing w:after="0"/>
              <w:rPr>
                <w:sz w:val="20"/>
                <w:szCs w:val="20"/>
                <w:color w:val="auto"/>
              </w:rPr>
            </w:pPr>
            <w:r>
              <w:rPr>
                <w:rFonts w:ascii="Arial" w:cs="Arial" w:eastAsia="Arial" w:hAnsi="Arial"/>
                <w:sz w:val="14"/>
                <w:szCs w:val="14"/>
                <w:color w:val="auto"/>
              </w:rPr>
              <w:t>Principal: U.S. dollar term loan</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14,375</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44,688</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60,937</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65,000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438,750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623,750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622,644</w:t>
            </w:r>
          </w:p>
        </w:tc>
      </w:tr>
      <w:tr>
        <w:trPr>
          <w:trHeight w:val="264"/>
        </w:trPr>
        <w:tc>
          <w:tcPr>
            <w:tcW w:w="2960" w:type="dxa"/>
            <w:vAlign w:val="bottom"/>
          </w:tcPr>
          <w:p>
            <w:pPr>
              <w:ind w:left="620"/>
              <w:spacing w:after="0"/>
              <w:rPr>
                <w:sz w:val="20"/>
                <w:szCs w:val="20"/>
                <w:color w:val="auto"/>
              </w:rPr>
            </w:pPr>
            <w:r>
              <w:rPr>
                <w:rFonts w:ascii="Arial" w:cs="Arial" w:eastAsia="Arial" w:hAnsi="Arial"/>
                <w:sz w:val="14"/>
                <w:szCs w:val="14"/>
                <w:color w:val="auto"/>
              </w:rPr>
              <w:t>Weighted average interest rate</w:t>
            </w:r>
          </w:p>
        </w:tc>
        <w:tc>
          <w:tcPr>
            <w:tcW w:w="2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4.42%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4.15%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4.02%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4.06%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4.08%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303"/>
        </w:trPr>
        <w:tc>
          <w:tcPr>
            <w:tcW w:w="29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157"/>
        </w:trPr>
        <w:tc>
          <w:tcPr>
            <w:tcW w:w="2960" w:type="dxa"/>
            <w:vAlign w:val="bottom"/>
          </w:tcPr>
          <w:p>
            <w:pPr>
              <w:ind w:left="620"/>
              <w:spacing w:after="0" w:line="157" w:lineRule="exact"/>
              <w:rPr>
                <w:sz w:val="20"/>
                <w:szCs w:val="20"/>
                <w:color w:val="auto"/>
              </w:rPr>
            </w:pPr>
            <w:r>
              <w:rPr>
                <w:rFonts w:ascii="Arial" w:cs="Arial" w:eastAsia="Arial" w:hAnsi="Arial"/>
                <w:sz w:val="14"/>
                <w:szCs w:val="14"/>
                <w:color w:val="auto"/>
              </w:rPr>
              <w:t>Principal: Multicurrency revolving line</w:t>
            </w: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88"/>
        </w:trPr>
        <w:tc>
          <w:tcPr>
            <w:tcW w:w="2960" w:type="dxa"/>
            <w:vAlign w:val="bottom"/>
          </w:tcPr>
          <w:p>
            <w:pPr>
              <w:ind w:left="620"/>
              <w:spacing w:after="0"/>
              <w:rPr>
                <w:sz w:val="20"/>
                <w:szCs w:val="20"/>
                <w:color w:val="auto"/>
              </w:rPr>
            </w:pPr>
            <w:r>
              <w:rPr>
                <w:rFonts w:ascii="Arial" w:cs="Arial" w:eastAsia="Arial" w:hAnsi="Arial"/>
                <w:sz w:val="14"/>
                <w:szCs w:val="14"/>
                <w:color w:val="auto"/>
              </w:rPr>
              <w:t>of credit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2960" w:type="dxa"/>
            <w:vAlign w:val="bottom"/>
            <w:shd w:val="clear" w:color="auto" w:fill="CCEEFF"/>
          </w:tcPr>
          <w:p>
            <w:pPr>
              <w:ind w:left="620"/>
              <w:spacing w:after="0"/>
              <w:rPr>
                <w:sz w:val="20"/>
                <w:szCs w:val="20"/>
                <w:color w:val="auto"/>
              </w:rPr>
            </w:pPr>
            <w:r>
              <w:rPr>
                <w:rFonts w:ascii="Arial" w:cs="Arial" w:eastAsia="Arial" w:hAnsi="Arial"/>
                <w:sz w:val="14"/>
                <w:szCs w:val="14"/>
                <w:color w:val="auto"/>
              </w:rPr>
              <w:t>Weighted average interest rate</w:t>
            </w: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4.42%</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4.15%</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4.02%</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4.06%</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97"/>
        </w:trPr>
        <w:tc>
          <w:tcPr>
            <w:tcW w:w="2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70"/>
        </w:trPr>
        <w:tc>
          <w:tcPr>
            <w:tcW w:w="2960" w:type="dxa"/>
            <w:vAlign w:val="bottom"/>
            <w:shd w:val="clear" w:color="auto" w:fill="CCEEFF"/>
          </w:tcPr>
          <w:p>
            <w:pPr>
              <w:ind w:left="620"/>
              <w:spacing w:after="0"/>
              <w:rPr>
                <w:sz w:val="20"/>
                <w:szCs w:val="20"/>
                <w:color w:val="auto"/>
              </w:rPr>
            </w:pPr>
            <w:r>
              <w:rPr>
                <w:rFonts w:ascii="Arial" w:cs="Arial" w:eastAsia="Arial" w:hAnsi="Arial"/>
                <w:sz w:val="14"/>
                <w:szCs w:val="14"/>
                <w:color w:val="auto"/>
              </w:rPr>
              <w:t>Interest rate swap</w:t>
            </w: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64"/>
        </w:trPr>
        <w:tc>
          <w:tcPr>
            <w:tcW w:w="2960" w:type="dxa"/>
            <w:vAlign w:val="bottom"/>
          </w:tcPr>
          <w:p>
            <w:pPr>
              <w:ind w:left="380"/>
              <w:spacing w:after="0"/>
              <w:rPr>
                <w:sz w:val="20"/>
                <w:szCs w:val="20"/>
                <w:color w:val="auto"/>
              </w:rPr>
            </w:pPr>
            <w:r>
              <w:rPr>
                <w:rFonts w:ascii="Arial" w:cs="Arial" w:eastAsia="Arial" w:hAnsi="Arial"/>
                <w:sz w:val="14"/>
                <w:szCs w:val="14"/>
                <w:color w:val="auto"/>
                <w:w w:val="96"/>
              </w:rPr>
              <w:t>Weighted average interest rate (pay) Fixed</w:t>
            </w:r>
          </w:p>
        </w:tc>
        <w:tc>
          <w:tcPr>
            <w:tcW w:w="2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1.42%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1.42%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163"/>
        </w:trPr>
        <w:tc>
          <w:tcPr>
            <w:tcW w:w="29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Weighted average interest rate (receive)</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188"/>
        </w:trPr>
        <w:tc>
          <w:tcPr>
            <w:tcW w:w="29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Floating LIBOR</w:t>
            </w:r>
          </w:p>
        </w:tc>
        <w:tc>
          <w:tcPr>
            <w:tcW w:w="2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2.42%</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2.23%</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250"/>
        </w:trPr>
        <w:tc>
          <w:tcPr>
            <w:tcW w:w="2960" w:type="dxa"/>
            <w:vAlign w:val="bottom"/>
          </w:tcPr>
          <w:p>
            <w:pPr>
              <w:ind w:left="380"/>
              <w:spacing w:after="0"/>
              <w:rPr>
                <w:sz w:val="20"/>
                <w:szCs w:val="20"/>
                <w:color w:val="auto"/>
              </w:rPr>
            </w:pPr>
            <w:r>
              <w:rPr>
                <w:rFonts w:ascii="Arial" w:cs="Arial" w:eastAsia="Arial" w:hAnsi="Arial"/>
                <w:sz w:val="14"/>
                <w:szCs w:val="14"/>
                <w:color w:val="auto"/>
              </w:rPr>
              <w:t>Net/Spread</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0.81%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303"/>
        </w:trPr>
        <w:tc>
          <w:tcPr>
            <w:tcW w:w="29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64"/>
        </w:trPr>
        <w:tc>
          <w:tcPr>
            <w:tcW w:w="2960" w:type="dxa"/>
            <w:vAlign w:val="bottom"/>
          </w:tcPr>
          <w:p>
            <w:pPr>
              <w:ind w:left="620"/>
              <w:spacing w:after="0"/>
              <w:rPr>
                <w:sz w:val="20"/>
                <w:szCs w:val="20"/>
                <w:color w:val="auto"/>
              </w:rPr>
            </w:pPr>
            <w:r>
              <w:rPr>
                <w:rFonts w:ascii="Arial" w:cs="Arial" w:eastAsia="Arial" w:hAnsi="Arial"/>
                <w:sz w:val="14"/>
                <w:szCs w:val="14"/>
                <w:color w:val="auto"/>
              </w:rPr>
              <w:t>Interest rate cap</w:t>
            </w: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76"/>
        </w:trPr>
        <w:tc>
          <w:tcPr>
            <w:tcW w:w="29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Cap rate</w:t>
            </w: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157"/>
        </w:trPr>
        <w:tc>
          <w:tcPr>
            <w:tcW w:w="2960" w:type="dxa"/>
            <w:vAlign w:val="bottom"/>
          </w:tcPr>
          <w:p>
            <w:pPr>
              <w:ind w:left="380"/>
              <w:spacing w:after="0" w:line="157" w:lineRule="exact"/>
              <w:rPr>
                <w:sz w:val="20"/>
                <w:szCs w:val="20"/>
                <w:color w:val="auto"/>
              </w:rPr>
            </w:pPr>
            <w:r>
              <w:rPr>
                <w:rFonts w:ascii="Arial" w:cs="Arial" w:eastAsia="Arial" w:hAnsi="Arial"/>
                <w:sz w:val="14"/>
                <w:szCs w:val="14"/>
                <w:color w:val="auto"/>
              </w:rPr>
              <w:t>Weighted average interest rate Floating</w:t>
            </w: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88"/>
        </w:trPr>
        <w:tc>
          <w:tcPr>
            <w:tcW w:w="296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LIBOR</w:t>
            </w: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2.23%</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7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7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7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7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7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880" w:type="dxa"/>
            <w:vAlign w:val="bottom"/>
            <w:tcBorders>
              <w:bottom w:val="single" w:sz="8" w:color="CCEEFF"/>
            </w:tcBorders>
          </w:tcPr>
          <w:p>
            <w:pPr>
              <w:spacing w:after="0"/>
              <w:rPr>
                <w:sz w:val="16"/>
                <w:szCs w:val="16"/>
                <w:color w:val="auto"/>
              </w:rPr>
            </w:pPr>
          </w:p>
        </w:tc>
      </w:tr>
      <w:tr>
        <w:trPr>
          <w:trHeight w:val="256"/>
        </w:trPr>
        <w:tc>
          <w:tcPr>
            <w:tcW w:w="29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Weighted average interest rate (receive)</w:t>
            </w:r>
          </w:p>
        </w:tc>
        <w:tc>
          <w:tcPr>
            <w:tcW w:w="22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r>
      <w:tr>
        <w:trPr>
          <w:trHeight w:val="243"/>
        </w:trPr>
        <w:tc>
          <w:tcPr>
            <w:tcW w:w="2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0"/>
        </w:trPr>
        <w:tc>
          <w:tcPr>
            <w:tcW w:w="2960" w:type="dxa"/>
            <w:vAlign w:val="bottom"/>
            <w:shd w:val="clear" w:color="auto" w:fill="CCEEFF"/>
          </w:tcPr>
          <w:p>
            <w:pPr>
              <w:ind w:left="620"/>
              <w:spacing w:after="0"/>
              <w:rPr>
                <w:sz w:val="20"/>
                <w:szCs w:val="20"/>
                <w:color w:val="auto"/>
              </w:rPr>
            </w:pPr>
            <w:r>
              <w:rPr>
                <w:rFonts w:ascii="Arial" w:cs="Arial" w:eastAsia="Arial" w:hAnsi="Arial"/>
                <w:sz w:val="14"/>
                <w:szCs w:val="14"/>
                <w:color w:val="auto"/>
              </w:rPr>
              <w:t>Cross currency swap</w:t>
            </w: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157"/>
        </w:trPr>
        <w:tc>
          <w:tcPr>
            <w:tcW w:w="2960" w:type="dxa"/>
            <w:vAlign w:val="bottom"/>
          </w:tcPr>
          <w:p>
            <w:pPr>
              <w:ind w:left="380"/>
              <w:spacing w:after="0" w:line="157" w:lineRule="exact"/>
              <w:rPr>
                <w:sz w:val="20"/>
                <w:szCs w:val="20"/>
                <w:color w:val="auto"/>
              </w:rPr>
            </w:pPr>
            <w:r>
              <w:rPr>
                <w:rFonts w:ascii="Arial" w:cs="Arial" w:eastAsia="Arial" w:hAnsi="Arial"/>
                <w:sz w:val="14"/>
                <w:szCs w:val="14"/>
                <w:color w:val="auto"/>
                <w:w w:val="93"/>
              </w:rPr>
              <w:t>Weighted average interest rate (pay) Fixed -</w:t>
            </w: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88"/>
        </w:trPr>
        <w:tc>
          <w:tcPr>
            <w:tcW w:w="2960" w:type="dxa"/>
            <w:vAlign w:val="bottom"/>
          </w:tcPr>
          <w:p>
            <w:pPr>
              <w:ind w:left="380"/>
              <w:spacing w:after="0"/>
              <w:rPr>
                <w:sz w:val="20"/>
                <w:szCs w:val="20"/>
                <w:color w:val="auto"/>
              </w:rPr>
            </w:pPr>
            <w:r>
              <w:rPr>
                <w:rFonts w:ascii="Arial" w:cs="Arial" w:eastAsia="Arial" w:hAnsi="Arial"/>
                <w:sz w:val="14"/>
                <w:szCs w:val="14"/>
                <w:color w:val="auto"/>
              </w:rPr>
              <w:t>EURIBOR</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1.38%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1.38%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1.38%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63"/>
        </w:trPr>
        <w:tc>
          <w:tcPr>
            <w:tcW w:w="29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Weighted average interest rate (receive)</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194"/>
        </w:trPr>
        <w:tc>
          <w:tcPr>
            <w:tcW w:w="29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Floating - LIBOR</w:t>
            </w: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Based on a sensitivity analysis as of March 31, 2019, we estimate that, if market interest rates average one percentage point higher in 2019 than in the table above, our financial results in 2019 would not be materially impacted.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continually monitor and assess our interest rate risk and may institute additional derivative instruments to manage such risk in the future.</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Foreign Currency Exchange Rate Risk</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conduct business in a number of countries. As a result, approximately half of our revenues and operating expenses are denominated in foreign currencies, which expose our account balances to movements in foreign currency exchange rates that could have a material effect on our financial results. Our primary foreign currency exposure relates to non-U.S. dollar denominated transactions in our international subsidiary operations, the most significant of which is the euro. Revenues denominated in functional currencies other than the U.S. dollar were 37% of total revenues for the three months ended March 31, 2019 compared with 43% for the same respective period in 2018.</w:t>
      </w:r>
    </w:p>
    <w:p>
      <w:pPr>
        <w:spacing w:after="0" w:line="19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are also exposed to foreign exchange risk when we enter into non-functional currency transactions, both intercompany and third party. At each period-end, non-functional currency monetary assets and liabilities are revalued with the change recognized to other income and expense. We enter into monthly foreign exchange forward contracts, which are not designated for hedge accounting, with the intent to reduce earnings volatility associated with currency exposures. As of March 31, 2019, a total of 51 contracts were offsetting our exposures from the Euro, Pound Sterling, Indonesian Rupiah, Chinese Yuan, Canadian Dollar, Indian Rupee and various other currencies, with notional amounts ranging from $109,000 to $7.6 million. Based on a sensitivity analysis as of March 31, 2019, we estimate that, if foreign currency exchange rates average ten percentage points higher in 2019 for these financial instruments, our financial results in 2019 would not be materially impacted.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In future periods, we may use additional derivative contracts to protect against foreign currency exchange rate risks.</w:t>
      </w:r>
    </w:p>
    <w:p>
      <w:pPr>
        <w:spacing w:after="0" w:line="221"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An evaluation was performed under the supervision and with the participation of our Company's management, including the Chief Executive Officer and Chief Financial Officer, of the effectiveness of the design and operation of the Company's disclosure controls and procedures (as such term is defined in Rules 13a-15(e) and 15d-15(e)) under the Securities Exchange Act of 1934 as amended. Based on that evaluation, the Company's management, including the Chief Executive Officer and Chief Financial Officer, concluded that as of March 31, 2019, the Company's disclosure controls and procedures were effective to ensure the information required to be disclosed by an issuer in the reports that it files or submits under the Securities Exchange Act of 1934 is accumulated and communicated to our management, including our principal executive and principal financial officers, or persons performing similar functions, as appropriate to allow timely decisions regarding required disclosure.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controls over financial reporting</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ordinary course of business, we review our system of internal control over financial reporting and make changes to our applications and processes to improve such controls and increase efficiency, while ensuring that we maintain an effective internal control environment. Changes may include such activities as implementing new, more efficient applications and automating manual processes. We are currently upgrading our global enterprise resource software applications at certain of our locations outside of the United States as well as locations acquired through acquisitions. We will continue to upgrade our financial applications in stages, and we believe the related changes to processes and internal controls will allow us to be more efficient and further enhance our internal control over financial reporting.</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Except for these changes, there have been no other changes in our internal control over financial reporting during the three months ended March 31, 2019 that materially affected, or are reasonably likely to materially affect, internal control over financial reporting.</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Refer to Item 1: "Financial Statements (Unaudited), Note 11: Commitments and Contingencies."</w:t>
      </w:r>
    </w:p>
    <w:p>
      <w:pPr>
        <w:spacing w:after="0" w:line="383"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were no material changes to risk factors during the first quarter of 2019 from those previously disclosed in Item 1A: "Risk Factors" of Part I of our Annual Report on Form 10-K for the fiscal year ended December 31, 2018, which was filed with the Securities and Exchange Commission on February 28, 2019.</w:t>
      </w:r>
    </w:p>
    <w:p>
      <w:pPr>
        <w:spacing w:after="0" w:line="339"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56" w:lineRule="exact"/>
        <w:rPr>
          <w:sz w:val="20"/>
          <w:szCs w:val="20"/>
          <w:color w:val="auto"/>
        </w:rPr>
      </w:pPr>
    </w:p>
    <w:p>
      <w:pPr>
        <w:ind w:left="260" w:hanging="252"/>
        <w:spacing w:after="0"/>
        <w:tabs>
          <w:tab w:leader="none" w:pos="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Issuer Repurchase of Equity Securities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Arial" w:cs="Arial" w:eastAsia="Arial" w:hAnsi="Arial"/>
                <w:sz w:val="16"/>
                <w:szCs w:val="16"/>
                <w:b w:val="1"/>
                <w:bCs w:val="1"/>
                <w:color w:val="auto"/>
                <w:w w:val="94"/>
              </w:rPr>
              <w:t>Total Number of</w:t>
            </w: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3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Arial" w:cs="Arial" w:eastAsia="Arial" w:hAnsi="Arial"/>
                <w:sz w:val="16"/>
                <w:szCs w:val="16"/>
                <w:b w:val="1"/>
                <w:bCs w:val="1"/>
                <w:color w:val="auto"/>
                <w:w w:val="86"/>
              </w:rPr>
              <w:t>Shares Purchased as</w:t>
            </w:r>
          </w:p>
        </w:tc>
        <w:tc>
          <w:tcPr>
            <w:tcW w:w="1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w w:val="94"/>
              </w:rPr>
              <w:t>Maximum Dollar Value</w:t>
            </w:r>
          </w:p>
        </w:tc>
      </w:tr>
      <w:tr>
        <w:trPr>
          <w:trHeight w:val="203"/>
        </w:trPr>
        <w:tc>
          <w:tcPr>
            <w:tcW w:w="3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Arial" w:cs="Arial" w:eastAsia="Arial" w:hAnsi="Arial"/>
                <w:sz w:val="16"/>
                <w:szCs w:val="16"/>
                <w:b w:val="1"/>
                <w:bCs w:val="1"/>
                <w:color w:val="auto"/>
                <w:w w:val="92"/>
              </w:rPr>
              <w:t>Part of Publicly</w:t>
            </w:r>
          </w:p>
        </w:tc>
        <w:tc>
          <w:tcPr>
            <w:tcW w:w="1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w w:val="92"/>
              </w:rPr>
              <w:t>of Shares that May Yet</w:t>
            </w:r>
          </w:p>
        </w:tc>
      </w:tr>
      <w:tr>
        <w:trPr>
          <w:trHeight w:val="203"/>
        </w:trPr>
        <w:tc>
          <w:tcPr>
            <w:tcW w:w="3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60" w:type="dxa"/>
            <w:vAlign w:val="bottom"/>
          </w:tcPr>
          <w:p>
            <w:pPr>
              <w:jc w:val="right"/>
              <w:ind w:right="319"/>
              <w:spacing w:after="0"/>
              <w:rPr>
                <w:sz w:val="20"/>
                <w:szCs w:val="20"/>
                <w:color w:val="auto"/>
              </w:rPr>
            </w:pPr>
            <w:r>
              <w:rPr>
                <w:rFonts w:ascii="Arial" w:cs="Arial" w:eastAsia="Arial" w:hAnsi="Arial"/>
                <w:sz w:val="16"/>
                <w:szCs w:val="16"/>
                <w:b w:val="1"/>
                <w:bCs w:val="1"/>
                <w:color w:val="auto"/>
              </w:rPr>
              <w:t>Total Number of</w:t>
            </w:r>
          </w:p>
        </w:tc>
        <w:tc>
          <w:tcPr>
            <w:tcW w:w="120" w:type="dxa"/>
            <w:vAlign w:val="bottom"/>
          </w:tcPr>
          <w:p>
            <w:pPr>
              <w:spacing w:after="0"/>
              <w:rPr>
                <w:sz w:val="17"/>
                <w:szCs w:val="17"/>
                <w:color w:val="auto"/>
              </w:rPr>
            </w:pPr>
          </w:p>
        </w:tc>
        <w:tc>
          <w:tcPr>
            <w:tcW w:w="18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Average Price Paid per</w:t>
            </w:r>
          </w:p>
        </w:tc>
        <w:tc>
          <w:tcPr>
            <w:tcW w:w="1720" w:type="dxa"/>
            <w:vAlign w:val="bottom"/>
          </w:tcPr>
          <w:p>
            <w:pPr>
              <w:jc w:val="center"/>
              <w:spacing w:after="0"/>
              <w:rPr>
                <w:sz w:val="20"/>
                <w:szCs w:val="20"/>
                <w:color w:val="auto"/>
              </w:rPr>
            </w:pPr>
            <w:r>
              <w:rPr>
                <w:rFonts w:ascii="Arial" w:cs="Arial" w:eastAsia="Arial" w:hAnsi="Arial"/>
                <w:sz w:val="16"/>
                <w:szCs w:val="16"/>
                <w:b w:val="1"/>
                <w:bCs w:val="1"/>
                <w:color w:val="auto"/>
                <w:w w:val="89"/>
              </w:rPr>
              <w:t>Announced Plans or</w:t>
            </w:r>
          </w:p>
        </w:tc>
        <w:tc>
          <w:tcPr>
            <w:tcW w:w="1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w w:val="90"/>
              </w:rPr>
              <w:t>Be Purchased Under</w:t>
            </w: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6"/>
                <w:szCs w:val="16"/>
                <w:b w:val="1"/>
                <w:bCs w:val="1"/>
                <w:color w:val="auto"/>
              </w:rPr>
              <w:t>Period</w:t>
            </w:r>
          </w:p>
        </w:tc>
        <w:tc>
          <w:tcPr>
            <w:tcW w:w="1960" w:type="dxa"/>
            <w:vAlign w:val="bottom"/>
          </w:tcPr>
          <w:p>
            <w:pPr>
              <w:jc w:val="right"/>
              <w:ind w:right="199"/>
              <w:spacing w:after="0"/>
              <w:rPr>
                <w:sz w:val="20"/>
                <w:szCs w:val="20"/>
                <w:color w:val="auto"/>
              </w:rPr>
            </w:pPr>
            <w:r>
              <w:rPr>
                <w:rFonts w:ascii="Arial" w:cs="Arial" w:eastAsia="Arial" w:hAnsi="Arial"/>
                <w:sz w:val="16"/>
                <w:szCs w:val="16"/>
                <w:b w:val="1"/>
                <w:bCs w:val="1"/>
                <w:color w:val="auto"/>
              </w:rPr>
              <w:t xml:space="preserve">Shares Purchased </w:t>
            </w:r>
            <w:r>
              <w:rPr>
                <w:rFonts w:ascii="Arial" w:cs="Arial" w:eastAsia="Arial" w:hAnsi="Arial"/>
                <w:sz w:val="21"/>
                <w:szCs w:val="21"/>
                <w:b w:val="1"/>
                <w:bCs w:val="1"/>
                <w:color w:val="auto"/>
                <w:vertAlign w:val="superscript"/>
              </w:rPr>
              <w:t>(1)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6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87"/>
              </w:rPr>
              <w:t xml:space="preserve">Share </w:t>
            </w:r>
            <w:r>
              <w:rPr>
                <w:rFonts w:ascii="Arial" w:cs="Arial" w:eastAsia="Arial" w:hAnsi="Arial"/>
                <w:sz w:val="21"/>
                <w:szCs w:val="21"/>
                <w:b w:val="1"/>
                <w:bCs w:val="1"/>
                <w:color w:val="auto"/>
                <w:w w:val="87"/>
                <w:vertAlign w:val="superscript"/>
              </w:rPr>
              <w:t>(2)</w:t>
            </w:r>
          </w:p>
        </w:tc>
        <w:tc>
          <w:tcPr>
            <w:tcW w:w="1720" w:type="dxa"/>
            <w:vAlign w:val="bottom"/>
          </w:tcPr>
          <w:p>
            <w:pPr>
              <w:jc w:val="center"/>
              <w:spacing w:after="0"/>
              <w:rPr>
                <w:sz w:val="20"/>
                <w:szCs w:val="20"/>
                <w:color w:val="auto"/>
              </w:rPr>
            </w:pPr>
            <w:r>
              <w:rPr>
                <w:rFonts w:ascii="Arial" w:cs="Arial" w:eastAsia="Arial" w:hAnsi="Arial"/>
                <w:sz w:val="16"/>
                <w:szCs w:val="16"/>
                <w:b w:val="1"/>
                <w:bCs w:val="1"/>
                <w:color w:val="auto"/>
                <w:w w:val="90"/>
              </w:rPr>
              <w:t>Programs</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w w:val="90"/>
              </w:rPr>
              <w:t>the Plans or Programs</w:t>
            </w:r>
          </w:p>
        </w:tc>
      </w:tr>
      <w:tr>
        <w:trPr>
          <w:trHeight w:val="231"/>
        </w:trPr>
        <w:tc>
          <w:tcPr>
            <w:tcW w:w="39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2"/>
              </w:rPr>
              <w:t>(in thousands)</w:t>
            </w:r>
          </w:p>
        </w:tc>
      </w:tr>
      <w:tr>
        <w:trPr>
          <w:trHeight w:val="33"/>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January 1, 2019 through January 31, 2019</w:t>
            </w:r>
          </w:p>
        </w:tc>
        <w:tc>
          <w:tcPr>
            <w:tcW w:w="1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w:t>
            </w:r>
          </w:p>
        </w:tc>
        <w:tc>
          <w:tcPr>
            <w:tcW w:w="460" w:type="dxa"/>
            <w:vAlign w:val="bottom"/>
            <w:tcBorders>
              <w:bottom w:val="single" w:sz="8" w:color="CCEEFF"/>
            </w:tcBorders>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72.95</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4020" w:type="dxa"/>
            <w:vAlign w:val="bottom"/>
            <w:gridSpan w:val="2"/>
          </w:tcPr>
          <w:p>
            <w:pPr>
              <w:ind w:left="40"/>
              <w:spacing w:after="0"/>
              <w:rPr>
                <w:sz w:val="20"/>
                <w:szCs w:val="20"/>
                <w:color w:val="auto"/>
              </w:rPr>
            </w:pPr>
            <w:r>
              <w:rPr>
                <w:rFonts w:ascii="Arial" w:cs="Arial" w:eastAsia="Arial" w:hAnsi="Arial"/>
                <w:sz w:val="16"/>
                <w:szCs w:val="16"/>
                <w:color w:val="auto"/>
              </w:rPr>
              <w:t>February 1, 2019 through February 28, 2019</w:t>
            </w:r>
          </w:p>
        </w:tc>
        <w:tc>
          <w:tcPr>
            <w:tcW w:w="1960" w:type="dxa"/>
            <w:vAlign w:val="bottom"/>
          </w:tcPr>
          <w:p>
            <w:pPr>
              <w:jc w:val="right"/>
              <w:ind w:right="39"/>
              <w:spacing w:after="0"/>
              <w:rPr>
                <w:sz w:val="20"/>
                <w:szCs w:val="20"/>
                <w:color w:val="auto"/>
              </w:rPr>
            </w:pPr>
            <w:r>
              <w:rPr>
                <w:rFonts w:ascii="Arial" w:cs="Arial" w:eastAsia="Arial" w:hAnsi="Arial"/>
                <w:sz w:val="16"/>
                <w:szCs w:val="16"/>
                <w:color w:val="auto"/>
              </w:rPr>
              <w:t>12,515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57.16</w:t>
            </w:r>
          </w:p>
        </w:tc>
        <w:tc>
          <w:tcPr>
            <w:tcW w:w="1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March 1, 2019 through March 31, 2019</w:t>
            </w:r>
          </w:p>
        </w:tc>
        <w:tc>
          <w:tcPr>
            <w:tcW w:w="1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165,400</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47.25</w:t>
            </w:r>
          </w:p>
        </w:tc>
        <w:tc>
          <w:tcPr>
            <w:tcW w:w="10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165,400</w:t>
            </w:r>
          </w:p>
        </w:tc>
        <w:tc>
          <w:tcPr>
            <w:tcW w:w="180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42,185</w:t>
            </w:r>
          </w:p>
        </w:tc>
      </w:tr>
      <w:tr>
        <w:trPr>
          <w:trHeight w:val="244"/>
        </w:trPr>
        <w:tc>
          <w:tcPr>
            <w:tcW w:w="4020" w:type="dxa"/>
            <w:vAlign w:val="bottom"/>
            <w:gridSpan w:val="2"/>
          </w:tcPr>
          <w:p>
            <w:pPr>
              <w:ind w:left="280"/>
              <w:spacing w:after="0"/>
              <w:rPr>
                <w:sz w:val="20"/>
                <w:szCs w:val="20"/>
                <w:color w:val="auto"/>
              </w:rPr>
            </w:pPr>
            <w:r>
              <w:rPr>
                <w:rFonts w:ascii="Arial" w:cs="Arial" w:eastAsia="Arial" w:hAnsi="Arial"/>
                <w:sz w:val="16"/>
                <w:szCs w:val="16"/>
                <w:color w:val="auto"/>
              </w:rPr>
              <w:t>Total</w:t>
            </w:r>
          </w:p>
        </w:tc>
        <w:tc>
          <w:tcPr>
            <w:tcW w:w="19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177,951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165,400</w:t>
            </w: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20"/>
        </w:trPr>
        <w:tc>
          <w:tcPr>
            <w:tcW w:w="3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bl>
    <w:p>
      <w:pPr>
        <w:spacing w:after="0" w:line="220" w:lineRule="exact"/>
        <w:rPr>
          <w:sz w:val="20"/>
          <w:szCs w:val="20"/>
          <w:color w:val="auto"/>
        </w:rPr>
      </w:pPr>
    </w:p>
    <w:p>
      <w:pPr>
        <w:jc w:val="both"/>
        <w:ind w:left="340" w:hanging="332"/>
        <w:spacing w:after="0" w:line="233" w:lineRule="auto"/>
        <w:tabs>
          <w:tab w:leader="none" w:pos="340" w:val="left"/>
        </w:tabs>
        <w:numPr>
          <w:ilvl w:val="0"/>
          <w:numId w:val="15"/>
        </w:numPr>
        <w:rPr>
          <w:rFonts w:ascii="Arial" w:cs="Arial" w:eastAsia="Arial" w:hAnsi="Arial"/>
          <w:sz w:val="25"/>
          <w:szCs w:val="25"/>
          <w:color w:val="auto"/>
          <w:vertAlign w:val="superscript"/>
        </w:rPr>
      </w:pPr>
      <w:r>
        <w:rPr>
          <w:rFonts w:ascii="Arial" w:cs="Arial" w:eastAsia="Arial" w:hAnsi="Arial"/>
          <w:sz w:val="16"/>
          <w:szCs w:val="16"/>
          <w:color w:val="auto"/>
        </w:rPr>
        <w:t>Shares repurchased represent shares transferred to us by certain employees who vested in restricted stock units and used shares to pay all, or a portion of, the related taxes. On March 14, 2019, Itron's Board authorized a new repurchase program of up to $50 million of our common stock over a 12-month period. Repurchases are made in the open market or in privately negotiated transactions, and in accordance with applicable securities laws.</w:t>
      </w:r>
    </w:p>
    <w:p>
      <w:pPr>
        <w:spacing w:after="0" w:line="2" w:lineRule="exact"/>
        <w:rPr>
          <w:rFonts w:ascii="Arial" w:cs="Arial" w:eastAsia="Arial" w:hAnsi="Arial"/>
          <w:sz w:val="25"/>
          <w:szCs w:val="25"/>
          <w:color w:val="auto"/>
          <w:vertAlign w:val="superscript"/>
        </w:rPr>
      </w:pPr>
    </w:p>
    <w:p>
      <w:pPr>
        <w:ind w:left="340" w:hanging="332"/>
        <w:spacing w:after="0" w:line="192" w:lineRule="auto"/>
        <w:tabs>
          <w:tab w:leader="none" w:pos="340" w:val="left"/>
        </w:tabs>
        <w:numPr>
          <w:ilvl w:val="0"/>
          <w:numId w:val="15"/>
        </w:numPr>
        <w:rPr>
          <w:rFonts w:ascii="Arial" w:cs="Arial" w:eastAsia="Arial" w:hAnsi="Arial"/>
          <w:sz w:val="22"/>
          <w:szCs w:val="22"/>
          <w:color w:val="auto"/>
          <w:vertAlign w:val="superscript"/>
        </w:rPr>
      </w:pPr>
      <w:r>
        <w:rPr>
          <w:rFonts w:ascii="Arial" w:cs="Arial" w:eastAsia="Arial" w:hAnsi="Arial"/>
          <w:sz w:val="16"/>
          <w:szCs w:val="16"/>
          <w:color w:val="auto"/>
        </w:rPr>
        <w:t>Includes commissions.</w:t>
      </w:r>
    </w:p>
    <w:p>
      <w:pPr>
        <w:spacing w:after="0" w:line="16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Subsequent to March 31, 2019, we repurchased 363,996 shares of our common stock under the stock repurchase program authorized by the Board on March 14, 2019. The average price paid per share was $47.21 for a total cost of $17.2 million.</w:t>
      </w:r>
    </w:p>
    <w:p>
      <w:pPr>
        <w:spacing w:after="0" w:line="329"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56" w:lineRule="exact"/>
        <w:rPr>
          <w:sz w:val="20"/>
          <w:szCs w:val="20"/>
          <w:color w:val="auto"/>
        </w:rPr>
      </w:pPr>
    </w:p>
    <w:p>
      <w:pPr>
        <w:ind w:left="260" w:hanging="252"/>
        <w:spacing w:after="0"/>
        <w:tabs>
          <w:tab w:leader="none" w:pos="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 information was required to be disclosed in a report on Form 8-K during the first quarter of 2019 that was not reported.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5" w:right="2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gridSpan w:val="2"/>
          </w:tcPr>
          <w:p>
            <w:pPr>
              <w:jc w:val="center"/>
              <w:spacing w:after="0"/>
              <w:rPr>
                <w:rFonts w:ascii="Arial" w:cs="Arial" w:eastAsia="Arial" w:hAnsi="Arial"/>
                <w:sz w:val="18"/>
                <w:szCs w:val="18"/>
                <w:color w:val="0000EE"/>
                <w:w w:val="90"/>
              </w:rPr>
            </w:pPr>
            <w:hyperlink w:anchor="page2">
              <w:r>
                <w:rPr>
                  <w:rFonts w:ascii="Arial" w:cs="Arial" w:eastAsia="Arial" w:hAnsi="Arial"/>
                  <w:sz w:val="18"/>
                  <w:szCs w:val="18"/>
                  <w:color w:val="0000EE"/>
                  <w:w w:val="90"/>
                </w:rPr>
                <w:t>Table of Contents</w:t>
              </w:r>
            </w:hyperlink>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4740" w:type="dxa"/>
            <w:vAlign w:val="bottom"/>
          </w:tcPr>
          <w:p>
            <w:pPr>
              <w:spacing w:after="0"/>
              <w:rPr>
                <w:sz w:val="17"/>
                <w:szCs w:val="17"/>
                <w:color w:val="auto"/>
              </w:rPr>
            </w:pPr>
          </w:p>
        </w:tc>
      </w:tr>
      <w:tr>
        <w:trPr>
          <w:trHeight w:val="642"/>
        </w:trPr>
        <w:tc>
          <w:tcPr>
            <w:tcW w:w="1280" w:type="dxa"/>
            <w:vAlign w:val="bottom"/>
            <w:gridSpan w:val="2"/>
          </w:tcPr>
          <w:p>
            <w:pPr>
              <w:ind w:left="40"/>
              <w:spacing w:after="0"/>
              <w:rPr>
                <w:sz w:val="20"/>
                <w:szCs w:val="20"/>
                <w:color w:val="auto"/>
              </w:rPr>
            </w:pPr>
            <w:r>
              <w:rPr>
                <w:rFonts w:ascii="Arial" w:cs="Arial" w:eastAsia="Arial" w:hAnsi="Arial"/>
                <w:sz w:val="18"/>
                <w:szCs w:val="18"/>
                <w:b w:val="1"/>
                <w:bCs w:val="1"/>
                <w:color w:val="auto"/>
              </w:rPr>
              <w:t>Item 6:</w:t>
            </w:r>
          </w:p>
        </w:tc>
        <w:tc>
          <w:tcPr>
            <w:tcW w:w="10140" w:type="dxa"/>
            <w:vAlign w:val="bottom"/>
            <w:gridSpan w:val="4"/>
          </w:tcPr>
          <w:p>
            <w:pPr>
              <w:ind w:left="20"/>
              <w:spacing w:after="0"/>
              <w:rPr>
                <w:sz w:val="20"/>
                <w:szCs w:val="20"/>
                <w:color w:val="auto"/>
              </w:rPr>
            </w:pPr>
            <w:r>
              <w:rPr>
                <w:rFonts w:ascii="Arial" w:cs="Arial" w:eastAsia="Arial" w:hAnsi="Arial"/>
                <w:sz w:val="18"/>
                <w:szCs w:val="18"/>
                <w:b w:val="1"/>
                <w:bCs w:val="1"/>
                <w:color w:val="auto"/>
              </w:rPr>
              <w:t>Exhibits</w:t>
            </w:r>
          </w:p>
        </w:tc>
      </w:tr>
      <w:tr>
        <w:trPr>
          <w:trHeight w:val="927"/>
        </w:trPr>
        <w:tc>
          <w:tcPr>
            <w:tcW w:w="1280" w:type="dxa"/>
            <w:vAlign w:val="bottom"/>
            <w:gridSpan w:val="2"/>
          </w:tcPr>
          <w:p>
            <w:pPr>
              <w:ind w:left="40"/>
              <w:spacing w:after="0"/>
              <w:rPr>
                <w:sz w:val="20"/>
                <w:szCs w:val="20"/>
                <w:color w:val="auto"/>
              </w:rPr>
            </w:pPr>
            <w:r>
              <w:rPr>
                <w:rFonts w:ascii="Arial" w:cs="Arial" w:eastAsia="Arial" w:hAnsi="Arial"/>
                <w:sz w:val="18"/>
                <w:szCs w:val="18"/>
                <w:b w:val="1"/>
                <w:bCs w:val="1"/>
                <w:color w:val="auto"/>
              </w:rPr>
              <w:t>Exhibit</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4740" w:type="dxa"/>
            <w:vAlign w:val="bottom"/>
          </w:tcPr>
          <w:p>
            <w:pPr>
              <w:spacing w:after="0"/>
              <w:rPr>
                <w:sz w:val="24"/>
                <w:szCs w:val="24"/>
                <w:color w:val="auto"/>
              </w:rPr>
            </w:pPr>
          </w:p>
        </w:tc>
      </w:tr>
      <w:tr>
        <w:trPr>
          <w:trHeight w:val="234"/>
        </w:trPr>
        <w:tc>
          <w:tcPr>
            <w:tcW w:w="1280" w:type="dxa"/>
            <w:vAlign w:val="bottom"/>
            <w:gridSpan w:val="2"/>
          </w:tcPr>
          <w:p>
            <w:pPr>
              <w:ind w:left="40"/>
              <w:spacing w:after="0"/>
              <w:rPr>
                <w:sz w:val="20"/>
                <w:szCs w:val="20"/>
                <w:color w:val="auto"/>
              </w:rPr>
            </w:pPr>
            <w:r>
              <w:rPr>
                <w:rFonts w:ascii="Arial" w:cs="Arial" w:eastAsia="Arial" w:hAnsi="Arial"/>
                <w:sz w:val="18"/>
                <w:szCs w:val="18"/>
                <w:b w:val="1"/>
                <w:bCs w:val="1"/>
                <w:color w:val="auto"/>
              </w:rPr>
              <w:t>Number</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00" w:type="dxa"/>
            <w:vAlign w:val="bottom"/>
            <w:gridSpan w:val="2"/>
          </w:tcPr>
          <w:p>
            <w:pPr>
              <w:spacing w:after="0"/>
              <w:rPr>
                <w:sz w:val="20"/>
                <w:szCs w:val="20"/>
                <w:color w:val="auto"/>
              </w:rPr>
            </w:pPr>
            <w:r>
              <w:rPr>
                <w:rFonts w:ascii="Arial" w:cs="Arial" w:eastAsia="Arial" w:hAnsi="Arial"/>
                <w:sz w:val="18"/>
                <w:szCs w:val="18"/>
                <w:b w:val="1"/>
                <w:bCs w:val="1"/>
                <w:color w:val="auto"/>
              </w:rPr>
              <w:t>Description of Exhibits</w:t>
            </w:r>
          </w:p>
        </w:tc>
      </w:tr>
      <w:tr>
        <w:trPr>
          <w:trHeight w:val="27"/>
        </w:trPr>
        <w:tc>
          <w:tcPr>
            <w:tcW w:w="12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260" w:type="dxa"/>
            <w:vAlign w:val="bottom"/>
            <w:tcBorders>
              <w:bottom w:val="single" w:sz="8" w:color="auto"/>
            </w:tcBorders>
          </w:tcPr>
          <w:p>
            <w:pPr>
              <w:spacing w:after="0"/>
              <w:rPr>
                <w:sz w:val="2"/>
                <w:szCs w:val="2"/>
                <w:color w:val="auto"/>
              </w:rPr>
            </w:pPr>
          </w:p>
        </w:tc>
        <w:tc>
          <w:tcPr>
            <w:tcW w:w="4740" w:type="dxa"/>
            <w:vAlign w:val="bottom"/>
            <w:tcBorders>
              <w:bottom w:val="single" w:sz="8" w:color="auto"/>
            </w:tcBorders>
          </w:tcPr>
          <w:p>
            <w:pPr>
              <w:spacing w:after="0"/>
              <w:rPr>
                <w:sz w:val="2"/>
                <w:szCs w:val="2"/>
                <w:color w:val="auto"/>
              </w:rPr>
            </w:pPr>
          </w:p>
        </w:tc>
      </w:tr>
      <w:tr>
        <w:trPr>
          <w:trHeight w:val="520"/>
        </w:trPr>
        <w:tc>
          <w:tcPr>
            <w:tcW w:w="1260" w:type="dxa"/>
            <w:vAlign w:val="bottom"/>
          </w:tcPr>
          <w:p>
            <w:pPr>
              <w:jc w:val="right"/>
              <w:ind w:right="310"/>
              <w:spacing w:after="0"/>
              <w:rPr>
                <w:sz w:val="20"/>
                <w:szCs w:val="20"/>
                <w:color w:val="auto"/>
              </w:rPr>
            </w:pPr>
            <w:r>
              <w:rPr>
                <w:rFonts w:ascii="Arial" w:cs="Arial" w:eastAsia="Arial" w:hAnsi="Arial"/>
                <w:sz w:val="18"/>
                <w:szCs w:val="18"/>
                <w:color w:val="auto"/>
              </w:rPr>
              <w:t>31.1</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2"/>
          </w:tcPr>
          <w:p>
            <w:pPr>
              <w:spacing w:after="0"/>
              <w:rPr>
                <w:rFonts w:ascii="Arial" w:cs="Arial" w:eastAsia="Arial" w:hAnsi="Arial"/>
                <w:sz w:val="18"/>
                <w:szCs w:val="18"/>
                <w:color w:val="0000FF"/>
              </w:rPr>
            </w:pPr>
            <w:hyperlink w:anchor="page54">
              <w:r>
                <w:rPr>
                  <w:rFonts w:ascii="Arial" w:cs="Arial" w:eastAsia="Arial" w:hAnsi="Arial"/>
                  <w:sz w:val="18"/>
                  <w:szCs w:val="18"/>
                  <w:color w:val="0000FF"/>
                </w:rPr>
                <w:t>Certification Pursuant to Section 302 of the Sarbanes-Oxley Act of 2002.</w:t>
              </w:r>
            </w:hyperlink>
          </w:p>
        </w:tc>
      </w:tr>
      <w:tr>
        <w:trPr>
          <w:trHeight w:val="20"/>
        </w:trPr>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60" w:type="dxa"/>
            <w:vAlign w:val="bottom"/>
            <w:shd w:val="clear" w:color="auto" w:fill="0000FF"/>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r>
      <w:tr>
        <w:trPr>
          <w:trHeight w:val="574"/>
        </w:trPr>
        <w:tc>
          <w:tcPr>
            <w:tcW w:w="1260" w:type="dxa"/>
            <w:vAlign w:val="bottom"/>
          </w:tcPr>
          <w:p>
            <w:pPr>
              <w:jc w:val="right"/>
              <w:ind w:right="310"/>
              <w:spacing w:after="0"/>
              <w:rPr>
                <w:sz w:val="20"/>
                <w:szCs w:val="20"/>
                <w:color w:val="auto"/>
              </w:rPr>
            </w:pPr>
            <w:r>
              <w:rPr>
                <w:rFonts w:ascii="Arial" w:cs="Arial" w:eastAsia="Arial" w:hAnsi="Arial"/>
                <w:sz w:val="18"/>
                <w:szCs w:val="18"/>
                <w:color w:val="auto"/>
              </w:rPr>
              <w:t>31.2</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2"/>
          </w:tcPr>
          <w:p>
            <w:pPr>
              <w:spacing w:after="0"/>
              <w:rPr>
                <w:rFonts w:ascii="Arial" w:cs="Arial" w:eastAsia="Arial" w:hAnsi="Arial"/>
                <w:sz w:val="18"/>
                <w:szCs w:val="18"/>
                <w:color w:val="0000FF"/>
              </w:rPr>
            </w:pPr>
            <w:hyperlink w:anchor="page55">
              <w:r>
                <w:rPr>
                  <w:rFonts w:ascii="Arial" w:cs="Arial" w:eastAsia="Arial" w:hAnsi="Arial"/>
                  <w:sz w:val="18"/>
                  <w:szCs w:val="18"/>
                  <w:color w:val="0000FF"/>
                </w:rPr>
                <w:t>Certification Pursuant to Section 302 of the Sarbanes-Oxley Act of 2002.</w:t>
              </w:r>
            </w:hyperlink>
          </w:p>
        </w:tc>
      </w:tr>
      <w:tr>
        <w:trPr>
          <w:trHeight w:val="20"/>
        </w:trPr>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60" w:type="dxa"/>
            <w:vAlign w:val="bottom"/>
            <w:shd w:val="clear" w:color="auto" w:fill="0000FF"/>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r>
      <w:tr>
        <w:trPr>
          <w:trHeight w:val="574"/>
        </w:trPr>
        <w:tc>
          <w:tcPr>
            <w:tcW w:w="1260" w:type="dxa"/>
            <w:vAlign w:val="bottom"/>
          </w:tcPr>
          <w:p>
            <w:pPr>
              <w:jc w:val="right"/>
              <w:ind w:right="310"/>
              <w:spacing w:after="0"/>
              <w:rPr>
                <w:sz w:val="20"/>
                <w:szCs w:val="20"/>
                <w:color w:val="auto"/>
              </w:rPr>
            </w:pPr>
            <w:r>
              <w:rPr>
                <w:rFonts w:ascii="Arial" w:cs="Arial" w:eastAsia="Arial" w:hAnsi="Arial"/>
                <w:sz w:val="18"/>
                <w:szCs w:val="18"/>
                <w:color w:val="auto"/>
              </w:rPr>
              <w:t>32.1</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2"/>
          </w:tcPr>
          <w:p>
            <w:pPr>
              <w:spacing w:after="0"/>
              <w:rPr>
                <w:rFonts w:ascii="Arial" w:cs="Arial" w:eastAsia="Arial" w:hAnsi="Arial"/>
                <w:sz w:val="18"/>
                <w:szCs w:val="18"/>
                <w:color w:val="0000FF"/>
              </w:rPr>
            </w:pPr>
            <w:hyperlink w:anchor="page56">
              <w:r>
                <w:rPr>
                  <w:rFonts w:ascii="Arial" w:cs="Arial" w:eastAsia="Arial" w:hAnsi="Arial"/>
                  <w:sz w:val="18"/>
                  <w:szCs w:val="18"/>
                  <w:color w:val="0000FF"/>
                </w:rPr>
                <w:t>Certification Pursuant to Section 906 of the Sarbanes-Oxley Act of 2002.</w:t>
              </w:r>
            </w:hyperlink>
          </w:p>
        </w:tc>
      </w:tr>
      <w:tr>
        <w:trPr>
          <w:trHeight w:val="20"/>
        </w:trPr>
        <w:tc>
          <w:tcPr>
            <w:tcW w:w="1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60" w:type="dxa"/>
            <w:vAlign w:val="bottom"/>
            <w:shd w:val="clear" w:color="auto" w:fill="0000FF"/>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r>
      <w:tr>
        <w:trPr>
          <w:trHeight w:val="600"/>
        </w:trPr>
        <w:tc>
          <w:tcPr>
            <w:tcW w:w="1280" w:type="dxa"/>
            <w:vAlign w:val="bottom"/>
            <w:gridSpan w:val="2"/>
          </w:tcPr>
          <w:p>
            <w:pPr>
              <w:jc w:val="center"/>
              <w:spacing w:after="0"/>
              <w:rPr>
                <w:sz w:val="20"/>
                <w:szCs w:val="20"/>
                <w:color w:val="auto"/>
              </w:rPr>
            </w:pPr>
            <w:r>
              <w:rPr>
                <w:rFonts w:ascii="Arial" w:cs="Arial" w:eastAsia="Arial" w:hAnsi="Arial"/>
                <w:sz w:val="18"/>
                <w:szCs w:val="18"/>
                <w:color w:val="auto"/>
                <w:w w:val="92"/>
              </w:rPr>
              <w:t>101.INS</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w w:val="94"/>
              </w:rPr>
              <w:t>XBRL Instance Document. The instance document does not appear in the Interactive Data File because its XBRL tags are embedded</w:t>
            </w:r>
          </w:p>
        </w:tc>
      </w:tr>
      <w:tr>
        <w:trPr>
          <w:trHeight w:val="230"/>
        </w:trPr>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rPr>
              <w:t>within the Inline XBRL document.</w:t>
            </w:r>
          </w:p>
        </w:tc>
      </w:tr>
      <w:tr>
        <w:trPr>
          <w:trHeight w:val="594"/>
        </w:trPr>
        <w:tc>
          <w:tcPr>
            <w:tcW w:w="128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101.SCH</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rPr>
              <w:t>XBRL Taxonomy Extension Schema.</w:t>
            </w:r>
          </w:p>
        </w:tc>
      </w:tr>
      <w:tr>
        <w:trPr>
          <w:trHeight w:val="594"/>
        </w:trPr>
        <w:tc>
          <w:tcPr>
            <w:tcW w:w="1280" w:type="dxa"/>
            <w:vAlign w:val="bottom"/>
            <w:gridSpan w:val="2"/>
          </w:tcPr>
          <w:p>
            <w:pPr>
              <w:jc w:val="center"/>
              <w:spacing w:after="0"/>
              <w:rPr>
                <w:sz w:val="20"/>
                <w:szCs w:val="20"/>
                <w:color w:val="auto"/>
              </w:rPr>
            </w:pPr>
            <w:r>
              <w:rPr>
                <w:rFonts w:ascii="Arial" w:cs="Arial" w:eastAsia="Arial" w:hAnsi="Arial"/>
                <w:sz w:val="18"/>
                <w:szCs w:val="18"/>
                <w:color w:val="auto"/>
                <w:w w:val="97"/>
              </w:rPr>
              <w:t>101.CAL</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rPr>
              <w:t>XBRL Taxonomy Extension Calculation Linkbase.</w:t>
            </w:r>
          </w:p>
        </w:tc>
      </w:tr>
      <w:tr>
        <w:trPr>
          <w:trHeight w:val="594"/>
        </w:trPr>
        <w:tc>
          <w:tcPr>
            <w:tcW w:w="128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101.DEF</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rPr>
              <w:t>XBRL Taxonomy Extension Definition Linkbase.</w:t>
            </w:r>
          </w:p>
        </w:tc>
      </w:tr>
      <w:tr>
        <w:trPr>
          <w:trHeight w:val="594"/>
        </w:trPr>
        <w:tc>
          <w:tcPr>
            <w:tcW w:w="1280" w:type="dxa"/>
            <w:vAlign w:val="bottom"/>
            <w:gridSpan w:val="2"/>
          </w:tcPr>
          <w:p>
            <w:pPr>
              <w:jc w:val="center"/>
              <w:spacing w:after="0"/>
              <w:rPr>
                <w:sz w:val="20"/>
                <w:szCs w:val="20"/>
                <w:color w:val="auto"/>
              </w:rPr>
            </w:pPr>
            <w:r>
              <w:rPr>
                <w:rFonts w:ascii="Arial" w:cs="Arial" w:eastAsia="Arial" w:hAnsi="Arial"/>
                <w:sz w:val="18"/>
                <w:szCs w:val="18"/>
                <w:color w:val="auto"/>
                <w:w w:val="98"/>
              </w:rPr>
              <w:t>101.LAB</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rPr>
              <w:t>XBRL Taxonomy Extension Label Linkbase.</w:t>
            </w:r>
          </w:p>
        </w:tc>
      </w:tr>
      <w:tr>
        <w:trPr>
          <w:trHeight w:val="594"/>
        </w:trPr>
        <w:tc>
          <w:tcPr>
            <w:tcW w:w="1280" w:type="dxa"/>
            <w:vAlign w:val="bottom"/>
            <w:gridSpan w:val="2"/>
          </w:tcPr>
          <w:p>
            <w:pPr>
              <w:jc w:val="center"/>
              <w:spacing w:after="0"/>
              <w:rPr>
                <w:sz w:val="20"/>
                <w:szCs w:val="20"/>
                <w:color w:val="auto"/>
              </w:rPr>
            </w:pPr>
            <w:r>
              <w:rPr>
                <w:rFonts w:ascii="Arial" w:cs="Arial" w:eastAsia="Arial" w:hAnsi="Arial"/>
                <w:sz w:val="18"/>
                <w:szCs w:val="18"/>
                <w:color w:val="auto"/>
                <w:w w:val="88"/>
              </w:rPr>
              <w:t>101.PRE</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rPr>
              <w:t>XBRL Taxonomy Extension Presentation Linkbase.</w:t>
            </w:r>
          </w:p>
        </w:tc>
      </w:tr>
      <w:tr>
        <w:trPr>
          <w:trHeight w:val="783"/>
        </w:trPr>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0" w:type="dxa"/>
            <w:vAlign w:val="bottom"/>
            <w:gridSpan w:val="3"/>
          </w:tcPr>
          <w:p>
            <w:pPr>
              <w:jc w:val="right"/>
              <w:ind w:right="790"/>
              <w:spacing w:after="0"/>
              <w:rPr>
                <w:sz w:val="20"/>
                <w:szCs w:val="20"/>
                <w:color w:val="auto"/>
              </w:rPr>
            </w:pPr>
            <w:r>
              <w:rPr>
                <w:rFonts w:ascii="Arial" w:cs="Arial" w:eastAsia="Arial" w:hAnsi="Arial"/>
                <w:sz w:val="18"/>
                <w:szCs w:val="18"/>
                <w:color w:val="auto"/>
              </w:rPr>
              <w:t>50</w:t>
            </w:r>
          </w:p>
        </w:tc>
        <w:tc>
          <w:tcPr>
            <w:tcW w:w="4740" w:type="dxa"/>
            <w:vAlign w:val="bottom"/>
          </w:tcPr>
          <w:p>
            <w:pPr>
              <w:spacing w:after="0"/>
              <w:rPr>
                <w:sz w:val="24"/>
                <w:szCs w:val="24"/>
                <w:color w:val="auto"/>
              </w:rPr>
            </w:pPr>
          </w:p>
        </w:tc>
      </w:tr>
    </w:tbl>
    <w:p>
      <w:pPr>
        <w:sectPr>
          <w:pgSz w:w="11900" w:h="16838" w:orient="portrait"/>
          <w:cols w:equalWidth="0" w:num="1">
            <w:col w:w="11420"/>
          </w:cols>
          <w:pgMar w:left="240" w:top="108"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9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500" w:type="dxa"/>
            <w:vAlign w:val="bottom"/>
          </w:tcPr>
          <w:p>
            <w:pPr>
              <w:jc w:val="right"/>
              <w:ind w:right="3050"/>
              <w:spacing w:after="0"/>
              <w:rPr>
                <w:sz w:val="20"/>
                <w:szCs w:val="20"/>
                <w:color w:val="auto"/>
              </w:rPr>
            </w:pPr>
            <w:r>
              <w:rPr>
                <w:rFonts w:ascii="Arial" w:cs="Arial" w:eastAsia="Arial" w:hAnsi="Arial"/>
                <w:sz w:val="18"/>
                <w:szCs w:val="18"/>
                <w:color w:val="auto"/>
              </w:rPr>
              <w:t>ITRON, INC.</w:t>
            </w:r>
          </w:p>
        </w:tc>
      </w:tr>
      <w:tr>
        <w:trPr>
          <w:trHeight w:val="567"/>
        </w:trPr>
        <w:tc>
          <w:tcPr>
            <w:tcW w:w="3660" w:type="dxa"/>
            <w:vAlign w:val="bottom"/>
          </w:tcPr>
          <w:p>
            <w:pPr>
              <w:jc w:val="center"/>
              <w:spacing w:after="0"/>
              <w:rPr>
                <w:sz w:val="20"/>
                <w:szCs w:val="20"/>
                <w:color w:val="auto"/>
              </w:rPr>
            </w:pPr>
            <w:r>
              <w:rPr>
                <w:rFonts w:ascii="Arial" w:cs="Arial" w:eastAsia="Arial" w:hAnsi="Arial"/>
                <w:sz w:val="18"/>
                <w:szCs w:val="18"/>
                <w:color w:val="auto"/>
                <w:w w:val="92"/>
              </w:rPr>
              <w:t>May 8, 2019</w:t>
            </w:r>
          </w:p>
        </w:tc>
        <w:tc>
          <w:tcPr>
            <w:tcW w:w="1260" w:type="dxa"/>
            <w:vAlign w:val="bottom"/>
          </w:tcPr>
          <w:p>
            <w:pPr>
              <w:ind w:left="500"/>
              <w:spacing w:after="0"/>
              <w:rPr>
                <w:sz w:val="20"/>
                <w:szCs w:val="20"/>
                <w:color w:val="auto"/>
              </w:rPr>
            </w:pPr>
            <w:r>
              <w:rPr>
                <w:rFonts w:ascii="Arial" w:cs="Arial" w:eastAsia="Arial" w:hAnsi="Arial"/>
                <w:sz w:val="18"/>
                <w:szCs w:val="18"/>
                <w:color w:val="auto"/>
              </w:rPr>
              <w:t>By:</w:t>
            </w:r>
          </w:p>
        </w:tc>
        <w:tc>
          <w:tcPr>
            <w:tcW w:w="6500" w:type="dxa"/>
            <w:vAlign w:val="bottom"/>
          </w:tcPr>
          <w:p>
            <w:pPr>
              <w:jc w:val="center"/>
              <w:spacing w:after="0"/>
              <w:rPr>
                <w:sz w:val="20"/>
                <w:szCs w:val="20"/>
                <w:color w:val="auto"/>
              </w:rPr>
            </w:pPr>
            <w:r>
              <w:rPr>
                <w:rFonts w:ascii="Arial" w:cs="Arial" w:eastAsia="Arial" w:hAnsi="Arial"/>
                <w:sz w:val="18"/>
                <w:szCs w:val="18"/>
                <w:color w:val="auto"/>
                <w:w w:val="91"/>
              </w:rPr>
              <w:t>/s/ JOAN S. HOOPER</w:t>
            </w:r>
          </w:p>
        </w:tc>
      </w:tr>
      <w:tr>
        <w:trPr>
          <w:trHeight w:val="27"/>
        </w:trPr>
        <w:tc>
          <w:tcPr>
            <w:tcW w:w="366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c>
          <w:tcPr>
            <w:tcW w:w="6500" w:type="dxa"/>
            <w:vAlign w:val="bottom"/>
            <w:tcBorders>
              <w:bottom w:val="single" w:sz="8" w:color="auto"/>
            </w:tcBorders>
          </w:tcPr>
          <w:p>
            <w:pPr>
              <w:spacing w:after="0"/>
              <w:rPr>
                <w:sz w:val="2"/>
                <w:szCs w:val="2"/>
                <w:color w:val="auto"/>
              </w:rPr>
            </w:pPr>
          </w:p>
        </w:tc>
      </w:tr>
      <w:tr>
        <w:trPr>
          <w:trHeight w:val="237"/>
        </w:trPr>
        <w:tc>
          <w:tcPr>
            <w:tcW w:w="366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c>
          <w:tcPr>
            <w:tcW w:w="1260" w:type="dxa"/>
            <w:vAlign w:val="bottom"/>
          </w:tcPr>
          <w:p>
            <w:pPr>
              <w:spacing w:after="0"/>
              <w:rPr>
                <w:sz w:val="20"/>
                <w:szCs w:val="20"/>
                <w:color w:val="auto"/>
              </w:rPr>
            </w:pPr>
          </w:p>
        </w:tc>
        <w:tc>
          <w:tcPr>
            <w:tcW w:w="6500" w:type="dxa"/>
            <w:vAlign w:val="bottom"/>
          </w:tcPr>
          <w:p>
            <w:pPr>
              <w:jc w:val="center"/>
              <w:spacing w:after="0"/>
              <w:rPr>
                <w:sz w:val="20"/>
                <w:szCs w:val="20"/>
                <w:color w:val="auto"/>
              </w:rPr>
            </w:pPr>
            <w:r>
              <w:rPr>
                <w:rFonts w:ascii="Arial" w:cs="Arial" w:eastAsia="Arial" w:hAnsi="Arial"/>
                <w:sz w:val="18"/>
                <w:szCs w:val="18"/>
                <w:b w:val="1"/>
                <w:bCs w:val="1"/>
                <w:color w:val="auto"/>
                <w:w w:val="89"/>
              </w:rPr>
              <w:t>Joan S. Hooper</w:t>
            </w:r>
          </w:p>
        </w:tc>
      </w:tr>
      <w:tr>
        <w:trPr>
          <w:trHeight w:val="270"/>
        </w:trPr>
        <w:tc>
          <w:tcPr>
            <w:tcW w:w="36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6500" w:type="dxa"/>
            <w:vAlign w:val="bottom"/>
          </w:tcPr>
          <w:p>
            <w:pPr>
              <w:jc w:val="center"/>
              <w:spacing w:after="0"/>
              <w:rPr>
                <w:sz w:val="20"/>
                <w:szCs w:val="20"/>
                <w:color w:val="auto"/>
              </w:rPr>
            </w:pPr>
            <w:r>
              <w:rPr>
                <w:rFonts w:ascii="Arial" w:cs="Arial" w:eastAsia="Arial" w:hAnsi="Arial"/>
                <w:sz w:val="18"/>
                <w:szCs w:val="18"/>
                <w:b w:val="1"/>
                <w:bCs w:val="1"/>
                <w:color w:val="auto"/>
                <w:w w:val="91"/>
              </w:rPr>
              <w:t>Senior Vice President and Chief Financial Officer</w:t>
            </w:r>
          </w:p>
        </w:tc>
      </w:tr>
      <w:tr>
        <w:trPr>
          <w:trHeight w:val="486"/>
        </w:trPr>
        <w:tc>
          <w:tcPr>
            <w:tcW w:w="3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500" w:type="dxa"/>
            <w:vAlign w:val="bottom"/>
          </w:tcPr>
          <w:p>
            <w:pPr>
              <w:jc w:val="right"/>
              <w:ind w:right="5530"/>
              <w:spacing w:after="0"/>
              <w:rPr>
                <w:sz w:val="20"/>
                <w:szCs w:val="20"/>
                <w:color w:val="auto"/>
              </w:rPr>
            </w:pPr>
            <w:r>
              <w:rPr>
                <w:rFonts w:ascii="Arial" w:cs="Arial" w:eastAsia="Arial" w:hAnsi="Arial"/>
                <w:sz w:val="18"/>
                <w:szCs w:val="18"/>
                <w:color w:val="auto"/>
              </w:rPr>
              <w:t>51</w:t>
            </w:r>
          </w:p>
        </w:tc>
      </w:tr>
    </w:tbl>
    <w:p>
      <w:pPr>
        <w:sectPr>
          <w:pgSz w:w="11900" w:h="16838" w:orient="portrait"/>
          <w:cols w:equalWidth="0" w:num="1">
            <w:col w:w="11420"/>
          </w:cols>
          <w:pgMar w:left="240" w:top="125"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Philip C. Mezey, certify that:</w:t>
      </w:r>
    </w:p>
    <w:p>
      <w:pPr>
        <w:spacing w:after="0" w:line="225"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Itron, Inc.;</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right="20" w:hanging="324"/>
        <w:spacing w:after="0" w:line="308" w:lineRule="auto"/>
        <w:tabs>
          <w:tab w:leader="none" w:pos="980" w:val="left"/>
        </w:tabs>
        <w:numPr>
          <w:ilvl w:val="1"/>
          <w:numId w:val="1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ITRON, INC.</w:t>
      </w:r>
    </w:p>
    <w:p>
      <w:pPr>
        <w:spacing w:after="0" w:line="225" w:lineRule="exact"/>
        <w:rPr>
          <w:sz w:val="20"/>
          <w:szCs w:val="20"/>
          <w:color w:val="auto"/>
        </w:rPr>
      </w:pPr>
    </w:p>
    <w:p>
      <w:pPr>
        <w:ind w:left="5480"/>
        <w:spacing w:after="0"/>
        <w:tabs>
          <w:tab w:leader="none" w:pos="79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PHILIP C. MEZEY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31750</wp:posOffset>
            </wp:positionV>
            <wp:extent cx="33959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53" w:lineRule="exact"/>
        <w:rPr>
          <w:sz w:val="20"/>
          <w:szCs w:val="20"/>
          <w:color w:val="auto"/>
        </w:rPr>
      </w:pPr>
    </w:p>
    <w:p>
      <w:pPr>
        <w:jc w:val="center"/>
        <w:ind w:left="6080"/>
        <w:spacing w:after="0"/>
        <w:rPr>
          <w:sz w:val="20"/>
          <w:szCs w:val="20"/>
          <w:color w:val="auto"/>
        </w:rPr>
      </w:pPr>
      <w:r>
        <w:rPr>
          <w:rFonts w:ascii="Arial" w:cs="Arial" w:eastAsia="Arial" w:hAnsi="Arial"/>
          <w:sz w:val="18"/>
          <w:szCs w:val="18"/>
          <w:b w:val="1"/>
          <w:bCs w:val="1"/>
          <w:color w:val="auto"/>
        </w:rPr>
        <w:t>Philip C. Mezey</w:t>
      </w:r>
    </w:p>
    <w:p>
      <w:pPr>
        <w:spacing w:after="0" w:line="27" w:lineRule="exact"/>
        <w:rPr>
          <w:sz w:val="20"/>
          <w:szCs w:val="20"/>
          <w:color w:val="auto"/>
        </w:rPr>
      </w:pPr>
    </w:p>
    <w:p>
      <w:pPr>
        <w:jc w:val="center"/>
        <w:ind w:left="608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May 8, 2019</w:t>
      </w:r>
    </w:p>
    <w:p>
      <w:pPr>
        <w:sectPr>
          <w:pgSz w:w="11900" w:h="16838" w:orient="portrait"/>
          <w:cols w:equalWidth="0" w:num="1">
            <w:col w:w="11420"/>
          </w:cols>
          <w:pgMar w:left="240" w:top="580"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Joan S. Hooper, certify that:</w:t>
      </w:r>
    </w:p>
    <w:p>
      <w:pPr>
        <w:spacing w:after="0" w:line="225"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Itron, Inc.;</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right="20" w:hanging="324"/>
        <w:spacing w:after="0" w:line="308" w:lineRule="auto"/>
        <w:tabs>
          <w:tab w:leader="none" w:pos="980" w:val="left"/>
        </w:tabs>
        <w:numPr>
          <w:ilvl w:val="1"/>
          <w:numId w:val="1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4"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ITRON, INC.</w:t>
      </w:r>
    </w:p>
    <w:p>
      <w:pPr>
        <w:spacing w:after="0" w:line="225" w:lineRule="exact"/>
        <w:rPr>
          <w:sz w:val="20"/>
          <w:szCs w:val="20"/>
          <w:color w:val="auto"/>
        </w:rPr>
      </w:pPr>
    </w:p>
    <w:p>
      <w:pPr>
        <w:ind w:left="5480"/>
        <w:spacing w:after="0"/>
        <w:tabs>
          <w:tab w:leader="none" w:pos="79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JOAN S. HOOPER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31750</wp:posOffset>
            </wp:positionV>
            <wp:extent cx="33959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53" w:lineRule="exact"/>
        <w:rPr>
          <w:sz w:val="20"/>
          <w:szCs w:val="20"/>
          <w:color w:val="auto"/>
        </w:rPr>
      </w:pPr>
    </w:p>
    <w:p>
      <w:pPr>
        <w:jc w:val="center"/>
        <w:ind w:left="6080"/>
        <w:spacing w:after="0"/>
        <w:rPr>
          <w:sz w:val="20"/>
          <w:szCs w:val="20"/>
          <w:color w:val="auto"/>
        </w:rPr>
      </w:pPr>
      <w:r>
        <w:rPr>
          <w:rFonts w:ascii="Arial" w:cs="Arial" w:eastAsia="Arial" w:hAnsi="Arial"/>
          <w:sz w:val="18"/>
          <w:szCs w:val="18"/>
          <w:b w:val="1"/>
          <w:bCs w:val="1"/>
          <w:color w:val="auto"/>
        </w:rPr>
        <w:t>Joan S. Hooper</w:t>
      </w:r>
    </w:p>
    <w:p>
      <w:pPr>
        <w:spacing w:after="0" w:line="27" w:lineRule="exact"/>
        <w:rPr>
          <w:sz w:val="20"/>
          <w:szCs w:val="20"/>
          <w:color w:val="auto"/>
        </w:rPr>
      </w:pPr>
    </w:p>
    <w:p>
      <w:pPr>
        <w:jc w:val="center"/>
        <w:ind w:left="6080"/>
        <w:spacing w:after="0"/>
        <w:rPr>
          <w:sz w:val="20"/>
          <w:szCs w:val="20"/>
          <w:color w:val="auto"/>
        </w:rPr>
      </w:pPr>
      <w:r>
        <w:rPr>
          <w:rFonts w:ascii="Arial" w:cs="Arial" w:eastAsia="Arial" w:hAnsi="Arial"/>
          <w:sz w:val="18"/>
          <w:szCs w:val="18"/>
          <w:b w:val="1"/>
          <w:bCs w:val="1"/>
          <w:color w:val="auto"/>
        </w:rPr>
        <w:t>Senior Vice President and Chief Financial Officer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May 8, 2019</w:t>
      </w:r>
    </w:p>
    <w:p>
      <w:pPr>
        <w:sectPr>
          <w:pgSz w:w="11900" w:h="16838" w:orient="portrait"/>
          <w:cols w:equalWidth="0" w:num="1">
            <w:col w:w="11420"/>
          </w:cols>
          <w:pgMar w:left="240" w:top="580"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certification set forth below is being submitted in connection with the Quarterly Report of Itron, Inc. (the Company) on Form 10-Q for the quarterly period ended March 31, 2019 (the Report) for the purpose of complying with Rule 13a-14(b) or Rule 15d-14(b) of the Securities Exchange Act of 1934 and Section 1350 of Chapter 63 of Title 18 of the United States Code.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Philip C. Mezey, the Chief Executive Officer and Joan S. Hooper, the Chief Financial Officer of the Company, each certifies that to the best of his or her knowledge:</w:t>
      </w:r>
    </w:p>
    <w:p>
      <w:pPr>
        <w:spacing w:after="0" w:line="170" w:lineRule="exact"/>
        <w:rPr>
          <w:sz w:val="20"/>
          <w:szCs w:val="20"/>
          <w:color w:val="auto"/>
        </w:rPr>
      </w:pPr>
    </w:p>
    <w:p>
      <w:pPr>
        <w:ind w:left="880" w:hanging="467"/>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880" w:hanging="467"/>
        <w:spacing w:after="0"/>
        <w:tabs>
          <w:tab w:leader="none" w:pos="8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/s/ PHILIP C. MEZEY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31025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53" w:lineRule="exact"/>
        <w:rPr>
          <w:sz w:val="20"/>
          <w:szCs w:val="20"/>
          <w:color w:val="auto"/>
        </w:rPr>
      </w:pPr>
    </w:p>
    <w:p>
      <w:pPr>
        <w:ind w:left="2000"/>
        <w:spacing w:after="0"/>
        <w:rPr>
          <w:sz w:val="20"/>
          <w:szCs w:val="20"/>
          <w:color w:val="auto"/>
        </w:rPr>
      </w:pPr>
      <w:r>
        <w:rPr>
          <w:rFonts w:ascii="Arial" w:cs="Arial" w:eastAsia="Arial" w:hAnsi="Arial"/>
          <w:sz w:val="18"/>
          <w:szCs w:val="18"/>
          <w:b w:val="1"/>
          <w:bCs w:val="1"/>
          <w:color w:val="auto"/>
        </w:rPr>
        <w:t>Philip C. Mezey</w:t>
      </w:r>
    </w:p>
    <w:p>
      <w:pPr>
        <w:spacing w:after="0" w:line="27" w:lineRule="exact"/>
        <w:rPr>
          <w:sz w:val="20"/>
          <w:szCs w:val="20"/>
          <w:color w:val="auto"/>
        </w:rPr>
      </w:pPr>
    </w:p>
    <w:p>
      <w:pPr>
        <w:jc w:val="center"/>
        <w:ind w:right="620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45" w:lineRule="exact"/>
        <w:rPr>
          <w:sz w:val="20"/>
          <w:szCs w:val="20"/>
          <w:color w:val="auto"/>
        </w:rPr>
      </w:pPr>
    </w:p>
    <w:p>
      <w:pPr>
        <w:jc w:val="center"/>
        <w:ind w:right="6200"/>
        <w:spacing w:after="0"/>
        <w:rPr>
          <w:sz w:val="20"/>
          <w:szCs w:val="20"/>
          <w:color w:val="auto"/>
        </w:rPr>
      </w:pPr>
      <w:r>
        <w:rPr>
          <w:rFonts w:ascii="Arial" w:cs="Arial" w:eastAsia="Arial" w:hAnsi="Arial"/>
          <w:sz w:val="18"/>
          <w:szCs w:val="18"/>
          <w:b w:val="1"/>
          <w:bCs w:val="1"/>
          <w:color w:val="auto"/>
        </w:rPr>
        <w:t>May 8, 2019</w:t>
      </w:r>
    </w:p>
    <w:p>
      <w:pPr>
        <w:spacing w:after="0" w:line="310"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/s/ JOAN S. HOOPER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31025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53"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auto"/>
        </w:rPr>
        <w:t>Joan S. Hooper</w:t>
      </w:r>
    </w:p>
    <w:p>
      <w:pPr>
        <w:spacing w:after="0" w:line="27" w:lineRule="exact"/>
        <w:rPr>
          <w:sz w:val="20"/>
          <w:szCs w:val="20"/>
          <w:color w:val="auto"/>
        </w:rPr>
      </w:pPr>
    </w:p>
    <w:p>
      <w:pPr>
        <w:jc w:val="center"/>
        <w:ind w:right="6200"/>
        <w:spacing w:after="0"/>
        <w:rPr>
          <w:sz w:val="20"/>
          <w:szCs w:val="20"/>
          <w:color w:val="auto"/>
        </w:rPr>
      </w:pPr>
      <w:r>
        <w:rPr>
          <w:rFonts w:ascii="Arial" w:cs="Arial" w:eastAsia="Arial" w:hAnsi="Arial"/>
          <w:sz w:val="18"/>
          <w:szCs w:val="18"/>
          <w:b w:val="1"/>
          <w:bCs w:val="1"/>
          <w:color w:val="auto"/>
        </w:rPr>
        <w:t>Senior Vice President and Chief Financial Officer</w:t>
      </w:r>
    </w:p>
    <w:p>
      <w:pPr>
        <w:spacing w:after="0" w:line="45" w:lineRule="exact"/>
        <w:rPr>
          <w:sz w:val="20"/>
          <w:szCs w:val="20"/>
          <w:color w:val="auto"/>
        </w:rPr>
      </w:pPr>
    </w:p>
    <w:p>
      <w:pPr>
        <w:jc w:val="center"/>
        <w:ind w:right="6200"/>
        <w:spacing w:after="0"/>
        <w:rPr>
          <w:sz w:val="20"/>
          <w:szCs w:val="20"/>
          <w:color w:val="auto"/>
        </w:rPr>
      </w:pPr>
      <w:r>
        <w:rPr>
          <w:rFonts w:ascii="Arial" w:cs="Arial" w:eastAsia="Arial" w:hAnsi="Arial"/>
          <w:sz w:val="18"/>
          <w:szCs w:val="18"/>
          <w:b w:val="1"/>
          <w:bCs w:val="1"/>
          <w:color w:val="auto"/>
        </w:rPr>
        <w:t>May 8, 2019</w:t>
      </w:r>
    </w:p>
    <w:sectPr>
      <w:pgSz w:w="11900" w:h="16838" w:orient="portrait"/>
      <w:cols w:equalWidth="0" w:num="1">
        <w:col w:w="11420"/>
      </w:cols>
      <w:pgMar w:left="240" w:top="74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x"/>
      <w:numFmt w:val="bullet"/>
      <w:start w:val="1"/>
    </w:lvl>
  </w:abstractNum>
  <w:abstractNum w:abstractNumId="1">
    <w:nsid w:val="216231B"/>
    <w:multiLevelType w:val="hybridMultilevel"/>
    <w:lvl w:ilvl="0">
      <w:lvlJc w:val="left"/>
      <w:lvlText w:val="o"/>
      <w:numFmt w:val="bullet"/>
      <w:start w:val="1"/>
    </w:lvl>
  </w:abstractNum>
  <w:abstractNum w:abstractNumId="2">
    <w:nsid w:val="1F16E9E8"/>
    <w:multiLevelType w:val="hybridMultilevel"/>
    <w:lvl w:ilvl="0">
      <w:lvlJc w:val="left"/>
      <w:lvlText w:val="(%1)"/>
      <w:numFmt w:val="decimal"/>
      <w:start w:val="1"/>
    </w:lvl>
  </w:abstractNum>
  <w:abstractNum w:abstractNumId="3">
    <w:nsid w:val="1190CDE7"/>
    <w:multiLevelType w:val="hybridMultilevel"/>
    <w:lvl w:ilvl="0">
      <w:lvlJc w:val="left"/>
      <w:lvlText w:val="(%1)"/>
      <w:numFmt w:val="decimal"/>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1)"/>
      <w:numFmt w:val="decimal"/>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1)"/>
      <w:numFmt w:val="decimal"/>
      <w:start w:val="1"/>
    </w:lvl>
  </w:abstractNum>
  <w:abstractNum w:abstractNumId="8">
    <w:nsid w:val="DED7263"/>
    <w:multiLevelType w:val="hybridMultilevel"/>
    <w:lvl w:ilvl="0">
      <w:lvlJc w:val="left"/>
      <w:lvlText w:val="(%1)"/>
      <w:numFmt w:val="decimal"/>
      <w:start w:val="1"/>
    </w:lvl>
  </w:abstractNum>
  <w:abstractNum w:abstractNumId="9">
    <w:nsid w:val="7FDCC233"/>
    <w:multiLevelType w:val="hybridMultilevel"/>
    <w:lvl w:ilvl="0">
      <w:lvlJc w:val="left"/>
      <w:lvlText w:val="(%1)"/>
      <w:numFmt w:val="decimal"/>
      <w:start w:val="1"/>
    </w:lvl>
  </w:abstractNum>
  <w:abstractNum w:abstractNumId="10">
    <w:nsid w:val="1BEFD79F"/>
    <w:multiLevelType w:val="hybridMultilevel"/>
    <w:lvl w:ilvl="0">
      <w:lvlJc w:val="left"/>
      <w:lvlText w:val="(%1)"/>
      <w:numFmt w:val="decimal"/>
      <w:start w:val="1"/>
    </w:lvl>
  </w:abstractNum>
  <w:abstractNum w:abstractNumId="11">
    <w:nsid w:val="41A7C4C9"/>
    <w:multiLevelType w:val="hybridMultilevel"/>
    <w:lvl w:ilvl="0">
      <w:lvlJc w:val="left"/>
      <w:lvlText w:val="(%1)"/>
      <w:numFmt w:val="decimal"/>
      <w:start w:val="1"/>
    </w:lvl>
  </w:abstractNum>
  <w:abstractNum w:abstractNumId="12">
    <w:nsid w:val="6B68079A"/>
    <w:multiLevelType w:val="hybridMultilevel"/>
    <w:lvl w:ilvl="0">
      <w:lvlJc w:val="left"/>
      <w:lvlText w:val="(%1)"/>
      <w:numFmt w:val="decimal"/>
      <w:start w:val="1"/>
    </w:lvl>
  </w:abstractNum>
  <w:abstractNum w:abstractNumId="13">
    <w:nsid w:val="4E6AFB66"/>
    <w:multiLevelType w:val="hybridMultilevel"/>
    <w:lvl w:ilvl="0">
      <w:lvlJc w:val="left"/>
      <w:lvlText w:val="(%1)"/>
      <w:numFmt w:val="lowerLetter"/>
      <w:start w:val="1"/>
    </w:lvl>
  </w:abstractNum>
  <w:abstractNum w:abstractNumId="14">
    <w:nsid w:val="25E45D32"/>
    <w:multiLevelType w:val="hybridMultilevel"/>
    <w:lvl w:ilvl="0">
      <w:lvlJc w:val="left"/>
      <w:lvlText w:val="(%1)"/>
      <w:numFmt w:val="decimal"/>
      <w:start w:val="1"/>
    </w:lvl>
  </w:abstractNum>
  <w:abstractNum w:abstractNumId="15">
    <w:nsid w:val="519B500D"/>
    <w:multiLevelType w:val="hybridMultilevel"/>
    <w:lvl w:ilvl="0">
      <w:lvlJc w:val="left"/>
      <w:lvlText w:val="(%1)"/>
      <w:numFmt w:val="lowerLetter"/>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lvl w:ilvl="1">
      <w:lvlJc w:val="left"/>
      <w:lvlText w:val="%2)"/>
      <w:numFmt w:val="lowerLetter"/>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2019-12-28T12:39:25Z</dcterms:created>
  <dcterms:modified xsi:type="dcterms:W3CDTF">2019-12-28T12:39:25Z</dcterms:modified>
</cp:coreProperties>
</file>