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SCHEDULE 13D</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(Rule 13d-101)</w:t>
      </w:r>
    </w:p>
    <w:p>
      <w:pPr>
        <w:spacing w:after="0" w:line="229" w:lineRule="exact"/>
        <w:rPr>
          <w:sz w:val="24"/>
          <w:szCs w:val="24"/>
          <w:color w:val="auto"/>
        </w:rPr>
      </w:pPr>
    </w:p>
    <w:p>
      <w:pPr>
        <w:ind w:left="2980"/>
        <w:spacing w:after="0"/>
        <w:rPr>
          <w:sz w:val="20"/>
          <w:szCs w:val="20"/>
          <w:color w:val="auto"/>
        </w:rPr>
      </w:pPr>
      <w:r>
        <w:rPr>
          <w:rFonts w:ascii="Arial" w:cs="Arial" w:eastAsia="Arial" w:hAnsi="Arial"/>
          <w:sz w:val="17"/>
          <w:szCs w:val="17"/>
          <w:color w:val="auto"/>
        </w:rPr>
        <w:t>INFORMATION TO BE INCLUDED IN STATEMENTS FILED PURSUANT</w:t>
      </w:r>
    </w:p>
    <w:p>
      <w:pPr>
        <w:spacing w:after="0" w:line="22" w:lineRule="exact"/>
        <w:rPr>
          <w:sz w:val="24"/>
          <w:szCs w:val="24"/>
          <w:color w:val="auto"/>
        </w:rPr>
      </w:pPr>
    </w:p>
    <w:p>
      <w:pPr>
        <w:ind w:left="2940"/>
        <w:spacing w:after="0"/>
        <w:rPr>
          <w:sz w:val="20"/>
          <w:szCs w:val="20"/>
          <w:color w:val="auto"/>
        </w:rPr>
      </w:pPr>
      <w:r>
        <w:rPr>
          <w:rFonts w:ascii="Arial" w:cs="Arial" w:eastAsia="Arial" w:hAnsi="Arial"/>
          <w:sz w:val="17"/>
          <w:szCs w:val="17"/>
          <w:color w:val="auto"/>
        </w:rPr>
        <w:t>TO § 240.13d-1(a) AND AMENDMENTS THERETO FILED PURSUANT TO</w:t>
      </w:r>
    </w:p>
    <w:p>
      <w:pPr>
        <w:spacing w:after="0" w:line="11" w:lineRule="exact"/>
        <w:rPr>
          <w:sz w:val="24"/>
          <w:szCs w:val="24"/>
          <w:color w:val="auto"/>
        </w:rPr>
      </w:pPr>
    </w:p>
    <w:p>
      <w:pPr>
        <w:ind w:left="5020" w:right="4940" w:firstLine="183"/>
        <w:spacing w:after="0" w:line="476" w:lineRule="auto"/>
        <w:tabs>
          <w:tab w:leader="none" w:pos="5341" w:val="left"/>
        </w:tabs>
        <w:numPr>
          <w:ilvl w:val="0"/>
          <w:numId w:val="1"/>
        </w:numPr>
        <w:rPr>
          <w:rFonts w:ascii="Arial" w:cs="Arial" w:eastAsia="Arial" w:hAnsi="Arial"/>
          <w:sz w:val="16"/>
          <w:szCs w:val="16"/>
          <w:color w:val="auto"/>
        </w:rPr>
      </w:pPr>
      <w:r>
        <w:rPr>
          <w:rFonts w:ascii="Arial" w:cs="Arial" w:eastAsia="Arial" w:hAnsi="Arial"/>
          <w:sz w:val="16"/>
          <w:szCs w:val="16"/>
          <w:color w:val="auto"/>
        </w:rPr>
        <w:t>240.13d-2(a) (Amendment No. )</w:t>
      </w:r>
      <w:r>
        <w:rPr>
          <w:rFonts w:ascii="Arial" w:cs="Arial" w:eastAsia="Arial" w:hAnsi="Arial"/>
          <w:sz w:val="22"/>
          <w:szCs w:val="22"/>
          <w:color w:val="auto"/>
          <w:vertAlign w:val="superscript"/>
        </w:rPr>
        <w:t>1</w:t>
      </w:r>
    </w:p>
    <w:p>
      <w:pPr>
        <w:jc w:val="center"/>
        <w:ind w:right="-59"/>
        <w:spacing w:after="0"/>
        <w:rPr>
          <w:sz w:val="20"/>
          <w:szCs w:val="20"/>
          <w:color w:val="auto"/>
        </w:rPr>
      </w:pPr>
      <w:r>
        <w:rPr>
          <w:rFonts w:ascii="Arial" w:cs="Arial" w:eastAsia="Arial" w:hAnsi="Arial"/>
          <w:sz w:val="17"/>
          <w:szCs w:val="17"/>
          <w:u w:val="single" w:color="auto"/>
          <w:color w:val="auto"/>
        </w:rPr>
        <w:t>Itron, Inc.</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(Name of Issuer)</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17"/>
          <w:szCs w:val="17"/>
          <w:u w:val="single" w:color="auto"/>
          <w:color w:val="auto"/>
        </w:rPr>
        <w:t>Common Stock, no par value per share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(Title of Class of Securities)</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17"/>
          <w:szCs w:val="17"/>
          <w:u w:val="single" w:color="auto"/>
          <w:color w:val="auto"/>
        </w:rPr>
        <w:t>465741106</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(CUSIP Number)</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JEROME J. LANDE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COPPERSMITH CAPITAL MANAGEMENT, LLC</w:t>
      </w:r>
    </w:p>
    <w:p>
      <w:pPr>
        <w:jc w:val="center"/>
        <w:ind w:right="-59"/>
        <w:spacing w:after="0" w:line="191" w:lineRule="auto"/>
        <w:rPr>
          <w:sz w:val="20"/>
          <w:szCs w:val="20"/>
          <w:color w:val="auto"/>
        </w:rPr>
      </w:pPr>
      <w:r>
        <w:rPr>
          <w:rFonts w:ascii="Arial" w:cs="Arial" w:eastAsia="Arial" w:hAnsi="Arial"/>
          <w:sz w:val="17"/>
          <w:szCs w:val="17"/>
          <w:color w:val="auto"/>
        </w:rPr>
        <w:t>1 World Trade Center, 85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New York, New York 10007</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(212) 804-8001</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STEVE WOLOSKY</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OLSHAN FROME WOLOSKY LLP</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Park Avenue Tower</w:t>
      </w:r>
    </w:p>
    <w:p>
      <w:pPr>
        <w:jc w:val="center"/>
        <w:ind w:right="-59"/>
        <w:spacing w:after="0" w:line="191" w:lineRule="auto"/>
        <w:rPr>
          <w:sz w:val="20"/>
          <w:szCs w:val="20"/>
          <w:color w:val="auto"/>
        </w:rPr>
      </w:pPr>
      <w:r>
        <w:rPr>
          <w:rFonts w:ascii="Arial" w:cs="Arial" w:eastAsia="Arial" w:hAnsi="Arial"/>
          <w:sz w:val="17"/>
          <w:szCs w:val="17"/>
          <w:color w:val="auto"/>
        </w:rPr>
        <w:t>65 East 55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New York, New York 10022</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7"/>
          <w:szCs w:val="17"/>
          <w:u w:val="single" w:color="auto"/>
          <w:color w:val="auto"/>
        </w:rPr>
        <w:t>(212) 451-2300</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(Name, Address and Telephone Number of Person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Authorized to Receive Notices and Communications)</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17"/>
          <w:szCs w:val="17"/>
          <w:u w:val="single" w:color="auto"/>
          <w:color w:val="auto"/>
        </w:rPr>
        <w:t>September 9, 2015</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(Date of Event Which Requires Filing of This Statement)</w:t>
      </w:r>
    </w:p>
    <w:p>
      <w:pPr>
        <w:spacing w:after="0" w:line="233" w:lineRule="exact"/>
        <w:rPr>
          <w:sz w:val="24"/>
          <w:szCs w:val="24"/>
          <w:color w:val="auto"/>
        </w:rPr>
      </w:pPr>
    </w:p>
    <w:p>
      <w:pPr>
        <w:ind w:right="400" w:firstLine="620"/>
        <w:spacing w:after="0" w:line="222" w:lineRule="exact"/>
        <w:rPr>
          <w:sz w:val="20"/>
          <w:szCs w:val="20"/>
          <w:color w:val="auto"/>
        </w:rPr>
      </w:pPr>
      <w:r>
        <w:rPr>
          <w:rFonts w:ascii="Arial" w:cs="Arial" w:eastAsia="Arial" w:hAnsi="Arial"/>
          <w:sz w:val="17"/>
          <w:szCs w:val="17"/>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202" w:lineRule="exact"/>
        <w:rPr>
          <w:sz w:val="24"/>
          <w:szCs w:val="24"/>
          <w:color w:val="auto"/>
        </w:rPr>
      </w:pPr>
    </w:p>
    <w:p>
      <w:pPr>
        <w:ind w:right="420" w:firstLine="620"/>
        <w:spacing w:after="0" w:line="280" w:lineRule="auto"/>
        <w:rPr>
          <w:sz w:val="20"/>
          <w:szCs w:val="20"/>
          <w:color w:val="auto"/>
        </w:rPr>
      </w:pPr>
      <w:r>
        <w:rPr>
          <w:rFonts w:ascii="Arial" w:cs="Arial" w:eastAsia="Arial" w:hAnsi="Arial"/>
          <w:sz w:val="17"/>
          <w:szCs w:val="17"/>
          <w:i w:val="1"/>
          <w:iCs w:val="1"/>
          <w:color w:val="auto"/>
        </w:rPr>
        <w:t xml:space="preserve">Note: </w:t>
      </w:r>
      <w:r>
        <w:rPr>
          <w:rFonts w:ascii="Arial" w:cs="Arial" w:eastAsia="Arial" w:hAnsi="Arial"/>
          <w:sz w:val="17"/>
          <w:szCs w:val="17"/>
          <w:color w:val="auto"/>
        </w:rPr>
        <w:t>Schedules filed in paper format shall include a signed original and five copies of the schedule, including all exhibits.</w:t>
      </w:r>
      <w:r>
        <w:rPr>
          <w:rFonts w:ascii="Arial" w:cs="Arial" w:eastAsia="Arial" w:hAnsi="Arial"/>
          <w:sz w:val="17"/>
          <w:szCs w:val="17"/>
          <w:i w:val="1"/>
          <w:iCs w:val="1"/>
          <w:color w:val="auto"/>
        </w:rPr>
        <w:t xml:space="preserve"> See </w:t>
      </w:r>
      <w:r>
        <w:rPr>
          <w:rFonts w:ascii="Arial" w:cs="Arial" w:eastAsia="Arial" w:hAnsi="Arial"/>
          <w:sz w:val="17"/>
          <w:szCs w:val="17"/>
          <w:color w:val="auto"/>
        </w:rPr>
        <w:t>§ 240.13d-7 for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to whom copies are to be sent.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color w:val="auto"/>
        </w:rPr>
        <w:t>_______________</w:t>
      </w:r>
    </w:p>
    <w:p>
      <w:pPr>
        <w:spacing w:after="0" w:line="19" w:lineRule="exact"/>
        <w:rPr>
          <w:sz w:val="24"/>
          <w:szCs w:val="24"/>
          <w:color w:val="auto"/>
        </w:rPr>
      </w:pPr>
    </w:p>
    <w:p>
      <w:pPr>
        <w:ind w:right="100" w:firstLine="3"/>
        <w:spacing w:after="0" w:line="211" w:lineRule="auto"/>
        <w:tabs>
          <w:tab w:leader="none" w:pos="662" w:val="left"/>
        </w:tabs>
        <w:numPr>
          <w:ilvl w:val="0"/>
          <w:numId w:val="2"/>
        </w:numPr>
        <w:rPr>
          <w:rFonts w:ascii="Arial" w:cs="Arial" w:eastAsia="Arial" w:hAnsi="Arial"/>
          <w:sz w:val="24"/>
          <w:szCs w:val="24"/>
          <w:color w:val="auto"/>
          <w:vertAlign w:val="superscript"/>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22" w:lineRule="exact"/>
        <w:rPr>
          <w:sz w:val="24"/>
          <w:szCs w:val="24"/>
          <w:color w:val="auto"/>
        </w:rPr>
      </w:pPr>
    </w:p>
    <w:p>
      <w:pPr>
        <w:ind w:firstLine="620"/>
        <w:spacing w:after="0" w:line="312" w:lineRule="auto"/>
        <w:rPr>
          <w:sz w:val="20"/>
          <w:szCs w:val="20"/>
          <w:color w:val="auto"/>
        </w:rPr>
      </w:pPr>
      <w:r>
        <w:rPr>
          <w:rFonts w:ascii="Arial" w:cs="Arial" w:eastAsia="Arial" w:hAnsi="Arial"/>
          <w:sz w:val="16"/>
          <w:szCs w:val="16"/>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725741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224" w:right="29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COPPERSMITH VALUE PARTNERS II, LP</w:t>
            </w: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WC</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160,000</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160,000</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160,000</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Less than 1%</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PN</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60"/>
              <w:spacing w:after="0"/>
              <w:rPr>
                <w:sz w:val="20"/>
                <w:szCs w:val="20"/>
                <w:color w:val="auto"/>
              </w:rPr>
            </w:pPr>
            <w:r>
              <w:rPr>
                <w:rFonts w:ascii="Arial" w:cs="Arial" w:eastAsia="Arial" w:hAnsi="Arial"/>
                <w:sz w:val="17"/>
                <w:szCs w:val="17"/>
                <w:color w:val="auto"/>
              </w:rPr>
              <w:t>2</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COPPERSMITH CAPITAL PARTNERS, LLC</w:t>
            </w: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AF</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160,000</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160,000</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160,000</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Less than 1%</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OO</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60"/>
              <w:spacing w:after="0"/>
              <w:rPr>
                <w:sz w:val="20"/>
                <w:szCs w:val="20"/>
                <w:color w:val="auto"/>
              </w:rPr>
            </w:pPr>
            <w:r>
              <w:rPr>
                <w:rFonts w:ascii="Arial" w:cs="Arial" w:eastAsia="Arial" w:hAnsi="Arial"/>
                <w:sz w:val="17"/>
                <w:szCs w:val="17"/>
                <w:color w:val="auto"/>
              </w:rPr>
              <w:t>3</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COPPERSMITH CAPITAL MANAGEMENT, LLC</w:t>
            </w: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AF, OO</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920,259</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920,259</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920,259</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2.4%</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OO</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60"/>
              <w:spacing w:after="0"/>
              <w:rPr>
                <w:sz w:val="20"/>
                <w:szCs w:val="20"/>
                <w:color w:val="auto"/>
              </w:rPr>
            </w:pPr>
            <w:r>
              <w:rPr>
                <w:rFonts w:ascii="Arial" w:cs="Arial" w:eastAsia="Arial" w:hAnsi="Arial"/>
                <w:sz w:val="17"/>
                <w:szCs w:val="17"/>
                <w:color w:val="auto"/>
              </w:rPr>
              <w:t>4</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9"/>
              </w:rPr>
              <w:t>JEROME J. LANDE</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AF</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USA</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920,259</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920,259</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920,259</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2.4%</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IN</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60"/>
              <w:spacing w:after="0"/>
              <w:rPr>
                <w:sz w:val="20"/>
                <w:szCs w:val="20"/>
                <w:color w:val="auto"/>
              </w:rPr>
            </w:pPr>
            <w:r>
              <w:rPr>
                <w:rFonts w:ascii="Arial" w:cs="Arial" w:eastAsia="Arial" w:hAnsi="Arial"/>
                <w:sz w:val="17"/>
                <w:szCs w:val="17"/>
                <w:color w:val="auto"/>
              </w:rPr>
              <w:t>5</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3"/>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w w:val="97"/>
              </w:rPr>
              <w:t>CRAIG ROSENBLUM</w:t>
            </w:r>
          </w:p>
        </w:tc>
        <w:tc>
          <w:tcPr>
            <w:tcW w:w="60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3"/>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740" w:type="dxa"/>
            <w:vAlign w:val="bottom"/>
            <w:gridSpan w:val="2"/>
          </w:tcPr>
          <w:p>
            <w:pPr>
              <w:ind w:left="100"/>
              <w:spacing w:after="0"/>
              <w:rPr>
                <w:sz w:val="20"/>
                <w:szCs w:val="20"/>
                <w:color w:val="auto"/>
              </w:rPr>
            </w:pPr>
            <w:r>
              <w:rPr>
                <w:rFonts w:ascii="Arial" w:cs="Arial" w:eastAsia="Arial" w:hAnsi="Arial"/>
                <w:sz w:val="17"/>
                <w:szCs w:val="17"/>
                <w:color w:val="auto"/>
              </w:rPr>
              <w:t>SEC USE ONLY</w:t>
            </w:r>
          </w:p>
        </w:tc>
        <w:tc>
          <w:tcPr>
            <w:tcW w:w="60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740" w:type="dxa"/>
            <w:vAlign w:val="bottom"/>
            <w:gridSpan w:val="2"/>
          </w:tcPr>
          <w:p>
            <w:pPr>
              <w:ind w:left="100"/>
              <w:spacing w:after="0"/>
              <w:rPr>
                <w:sz w:val="20"/>
                <w:szCs w:val="20"/>
                <w:color w:val="auto"/>
              </w:rPr>
            </w:pPr>
            <w:r>
              <w:rPr>
                <w:rFonts w:ascii="Arial" w:cs="Arial" w:eastAsia="Arial" w:hAnsi="Arial"/>
                <w:sz w:val="17"/>
                <w:szCs w:val="17"/>
                <w:color w:val="auto"/>
                <w:w w:val="98"/>
              </w:rPr>
              <w:t>SOURCE OF FUNDS</w:t>
            </w:r>
          </w:p>
        </w:tc>
        <w:tc>
          <w:tcPr>
            <w:tcW w:w="60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AF</w:t>
            </w:r>
          </w:p>
        </w:tc>
        <w:tc>
          <w:tcPr>
            <w:tcW w:w="60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3"/>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Arial" w:cs="Arial" w:eastAsia="Arial" w:hAnsi="Arial"/>
                <w:sz w:val="17"/>
                <w:szCs w:val="17"/>
                <w:color w:val="auto"/>
              </w:rPr>
              <w:t>OR 2(e)</w:t>
            </w:r>
          </w:p>
        </w:tc>
        <w:tc>
          <w:tcPr>
            <w:tcW w:w="60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gridSpan w:val="2"/>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3"/>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USA</w:t>
            </w:r>
          </w:p>
        </w:tc>
        <w:tc>
          <w:tcPr>
            <w:tcW w:w="60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100" w:type="dxa"/>
            <w:vAlign w:val="bottom"/>
          </w:tcPr>
          <w:p>
            <w:pPr>
              <w:spacing w:after="0"/>
              <w:rPr>
                <w:sz w:val="16"/>
                <w:szCs w:val="16"/>
                <w:color w:val="auto"/>
              </w:rPr>
            </w:pPr>
          </w:p>
        </w:tc>
        <w:tc>
          <w:tcPr>
            <w:tcW w:w="6020" w:type="dxa"/>
            <w:vAlign w:val="bottom"/>
          </w:tcPr>
          <w:p>
            <w:pPr>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100" w:type="dxa"/>
            <w:vAlign w:val="bottom"/>
          </w:tcPr>
          <w:p>
            <w:pPr>
              <w:spacing w:after="0"/>
              <w:rPr>
                <w:sz w:val="15"/>
                <w:szCs w:val="15"/>
                <w:color w:val="auto"/>
              </w:rPr>
            </w:pPr>
          </w:p>
        </w:tc>
        <w:tc>
          <w:tcPr>
            <w:tcW w:w="6020" w:type="dxa"/>
            <w:vAlign w:val="bottom"/>
          </w:tcPr>
          <w:p>
            <w:pPr>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920,259</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1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920,259</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3"/>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920,259</w:t>
            </w:r>
          </w:p>
        </w:tc>
        <w:tc>
          <w:tcPr>
            <w:tcW w:w="1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3"/>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3"/>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3"/>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3"/>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IN</w:t>
            </w:r>
          </w:p>
        </w:tc>
        <w:tc>
          <w:tcPr>
            <w:tcW w:w="60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tcPr>
          <w:p>
            <w:pPr>
              <w:ind w:left="2260"/>
              <w:spacing w:after="0"/>
              <w:rPr>
                <w:sz w:val="20"/>
                <w:szCs w:val="20"/>
                <w:color w:val="auto"/>
              </w:rPr>
            </w:pPr>
            <w:r>
              <w:rPr>
                <w:rFonts w:ascii="Arial" w:cs="Arial" w:eastAsia="Arial" w:hAnsi="Arial"/>
                <w:sz w:val="17"/>
                <w:szCs w:val="17"/>
                <w:color w:val="auto"/>
              </w:rPr>
              <w:t>6</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7"/>
              </w:rPr>
              <w:t>SCOPIA LONG LLC</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WC</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14,035</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14,035</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14,035</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Less than 1%</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OO</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60"/>
              <w:spacing w:after="0"/>
              <w:rPr>
                <w:sz w:val="20"/>
                <w:szCs w:val="20"/>
                <w:color w:val="auto"/>
              </w:rPr>
            </w:pPr>
            <w:r>
              <w:rPr>
                <w:rFonts w:ascii="Arial" w:cs="Arial" w:eastAsia="Arial" w:hAnsi="Arial"/>
                <w:sz w:val="17"/>
                <w:szCs w:val="17"/>
                <w:color w:val="auto"/>
              </w:rPr>
              <w:t>7</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SCOPIA LB LLC</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WC</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20,224</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20,224</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20,224</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Less than 1%</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OO</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60"/>
              <w:spacing w:after="0"/>
              <w:rPr>
                <w:sz w:val="20"/>
                <w:szCs w:val="20"/>
                <w:color w:val="auto"/>
              </w:rPr>
            </w:pPr>
            <w:r>
              <w:rPr>
                <w:rFonts w:ascii="Arial" w:cs="Arial" w:eastAsia="Arial" w:hAnsi="Arial"/>
                <w:sz w:val="17"/>
                <w:szCs w:val="17"/>
                <w:color w:val="auto"/>
              </w:rPr>
              <w:t>8</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SCOPIA PX LLC</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WC</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389,461</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389,461</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389,461</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1.0%</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OO</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60"/>
              <w:spacing w:after="0"/>
              <w:rPr>
                <w:sz w:val="20"/>
                <w:szCs w:val="20"/>
                <w:color w:val="auto"/>
              </w:rPr>
            </w:pPr>
            <w:r>
              <w:rPr>
                <w:rFonts w:ascii="Arial" w:cs="Arial" w:eastAsia="Arial" w:hAnsi="Arial"/>
                <w:sz w:val="17"/>
                <w:szCs w:val="17"/>
                <w:color w:val="auto"/>
              </w:rPr>
              <w:t>9</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SCOPIA PARTNERS LLC</w:t>
            </w: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WC</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11,539</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11,539</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11,539</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Less than 1%</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OO</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00"/>
              <w:spacing w:after="0"/>
              <w:rPr>
                <w:sz w:val="20"/>
                <w:szCs w:val="20"/>
                <w:color w:val="auto"/>
              </w:rPr>
            </w:pPr>
            <w:r>
              <w:rPr>
                <w:rFonts w:ascii="Arial" w:cs="Arial" w:eastAsia="Arial" w:hAnsi="Arial"/>
                <w:sz w:val="17"/>
                <w:szCs w:val="17"/>
                <w:color w:val="auto"/>
              </w:rPr>
              <w:t>10</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SCOPIA WINDMILL FUND LP</w:t>
            </w: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WC</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262,040</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262,040</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262,040</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Less than 1%</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PN</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20"/>
              <w:spacing w:after="0"/>
              <w:rPr>
                <w:sz w:val="20"/>
                <w:szCs w:val="20"/>
                <w:color w:val="auto"/>
              </w:rPr>
            </w:pPr>
            <w:r>
              <w:rPr>
                <w:rFonts w:ascii="Arial" w:cs="Arial" w:eastAsia="Arial" w:hAnsi="Arial"/>
                <w:sz w:val="17"/>
                <w:szCs w:val="17"/>
                <w:color w:val="auto"/>
              </w:rPr>
              <w:t>11</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SCOPIA INTERNATIONAL MASTER FUND LP</w:t>
            </w: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WC</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BERMUDA</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74,666</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74,666</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74,666</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Less than 1%</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PN</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00"/>
              <w:spacing w:after="0"/>
              <w:rPr>
                <w:sz w:val="20"/>
                <w:szCs w:val="20"/>
                <w:color w:val="auto"/>
              </w:rPr>
            </w:pPr>
            <w:r>
              <w:rPr>
                <w:rFonts w:ascii="Arial" w:cs="Arial" w:eastAsia="Arial" w:hAnsi="Arial"/>
                <w:sz w:val="17"/>
                <w:szCs w:val="17"/>
                <w:color w:val="auto"/>
              </w:rPr>
              <w:t>12</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SCOPIA PX INTERNATIONAL MASTER FUND LP</w:t>
            </w: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WC</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BERMUDA</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518,134</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518,134</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518,134</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PN</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00"/>
              <w:spacing w:after="0"/>
              <w:rPr>
                <w:sz w:val="20"/>
                <w:szCs w:val="20"/>
                <w:color w:val="auto"/>
              </w:rPr>
            </w:pPr>
            <w:r>
              <w:rPr>
                <w:rFonts w:ascii="Arial" w:cs="Arial" w:eastAsia="Arial" w:hAnsi="Arial"/>
                <w:sz w:val="17"/>
                <w:szCs w:val="17"/>
                <w:color w:val="auto"/>
              </w:rPr>
              <w:t>13</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SCOPIA LB INTERNATIONAL MASTER FUND LP</w:t>
            </w: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WC</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BERMUDA</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42,074</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42,074</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42,074</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Less than 1%</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PN</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00"/>
              <w:spacing w:after="0"/>
              <w:rPr>
                <w:sz w:val="20"/>
                <w:szCs w:val="20"/>
                <w:color w:val="auto"/>
              </w:rPr>
            </w:pPr>
            <w:r>
              <w:rPr>
                <w:rFonts w:ascii="Arial" w:cs="Arial" w:eastAsia="Arial" w:hAnsi="Arial"/>
                <w:sz w:val="17"/>
                <w:szCs w:val="17"/>
                <w:color w:val="auto"/>
              </w:rPr>
              <w:t>14</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SCOPIA LONG INTERNATIONAL MASTER FUND LP</w:t>
            </w: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WC</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BERMUDA</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58,799</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58,799</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58,799</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Less than 1%</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PN</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00"/>
              <w:spacing w:after="0"/>
              <w:rPr>
                <w:sz w:val="20"/>
                <w:szCs w:val="20"/>
                <w:color w:val="auto"/>
              </w:rPr>
            </w:pPr>
            <w:r>
              <w:rPr>
                <w:rFonts w:ascii="Arial" w:cs="Arial" w:eastAsia="Arial" w:hAnsi="Arial"/>
                <w:sz w:val="17"/>
                <w:szCs w:val="17"/>
                <w:color w:val="auto"/>
              </w:rPr>
              <w:t>15</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SCOPIA CAPITAL GP LLC</w:t>
            </w: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AF</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1,390,972</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1,390,972</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1,390,972</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3.6%</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OO</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00"/>
              <w:spacing w:after="0"/>
              <w:rPr>
                <w:sz w:val="20"/>
                <w:szCs w:val="20"/>
                <w:color w:val="auto"/>
              </w:rPr>
            </w:pPr>
            <w:r>
              <w:rPr>
                <w:rFonts w:ascii="Arial" w:cs="Arial" w:eastAsia="Arial" w:hAnsi="Arial"/>
                <w:sz w:val="17"/>
                <w:szCs w:val="17"/>
                <w:color w:val="auto"/>
              </w:rPr>
              <w:t>16</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SCOPIA CAPITAL MANAGEMENT LP</w:t>
            </w: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AF, OO</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DELAWARE</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1,426,780</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1,426,780</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1,426,780</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3.7%</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PN</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00"/>
              <w:spacing w:after="0"/>
              <w:rPr>
                <w:sz w:val="20"/>
                <w:szCs w:val="20"/>
                <w:color w:val="auto"/>
              </w:rPr>
            </w:pPr>
            <w:r>
              <w:rPr>
                <w:rFonts w:ascii="Arial" w:cs="Arial" w:eastAsia="Arial" w:hAnsi="Arial"/>
                <w:sz w:val="17"/>
                <w:szCs w:val="17"/>
                <w:color w:val="auto"/>
              </w:rPr>
              <w:t>17</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SCOPIA MANAGEMENT, INC.</w:t>
            </w: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AF</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NEW YORK</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1,426,780</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1,426,780</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1,426,780</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3.7%</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CO</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00"/>
              <w:spacing w:after="0"/>
              <w:rPr>
                <w:sz w:val="20"/>
                <w:szCs w:val="20"/>
                <w:color w:val="auto"/>
              </w:rPr>
            </w:pPr>
            <w:r>
              <w:rPr>
                <w:rFonts w:ascii="Arial" w:cs="Arial" w:eastAsia="Arial" w:hAnsi="Arial"/>
                <w:sz w:val="17"/>
                <w:szCs w:val="17"/>
                <w:color w:val="auto"/>
              </w:rPr>
              <w:t>18</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MATTHEW SIROVICH</w:t>
            </w: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AF</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USA</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1,426,780</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1,426,780</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1,426,780</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3.7%</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IN</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00"/>
              <w:spacing w:after="0"/>
              <w:rPr>
                <w:sz w:val="20"/>
                <w:szCs w:val="20"/>
                <w:color w:val="auto"/>
              </w:rPr>
            </w:pPr>
            <w:r>
              <w:rPr>
                <w:rFonts w:ascii="Arial" w:cs="Arial" w:eastAsia="Arial" w:hAnsi="Arial"/>
                <w:sz w:val="17"/>
                <w:szCs w:val="17"/>
                <w:color w:val="auto"/>
              </w:rPr>
              <w:t>19</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CUSIP NO. 465741106</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68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61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19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NAME OF REPORTING PERSON</w:t>
            </w:r>
          </w:p>
        </w:tc>
        <w:tc>
          <w:tcPr>
            <w:tcW w:w="1980" w:type="dxa"/>
            <w:vAlign w:val="bottom"/>
            <w:tcBorders>
              <w:right w:val="single" w:sz="8" w:color="auto"/>
            </w:tcBorders>
          </w:tcPr>
          <w:p>
            <w:pPr>
              <w:spacing w:after="0"/>
              <w:rPr>
                <w:sz w:val="17"/>
                <w:szCs w:val="17"/>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JEREMY MINDICH</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2</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1980" w:type="dxa"/>
            <w:vAlign w:val="bottom"/>
            <w:tcBorders>
              <w:right w:val="single" w:sz="8" w:color="auto"/>
            </w:tcBorders>
          </w:tcPr>
          <w:p>
            <w:pPr>
              <w:ind w:left="240"/>
              <w:spacing w:after="0" w:line="188" w:lineRule="exact"/>
              <w:rPr>
                <w:sz w:val="20"/>
                <w:szCs w:val="20"/>
                <w:color w:val="auto"/>
              </w:rPr>
            </w:pPr>
            <w:r>
              <w:rPr>
                <w:rFonts w:ascii="Arial" w:cs="Arial" w:eastAsia="Arial" w:hAnsi="Arial"/>
                <w:sz w:val="17"/>
                <w:szCs w:val="17"/>
                <w:color w:val="auto"/>
              </w:rPr>
              <w:t>(a) x</w:t>
            </w:r>
          </w:p>
        </w:tc>
      </w:tr>
      <w:tr>
        <w:trPr>
          <w:trHeight w:val="21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(b) o</w:t>
            </w: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640" w:type="dxa"/>
            <w:vAlign w:val="bottom"/>
          </w:tcPr>
          <w:p>
            <w:pPr>
              <w:ind w:left="100"/>
              <w:spacing w:after="0"/>
              <w:rPr>
                <w:sz w:val="20"/>
                <w:szCs w:val="20"/>
                <w:color w:val="auto"/>
              </w:rPr>
            </w:pPr>
            <w:r>
              <w:rPr>
                <w:rFonts w:ascii="Arial" w:cs="Arial" w:eastAsia="Arial" w:hAnsi="Arial"/>
                <w:sz w:val="17"/>
                <w:szCs w:val="17"/>
                <w:color w:val="auto"/>
              </w:rPr>
              <w:t>SEC USE ONLY</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1640" w:type="dxa"/>
            <w:vAlign w:val="bottom"/>
          </w:tcPr>
          <w:p>
            <w:pPr>
              <w:ind w:left="100"/>
              <w:spacing w:after="0"/>
              <w:rPr>
                <w:sz w:val="20"/>
                <w:szCs w:val="20"/>
                <w:color w:val="auto"/>
              </w:rPr>
            </w:pPr>
            <w:r>
              <w:rPr>
                <w:rFonts w:ascii="Arial" w:cs="Arial" w:eastAsia="Arial" w:hAnsi="Arial"/>
                <w:sz w:val="17"/>
                <w:szCs w:val="17"/>
                <w:color w:val="auto"/>
                <w:w w:val="91"/>
              </w:rPr>
              <w:t>SOURCE OF FUNDS</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AF</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5</w:t>
            </w:r>
          </w:p>
        </w:tc>
        <w:tc>
          <w:tcPr>
            <w:tcW w:w="7760" w:type="dxa"/>
            <w:vAlign w:val="bottom"/>
            <w:gridSpan w:val="2"/>
          </w:tcPr>
          <w:p>
            <w:pPr>
              <w:ind w:left="100"/>
              <w:spacing w:after="0" w:line="188" w:lineRule="exact"/>
              <w:rPr>
                <w:sz w:val="20"/>
                <w:szCs w:val="20"/>
                <w:color w:val="auto"/>
              </w:rPr>
            </w:pPr>
            <w:r>
              <w:rPr>
                <w:rFonts w:ascii="Arial" w:cs="Arial" w:eastAsia="Arial" w:hAnsi="Arial"/>
                <w:sz w:val="17"/>
                <w:szCs w:val="17"/>
                <w:color w:val="auto"/>
                <w:w w:val="98"/>
              </w:rPr>
              <w:t>CHECK BOX IF DISCLOSURE OF LEGAL PROCEEDINGS IS REQUIRED PURSUANT TO ITEM 2(d)</w:t>
            </w:r>
          </w:p>
        </w:tc>
        <w:tc>
          <w:tcPr>
            <w:tcW w:w="1980" w:type="dxa"/>
            <w:vAlign w:val="bottom"/>
            <w:tcBorders>
              <w:right w:val="single" w:sz="8" w:color="auto"/>
            </w:tcBorders>
          </w:tcPr>
          <w:p>
            <w:pPr>
              <w:ind w:left="160"/>
              <w:spacing w:after="0" w:line="171" w:lineRule="exact"/>
              <w:rPr>
                <w:sz w:val="20"/>
                <w:szCs w:val="20"/>
                <w:color w:val="auto"/>
              </w:rPr>
            </w:pPr>
            <w:r>
              <w:rPr>
                <w:rFonts w:ascii="MS PGothic" w:cs="MS PGothic" w:eastAsia="MS PGothic" w:hAnsi="MS PGothic"/>
                <w:sz w:val="17"/>
                <w:szCs w:val="17"/>
                <w:color w:val="auto"/>
              </w:rPr>
              <w:t>☐</w:t>
            </w:r>
          </w:p>
        </w:tc>
      </w:tr>
      <w:tr>
        <w:trPr>
          <w:trHeight w:val="217"/>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7"/>
                <w:szCs w:val="17"/>
                <w:color w:val="auto"/>
              </w:rPr>
              <w:t>OR 2(e)</w:t>
            </w:r>
          </w:p>
        </w:tc>
        <w:tc>
          <w:tcPr>
            <w:tcW w:w="612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CITIZENSHIP OR PLACE OF ORGANIZATION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USA</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88"/>
        </w:trPr>
        <w:tc>
          <w:tcPr>
            <w:tcW w:w="16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7"/>
                <w:szCs w:val="17"/>
                <w:color w:val="auto"/>
                <w:w w:val="97"/>
              </w:rPr>
              <w:t>NUMBER OF</w:t>
            </w:r>
          </w:p>
        </w:tc>
        <w:tc>
          <w:tcPr>
            <w:tcW w:w="16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7"/>
                <w:szCs w:val="17"/>
                <w:color w:val="auto"/>
              </w:rPr>
              <w:t>7</w:t>
            </w:r>
          </w:p>
        </w:tc>
        <w:tc>
          <w:tcPr>
            <w:tcW w:w="6120" w:type="dxa"/>
            <w:vAlign w:val="bottom"/>
          </w:tcPr>
          <w:p>
            <w:pPr>
              <w:ind w:left="100"/>
              <w:spacing w:after="0" w:line="188" w:lineRule="exact"/>
              <w:rPr>
                <w:sz w:val="20"/>
                <w:szCs w:val="20"/>
                <w:color w:val="auto"/>
              </w:rPr>
            </w:pPr>
            <w:r>
              <w:rPr>
                <w:rFonts w:ascii="Arial" w:cs="Arial" w:eastAsia="Arial" w:hAnsi="Arial"/>
                <w:sz w:val="17"/>
                <w:szCs w:val="17"/>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SHARES</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17"/>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BENEFICIALLY</w:t>
            </w:r>
          </w:p>
        </w:tc>
        <w:tc>
          <w:tcPr>
            <w:tcW w:w="1640" w:type="dxa"/>
            <w:vAlign w:val="bottom"/>
            <w:tcBorders>
              <w:bottom w:val="single" w:sz="8" w:color="auto"/>
              <w:right w:val="single" w:sz="8" w:color="auto"/>
            </w:tcBorders>
          </w:tcPr>
          <w:p>
            <w:pPr>
              <w:spacing w:after="0"/>
              <w:rPr>
                <w:sz w:val="18"/>
                <w:szCs w:val="18"/>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18"/>
                <w:szCs w:val="18"/>
                <w:color w:val="auto"/>
              </w:rPr>
            </w:pPr>
          </w:p>
        </w:tc>
      </w:tr>
      <w:tr>
        <w:trPr>
          <w:trHeight w:val="176"/>
        </w:trPr>
        <w:tc>
          <w:tcPr>
            <w:tcW w:w="168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7"/>
                <w:szCs w:val="17"/>
                <w:color w:val="auto"/>
                <w:w w:val="98"/>
              </w:rPr>
              <w:t>OWNED BY EACH</w:t>
            </w:r>
          </w:p>
        </w:tc>
        <w:tc>
          <w:tcPr>
            <w:tcW w:w="16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8</w:t>
            </w:r>
          </w:p>
        </w:tc>
        <w:tc>
          <w:tcPr>
            <w:tcW w:w="6120" w:type="dxa"/>
            <w:vAlign w:val="bottom"/>
          </w:tcPr>
          <w:p>
            <w:pPr>
              <w:ind w:left="100"/>
              <w:spacing w:after="0" w:line="176" w:lineRule="exact"/>
              <w:rPr>
                <w:sz w:val="20"/>
                <w:szCs w:val="20"/>
                <w:color w:val="auto"/>
              </w:rPr>
            </w:pPr>
            <w:r>
              <w:rPr>
                <w:rFonts w:ascii="Arial" w:cs="Arial" w:eastAsia="Arial" w:hAnsi="Arial"/>
                <w:sz w:val="17"/>
                <w:szCs w:val="17"/>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06"/>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REPORTING</w:t>
            </w:r>
          </w:p>
        </w:tc>
        <w:tc>
          <w:tcPr>
            <w:tcW w:w="1640" w:type="dxa"/>
            <w:vAlign w:val="bottom"/>
            <w:tcBorders>
              <w:right w:val="single" w:sz="8" w:color="auto"/>
            </w:tcBorders>
          </w:tcPr>
          <w:p>
            <w:pPr>
              <w:spacing w:after="0"/>
              <w:rPr>
                <w:sz w:val="17"/>
                <w:szCs w:val="17"/>
                <w:color w:val="auto"/>
              </w:rPr>
            </w:pPr>
          </w:p>
        </w:tc>
        <w:tc>
          <w:tcPr>
            <w:tcW w:w="6120" w:type="dxa"/>
            <w:vAlign w:val="bottom"/>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r>
      <w:tr>
        <w:trPr>
          <w:trHeight w:val="23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PERSON WITH</w:t>
            </w:r>
          </w:p>
        </w:tc>
        <w:tc>
          <w:tcPr>
            <w:tcW w:w="1640" w:type="dxa"/>
            <w:vAlign w:val="bottom"/>
            <w:tcBorders>
              <w:bottom w:val="single" w:sz="8" w:color="auto"/>
              <w:right w:val="single" w:sz="8" w:color="auto"/>
            </w:tcBorders>
          </w:tcPr>
          <w:p>
            <w:pPr>
              <w:spacing w:after="0"/>
              <w:rPr>
                <w:sz w:val="20"/>
                <w:szCs w:val="20"/>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1,426,780</w:t>
            </w:r>
          </w:p>
        </w:tc>
        <w:tc>
          <w:tcPr>
            <w:tcW w:w="1980" w:type="dxa"/>
            <w:vAlign w:val="bottom"/>
            <w:tcBorders>
              <w:bottom w:val="single" w:sz="8" w:color="auto"/>
              <w:right w:val="single" w:sz="8" w:color="auto"/>
            </w:tcBorders>
          </w:tcPr>
          <w:p>
            <w:pPr>
              <w:spacing w:after="0"/>
              <w:rPr>
                <w:sz w:val="20"/>
                <w:szCs w:val="20"/>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9</w:t>
            </w:r>
          </w:p>
        </w:tc>
        <w:tc>
          <w:tcPr>
            <w:tcW w:w="6120" w:type="dxa"/>
            <w:vAlign w:val="bottom"/>
          </w:tcPr>
          <w:p>
            <w:pPr>
              <w:ind w:left="100"/>
              <w:spacing w:after="0"/>
              <w:rPr>
                <w:sz w:val="20"/>
                <w:szCs w:val="20"/>
                <w:color w:val="auto"/>
              </w:rPr>
            </w:pPr>
            <w:r>
              <w:rPr>
                <w:rFonts w:ascii="Arial" w:cs="Arial" w:eastAsia="Arial" w:hAnsi="Arial"/>
                <w:sz w:val="17"/>
                <w:szCs w:val="17"/>
                <w:color w:val="auto"/>
              </w:rPr>
              <w:t>SOLE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- 0 -</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6120" w:type="dxa"/>
            <w:vAlign w:val="bottom"/>
          </w:tcPr>
          <w:p>
            <w:pPr>
              <w:ind w:left="100"/>
              <w:spacing w:after="0"/>
              <w:rPr>
                <w:sz w:val="20"/>
                <w:szCs w:val="20"/>
                <w:color w:val="auto"/>
              </w:rPr>
            </w:pPr>
            <w:r>
              <w:rPr>
                <w:rFonts w:ascii="Arial" w:cs="Arial" w:eastAsia="Arial" w:hAnsi="Arial"/>
                <w:sz w:val="17"/>
                <w:szCs w:val="17"/>
                <w:color w:val="auto"/>
              </w:rPr>
              <w:t>SHARED DISPOSITIVE POWER</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1,426,780</w:t>
            </w: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11</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AGGREGATE AMOUNT BENEFICIALLY OWNED BY EACH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1,426,780</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12</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CHECK BOX IF THE AGGREGATE AMOUNT IN ROW (11) EXCLUDES CERTAIN SHARES</w:t>
            </w:r>
          </w:p>
        </w:tc>
        <w:tc>
          <w:tcPr>
            <w:tcW w:w="19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o</w:t>
            </w:r>
          </w:p>
        </w:tc>
      </w:tr>
      <w:tr>
        <w:trPr>
          <w:trHeight w:val="196"/>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10"/>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13</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PERCENT OF CLASS REPRESENTED BY AMOUNT IN ROW (11)</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3.7%</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1"/>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7760" w:type="dxa"/>
            <w:vAlign w:val="bottom"/>
            <w:gridSpan w:val="2"/>
          </w:tcPr>
          <w:p>
            <w:pPr>
              <w:ind w:left="100"/>
              <w:spacing w:after="0"/>
              <w:rPr>
                <w:sz w:val="20"/>
                <w:szCs w:val="20"/>
                <w:color w:val="auto"/>
              </w:rPr>
            </w:pPr>
            <w:r>
              <w:rPr>
                <w:rFonts w:ascii="Arial" w:cs="Arial" w:eastAsia="Arial" w:hAnsi="Arial"/>
                <w:sz w:val="17"/>
                <w:szCs w:val="17"/>
                <w:color w:val="auto"/>
              </w:rPr>
              <w:t>TYPE OF REPORTING PERSON</w:t>
            </w:r>
          </w:p>
        </w:tc>
        <w:tc>
          <w:tcPr>
            <w:tcW w:w="1980" w:type="dxa"/>
            <w:vAlign w:val="bottom"/>
            <w:tcBorders>
              <w:right w:val="single" w:sz="8" w:color="auto"/>
            </w:tcBorders>
          </w:tcPr>
          <w:p>
            <w:pPr>
              <w:spacing w:after="0"/>
              <w:rPr>
                <w:sz w:val="18"/>
                <w:szCs w:val="18"/>
                <w:color w:val="auto"/>
              </w:rPr>
            </w:pPr>
          </w:p>
        </w:tc>
      </w:tr>
      <w:tr>
        <w:trPr>
          <w:trHeight w:val="401"/>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IN</w:t>
            </w:r>
          </w:p>
        </w:tc>
        <w:tc>
          <w:tcPr>
            <w:tcW w:w="612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0"/>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62"/>
        </w:trPr>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120" w:type="dxa"/>
            <w:vAlign w:val="bottom"/>
          </w:tcPr>
          <w:p>
            <w:pPr>
              <w:ind w:left="2300"/>
              <w:spacing w:after="0"/>
              <w:rPr>
                <w:sz w:val="20"/>
                <w:szCs w:val="20"/>
                <w:color w:val="auto"/>
              </w:rPr>
            </w:pPr>
            <w:r>
              <w:rPr>
                <w:rFonts w:ascii="Arial" w:cs="Arial" w:eastAsia="Arial" w:hAnsi="Arial"/>
                <w:sz w:val="17"/>
                <w:szCs w:val="17"/>
                <w:color w:val="auto"/>
              </w:rPr>
              <w:t>20</w:t>
            </w:r>
          </w:p>
        </w:tc>
        <w:tc>
          <w:tcPr>
            <w:tcW w:w="1980" w:type="dxa"/>
            <w:vAlign w:val="bottom"/>
          </w:tcPr>
          <w:p>
            <w:pPr>
              <w:spacing w:after="0"/>
              <w:rPr>
                <w:sz w:val="24"/>
                <w:szCs w:val="24"/>
                <w:color w:val="auto"/>
              </w:rPr>
            </w:pPr>
          </w:p>
        </w:tc>
      </w:tr>
      <w:tr>
        <w:trPr>
          <w:trHeight w:val="114"/>
        </w:trPr>
        <w:tc>
          <w:tcPr>
            <w:tcW w:w="16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CUSIP NO. 465741106</w:t>
      </w:r>
    </w:p>
    <w:p>
      <w:pPr>
        <w:spacing w:after="0" w:line="24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following constitutes the Schedule 13D filed by the undersigned (the “Schedule 13D”).</w:t>
      </w:r>
    </w:p>
    <w:p>
      <w:pPr>
        <w:spacing w:after="0" w:line="243"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Item 1.</w:t>
      </w:r>
      <w:r>
        <w:rPr>
          <w:sz w:val="20"/>
          <w:szCs w:val="20"/>
          <w:color w:val="auto"/>
        </w:rPr>
        <w:tab/>
      </w:r>
      <w:r>
        <w:rPr>
          <w:rFonts w:ascii="Arial" w:cs="Arial" w:eastAsia="Arial" w:hAnsi="Arial"/>
          <w:sz w:val="15"/>
          <w:szCs w:val="15"/>
          <w:u w:val="single" w:color="auto"/>
          <w:color w:val="auto"/>
        </w:rPr>
        <w:t>Security and Issuer</w:t>
      </w:r>
      <w:r>
        <w:rPr>
          <w:rFonts w:ascii="Arial" w:cs="Arial" w:eastAsia="Arial" w:hAnsi="Arial"/>
          <w:sz w:val="15"/>
          <w:szCs w:val="15"/>
          <w:color w:val="auto"/>
        </w:rPr>
        <w:t>.</w:t>
      </w:r>
    </w:p>
    <w:p>
      <w:pPr>
        <w:spacing w:after="0" w:line="243" w:lineRule="exact"/>
        <w:rPr>
          <w:sz w:val="20"/>
          <w:szCs w:val="20"/>
          <w:color w:val="auto"/>
        </w:rPr>
      </w:pPr>
    </w:p>
    <w:p>
      <w:pPr>
        <w:ind w:firstLine="1239"/>
        <w:spacing w:after="0" w:line="280" w:lineRule="auto"/>
        <w:rPr>
          <w:sz w:val="20"/>
          <w:szCs w:val="20"/>
          <w:color w:val="auto"/>
        </w:rPr>
      </w:pPr>
      <w:r>
        <w:rPr>
          <w:rFonts w:ascii="Arial" w:cs="Arial" w:eastAsia="Arial" w:hAnsi="Arial"/>
          <w:sz w:val="17"/>
          <w:szCs w:val="17"/>
          <w:color w:val="auto"/>
        </w:rPr>
        <w:t>This statement relates to shares of the Common Stock, no par value per share (the “Shares”), of Itron, Inc., a Washington corporation (the “Issuer”). The address of the principal executive offices of the Issuer is 2111 North Molter Road, Liberty Lake, Washington 99019.</w:t>
      </w:r>
    </w:p>
    <w:p>
      <w:pPr>
        <w:spacing w:after="0" w:line="189"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Item 2.</w:t>
      </w:r>
      <w:r>
        <w:rPr>
          <w:sz w:val="20"/>
          <w:szCs w:val="20"/>
          <w:color w:val="auto"/>
        </w:rPr>
        <w:tab/>
      </w:r>
      <w:r>
        <w:rPr>
          <w:rFonts w:ascii="Arial" w:cs="Arial" w:eastAsia="Arial" w:hAnsi="Arial"/>
          <w:sz w:val="15"/>
          <w:szCs w:val="15"/>
          <w:u w:val="single" w:color="auto"/>
          <w:color w:val="auto"/>
        </w:rPr>
        <w:t>Identity and Background.</w:t>
      </w:r>
    </w:p>
    <w:p>
      <w:pPr>
        <w:spacing w:after="0" w:line="243" w:lineRule="exact"/>
        <w:rPr>
          <w:sz w:val="20"/>
          <w:szCs w:val="20"/>
          <w:color w:val="auto"/>
        </w:rPr>
      </w:pPr>
    </w:p>
    <w:p>
      <w:pPr>
        <w:ind w:left="1900" w:hanging="658"/>
        <w:spacing w:after="0"/>
        <w:tabs>
          <w:tab w:leader="none" w:pos="1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statement is filed by:</w:t>
      </w:r>
    </w:p>
    <w:p>
      <w:pPr>
        <w:spacing w:after="0" w:line="243" w:lineRule="exact"/>
        <w:rPr>
          <w:rFonts w:ascii="Arial" w:cs="Arial" w:eastAsia="Arial" w:hAnsi="Arial"/>
          <w:sz w:val="17"/>
          <w:szCs w:val="17"/>
          <w:color w:val="auto"/>
        </w:rPr>
      </w:pPr>
    </w:p>
    <w:p>
      <w:pPr>
        <w:ind w:left="2480" w:hanging="618"/>
        <w:spacing w:after="0" w:line="280" w:lineRule="auto"/>
        <w:tabs>
          <w:tab w:leader="none" w:pos="2480" w:val="left"/>
        </w:tabs>
        <w:numPr>
          <w:ilvl w:val="1"/>
          <w:numId w:val="3"/>
        </w:numPr>
        <w:rPr>
          <w:rFonts w:ascii="Arial" w:cs="Arial" w:eastAsia="Arial" w:hAnsi="Arial"/>
          <w:sz w:val="17"/>
          <w:szCs w:val="17"/>
          <w:color w:val="auto"/>
        </w:rPr>
      </w:pPr>
      <w:r>
        <w:rPr>
          <w:rFonts w:ascii="Arial" w:cs="Arial" w:eastAsia="Arial" w:hAnsi="Arial"/>
          <w:sz w:val="17"/>
          <w:szCs w:val="17"/>
          <w:color w:val="auto"/>
        </w:rPr>
        <w:t>Coppersmith Value Partners II, LP, a Delaware limited partnership (“Coppersmith Value II”), with respect to the Shares directly and beneficially owned by it;</w:t>
      </w:r>
    </w:p>
    <w:p>
      <w:pPr>
        <w:spacing w:after="0" w:line="189" w:lineRule="exact"/>
        <w:rPr>
          <w:rFonts w:ascii="Arial" w:cs="Arial" w:eastAsia="Arial" w:hAnsi="Arial"/>
          <w:sz w:val="17"/>
          <w:szCs w:val="17"/>
          <w:color w:val="auto"/>
        </w:rPr>
      </w:pPr>
    </w:p>
    <w:p>
      <w:pPr>
        <w:ind w:left="2480" w:hanging="618"/>
        <w:spacing w:after="0" w:line="280" w:lineRule="auto"/>
        <w:tabs>
          <w:tab w:leader="none" w:pos="2480" w:val="left"/>
        </w:tabs>
        <w:numPr>
          <w:ilvl w:val="1"/>
          <w:numId w:val="3"/>
        </w:numPr>
        <w:rPr>
          <w:rFonts w:ascii="Arial" w:cs="Arial" w:eastAsia="Arial" w:hAnsi="Arial"/>
          <w:sz w:val="17"/>
          <w:szCs w:val="17"/>
          <w:color w:val="auto"/>
        </w:rPr>
      </w:pPr>
      <w:r>
        <w:rPr>
          <w:rFonts w:ascii="Arial" w:cs="Arial" w:eastAsia="Arial" w:hAnsi="Arial"/>
          <w:sz w:val="17"/>
          <w:szCs w:val="17"/>
          <w:color w:val="auto"/>
        </w:rPr>
        <w:t>Coppersmith Capital Partners, LLC, a Delaware limited liability company (“Coppersmith Partners”), as the general partner of Coppersmith Value II;</w:t>
      </w:r>
    </w:p>
    <w:p>
      <w:pPr>
        <w:spacing w:after="0" w:line="189" w:lineRule="exact"/>
        <w:rPr>
          <w:rFonts w:ascii="Arial" w:cs="Arial" w:eastAsia="Arial" w:hAnsi="Arial"/>
          <w:sz w:val="17"/>
          <w:szCs w:val="17"/>
          <w:color w:val="auto"/>
        </w:rPr>
      </w:pPr>
    </w:p>
    <w:p>
      <w:pPr>
        <w:ind w:left="2480" w:hanging="618"/>
        <w:spacing w:after="0" w:line="280" w:lineRule="auto"/>
        <w:tabs>
          <w:tab w:leader="none" w:pos="2480" w:val="left"/>
        </w:tabs>
        <w:numPr>
          <w:ilvl w:val="1"/>
          <w:numId w:val="3"/>
        </w:numPr>
        <w:rPr>
          <w:rFonts w:ascii="Arial" w:cs="Arial" w:eastAsia="Arial" w:hAnsi="Arial"/>
          <w:sz w:val="17"/>
          <w:szCs w:val="17"/>
          <w:color w:val="auto"/>
        </w:rPr>
      </w:pPr>
      <w:r>
        <w:rPr>
          <w:rFonts w:ascii="Arial" w:cs="Arial" w:eastAsia="Arial" w:hAnsi="Arial"/>
          <w:sz w:val="17"/>
          <w:szCs w:val="17"/>
          <w:color w:val="auto"/>
        </w:rPr>
        <w:t>Coppersmith Capital Management, LLC, a Delaware limited liability company (“Coppersmith Capital”), as the Investment Manager of Coppersmith Value II and of certain managed accounts (the “Coppersmith Accounts”);</w:t>
      </w:r>
    </w:p>
    <w:p>
      <w:pPr>
        <w:spacing w:after="0" w:line="189" w:lineRule="exact"/>
        <w:rPr>
          <w:rFonts w:ascii="Arial" w:cs="Arial" w:eastAsia="Arial" w:hAnsi="Arial"/>
          <w:sz w:val="17"/>
          <w:szCs w:val="17"/>
          <w:color w:val="auto"/>
        </w:rPr>
      </w:pPr>
    </w:p>
    <w:p>
      <w:pPr>
        <w:ind w:left="2480" w:hanging="618"/>
        <w:spacing w:after="0"/>
        <w:tabs>
          <w:tab w:leader="none" w:pos="2480" w:val="left"/>
        </w:tabs>
        <w:numPr>
          <w:ilvl w:val="1"/>
          <w:numId w:val="3"/>
        </w:numPr>
        <w:rPr>
          <w:rFonts w:ascii="Arial" w:cs="Arial" w:eastAsia="Arial" w:hAnsi="Arial"/>
          <w:sz w:val="17"/>
          <w:szCs w:val="17"/>
          <w:color w:val="auto"/>
        </w:rPr>
      </w:pPr>
      <w:r>
        <w:rPr>
          <w:rFonts w:ascii="Arial" w:cs="Arial" w:eastAsia="Arial" w:hAnsi="Arial"/>
          <w:sz w:val="17"/>
          <w:szCs w:val="17"/>
          <w:color w:val="auto"/>
        </w:rPr>
        <w:t>Jerome J. Lande, as the Managing Member of each of Coppersmith Partners and Coppersmith Capital;</w:t>
      </w:r>
    </w:p>
    <w:p>
      <w:pPr>
        <w:spacing w:after="0" w:line="243" w:lineRule="exact"/>
        <w:rPr>
          <w:rFonts w:ascii="Arial" w:cs="Arial" w:eastAsia="Arial" w:hAnsi="Arial"/>
          <w:sz w:val="17"/>
          <w:szCs w:val="17"/>
          <w:color w:val="auto"/>
        </w:rPr>
      </w:pPr>
    </w:p>
    <w:p>
      <w:pPr>
        <w:ind w:left="2480" w:hanging="618"/>
        <w:spacing w:after="0"/>
        <w:tabs>
          <w:tab w:leader="none" w:pos="2480" w:val="left"/>
        </w:tabs>
        <w:numPr>
          <w:ilvl w:val="1"/>
          <w:numId w:val="3"/>
        </w:numPr>
        <w:rPr>
          <w:rFonts w:ascii="Arial" w:cs="Arial" w:eastAsia="Arial" w:hAnsi="Arial"/>
          <w:sz w:val="17"/>
          <w:szCs w:val="17"/>
          <w:color w:val="auto"/>
        </w:rPr>
      </w:pPr>
      <w:r>
        <w:rPr>
          <w:rFonts w:ascii="Arial" w:cs="Arial" w:eastAsia="Arial" w:hAnsi="Arial"/>
          <w:sz w:val="17"/>
          <w:szCs w:val="17"/>
          <w:color w:val="auto"/>
        </w:rPr>
        <w:t>Craig Rosenblum, as a Member of each of Coppersmith Partners and Coppersmith Capital;</w:t>
      </w:r>
    </w:p>
    <w:p>
      <w:pPr>
        <w:spacing w:after="0" w:line="243" w:lineRule="exact"/>
        <w:rPr>
          <w:rFonts w:ascii="Arial" w:cs="Arial" w:eastAsia="Arial" w:hAnsi="Arial"/>
          <w:sz w:val="17"/>
          <w:szCs w:val="17"/>
          <w:color w:val="auto"/>
        </w:rPr>
      </w:pPr>
    </w:p>
    <w:p>
      <w:pPr>
        <w:ind w:left="2480" w:hanging="618"/>
        <w:spacing w:after="0" w:line="280" w:lineRule="auto"/>
        <w:tabs>
          <w:tab w:leader="none" w:pos="2480" w:val="left"/>
        </w:tabs>
        <w:numPr>
          <w:ilvl w:val="1"/>
          <w:numId w:val="3"/>
        </w:numPr>
        <w:rPr>
          <w:rFonts w:ascii="Arial" w:cs="Arial" w:eastAsia="Arial" w:hAnsi="Arial"/>
          <w:sz w:val="17"/>
          <w:szCs w:val="17"/>
          <w:color w:val="auto"/>
        </w:rPr>
      </w:pPr>
      <w:r>
        <w:rPr>
          <w:rFonts w:ascii="Arial" w:cs="Arial" w:eastAsia="Arial" w:hAnsi="Arial"/>
          <w:sz w:val="17"/>
          <w:szCs w:val="17"/>
          <w:color w:val="auto"/>
        </w:rPr>
        <w:t>Scopia Long LLC, a Delaware limited liability company (“Scopia Long”), with respect to the Shares directly and beneficially owned by it;</w:t>
      </w:r>
    </w:p>
    <w:p>
      <w:pPr>
        <w:spacing w:after="0" w:line="189" w:lineRule="exact"/>
        <w:rPr>
          <w:rFonts w:ascii="Arial" w:cs="Arial" w:eastAsia="Arial" w:hAnsi="Arial"/>
          <w:sz w:val="17"/>
          <w:szCs w:val="17"/>
          <w:color w:val="auto"/>
        </w:rPr>
      </w:pPr>
    </w:p>
    <w:p>
      <w:pPr>
        <w:ind w:left="2480" w:hanging="618"/>
        <w:spacing w:after="0" w:line="280" w:lineRule="auto"/>
        <w:tabs>
          <w:tab w:leader="none" w:pos="2480" w:val="left"/>
        </w:tabs>
        <w:numPr>
          <w:ilvl w:val="1"/>
          <w:numId w:val="3"/>
        </w:numPr>
        <w:rPr>
          <w:rFonts w:ascii="Arial" w:cs="Arial" w:eastAsia="Arial" w:hAnsi="Arial"/>
          <w:sz w:val="17"/>
          <w:szCs w:val="17"/>
          <w:color w:val="auto"/>
        </w:rPr>
      </w:pPr>
      <w:r>
        <w:rPr>
          <w:rFonts w:ascii="Arial" w:cs="Arial" w:eastAsia="Arial" w:hAnsi="Arial"/>
          <w:sz w:val="17"/>
          <w:szCs w:val="17"/>
          <w:color w:val="auto"/>
        </w:rPr>
        <w:t>Scopia LB LLC, a Delaware limited liability company (“Scopia LB”), with respect to the Shares directly and beneficially owned by it;</w:t>
      </w:r>
    </w:p>
    <w:p>
      <w:pPr>
        <w:spacing w:after="0" w:line="189" w:lineRule="exact"/>
        <w:rPr>
          <w:rFonts w:ascii="Arial" w:cs="Arial" w:eastAsia="Arial" w:hAnsi="Arial"/>
          <w:sz w:val="17"/>
          <w:szCs w:val="17"/>
          <w:color w:val="auto"/>
        </w:rPr>
      </w:pPr>
    </w:p>
    <w:p>
      <w:pPr>
        <w:ind w:left="2480" w:hanging="618"/>
        <w:spacing w:after="0" w:line="280" w:lineRule="auto"/>
        <w:tabs>
          <w:tab w:leader="none" w:pos="2480" w:val="left"/>
        </w:tabs>
        <w:numPr>
          <w:ilvl w:val="1"/>
          <w:numId w:val="3"/>
        </w:numPr>
        <w:rPr>
          <w:rFonts w:ascii="Arial" w:cs="Arial" w:eastAsia="Arial" w:hAnsi="Arial"/>
          <w:sz w:val="17"/>
          <w:szCs w:val="17"/>
          <w:color w:val="auto"/>
        </w:rPr>
      </w:pPr>
      <w:r>
        <w:rPr>
          <w:rFonts w:ascii="Arial" w:cs="Arial" w:eastAsia="Arial" w:hAnsi="Arial"/>
          <w:sz w:val="17"/>
          <w:szCs w:val="17"/>
          <w:color w:val="auto"/>
        </w:rPr>
        <w:t>Scopia PX LLC, a Delaware limited liability company (“Scopia PX”), with respect to the Shares directly and beneficially owned by it;</w:t>
      </w:r>
    </w:p>
    <w:p>
      <w:pPr>
        <w:spacing w:after="0" w:line="189" w:lineRule="exact"/>
        <w:rPr>
          <w:rFonts w:ascii="Arial" w:cs="Arial" w:eastAsia="Arial" w:hAnsi="Arial"/>
          <w:sz w:val="17"/>
          <w:szCs w:val="17"/>
          <w:color w:val="auto"/>
        </w:rPr>
      </w:pPr>
    </w:p>
    <w:p>
      <w:pPr>
        <w:ind w:left="2480" w:hanging="618"/>
        <w:spacing w:after="0" w:line="280" w:lineRule="auto"/>
        <w:tabs>
          <w:tab w:leader="none" w:pos="2480" w:val="left"/>
        </w:tabs>
        <w:numPr>
          <w:ilvl w:val="1"/>
          <w:numId w:val="3"/>
        </w:numPr>
        <w:rPr>
          <w:rFonts w:ascii="Arial" w:cs="Arial" w:eastAsia="Arial" w:hAnsi="Arial"/>
          <w:sz w:val="17"/>
          <w:szCs w:val="17"/>
          <w:color w:val="auto"/>
        </w:rPr>
      </w:pPr>
      <w:r>
        <w:rPr>
          <w:rFonts w:ascii="Arial" w:cs="Arial" w:eastAsia="Arial" w:hAnsi="Arial"/>
          <w:sz w:val="17"/>
          <w:szCs w:val="17"/>
          <w:color w:val="auto"/>
        </w:rPr>
        <w:t>Scopia Partners LLC, a Delaware limited liability company (“Scopia Partners”), with respect to the Shares directly and beneficially owned by it;</w:t>
      </w:r>
    </w:p>
    <w:p>
      <w:pPr>
        <w:spacing w:after="0" w:line="189" w:lineRule="exact"/>
        <w:rPr>
          <w:rFonts w:ascii="Arial" w:cs="Arial" w:eastAsia="Arial" w:hAnsi="Arial"/>
          <w:sz w:val="17"/>
          <w:szCs w:val="17"/>
          <w:color w:val="auto"/>
        </w:rPr>
      </w:pPr>
    </w:p>
    <w:p>
      <w:pPr>
        <w:ind w:left="2480" w:hanging="618"/>
        <w:spacing w:after="0" w:line="280" w:lineRule="auto"/>
        <w:tabs>
          <w:tab w:leader="none" w:pos="2480" w:val="left"/>
        </w:tabs>
        <w:numPr>
          <w:ilvl w:val="1"/>
          <w:numId w:val="3"/>
        </w:numPr>
        <w:rPr>
          <w:rFonts w:ascii="Arial" w:cs="Arial" w:eastAsia="Arial" w:hAnsi="Arial"/>
          <w:sz w:val="17"/>
          <w:szCs w:val="17"/>
          <w:color w:val="auto"/>
        </w:rPr>
      </w:pPr>
      <w:r>
        <w:rPr>
          <w:rFonts w:ascii="Arial" w:cs="Arial" w:eastAsia="Arial" w:hAnsi="Arial"/>
          <w:sz w:val="17"/>
          <w:szCs w:val="17"/>
          <w:color w:val="auto"/>
        </w:rPr>
        <w:t>Scopia Windmill Fund LP, a Delaware limited liability company (“Scopia Windmill”), with respect to the Shares directly and beneficially owned by it;</w:t>
      </w:r>
    </w:p>
    <w:p>
      <w:pPr>
        <w:spacing w:after="0" w:line="189" w:lineRule="exact"/>
        <w:rPr>
          <w:rFonts w:ascii="Arial" w:cs="Arial" w:eastAsia="Arial" w:hAnsi="Arial"/>
          <w:sz w:val="17"/>
          <w:szCs w:val="17"/>
          <w:color w:val="auto"/>
        </w:rPr>
      </w:pPr>
    </w:p>
    <w:p>
      <w:pPr>
        <w:ind w:left="2480" w:hanging="618"/>
        <w:spacing w:after="0" w:line="280" w:lineRule="auto"/>
        <w:tabs>
          <w:tab w:leader="none" w:pos="2480" w:val="left"/>
        </w:tabs>
        <w:numPr>
          <w:ilvl w:val="1"/>
          <w:numId w:val="3"/>
        </w:numPr>
        <w:rPr>
          <w:rFonts w:ascii="Arial" w:cs="Arial" w:eastAsia="Arial" w:hAnsi="Arial"/>
          <w:sz w:val="17"/>
          <w:szCs w:val="17"/>
          <w:color w:val="auto"/>
        </w:rPr>
      </w:pPr>
      <w:r>
        <w:rPr>
          <w:rFonts w:ascii="Arial" w:cs="Arial" w:eastAsia="Arial" w:hAnsi="Arial"/>
          <w:sz w:val="17"/>
          <w:szCs w:val="17"/>
          <w:color w:val="auto"/>
        </w:rPr>
        <w:t>Scopia International Master Fund LP, a Bermuda limited partnership (“Scopia International”), with respect to the Shares directly and beneficially owned by it;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CUSIP NO. 465741106</w:t>
      </w:r>
    </w:p>
    <w:p>
      <w:pPr>
        <w:spacing w:after="0" w:line="243" w:lineRule="exact"/>
        <w:rPr>
          <w:sz w:val="20"/>
          <w:szCs w:val="20"/>
          <w:color w:val="auto"/>
        </w:rPr>
      </w:pPr>
    </w:p>
    <w:p>
      <w:pPr>
        <w:ind w:left="2480" w:hanging="618"/>
        <w:spacing w:after="0" w:line="280" w:lineRule="auto"/>
        <w:tabs>
          <w:tab w:leader="none" w:pos="2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Scopia PX International Master Fund LP, a Bermuda limited partnership (“Scopia PX International”), with respect to the Shares directly and beneficially owned by it;</w:t>
      </w:r>
    </w:p>
    <w:p>
      <w:pPr>
        <w:spacing w:after="0" w:line="189" w:lineRule="exact"/>
        <w:rPr>
          <w:rFonts w:ascii="Arial" w:cs="Arial" w:eastAsia="Arial" w:hAnsi="Arial"/>
          <w:sz w:val="17"/>
          <w:szCs w:val="17"/>
          <w:color w:val="auto"/>
        </w:rPr>
      </w:pPr>
    </w:p>
    <w:p>
      <w:pPr>
        <w:ind w:left="2480" w:hanging="618"/>
        <w:spacing w:after="0" w:line="280" w:lineRule="auto"/>
        <w:tabs>
          <w:tab w:leader="none" w:pos="2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Scopia LB International Master Fund LP, a Bermuda limited partnership (“Scopia LB International”), with respect to the Shares directly and beneficially owned by it;</w:t>
      </w:r>
    </w:p>
    <w:p>
      <w:pPr>
        <w:spacing w:after="0" w:line="189" w:lineRule="exact"/>
        <w:rPr>
          <w:rFonts w:ascii="Arial" w:cs="Arial" w:eastAsia="Arial" w:hAnsi="Arial"/>
          <w:sz w:val="17"/>
          <w:szCs w:val="17"/>
          <w:color w:val="auto"/>
        </w:rPr>
      </w:pPr>
    </w:p>
    <w:p>
      <w:pPr>
        <w:ind w:left="2480" w:hanging="618"/>
        <w:spacing w:after="0" w:line="280" w:lineRule="auto"/>
        <w:tabs>
          <w:tab w:leader="none" w:pos="2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Scopia Long International Master Fund LP, a Bermuda limited partnership (“Scopia Long International”), with respect to the Shares directly and beneficially owned by it;</w:t>
      </w:r>
    </w:p>
    <w:p>
      <w:pPr>
        <w:spacing w:after="0" w:line="189" w:lineRule="exact"/>
        <w:rPr>
          <w:rFonts w:ascii="Arial" w:cs="Arial" w:eastAsia="Arial" w:hAnsi="Arial"/>
          <w:sz w:val="17"/>
          <w:szCs w:val="17"/>
          <w:color w:val="auto"/>
        </w:rPr>
      </w:pPr>
    </w:p>
    <w:p>
      <w:pPr>
        <w:jc w:val="both"/>
        <w:ind w:left="2480" w:hanging="618"/>
        <w:spacing w:after="0" w:line="266" w:lineRule="auto"/>
        <w:tabs>
          <w:tab w:leader="none" w:pos="2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Scopia Capital GP LLC, a Delaware limited liability company (“Scopia Capital”), as the Managing Member of each of Scopia Long, Scopia LB, Scopia PX and Scopia Partners, and the general partner of each of Scopia Windmill, Scopia International, Scopia PX International, Scopia LB International and Scopia Long International;</w:t>
      </w:r>
    </w:p>
    <w:p>
      <w:pPr>
        <w:spacing w:after="0" w:line="201" w:lineRule="exact"/>
        <w:rPr>
          <w:rFonts w:ascii="Arial" w:cs="Arial" w:eastAsia="Arial" w:hAnsi="Arial"/>
          <w:sz w:val="17"/>
          <w:szCs w:val="17"/>
          <w:color w:val="auto"/>
        </w:rPr>
      </w:pPr>
    </w:p>
    <w:p>
      <w:pPr>
        <w:jc w:val="both"/>
        <w:ind w:left="2480" w:hanging="618"/>
        <w:spacing w:after="0" w:line="291" w:lineRule="auto"/>
        <w:tabs>
          <w:tab w:leader="none" w:pos="2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Scopia Capital Management LP, a Delaware limited partnership (“Scopia Management”), as the Investment Manager of each of Scopia Long, Scopia LB, Scopia PX, Scopia Partners, Scopia Windmill, Scopia International, Scopia PX International, Scopia LB International, Scopia Long International and of a certain separately managed account (the “Managed Account”);</w:t>
      </w:r>
    </w:p>
    <w:p>
      <w:pPr>
        <w:spacing w:after="0" w:line="182" w:lineRule="exact"/>
        <w:rPr>
          <w:rFonts w:ascii="Arial" w:cs="Arial" w:eastAsia="Arial" w:hAnsi="Arial"/>
          <w:sz w:val="16"/>
          <w:szCs w:val="16"/>
          <w:color w:val="auto"/>
        </w:rPr>
      </w:pPr>
    </w:p>
    <w:p>
      <w:pPr>
        <w:ind w:left="2480" w:hanging="618"/>
        <w:spacing w:after="0"/>
        <w:tabs>
          <w:tab w:leader="none" w:pos="2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Scopia Management, Inc., a New York corporation (“Scopia Inc.”), as the general partner of Scopia Management;</w:t>
      </w:r>
    </w:p>
    <w:p>
      <w:pPr>
        <w:spacing w:after="0" w:line="243" w:lineRule="exact"/>
        <w:rPr>
          <w:rFonts w:ascii="Arial" w:cs="Arial" w:eastAsia="Arial" w:hAnsi="Arial"/>
          <w:sz w:val="17"/>
          <w:szCs w:val="17"/>
          <w:color w:val="auto"/>
        </w:rPr>
      </w:pPr>
    </w:p>
    <w:p>
      <w:pPr>
        <w:ind w:left="2480" w:hanging="618"/>
        <w:spacing w:after="0"/>
        <w:tabs>
          <w:tab w:leader="none" w:pos="2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Matthew Sirovich, as a Managing Member of Scopia Capital and Managing Director of Scopia Inc.; and</w:t>
      </w:r>
    </w:p>
    <w:p>
      <w:pPr>
        <w:spacing w:after="0" w:line="243" w:lineRule="exact"/>
        <w:rPr>
          <w:rFonts w:ascii="Arial" w:cs="Arial" w:eastAsia="Arial" w:hAnsi="Arial"/>
          <w:sz w:val="17"/>
          <w:szCs w:val="17"/>
          <w:color w:val="auto"/>
        </w:rPr>
      </w:pPr>
    </w:p>
    <w:p>
      <w:pPr>
        <w:ind w:left="2480" w:hanging="618"/>
        <w:spacing w:after="0"/>
        <w:tabs>
          <w:tab w:leader="none" w:pos="2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Jeremy Mindich, as a Managing Member of Scopia Capital and Managing Director of Scopia Inc.</w:t>
      </w:r>
    </w:p>
    <w:p>
      <w:pPr>
        <w:spacing w:after="0" w:line="243" w:lineRule="exact"/>
        <w:rPr>
          <w:sz w:val="20"/>
          <w:szCs w:val="20"/>
          <w:color w:val="auto"/>
        </w:rPr>
      </w:pPr>
    </w:p>
    <w:p>
      <w:pPr>
        <w:ind w:firstLine="1239"/>
        <w:spacing w:after="0" w:line="312" w:lineRule="auto"/>
        <w:rPr>
          <w:sz w:val="20"/>
          <w:szCs w:val="20"/>
          <w:color w:val="auto"/>
        </w:rPr>
      </w:pPr>
      <w:r>
        <w:rPr>
          <w:rFonts w:ascii="Arial" w:cs="Arial" w:eastAsia="Arial" w:hAnsi="Arial"/>
          <w:sz w:val="16"/>
          <w:szCs w:val="16"/>
          <w:color w:val="auto"/>
        </w:rPr>
        <w:t>Each of the foregoing is referred to as a “Reporting Person” and collectively as the “Reporting Persons.” Each of the Reporting Persons is party to that certain Joint Filing Agreement, as described and defined in Item 6. Accordingly, the Reporting Persons are hereby filing a joint Schedule 13D.</w:t>
      </w:r>
    </w:p>
    <w:p>
      <w:pPr>
        <w:spacing w:after="0" w:line="167" w:lineRule="exact"/>
        <w:rPr>
          <w:sz w:val="20"/>
          <w:szCs w:val="20"/>
          <w:color w:val="auto"/>
        </w:rPr>
      </w:pPr>
    </w:p>
    <w:p>
      <w:pPr>
        <w:ind w:firstLine="623"/>
        <w:spacing w:after="0" w:line="280" w:lineRule="auto"/>
        <w:tabs>
          <w:tab w:leader="none" w:pos="1579"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address of the principal office of each of Coppersmith Value II, Coppersmith Partners, Coppersmith Capital and Messrs. Lande and Rosenblum is 1 World Trade Center, 85th Floor, New York, New York 10007.</w:t>
      </w:r>
    </w:p>
    <w:p>
      <w:pPr>
        <w:spacing w:after="0" w:line="189" w:lineRule="exact"/>
        <w:rPr>
          <w:sz w:val="20"/>
          <w:szCs w:val="20"/>
          <w:color w:val="auto"/>
        </w:rPr>
      </w:pPr>
    </w:p>
    <w:p>
      <w:pPr>
        <w:jc w:val="both"/>
        <w:ind w:firstLine="1239"/>
        <w:spacing w:after="0" w:line="262" w:lineRule="auto"/>
        <w:rPr>
          <w:sz w:val="20"/>
          <w:szCs w:val="20"/>
          <w:color w:val="auto"/>
        </w:rPr>
      </w:pPr>
      <w:r>
        <w:rPr>
          <w:rFonts w:ascii="Arial" w:cs="Arial" w:eastAsia="Arial" w:hAnsi="Arial"/>
          <w:sz w:val="17"/>
          <w:szCs w:val="17"/>
          <w:color w:val="auto"/>
        </w:rPr>
        <w:t>The address of the principal office of each of Scopia Long, Scopia LB, Scopia PX, Scopia Partners, Scopia Windmill, Scopia Capital, Scopia Management, Scopia Inc. and Messrs. Sirovich and Mindich is 152 West 57th Street, 33rd Floor, New York, New York 10019. The address of the principal office of each of Scopia International, Scopia PX International, Scopia LB International and Scopia Long International is c/o Appleby Services (Bermuda) Limited, Canon’s Court, 22 Victoria Street, Hamilton HM 12, Bermuda.</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CUSIP NO. 465741106</w:t>
      </w:r>
    </w:p>
    <w:p>
      <w:pPr>
        <w:spacing w:after="0" w:line="243" w:lineRule="exact"/>
        <w:rPr>
          <w:sz w:val="20"/>
          <w:szCs w:val="20"/>
          <w:color w:val="auto"/>
        </w:rPr>
      </w:pPr>
    </w:p>
    <w:p>
      <w:pPr>
        <w:jc w:val="both"/>
        <w:ind w:firstLine="668"/>
        <w:spacing w:after="0" w:line="262" w:lineRule="auto"/>
        <w:tabs>
          <w:tab w:leader="none" w:pos="135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principal business of Coppersmith Value II is investing in securities. The principal business of Coppersmith Partners is serving as the general partner of Coppersmith Value II. The principal business of Coppersmith Capital is serving as the Investment Manager of Coppersmith Value II and the Coppersmith Accounts. The principal occupation of Mr. Lande is serving as the Managing Member of each of Coppersmith Partners and Coppersmith Capital. The principal occupation of Mr. Rosenblum is serving as a Member of each of Coppersmith Partners and Coppersmith Capital.</w:t>
      </w:r>
    </w:p>
    <w:p>
      <w:pPr>
        <w:spacing w:after="0" w:line="205" w:lineRule="exact"/>
        <w:rPr>
          <w:sz w:val="20"/>
          <w:szCs w:val="20"/>
          <w:color w:val="auto"/>
        </w:rPr>
      </w:pPr>
    </w:p>
    <w:p>
      <w:pPr>
        <w:jc w:val="both"/>
        <w:ind w:firstLine="1239"/>
        <w:spacing w:after="0" w:line="257" w:lineRule="auto"/>
        <w:rPr>
          <w:sz w:val="20"/>
          <w:szCs w:val="20"/>
          <w:color w:val="auto"/>
        </w:rPr>
      </w:pPr>
      <w:r>
        <w:rPr>
          <w:rFonts w:ascii="Arial" w:cs="Arial" w:eastAsia="Arial" w:hAnsi="Arial"/>
          <w:sz w:val="17"/>
          <w:szCs w:val="17"/>
          <w:color w:val="auto"/>
        </w:rPr>
        <w:t>The principal business of each of Scopia Long, Scopia LB, Scopia PX, Scopia Partners, Scopia Windmill, Scopia International, Scopia PX International, Scopia LB International and Scopia Long International is serving as investment vehicles that invest primarily in publicly-traded equities. The principal business of Scopia Capital is serving as the Managing Member of each of Scopia Long, Scopia LB, Scopia PX and Scopia Partners, and as the general partner of each of Scopia Windmill, Scopia International, Scopia PX International, Scopia LB International and Scopia Long International. Scopia Management provides investment advisory and management services and acts as the Investment Manager of each of Scopia Long, Scopia LB, Scopia PX, Scopia Partners, Scopia Windmill, Scopia International, Scopia PX International, Scopia LB International, Scopia Long International and of the Managed Account. Each of Messrs. Sirovich and Mindich serve as a Managing Member of Scopia Capital and Managing Director of Scopia Inc.</w:t>
      </w:r>
    </w:p>
    <w:p>
      <w:pPr>
        <w:spacing w:after="0" w:line="212" w:lineRule="exact"/>
        <w:rPr>
          <w:sz w:val="20"/>
          <w:szCs w:val="20"/>
          <w:color w:val="auto"/>
        </w:rPr>
      </w:pPr>
    </w:p>
    <w:p>
      <w:pPr>
        <w:ind w:left="1700" w:hanging="1077"/>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Reporting Person has, during the last five years, been convicted in a criminal proceeding (excluding traffic violations or similar</w:t>
      </w:r>
    </w:p>
    <w:p>
      <w:pPr>
        <w:spacing w:after="0" w:line="2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misdemeanors).</w:t>
      </w:r>
    </w:p>
    <w:p>
      <w:pPr>
        <w:spacing w:after="0" w:line="232" w:lineRule="exact"/>
        <w:rPr>
          <w:rFonts w:ascii="Arial" w:cs="Arial" w:eastAsia="Arial" w:hAnsi="Arial"/>
          <w:sz w:val="17"/>
          <w:szCs w:val="17"/>
          <w:color w:val="auto"/>
        </w:rPr>
      </w:pPr>
    </w:p>
    <w:p>
      <w:pPr>
        <w:jc w:val="both"/>
        <w:ind w:firstLine="623"/>
        <w:spacing w:after="0" w:line="266" w:lineRule="auto"/>
        <w:tabs>
          <w:tab w:leader="none" w:pos="1325"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1" w:lineRule="exact"/>
        <w:rPr>
          <w:rFonts w:ascii="Arial" w:cs="Arial" w:eastAsia="Arial" w:hAnsi="Arial"/>
          <w:sz w:val="17"/>
          <w:szCs w:val="17"/>
          <w:color w:val="auto"/>
        </w:rPr>
      </w:pPr>
    </w:p>
    <w:p>
      <w:pPr>
        <w:ind w:left="1260" w:hanging="637"/>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Messrs. Lande, Rosenblum, Sirovich and Mindich are citizens of the United States of America.</w:t>
      </w:r>
    </w:p>
    <w:p>
      <w:pPr>
        <w:spacing w:after="0" w:line="243"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Item 3.</w:t>
      </w:r>
      <w:r>
        <w:rPr>
          <w:sz w:val="20"/>
          <w:szCs w:val="20"/>
          <w:color w:val="auto"/>
        </w:rPr>
        <w:tab/>
      </w:r>
      <w:r>
        <w:rPr>
          <w:rFonts w:ascii="Arial" w:cs="Arial" w:eastAsia="Arial" w:hAnsi="Arial"/>
          <w:sz w:val="15"/>
          <w:szCs w:val="15"/>
          <w:u w:val="single" w:color="auto"/>
          <w:color w:val="auto"/>
        </w:rPr>
        <w:t>Source and Amount of Funds or Other Consideration</w:t>
      </w:r>
      <w:r>
        <w:rPr>
          <w:rFonts w:ascii="Arial" w:cs="Arial" w:eastAsia="Arial" w:hAnsi="Arial"/>
          <w:sz w:val="15"/>
          <w:szCs w:val="15"/>
          <w:color w:val="auto"/>
        </w:rPr>
        <w:t>.</w:t>
      </w:r>
    </w:p>
    <w:p>
      <w:pPr>
        <w:spacing w:after="0" w:line="243" w:lineRule="exact"/>
        <w:rPr>
          <w:sz w:val="20"/>
          <w:szCs w:val="20"/>
          <w:color w:val="auto"/>
        </w:rPr>
      </w:pPr>
    </w:p>
    <w:p>
      <w:pPr>
        <w:jc w:val="both"/>
        <w:ind w:firstLine="1239"/>
        <w:spacing w:after="0" w:line="260" w:lineRule="auto"/>
        <w:rPr>
          <w:sz w:val="20"/>
          <w:szCs w:val="20"/>
          <w:color w:val="auto"/>
        </w:rPr>
      </w:pPr>
      <w:r>
        <w:rPr>
          <w:rFonts w:ascii="Arial" w:cs="Arial" w:eastAsia="Arial" w:hAnsi="Arial"/>
          <w:sz w:val="17"/>
          <w:szCs w:val="17"/>
          <w:color w:val="auto"/>
        </w:rPr>
        <w:t>The Shares purchased by Coppersmith Value II and held in the Coppersmith Accounts were purchased with working capital (which may, at any given time, include margin loans made by brokerage firms in the ordinary course of business) in open market purchases, except as otherwise noted, as set forth in Schedule A, which is incorporated by reference herein. The aggregate purchase price of the 160,000 Shares beneficially owned by Coppersmith Value II is approximately $4,760,874, including brokerage commissions. The aggregate purchase price of the 760,259 Shares held in the Coppersmith Accounts is approximately $24,999,999, including brokerage commissions.</w:t>
      </w:r>
    </w:p>
    <w:p>
      <w:pPr>
        <w:spacing w:after="0" w:line="206" w:lineRule="exact"/>
        <w:rPr>
          <w:sz w:val="20"/>
          <w:szCs w:val="20"/>
          <w:color w:val="auto"/>
        </w:rPr>
      </w:pPr>
    </w:p>
    <w:p>
      <w:pPr>
        <w:jc w:val="both"/>
        <w:ind w:firstLine="1239"/>
        <w:spacing w:after="0" w:line="262" w:lineRule="auto"/>
        <w:rPr>
          <w:sz w:val="20"/>
          <w:szCs w:val="20"/>
          <w:color w:val="auto"/>
        </w:rPr>
      </w:pPr>
      <w:r>
        <w:rPr>
          <w:rFonts w:ascii="Arial" w:cs="Arial" w:eastAsia="Arial" w:hAnsi="Arial"/>
          <w:sz w:val="17"/>
          <w:szCs w:val="17"/>
          <w:color w:val="auto"/>
        </w:rPr>
        <w:t>The Shares purchased by each of Scopia Long, Scopia LB, Scopia PX, Scopia Partners, Scopia Windmill, Scopia International, Scopia PX International, Scopia LB International, Scopia Long International and held in the Managed Account were purchased with working capital (which may, at any given time, include margin loans made by brokerage firms in the ordinary course of business) in open market purchases, except as otherwise noted, as set forth in Schedule A, which is incorporated by reference herein.</w:t>
      </w:r>
    </w:p>
    <w:p>
      <w:pPr>
        <w:spacing w:after="0" w:line="20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The aggregate purchase price of the 14,035 Shares beneficially owned by Scopia Long is approximately $446,365, excluding brokerage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commissions.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CUSIP NO. 465741106</w:t>
      </w:r>
    </w:p>
    <w:p>
      <w:pPr>
        <w:spacing w:after="0" w:line="24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aggregate purchase price of the 20,224 Shares beneficially owned by Scopia LB is approximately $637,926, excluding brokerage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commissions.</w:t>
      </w:r>
    </w:p>
    <w:p>
      <w:pPr>
        <w:spacing w:after="0" w:line="23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The aggregate purchase price of the 389,461 Shares beneficially owned by Scopia PX is approximately $12,247,563, excluding brokerage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commissions.</w:t>
      </w:r>
    </w:p>
    <w:p>
      <w:pPr>
        <w:spacing w:after="0" w:line="23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The aggregate purchase price of the 11,539 Shares beneficially owned by Scopia Partners is approximately $363,471, excluding brokerage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commissions.</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The aggregate purchase price of the 262,040 Shares beneficially owned by Scopia Windmill is approximately $8,250,335, excluding brokerage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commissions.</w:t>
      </w:r>
    </w:p>
    <w:p>
      <w:pPr>
        <w:spacing w:after="0" w:line="233"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The aggregate purchase price of the 74,666 Shares beneficially owned by Scopia International is approximately $2,351,570, excluding brokerage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commissions.</w:t>
      </w:r>
    </w:p>
    <w:p>
      <w:pPr>
        <w:spacing w:after="0" w:line="233" w:lineRule="exact"/>
        <w:rPr>
          <w:sz w:val="20"/>
          <w:szCs w:val="20"/>
          <w:color w:val="auto"/>
        </w:rPr>
      </w:pPr>
    </w:p>
    <w:p>
      <w:pPr>
        <w:jc w:val="both"/>
        <w:ind w:firstLine="1239"/>
        <w:spacing w:after="0" w:line="280" w:lineRule="auto"/>
        <w:rPr>
          <w:sz w:val="20"/>
          <w:szCs w:val="20"/>
          <w:color w:val="auto"/>
        </w:rPr>
      </w:pPr>
      <w:r>
        <w:rPr>
          <w:rFonts w:ascii="Arial" w:cs="Arial" w:eastAsia="Arial" w:hAnsi="Arial"/>
          <w:sz w:val="17"/>
          <w:szCs w:val="17"/>
          <w:color w:val="auto"/>
        </w:rPr>
        <w:t>The aggregate purchase price of the 518,134 Shares beneficially owned by Scopia PX International is approximately $16,304,511, excluding brokerage commissions.</w:t>
      </w:r>
    </w:p>
    <w:p>
      <w:pPr>
        <w:spacing w:after="0" w:line="189" w:lineRule="exact"/>
        <w:rPr>
          <w:sz w:val="20"/>
          <w:szCs w:val="20"/>
          <w:color w:val="auto"/>
        </w:rPr>
      </w:pPr>
    </w:p>
    <w:p>
      <w:pPr>
        <w:jc w:val="both"/>
        <w:ind w:firstLine="1239"/>
        <w:spacing w:after="0" w:line="280" w:lineRule="auto"/>
        <w:rPr>
          <w:sz w:val="20"/>
          <w:szCs w:val="20"/>
          <w:color w:val="auto"/>
        </w:rPr>
      </w:pPr>
      <w:r>
        <w:rPr>
          <w:rFonts w:ascii="Arial" w:cs="Arial" w:eastAsia="Arial" w:hAnsi="Arial"/>
          <w:sz w:val="17"/>
          <w:szCs w:val="17"/>
          <w:color w:val="auto"/>
        </w:rPr>
        <w:t>The aggregate purchase price of the 42,074 Shares beneficially owned by Scopia LB International is approximately $1,288,583, excluding brokerage commissions.</w:t>
      </w:r>
    </w:p>
    <w:p>
      <w:pPr>
        <w:spacing w:after="0" w:line="189" w:lineRule="exact"/>
        <w:rPr>
          <w:sz w:val="20"/>
          <w:szCs w:val="20"/>
          <w:color w:val="auto"/>
        </w:rPr>
      </w:pPr>
    </w:p>
    <w:p>
      <w:pPr>
        <w:jc w:val="both"/>
        <w:ind w:firstLine="1239"/>
        <w:spacing w:after="0" w:line="280" w:lineRule="auto"/>
        <w:rPr>
          <w:sz w:val="20"/>
          <w:szCs w:val="20"/>
          <w:color w:val="auto"/>
        </w:rPr>
      </w:pPr>
      <w:r>
        <w:rPr>
          <w:rFonts w:ascii="Arial" w:cs="Arial" w:eastAsia="Arial" w:hAnsi="Arial"/>
          <w:sz w:val="17"/>
          <w:szCs w:val="17"/>
          <w:color w:val="auto"/>
        </w:rPr>
        <w:t>The aggregate purchase price of the 58,799 Shares beneficially owned by Scopia Long International is approximately $1,868,943, excluding brokerage commissions.</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The aggregate purchase price of the 35,808 Shares held in the Managed Account is approximately $1,127,347, excluding brokerage commissions.</w:t>
      </w:r>
    </w:p>
    <w:p>
      <w:pPr>
        <w:spacing w:after="0" w:line="26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Item 4.</w:t>
      </w:r>
      <w:r>
        <w:rPr>
          <w:sz w:val="20"/>
          <w:szCs w:val="20"/>
          <w:color w:val="auto"/>
        </w:rPr>
        <w:tab/>
      </w:r>
      <w:r>
        <w:rPr>
          <w:rFonts w:ascii="Arial" w:cs="Arial" w:eastAsia="Arial" w:hAnsi="Arial"/>
          <w:sz w:val="15"/>
          <w:szCs w:val="15"/>
          <w:u w:val="single" w:color="auto"/>
          <w:color w:val="auto"/>
        </w:rPr>
        <w:t>Purpose of the Transaction.</w:t>
      </w:r>
    </w:p>
    <w:p>
      <w:pPr>
        <w:spacing w:after="0" w:line="243" w:lineRule="exact"/>
        <w:rPr>
          <w:sz w:val="20"/>
          <w:szCs w:val="20"/>
          <w:color w:val="auto"/>
        </w:rPr>
      </w:pPr>
    </w:p>
    <w:p>
      <w:pPr>
        <w:jc w:val="both"/>
        <w:ind w:firstLine="1239"/>
        <w:spacing w:after="0" w:line="258" w:lineRule="auto"/>
        <w:rPr>
          <w:sz w:val="20"/>
          <w:szCs w:val="20"/>
          <w:color w:val="auto"/>
        </w:rPr>
      </w:pPr>
      <w:r>
        <w:rPr>
          <w:rFonts w:ascii="Arial" w:cs="Arial" w:eastAsia="Arial" w:hAnsi="Arial"/>
          <w:sz w:val="17"/>
          <w:szCs w:val="17"/>
          <w:color w:val="auto"/>
        </w:rPr>
        <w:t>The Reporting Persons purchased the Shares based on the Reporting Persons’ belief that the Shares, when purchased, were undervalued and represented an attractive investment opportunity based upon, among other things, the Issuer’s ability to rationalize operations to improve profitability and increase shareholder value through evaluating potential strategic alternatives.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w:t>
      </w:r>
    </w:p>
    <w:p>
      <w:pPr>
        <w:spacing w:after="0" w:line="185" w:lineRule="exact"/>
        <w:rPr>
          <w:sz w:val="20"/>
          <w:szCs w:val="20"/>
          <w:color w:val="auto"/>
        </w:rPr>
      </w:pPr>
    </w:p>
    <w:p>
      <w:pPr>
        <w:jc w:val="both"/>
        <w:ind w:firstLine="1239"/>
        <w:spacing w:after="0" w:line="295" w:lineRule="auto"/>
        <w:rPr>
          <w:sz w:val="20"/>
          <w:szCs w:val="20"/>
          <w:color w:val="auto"/>
        </w:rPr>
      </w:pPr>
      <w:r>
        <w:rPr>
          <w:rFonts w:ascii="Arial" w:cs="Arial" w:eastAsia="Arial" w:hAnsi="Arial"/>
          <w:sz w:val="15"/>
          <w:szCs w:val="15"/>
          <w:color w:val="auto"/>
        </w:rPr>
        <w:t>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engaging in discussions with stockholders of the Issuer and others about the Issuer and the Reporting Persons’ investment, making proposals to the Issuer concerning changes to the capitalization, ownership structure, board structure (including board composition), subsidiary structure or operations of the Issuer, purchasing additional Shares, selling some or all of their Shares, engaging in short selling of or any hedging or similar transaction with respect to the Shares, or changing their intention with respect to any and all matters referred to in Item 4.</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CUSIP NO. 465741106</w:t>
      </w:r>
    </w:p>
    <w:p>
      <w:pPr>
        <w:spacing w:after="0" w:line="243"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Item 5.</w:t>
      </w:r>
      <w:r>
        <w:rPr>
          <w:sz w:val="20"/>
          <w:szCs w:val="20"/>
          <w:color w:val="auto"/>
        </w:rPr>
        <w:tab/>
      </w:r>
      <w:r>
        <w:rPr>
          <w:rFonts w:ascii="Arial" w:cs="Arial" w:eastAsia="Arial" w:hAnsi="Arial"/>
          <w:sz w:val="15"/>
          <w:szCs w:val="15"/>
          <w:u w:val="single" w:color="auto"/>
          <w:color w:val="auto"/>
        </w:rPr>
        <w:t>Interest in Securities of the Issuer.</w:t>
      </w:r>
    </w:p>
    <w:p>
      <w:pPr>
        <w:spacing w:after="0" w:line="243" w:lineRule="exact"/>
        <w:rPr>
          <w:sz w:val="20"/>
          <w:szCs w:val="20"/>
          <w:color w:val="auto"/>
        </w:rPr>
      </w:pPr>
    </w:p>
    <w:p>
      <w:pPr>
        <w:jc w:val="both"/>
        <w:ind w:firstLine="1239"/>
        <w:spacing w:after="0" w:line="266" w:lineRule="auto"/>
        <w:rPr>
          <w:sz w:val="20"/>
          <w:szCs w:val="20"/>
          <w:color w:val="auto"/>
        </w:rPr>
      </w:pPr>
      <w:r>
        <w:rPr>
          <w:rFonts w:ascii="Arial" w:cs="Arial" w:eastAsia="Arial" w:hAnsi="Arial"/>
          <w:sz w:val="17"/>
          <w:szCs w:val="17"/>
          <w:color w:val="auto"/>
        </w:rPr>
        <w:t>The aggregate percentage of Shares reported owned by each person named herein is based upon 38,138,896 Shares outstanding as of July 31, 2015, which is the total number of Shares outstanding as reported in the Issuer’s quarterly report on Form 10-Q, filed with the Securities and Exchange Commission on August 6, 2015.</w:t>
      </w:r>
    </w:p>
    <w:p>
      <w:pPr>
        <w:spacing w:after="0" w:line="202" w:lineRule="exact"/>
        <w:rPr>
          <w:sz w:val="20"/>
          <w:szCs w:val="20"/>
          <w:color w:val="auto"/>
        </w:rPr>
      </w:pPr>
    </w:p>
    <w:p>
      <w:pPr>
        <w:ind w:left="620" w:hanging="61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Coppersmith Value II</w:t>
      </w:r>
    </w:p>
    <w:p>
      <w:pPr>
        <w:spacing w:after="0" w:line="243" w:lineRule="exact"/>
        <w:rPr>
          <w:rFonts w:ascii="Arial" w:cs="Arial" w:eastAsia="Arial" w:hAnsi="Arial"/>
          <w:sz w:val="17"/>
          <w:szCs w:val="17"/>
          <w:color w:val="auto"/>
        </w:rPr>
      </w:pPr>
    </w:p>
    <w:p>
      <w:pPr>
        <w:ind w:left="1240" w:right="2980" w:hanging="617"/>
        <w:spacing w:after="0" w:line="538" w:lineRule="auto"/>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As of the close of business on the date hereof, Coppersmith Value II beneficially owned 160,000 Shares. Percentage: Less than 1%</w:t>
      </w:r>
    </w:p>
    <w:p>
      <w:pPr>
        <w:spacing w:after="0" w:line="1" w:lineRule="exact"/>
        <w:rPr>
          <w:rFonts w:ascii="Arial" w:cs="Arial" w:eastAsia="Arial" w:hAnsi="Arial"/>
          <w:sz w:val="17"/>
          <w:szCs w:val="17"/>
          <w:color w:val="auto"/>
        </w:rPr>
      </w:pPr>
    </w:p>
    <w:p>
      <w:pPr>
        <w:ind w:left="1240" w:hanging="617"/>
        <w:spacing w:after="0"/>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1. Sole power to vote or direct vote: 160,000</w:t>
      </w:r>
    </w:p>
    <w:p>
      <w:pPr>
        <w:spacing w:after="0" w:line="21" w:lineRule="exact"/>
        <w:rPr>
          <w:rFonts w:ascii="Arial" w:cs="Arial" w:eastAsia="Arial" w:hAnsi="Arial"/>
          <w:sz w:val="17"/>
          <w:szCs w:val="17"/>
          <w:color w:val="auto"/>
        </w:rPr>
      </w:pPr>
    </w:p>
    <w:p>
      <w:pPr>
        <w:ind w:left="1420" w:hanging="178"/>
        <w:spacing w:after="0"/>
        <w:tabs>
          <w:tab w:leader="none" w:pos="1420" w:val="left"/>
        </w:tabs>
        <w:numPr>
          <w:ilvl w:val="2"/>
          <w:numId w:val="8"/>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8"/>
        </w:numPr>
        <w:rPr>
          <w:rFonts w:ascii="Arial" w:cs="Arial" w:eastAsia="Arial" w:hAnsi="Arial"/>
          <w:sz w:val="17"/>
          <w:szCs w:val="17"/>
          <w:color w:val="auto"/>
        </w:rPr>
      </w:pPr>
      <w:r>
        <w:rPr>
          <w:rFonts w:ascii="Arial" w:cs="Arial" w:eastAsia="Arial" w:hAnsi="Arial"/>
          <w:sz w:val="17"/>
          <w:szCs w:val="17"/>
          <w:color w:val="auto"/>
        </w:rPr>
        <w:t>Sole power to dispose or direct the disposition: 160,000</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8"/>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ind w:left="1240" w:hanging="617"/>
        <w:spacing w:after="0" w:line="280" w:lineRule="auto"/>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transactions in the Shares by Coppersmith Value II during the past 60 days are set forth in Schedule A and are incorporated herein by reference.</w:t>
      </w:r>
    </w:p>
    <w:p>
      <w:pPr>
        <w:spacing w:after="0" w:line="189" w:lineRule="exact"/>
        <w:rPr>
          <w:rFonts w:ascii="Arial" w:cs="Arial" w:eastAsia="Arial" w:hAnsi="Arial"/>
          <w:sz w:val="17"/>
          <w:szCs w:val="17"/>
          <w:color w:val="auto"/>
        </w:rPr>
      </w:pPr>
    </w:p>
    <w:p>
      <w:pPr>
        <w:ind w:left="620" w:hanging="61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Coppersmith Partners</w:t>
      </w:r>
    </w:p>
    <w:p>
      <w:pPr>
        <w:spacing w:after="0" w:line="243" w:lineRule="exact"/>
        <w:rPr>
          <w:rFonts w:ascii="Arial" w:cs="Arial" w:eastAsia="Arial" w:hAnsi="Arial"/>
          <w:sz w:val="17"/>
          <w:szCs w:val="17"/>
          <w:color w:val="auto"/>
        </w:rPr>
      </w:pPr>
    </w:p>
    <w:p>
      <w:pPr>
        <w:ind w:left="1240" w:hanging="617"/>
        <w:spacing w:after="0" w:line="280" w:lineRule="auto"/>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Coppersmith Partners, as the general partner of Coppersmith Value II, may be deemed the beneficial owner of the 160,000 Shares owned by Coppersmith Value II.</w:t>
      </w:r>
    </w:p>
    <w:p>
      <w:pPr>
        <w:spacing w:after="0" w:line="189"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Percentage: Less than 1%</w:t>
      </w:r>
    </w:p>
    <w:p>
      <w:pPr>
        <w:spacing w:after="0" w:line="243" w:lineRule="exact"/>
        <w:rPr>
          <w:rFonts w:ascii="Arial" w:cs="Arial" w:eastAsia="Arial" w:hAnsi="Arial"/>
          <w:sz w:val="17"/>
          <w:szCs w:val="17"/>
          <w:color w:val="auto"/>
        </w:rPr>
      </w:pPr>
    </w:p>
    <w:p>
      <w:pPr>
        <w:ind w:left="1240" w:hanging="617"/>
        <w:spacing w:after="0"/>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1. Sole power to vote or direct vote: 160,000</w:t>
      </w:r>
    </w:p>
    <w:p>
      <w:pPr>
        <w:spacing w:after="0" w:line="21" w:lineRule="exact"/>
        <w:rPr>
          <w:rFonts w:ascii="Arial" w:cs="Arial" w:eastAsia="Arial" w:hAnsi="Arial"/>
          <w:sz w:val="17"/>
          <w:szCs w:val="17"/>
          <w:color w:val="auto"/>
        </w:rPr>
      </w:pPr>
    </w:p>
    <w:p>
      <w:pPr>
        <w:ind w:left="1420" w:hanging="178"/>
        <w:spacing w:after="0"/>
        <w:tabs>
          <w:tab w:leader="none" w:pos="1420" w:val="left"/>
        </w:tabs>
        <w:numPr>
          <w:ilvl w:val="2"/>
          <w:numId w:val="8"/>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8"/>
        </w:numPr>
        <w:rPr>
          <w:rFonts w:ascii="Arial" w:cs="Arial" w:eastAsia="Arial" w:hAnsi="Arial"/>
          <w:sz w:val="17"/>
          <w:szCs w:val="17"/>
          <w:color w:val="auto"/>
        </w:rPr>
      </w:pPr>
      <w:r>
        <w:rPr>
          <w:rFonts w:ascii="Arial" w:cs="Arial" w:eastAsia="Arial" w:hAnsi="Arial"/>
          <w:sz w:val="17"/>
          <w:szCs w:val="17"/>
          <w:color w:val="auto"/>
        </w:rPr>
        <w:t>Sole power to dispose or direct the disposition: 160,000</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8"/>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ind w:left="1240" w:hanging="617"/>
        <w:spacing w:after="0" w:line="280" w:lineRule="auto"/>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Coppersmith Partners has not entered into any transactions in the Shares during the past 60 days. The transactions in the Shares on behalf of Coppersmith Value II during the past 60 days are set forth in Schedule A and are incorporated herein by reference.</w:t>
      </w:r>
    </w:p>
    <w:p>
      <w:pPr>
        <w:spacing w:after="0" w:line="189" w:lineRule="exact"/>
        <w:rPr>
          <w:rFonts w:ascii="Arial" w:cs="Arial" w:eastAsia="Arial" w:hAnsi="Arial"/>
          <w:sz w:val="17"/>
          <w:szCs w:val="17"/>
          <w:color w:val="auto"/>
        </w:rPr>
      </w:pPr>
    </w:p>
    <w:p>
      <w:pPr>
        <w:ind w:left="620" w:hanging="61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Coppersmith Capital</w:t>
      </w:r>
    </w:p>
    <w:p>
      <w:pPr>
        <w:spacing w:after="0" w:line="243" w:lineRule="exact"/>
        <w:rPr>
          <w:rFonts w:ascii="Arial" w:cs="Arial" w:eastAsia="Arial" w:hAnsi="Arial"/>
          <w:sz w:val="17"/>
          <w:szCs w:val="17"/>
          <w:color w:val="auto"/>
        </w:rPr>
      </w:pPr>
    </w:p>
    <w:p>
      <w:pPr>
        <w:jc w:val="both"/>
        <w:ind w:left="1240" w:hanging="617"/>
        <w:spacing w:after="0" w:line="266" w:lineRule="auto"/>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As of the close of business on the date hereof, 760,259 Shares were held in the Coppersmith Accounts. Coppersmith Capital, as the Investment Manager of Coppersmith Value II and the Coppersmith Accounts, may be deemed the beneficial owner of the (i) 160,000 Shares owned by Coppersmith Value II and (ii) 760,259 Shares held in the Coppersmith Accounts.</w:t>
      </w:r>
    </w:p>
    <w:p>
      <w:pPr>
        <w:spacing w:after="0" w:line="201"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Percentage: Approximately 2.4%</w:t>
      </w:r>
    </w:p>
    <w:p>
      <w:pPr>
        <w:spacing w:after="0" w:line="243" w:lineRule="exact"/>
        <w:rPr>
          <w:rFonts w:ascii="Arial" w:cs="Arial" w:eastAsia="Arial" w:hAnsi="Arial"/>
          <w:sz w:val="17"/>
          <w:szCs w:val="17"/>
          <w:color w:val="auto"/>
        </w:rPr>
      </w:pPr>
    </w:p>
    <w:p>
      <w:pPr>
        <w:ind w:left="1240" w:hanging="617"/>
        <w:spacing w:after="0"/>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1. Sole power to vote or direct vote: 920,259</w:t>
      </w:r>
    </w:p>
    <w:p>
      <w:pPr>
        <w:spacing w:after="0" w:line="21" w:lineRule="exact"/>
        <w:rPr>
          <w:rFonts w:ascii="Arial" w:cs="Arial" w:eastAsia="Arial" w:hAnsi="Arial"/>
          <w:sz w:val="17"/>
          <w:szCs w:val="17"/>
          <w:color w:val="auto"/>
        </w:rPr>
      </w:pPr>
    </w:p>
    <w:p>
      <w:pPr>
        <w:ind w:left="1420" w:hanging="178"/>
        <w:spacing w:after="0"/>
        <w:tabs>
          <w:tab w:leader="none" w:pos="1420" w:val="left"/>
        </w:tabs>
        <w:numPr>
          <w:ilvl w:val="2"/>
          <w:numId w:val="8"/>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8"/>
        </w:numPr>
        <w:rPr>
          <w:rFonts w:ascii="Arial" w:cs="Arial" w:eastAsia="Arial" w:hAnsi="Arial"/>
          <w:sz w:val="17"/>
          <w:szCs w:val="17"/>
          <w:color w:val="auto"/>
        </w:rPr>
      </w:pPr>
      <w:r>
        <w:rPr>
          <w:rFonts w:ascii="Arial" w:cs="Arial" w:eastAsia="Arial" w:hAnsi="Arial"/>
          <w:sz w:val="17"/>
          <w:szCs w:val="17"/>
          <w:color w:val="auto"/>
        </w:rPr>
        <w:t>Sole power to dispose or direct the disposition: 920,259</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8"/>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ind w:left="1240" w:hanging="617"/>
        <w:spacing w:after="0" w:line="280" w:lineRule="auto"/>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transactions in the Shares by Coppersmith Capital through the Coppersmith Accounts and on behalf of Coppersmith Value II during the past 60 days are set forth in Schedule A and are incorporated herein by reference.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CUSIP NO. 465741106</w:t>
      </w:r>
    </w:p>
    <w:p>
      <w:pPr>
        <w:spacing w:after="0" w:line="243"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Mr. Lande</w:t>
      </w:r>
    </w:p>
    <w:p>
      <w:pPr>
        <w:spacing w:after="0" w:line="243" w:lineRule="exact"/>
        <w:rPr>
          <w:rFonts w:ascii="Arial" w:cs="Arial" w:eastAsia="Arial" w:hAnsi="Arial"/>
          <w:sz w:val="17"/>
          <w:szCs w:val="17"/>
          <w:color w:val="auto"/>
        </w:rPr>
      </w:pPr>
    </w:p>
    <w:p>
      <w:pPr>
        <w:ind w:left="1240" w:hanging="617"/>
        <w:spacing w:after="0" w:line="280" w:lineRule="auto"/>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Mr. Lande, as the Managing Member of each of Coppersmith Partners and Coppersmith Capital, may be deemed the beneficial owner of the (i) 160,000 Shares owned by Coppersmith Value II and (ii) 760,259 Shares held in the Coppersmith Accounts.</w:t>
      </w:r>
    </w:p>
    <w:p>
      <w:pPr>
        <w:spacing w:after="0" w:line="189"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Percentage: Approximately 2.4%</w:t>
      </w:r>
    </w:p>
    <w:p>
      <w:pPr>
        <w:spacing w:after="0" w:line="243" w:lineRule="exact"/>
        <w:rPr>
          <w:rFonts w:ascii="Arial" w:cs="Arial" w:eastAsia="Arial" w:hAnsi="Arial"/>
          <w:sz w:val="17"/>
          <w:szCs w:val="17"/>
          <w:color w:val="auto"/>
        </w:rPr>
      </w:pPr>
    </w:p>
    <w:p>
      <w:pPr>
        <w:ind w:left="1240" w:hanging="617"/>
        <w:spacing w:after="0"/>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1. Sole power to vote or direct vote: 0</w:t>
      </w:r>
    </w:p>
    <w:p>
      <w:pPr>
        <w:spacing w:after="0" w:line="2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Shared power to vote or direct vote: 920,259</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Sole power to dispose or direct the disposition: 0</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920,259</w:t>
      </w:r>
    </w:p>
    <w:p>
      <w:pPr>
        <w:spacing w:after="0" w:line="232" w:lineRule="exact"/>
        <w:rPr>
          <w:rFonts w:ascii="Arial" w:cs="Arial" w:eastAsia="Arial" w:hAnsi="Arial"/>
          <w:sz w:val="17"/>
          <w:szCs w:val="17"/>
          <w:color w:val="auto"/>
        </w:rPr>
      </w:pPr>
    </w:p>
    <w:p>
      <w:pPr>
        <w:ind w:left="1240" w:hanging="617"/>
        <w:spacing w:after="0" w:line="312" w:lineRule="auto"/>
        <w:tabs>
          <w:tab w:leader="none" w:pos="1240" w:val="left"/>
        </w:tabs>
        <w:numPr>
          <w:ilvl w:val="1"/>
          <w:numId w:val="9"/>
        </w:numPr>
        <w:rPr>
          <w:rFonts w:ascii="Arial" w:cs="Arial" w:eastAsia="Arial" w:hAnsi="Arial"/>
          <w:sz w:val="16"/>
          <w:szCs w:val="16"/>
          <w:color w:val="auto"/>
        </w:rPr>
      </w:pPr>
      <w:r>
        <w:rPr>
          <w:rFonts w:ascii="Arial" w:cs="Arial" w:eastAsia="Arial" w:hAnsi="Arial"/>
          <w:sz w:val="16"/>
          <w:szCs w:val="16"/>
          <w:color w:val="auto"/>
        </w:rPr>
        <w:t>Mr. Lande has not entered into any transactions in the Shares during the past 60 days. The transactions in the Shares on behalf of Coppersmith Value II and through the Coppersmith Accounts during the past 60 days are set forth in Schedule A and are incorporated herein by reference.</w:t>
      </w:r>
    </w:p>
    <w:p>
      <w:pPr>
        <w:spacing w:after="0" w:line="166" w:lineRule="exact"/>
        <w:rPr>
          <w:rFonts w:ascii="Arial" w:cs="Arial" w:eastAsia="Arial" w:hAnsi="Arial"/>
          <w:sz w:val="16"/>
          <w:szCs w:val="16"/>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Mr. Rosenblum</w:t>
      </w:r>
    </w:p>
    <w:p>
      <w:pPr>
        <w:spacing w:after="0" w:line="243" w:lineRule="exact"/>
        <w:rPr>
          <w:rFonts w:ascii="Arial" w:cs="Arial" w:eastAsia="Arial" w:hAnsi="Arial"/>
          <w:sz w:val="17"/>
          <w:szCs w:val="17"/>
          <w:color w:val="auto"/>
        </w:rPr>
      </w:pPr>
    </w:p>
    <w:p>
      <w:pPr>
        <w:ind w:left="1240" w:hanging="617"/>
        <w:spacing w:after="0" w:line="280" w:lineRule="auto"/>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Mr. Rosenblum, as a Member of each of Coppersmith Partners and Coppersmith Capital, may be deemed the beneficial owner of the (i) 160,000 Shares owned by Coppersmith Value II and (ii) 760,259 Shares held in the Coppersmith Accounts.</w:t>
      </w:r>
    </w:p>
    <w:p>
      <w:pPr>
        <w:spacing w:after="0" w:line="189"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Percentage: Approximately 2.4%</w:t>
      </w:r>
    </w:p>
    <w:p>
      <w:pPr>
        <w:spacing w:after="0" w:line="243" w:lineRule="exact"/>
        <w:rPr>
          <w:rFonts w:ascii="Arial" w:cs="Arial" w:eastAsia="Arial" w:hAnsi="Arial"/>
          <w:sz w:val="17"/>
          <w:szCs w:val="17"/>
          <w:color w:val="auto"/>
        </w:rPr>
      </w:pPr>
    </w:p>
    <w:p>
      <w:pPr>
        <w:ind w:left="1240" w:hanging="617"/>
        <w:spacing w:after="0"/>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1. Sole power to vote or direct vote: 0</w:t>
      </w:r>
    </w:p>
    <w:p>
      <w:pPr>
        <w:spacing w:after="0" w:line="2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Shared power to vote or direct vote: 920,259</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Sole power to dispose or direct the disposition: 0</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920,259</w:t>
      </w:r>
    </w:p>
    <w:p>
      <w:pPr>
        <w:spacing w:after="0" w:line="232" w:lineRule="exact"/>
        <w:rPr>
          <w:rFonts w:ascii="Arial" w:cs="Arial" w:eastAsia="Arial" w:hAnsi="Arial"/>
          <w:sz w:val="17"/>
          <w:szCs w:val="17"/>
          <w:color w:val="auto"/>
        </w:rPr>
      </w:pPr>
    </w:p>
    <w:p>
      <w:pPr>
        <w:jc w:val="both"/>
        <w:ind w:left="1240" w:hanging="617"/>
        <w:spacing w:after="0" w:line="266" w:lineRule="auto"/>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Mr. Rosenblum has not entered into any transactions in the Shares during the past 60 days. The transactions in the Shares on behalf of Coppersmith Value II and through the Coppersmith Accounts during the past 60 days are set forth in Schedule A and are incorporated herein by reference.</w:t>
      </w:r>
    </w:p>
    <w:p>
      <w:pPr>
        <w:spacing w:after="0" w:line="201" w:lineRule="exact"/>
        <w:rPr>
          <w:rFonts w:ascii="Arial" w:cs="Arial" w:eastAsia="Arial" w:hAnsi="Arial"/>
          <w:sz w:val="17"/>
          <w:szCs w:val="17"/>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Scopia Long</w:t>
      </w:r>
    </w:p>
    <w:p>
      <w:pPr>
        <w:spacing w:after="0" w:line="243" w:lineRule="exact"/>
        <w:rPr>
          <w:rFonts w:ascii="Arial" w:cs="Arial" w:eastAsia="Arial" w:hAnsi="Arial"/>
          <w:sz w:val="17"/>
          <w:szCs w:val="17"/>
          <w:color w:val="auto"/>
        </w:rPr>
      </w:pPr>
    </w:p>
    <w:p>
      <w:pPr>
        <w:ind w:left="1240" w:right="3680" w:hanging="617"/>
        <w:spacing w:after="0" w:line="538" w:lineRule="auto"/>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As of the close of business on the date hereof, Scopia Long beneficially owned 14,035 Shares. Percentage: Less than 1%</w:t>
      </w:r>
    </w:p>
    <w:p>
      <w:pPr>
        <w:spacing w:after="0" w:line="1" w:lineRule="exact"/>
        <w:rPr>
          <w:rFonts w:ascii="Arial" w:cs="Arial" w:eastAsia="Arial" w:hAnsi="Arial"/>
          <w:sz w:val="17"/>
          <w:szCs w:val="17"/>
          <w:color w:val="auto"/>
        </w:rPr>
      </w:pPr>
    </w:p>
    <w:p>
      <w:pPr>
        <w:ind w:left="1240" w:hanging="617"/>
        <w:spacing w:after="0"/>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1. Sole power to vote or direct vote: 14,035</w:t>
      </w:r>
    </w:p>
    <w:p>
      <w:pPr>
        <w:spacing w:after="0" w:line="2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Sole power to dispose or direct the disposition: 14,035</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ind w:left="1240" w:hanging="617"/>
        <w:spacing w:after="0"/>
        <w:tabs>
          <w:tab w:leader="none" w:pos="124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transactions in the Shares by Scopia Long during the past 60 days are set forth in Schedule A and are incorporated herein by reference.</w:t>
      </w:r>
    </w:p>
    <w:p>
      <w:pPr>
        <w:spacing w:after="0" w:line="254" w:lineRule="exact"/>
        <w:rPr>
          <w:rFonts w:ascii="Arial" w:cs="Arial" w:eastAsia="Arial" w:hAnsi="Arial"/>
          <w:sz w:val="16"/>
          <w:szCs w:val="16"/>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Scopia LB</w:t>
      </w:r>
    </w:p>
    <w:p>
      <w:pPr>
        <w:spacing w:after="0" w:line="243" w:lineRule="exact"/>
        <w:rPr>
          <w:rFonts w:ascii="Arial" w:cs="Arial" w:eastAsia="Arial" w:hAnsi="Arial"/>
          <w:sz w:val="17"/>
          <w:szCs w:val="17"/>
          <w:color w:val="auto"/>
        </w:rPr>
      </w:pPr>
    </w:p>
    <w:p>
      <w:pPr>
        <w:ind w:left="1240" w:right="3820" w:hanging="617"/>
        <w:spacing w:after="0" w:line="538" w:lineRule="auto"/>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As of the close of business on the date hereof, Scopia LB beneficially owned 20,224 Shares. Percentage: Less than 1%</w:t>
      </w:r>
    </w:p>
    <w:p>
      <w:pPr>
        <w:spacing w:after="0" w:line="1" w:lineRule="exact"/>
        <w:rPr>
          <w:rFonts w:ascii="Arial" w:cs="Arial" w:eastAsia="Arial" w:hAnsi="Arial"/>
          <w:sz w:val="17"/>
          <w:szCs w:val="17"/>
          <w:color w:val="auto"/>
        </w:rPr>
      </w:pPr>
    </w:p>
    <w:p>
      <w:pPr>
        <w:ind w:left="1240" w:hanging="617"/>
        <w:spacing w:after="0"/>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1. Sole power to vote or direct vote: 20,224</w:t>
      </w:r>
    </w:p>
    <w:p>
      <w:pPr>
        <w:spacing w:after="0" w:line="2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Sole power to dispose or direct the disposition: 20,224</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ind w:left="1240" w:hanging="617"/>
        <w:spacing w:after="0"/>
        <w:tabs>
          <w:tab w:leader="none" w:pos="124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transactions in the Shares by Scopia LB during the past 60 days are set forth in Schedule A and are incorporated herein by reference.</w:t>
      </w:r>
    </w:p>
    <w:p>
      <w:pPr>
        <w:spacing w:after="0" w:line="254" w:lineRule="exact"/>
        <w:rPr>
          <w:rFonts w:ascii="Arial" w:cs="Arial" w:eastAsia="Arial" w:hAnsi="Arial"/>
          <w:sz w:val="16"/>
          <w:szCs w:val="16"/>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Scopia PX</w:t>
      </w:r>
    </w:p>
    <w:p>
      <w:pPr>
        <w:spacing w:after="0" w:line="243" w:lineRule="exact"/>
        <w:rPr>
          <w:rFonts w:ascii="Arial" w:cs="Arial" w:eastAsia="Arial" w:hAnsi="Arial"/>
          <w:sz w:val="17"/>
          <w:szCs w:val="17"/>
          <w:color w:val="auto"/>
        </w:rPr>
      </w:pPr>
    </w:p>
    <w:p>
      <w:pPr>
        <w:ind w:left="1240" w:right="3740" w:hanging="617"/>
        <w:spacing w:after="0" w:line="538" w:lineRule="auto"/>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As of the close of business on the date hereof, Scopia PX beneficially owned 389,461 Shares. Percentage: Approximately 1.0%</w:t>
      </w:r>
    </w:p>
    <w:p>
      <w:pPr>
        <w:spacing w:after="0" w:line="1" w:lineRule="exact"/>
        <w:rPr>
          <w:rFonts w:ascii="Arial" w:cs="Arial" w:eastAsia="Arial" w:hAnsi="Arial"/>
          <w:sz w:val="17"/>
          <w:szCs w:val="17"/>
          <w:color w:val="auto"/>
        </w:rPr>
      </w:pPr>
    </w:p>
    <w:p>
      <w:pPr>
        <w:ind w:left="1240" w:hanging="617"/>
        <w:spacing w:after="0"/>
        <w:tabs>
          <w:tab w:leader="none" w:pos="1240" w:val="left"/>
        </w:tabs>
        <w:numPr>
          <w:ilvl w:val="1"/>
          <w:numId w:val="9"/>
        </w:numPr>
        <w:rPr>
          <w:rFonts w:ascii="Arial" w:cs="Arial" w:eastAsia="Arial" w:hAnsi="Arial"/>
          <w:sz w:val="17"/>
          <w:szCs w:val="17"/>
          <w:color w:val="auto"/>
        </w:rPr>
      </w:pPr>
      <w:r>
        <w:rPr>
          <w:rFonts w:ascii="Arial" w:cs="Arial" w:eastAsia="Arial" w:hAnsi="Arial"/>
          <w:sz w:val="17"/>
          <w:szCs w:val="17"/>
          <w:color w:val="auto"/>
        </w:rPr>
        <w:t>1. Sole power to vote or direct vote: 389,461</w:t>
      </w:r>
    </w:p>
    <w:p>
      <w:pPr>
        <w:spacing w:after="0" w:line="2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Sole power to dispose or direct the disposition: 389,461</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2"/>
          <w:numId w:val="9"/>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ind w:left="1240" w:hanging="617"/>
        <w:spacing w:after="0"/>
        <w:tabs>
          <w:tab w:leader="none" w:pos="124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transactions in the Shares by Scopia PX during the past 60 days are set forth in Schedule A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413385</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721" w:gutter="0" w:footer="0" w:header="0"/>
        </w:sectPr>
      </w:pPr>
    </w:p>
    <w:bookmarkStart w:id="26" w:name="page27"/>
    <w:bookmarkEnd w:id="26"/>
    <w:p>
      <w:pPr>
        <w:ind w:left="617" w:hanging="617"/>
        <w:spacing w:after="0"/>
        <w:tabs>
          <w:tab w:leader="none" w:pos="617" w:val="left"/>
        </w:tabs>
        <w:numPr>
          <w:ilvl w:val="0"/>
          <w:numId w:val="10"/>
        </w:numPr>
        <w:rPr>
          <w:rFonts w:ascii="Arial" w:cs="Arial" w:eastAsia="Arial" w:hAnsi="Arial"/>
          <w:sz w:val="17"/>
          <w:szCs w:val="17"/>
          <w:color w:val="auto"/>
        </w:rPr>
      </w:pPr>
      <w:r>
        <w:rPr>
          <w:rFonts w:ascii="Arial" w:cs="Arial" w:eastAsia="Arial" w:hAnsi="Arial"/>
          <w:sz w:val="17"/>
          <w:szCs w:val="17"/>
          <w:color w:val="auto"/>
        </w:rPr>
        <w:t>Scopia Partners</w:t>
      </w:r>
    </w:p>
    <w:p>
      <w:pPr>
        <w:spacing w:after="0" w:line="243" w:lineRule="exact"/>
        <w:rPr>
          <w:rFonts w:ascii="Arial" w:cs="Arial" w:eastAsia="Arial" w:hAnsi="Arial"/>
          <w:sz w:val="17"/>
          <w:szCs w:val="17"/>
          <w:color w:val="auto"/>
        </w:rPr>
      </w:pPr>
    </w:p>
    <w:p>
      <w:pPr>
        <w:ind w:left="1237" w:right="3480" w:hanging="617"/>
        <w:spacing w:after="0" w:line="538" w:lineRule="auto"/>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As of the close of business on the date hereof, Scopia Partners beneficially owned 11,539 Shares. Percentage: Less than 1%</w:t>
      </w:r>
    </w:p>
    <w:p>
      <w:pPr>
        <w:spacing w:after="0" w:line="1" w:lineRule="exact"/>
        <w:rPr>
          <w:rFonts w:ascii="Arial" w:cs="Arial" w:eastAsia="Arial" w:hAnsi="Arial"/>
          <w:sz w:val="17"/>
          <w:szCs w:val="17"/>
          <w:color w:val="auto"/>
        </w:rPr>
      </w:pPr>
    </w:p>
    <w:p>
      <w:pPr>
        <w:ind w:left="1237" w:hanging="617"/>
        <w:spacing w:after="0"/>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1. Sole power to vote or direct vote: 11,539</w:t>
      </w:r>
    </w:p>
    <w:p>
      <w:pPr>
        <w:spacing w:after="0" w:line="2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Sole power to dispose or direct the disposition: 11,539</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ind w:left="1237" w:hanging="617"/>
        <w:spacing w:after="0"/>
        <w:tabs>
          <w:tab w:leader="none" w:pos="1237" w:val="left"/>
        </w:tabs>
        <w:numPr>
          <w:ilvl w:val="1"/>
          <w:numId w:val="10"/>
        </w:numPr>
        <w:rPr>
          <w:rFonts w:ascii="Arial" w:cs="Arial" w:eastAsia="Arial" w:hAnsi="Arial"/>
          <w:sz w:val="15"/>
          <w:szCs w:val="15"/>
          <w:color w:val="auto"/>
        </w:rPr>
      </w:pPr>
      <w:r>
        <w:rPr>
          <w:rFonts w:ascii="Arial" w:cs="Arial" w:eastAsia="Arial" w:hAnsi="Arial"/>
          <w:sz w:val="15"/>
          <w:szCs w:val="15"/>
          <w:color w:val="auto"/>
        </w:rPr>
        <w:t>The transactions in the Shares by Scopia Partners during the past 60 days are set forth in Schedule A and are incorporated herein by reference.</w:t>
      </w:r>
    </w:p>
    <w:p>
      <w:pPr>
        <w:spacing w:after="0" w:line="266" w:lineRule="exact"/>
        <w:rPr>
          <w:rFonts w:ascii="Arial" w:cs="Arial" w:eastAsia="Arial" w:hAnsi="Arial"/>
          <w:sz w:val="15"/>
          <w:szCs w:val="15"/>
          <w:color w:val="auto"/>
        </w:rPr>
      </w:pPr>
    </w:p>
    <w:p>
      <w:pPr>
        <w:ind w:left="617" w:hanging="617"/>
        <w:spacing w:after="0"/>
        <w:tabs>
          <w:tab w:leader="none" w:pos="617" w:val="left"/>
        </w:tabs>
        <w:numPr>
          <w:ilvl w:val="0"/>
          <w:numId w:val="10"/>
        </w:numPr>
        <w:rPr>
          <w:rFonts w:ascii="Arial" w:cs="Arial" w:eastAsia="Arial" w:hAnsi="Arial"/>
          <w:sz w:val="17"/>
          <w:szCs w:val="17"/>
          <w:color w:val="auto"/>
        </w:rPr>
      </w:pPr>
      <w:r>
        <w:rPr>
          <w:rFonts w:ascii="Arial" w:cs="Arial" w:eastAsia="Arial" w:hAnsi="Arial"/>
          <w:sz w:val="17"/>
          <w:szCs w:val="17"/>
          <w:color w:val="auto"/>
        </w:rPr>
        <w:t>Scopia Windmill</w:t>
      </w:r>
    </w:p>
    <w:p>
      <w:pPr>
        <w:spacing w:after="0" w:line="243" w:lineRule="exact"/>
        <w:rPr>
          <w:rFonts w:ascii="Arial" w:cs="Arial" w:eastAsia="Arial" w:hAnsi="Arial"/>
          <w:sz w:val="17"/>
          <w:szCs w:val="17"/>
          <w:color w:val="auto"/>
        </w:rPr>
      </w:pPr>
    </w:p>
    <w:p>
      <w:pPr>
        <w:ind w:left="1237" w:right="3300" w:hanging="617"/>
        <w:spacing w:after="0" w:line="538" w:lineRule="auto"/>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As of the close of business on the date hereof, Scopia Windmill beneficially owned 262,040 Shares. Percentage: Less than 1%</w:t>
      </w:r>
    </w:p>
    <w:p>
      <w:pPr>
        <w:spacing w:after="0" w:line="1" w:lineRule="exact"/>
        <w:rPr>
          <w:rFonts w:ascii="Arial" w:cs="Arial" w:eastAsia="Arial" w:hAnsi="Arial"/>
          <w:sz w:val="17"/>
          <w:szCs w:val="17"/>
          <w:color w:val="auto"/>
        </w:rPr>
      </w:pPr>
    </w:p>
    <w:p>
      <w:pPr>
        <w:ind w:left="1237" w:hanging="617"/>
        <w:spacing w:after="0"/>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1. Sole power to vote or direct vote: 262,040</w:t>
      </w:r>
    </w:p>
    <w:p>
      <w:pPr>
        <w:spacing w:after="0" w:line="2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Sole power to dispose or direct the disposition: 262,040</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ind w:left="1237" w:hanging="617"/>
        <w:spacing w:after="0"/>
        <w:tabs>
          <w:tab w:leader="none" w:pos="1237" w:val="left"/>
        </w:tabs>
        <w:numPr>
          <w:ilvl w:val="1"/>
          <w:numId w:val="10"/>
        </w:numPr>
        <w:rPr>
          <w:rFonts w:ascii="Arial" w:cs="Arial" w:eastAsia="Arial" w:hAnsi="Arial"/>
          <w:sz w:val="15"/>
          <w:szCs w:val="15"/>
          <w:color w:val="auto"/>
        </w:rPr>
      </w:pPr>
      <w:r>
        <w:rPr>
          <w:rFonts w:ascii="Arial" w:cs="Arial" w:eastAsia="Arial" w:hAnsi="Arial"/>
          <w:sz w:val="15"/>
          <w:szCs w:val="15"/>
          <w:color w:val="auto"/>
        </w:rPr>
        <w:t>The transactions in the Shares by Scopia Windmill during the past 60 days are set forth in Schedule A and are incorporated herein by reference.</w:t>
      </w:r>
    </w:p>
    <w:p>
      <w:pPr>
        <w:spacing w:after="0" w:line="266" w:lineRule="exact"/>
        <w:rPr>
          <w:rFonts w:ascii="Arial" w:cs="Arial" w:eastAsia="Arial" w:hAnsi="Arial"/>
          <w:sz w:val="15"/>
          <w:szCs w:val="15"/>
          <w:color w:val="auto"/>
        </w:rPr>
      </w:pPr>
    </w:p>
    <w:p>
      <w:pPr>
        <w:ind w:left="617" w:hanging="617"/>
        <w:spacing w:after="0"/>
        <w:tabs>
          <w:tab w:leader="none" w:pos="617" w:val="left"/>
        </w:tabs>
        <w:numPr>
          <w:ilvl w:val="0"/>
          <w:numId w:val="10"/>
        </w:numPr>
        <w:rPr>
          <w:rFonts w:ascii="Arial" w:cs="Arial" w:eastAsia="Arial" w:hAnsi="Arial"/>
          <w:sz w:val="17"/>
          <w:szCs w:val="17"/>
          <w:color w:val="auto"/>
        </w:rPr>
      </w:pPr>
      <w:r>
        <w:rPr>
          <w:rFonts w:ascii="Arial" w:cs="Arial" w:eastAsia="Arial" w:hAnsi="Arial"/>
          <w:sz w:val="17"/>
          <w:szCs w:val="17"/>
          <w:color w:val="auto"/>
        </w:rPr>
        <w:t>Scopia International</w:t>
      </w:r>
    </w:p>
    <w:p>
      <w:pPr>
        <w:spacing w:after="0" w:line="243" w:lineRule="exact"/>
        <w:rPr>
          <w:rFonts w:ascii="Arial" w:cs="Arial" w:eastAsia="Arial" w:hAnsi="Arial"/>
          <w:sz w:val="17"/>
          <w:szCs w:val="17"/>
          <w:color w:val="auto"/>
        </w:rPr>
      </w:pPr>
    </w:p>
    <w:p>
      <w:pPr>
        <w:ind w:left="1237" w:right="3160" w:hanging="617"/>
        <w:spacing w:after="0" w:line="538" w:lineRule="auto"/>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As of the close of business on the date hereof, Scopia International beneficially owned 74,666 Shares. Percentage: Less than 1%</w:t>
      </w:r>
    </w:p>
    <w:p>
      <w:pPr>
        <w:spacing w:after="0" w:line="1" w:lineRule="exact"/>
        <w:rPr>
          <w:rFonts w:ascii="Arial" w:cs="Arial" w:eastAsia="Arial" w:hAnsi="Arial"/>
          <w:sz w:val="17"/>
          <w:szCs w:val="17"/>
          <w:color w:val="auto"/>
        </w:rPr>
      </w:pPr>
    </w:p>
    <w:p>
      <w:pPr>
        <w:ind w:left="1237" w:hanging="617"/>
        <w:spacing w:after="0"/>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1. Sole power to vote or direct vote: 74,666</w:t>
      </w:r>
    </w:p>
    <w:p>
      <w:pPr>
        <w:spacing w:after="0" w:line="2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Sole power to dispose or direct the disposition: 74,666</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ind w:left="1237" w:hanging="617"/>
        <w:spacing w:after="0"/>
        <w:tabs>
          <w:tab w:leader="none" w:pos="1237" w:val="left"/>
        </w:tabs>
        <w:numPr>
          <w:ilvl w:val="1"/>
          <w:numId w:val="10"/>
        </w:numPr>
        <w:rPr>
          <w:rFonts w:ascii="Arial" w:cs="Arial" w:eastAsia="Arial" w:hAnsi="Arial"/>
          <w:sz w:val="15"/>
          <w:szCs w:val="15"/>
          <w:color w:val="auto"/>
        </w:rPr>
      </w:pPr>
      <w:r>
        <w:rPr>
          <w:rFonts w:ascii="Arial" w:cs="Arial" w:eastAsia="Arial" w:hAnsi="Arial"/>
          <w:sz w:val="15"/>
          <w:szCs w:val="15"/>
          <w:color w:val="auto"/>
        </w:rPr>
        <w:t>The transactions in the Shares by Scopia International during the past 60 days are set forth in Schedule A and are incorporated herein by reference.</w:t>
      </w:r>
    </w:p>
    <w:p>
      <w:pPr>
        <w:spacing w:after="0" w:line="266" w:lineRule="exact"/>
        <w:rPr>
          <w:rFonts w:ascii="Arial" w:cs="Arial" w:eastAsia="Arial" w:hAnsi="Arial"/>
          <w:sz w:val="15"/>
          <w:szCs w:val="15"/>
          <w:color w:val="auto"/>
        </w:rPr>
      </w:pPr>
    </w:p>
    <w:p>
      <w:pPr>
        <w:ind w:left="617" w:hanging="617"/>
        <w:spacing w:after="0"/>
        <w:tabs>
          <w:tab w:leader="none" w:pos="617" w:val="left"/>
        </w:tabs>
        <w:numPr>
          <w:ilvl w:val="0"/>
          <w:numId w:val="10"/>
        </w:numPr>
        <w:rPr>
          <w:rFonts w:ascii="Arial" w:cs="Arial" w:eastAsia="Arial" w:hAnsi="Arial"/>
          <w:sz w:val="17"/>
          <w:szCs w:val="17"/>
          <w:color w:val="auto"/>
        </w:rPr>
      </w:pPr>
      <w:r>
        <w:rPr>
          <w:rFonts w:ascii="Arial" w:cs="Arial" w:eastAsia="Arial" w:hAnsi="Arial"/>
          <w:sz w:val="17"/>
          <w:szCs w:val="17"/>
          <w:color w:val="auto"/>
        </w:rPr>
        <w:t>Scopia PX International</w:t>
      </w:r>
    </w:p>
    <w:p>
      <w:pPr>
        <w:spacing w:after="0" w:line="243" w:lineRule="exact"/>
        <w:rPr>
          <w:rFonts w:ascii="Arial" w:cs="Arial" w:eastAsia="Arial" w:hAnsi="Arial"/>
          <w:sz w:val="17"/>
          <w:szCs w:val="17"/>
          <w:color w:val="auto"/>
        </w:rPr>
      </w:pPr>
    </w:p>
    <w:p>
      <w:pPr>
        <w:ind w:left="1237" w:right="2820" w:hanging="617"/>
        <w:spacing w:after="0" w:line="538" w:lineRule="auto"/>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As of the close of business on the date hereof, Scopia PX International beneficially owned 518,134 Shares. Percentage: Approximately 1.4%</w:t>
      </w:r>
    </w:p>
    <w:p>
      <w:pPr>
        <w:spacing w:after="0" w:line="1" w:lineRule="exact"/>
        <w:rPr>
          <w:rFonts w:ascii="Arial" w:cs="Arial" w:eastAsia="Arial" w:hAnsi="Arial"/>
          <w:sz w:val="17"/>
          <w:szCs w:val="17"/>
          <w:color w:val="auto"/>
        </w:rPr>
      </w:pPr>
    </w:p>
    <w:p>
      <w:pPr>
        <w:ind w:left="1237" w:hanging="617"/>
        <w:spacing w:after="0"/>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1. Sole power to vote or direct vote: 518,134</w:t>
      </w:r>
    </w:p>
    <w:p>
      <w:pPr>
        <w:spacing w:after="0" w:line="2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Sole power to dispose or direct the disposition: 518,134</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ind w:left="1237" w:hanging="617"/>
        <w:spacing w:after="0" w:line="280" w:lineRule="auto"/>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transactions in the Shares by Scopia PX International during the past 60 days are set forth in Schedule A and are incorporated herein by reference.</w:t>
      </w:r>
    </w:p>
    <w:p>
      <w:pPr>
        <w:spacing w:after="0" w:line="189" w:lineRule="exact"/>
        <w:rPr>
          <w:rFonts w:ascii="Arial" w:cs="Arial" w:eastAsia="Arial" w:hAnsi="Arial"/>
          <w:sz w:val="17"/>
          <w:szCs w:val="17"/>
          <w:color w:val="auto"/>
        </w:rPr>
      </w:pPr>
    </w:p>
    <w:p>
      <w:pPr>
        <w:ind w:left="677" w:hanging="677"/>
        <w:spacing w:after="0"/>
        <w:tabs>
          <w:tab w:leader="none" w:pos="677" w:val="left"/>
        </w:tabs>
        <w:numPr>
          <w:ilvl w:val="0"/>
          <w:numId w:val="10"/>
        </w:numPr>
        <w:rPr>
          <w:rFonts w:ascii="Arial" w:cs="Arial" w:eastAsia="Arial" w:hAnsi="Arial"/>
          <w:sz w:val="17"/>
          <w:szCs w:val="17"/>
          <w:color w:val="auto"/>
        </w:rPr>
      </w:pPr>
      <w:r>
        <w:rPr>
          <w:rFonts w:ascii="Arial" w:cs="Arial" w:eastAsia="Arial" w:hAnsi="Arial"/>
          <w:sz w:val="17"/>
          <w:szCs w:val="17"/>
          <w:color w:val="auto"/>
        </w:rPr>
        <w:t>Scopia LB International</w:t>
      </w:r>
    </w:p>
    <w:p>
      <w:pPr>
        <w:spacing w:after="0" w:line="243" w:lineRule="exact"/>
        <w:rPr>
          <w:rFonts w:ascii="Arial" w:cs="Arial" w:eastAsia="Arial" w:hAnsi="Arial"/>
          <w:sz w:val="17"/>
          <w:szCs w:val="17"/>
          <w:color w:val="auto"/>
        </w:rPr>
      </w:pPr>
    </w:p>
    <w:p>
      <w:pPr>
        <w:ind w:left="1237" w:right="2900" w:hanging="617"/>
        <w:spacing w:after="0" w:line="538" w:lineRule="auto"/>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As of the close of business on the date hereof, Scopia LB International beneficially owned 42,074 Shares. Percentage: Less than 1%</w:t>
      </w:r>
    </w:p>
    <w:p>
      <w:pPr>
        <w:spacing w:after="0" w:line="1" w:lineRule="exact"/>
        <w:rPr>
          <w:rFonts w:ascii="Arial" w:cs="Arial" w:eastAsia="Arial" w:hAnsi="Arial"/>
          <w:sz w:val="17"/>
          <w:szCs w:val="17"/>
          <w:color w:val="auto"/>
        </w:rPr>
      </w:pPr>
    </w:p>
    <w:p>
      <w:pPr>
        <w:ind w:left="1237" w:hanging="617"/>
        <w:spacing w:after="0"/>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1. Sole power to vote or direct vote: 42,074</w:t>
      </w:r>
    </w:p>
    <w:p>
      <w:pPr>
        <w:spacing w:after="0" w:line="2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Sole power to dispose or direct the disposition: 42,074</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0"/>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ind w:left="1237" w:hanging="617"/>
        <w:spacing w:after="0" w:line="280" w:lineRule="auto"/>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transactions in the Shares by Scopia LB International during the past 60 days are set forth in Schedule A and are incorporated herein by reference.</w:t>
      </w:r>
    </w:p>
    <w:p>
      <w:pPr>
        <w:spacing w:after="0" w:line="189" w:lineRule="exact"/>
        <w:rPr>
          <w:rFonts w:ascii="Arial" w:cs="Arial" w:eastAsia="Arial" w:hAnsi="Arial"/>
          <w:sz w:val="17"/>
          <w:szCs w:val="17"/>
          <w:color w:val="auto"/>
        </w:rPr>
      </w:pPr>
    </w:p>
    <w:p>
      <w:pPr>
        <w:ind w:left="637" w:hanging="637"/>
        <w:spacing w:after="0"/>
        <w:tabs>
          <w:tab w:leader="none" w:pos="637" w:val="left"/>
        </w:tabs>
        <w:numPr>
          <w:ilvl w:val="0"/>
          <w:numId w:val="10"/>
        </w:numPr>
        <w:rPr>
          <w:rFonts w:ascii="Arial" w:cs="Arial" w:eastAsia="Arial" w:hAnsi="Arial"/>
          <w:sz w:val="17"/>
          <w:szCs w:val="17"/>
          <w:color w:val="auto"/>
        </w:rPr>
      </w:pPr>
      <w:r>
        <w:rPr>
          <w:rFonts w:ascii="Arial" w:cs="Arial" w:eastAsia="Arial" w:hAnsi="Arial"/>
          <w:sz w:val="17"/>
          <w:szCs w:val="17"/>
          <w:color w:val="auto"/>
        </w:rPr>
        <w:t>Scopia Long International</w:t>
      </w:r>
    </w:p>
    <w:p>
      <w:pPr>
        <w:spacing w:after="0" w:line="243" w:lineRule="exact"/>
        <w:rPr>
          <w:rFonts w:ascii="Arial" w:cs="Arial" w:eastAsia="Arial" w:hAnsi="Arial"/>
          <w:sz w:val="17"/>
          <w:szCs w:val="17"/>
          <w:color w:val="auto"/>
        </w:rPr>
      </w:pPr>
    </w:p>
    <w:p>
      <w:pPr>
        <w:ind w:left="1237" w:right="2760" w:hanging="617"/>
        <w:spacing w:after="0" w:line="538" w:lineRule="auto"/>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As of the close of business on the date hereof, Scopia Long International beneficially owned 58,799 Shares. Percentage: Less than 1%</w:t>
      </w:r>
    </w:p>
    <w:p>
      <w:pPr>
        <w:spacing w:after="0" w:line="1" w:lineRule="exact"/>
        <w:rPr>
          <w:rFonts w:ascii="Arial" w:cs="Arial" w:eastAsia="Arial" w:hAnsi="Arial"/>
          <w:sz w:val="17"/>
          <w:szCs w:val="17"/>
          <w:color w:val="auto"/>
        </w:rPr>
      </w:pPr>
    </w:p>
    <w:p>
      <w:pPr>
        <w:ind w:left="1237" w:hanging="617"/>
        <w:spacing w:after="0"/>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1. Sole power to vote or direct vote: 58,799</w:t>
      </w:r>
    </w:p>
    <w:p>
      <w:pPr>
        <w:sectPr>
          <w:pgSz w:w="11900" w:h="16838" w:orient="portrait"/>
          <w:cols w:equalWidth="0" w:num="1">
            <w:col w:w="11417"/>
          </w:cols>
          <w:pgMar w:left="243" w:top="501" w:right="239" w:bottom="0" w:gutter="0" w:footer="0" w:header="0"/>
        </w:sectPr>
      </w:pPr>
    </w:p>
    <w:bookmarkStart w:id="27" w:name="page28"/>
    <w:bookmarkEnd w:id="27"/>
    <w:p>
      <w:pPr>
        <w:ind w:left="1417" w:hanging="178"/>
        <w:spacing w:after="0"/>
        <w:tabs>
          <w:tab w:leader="none" w:pos="1417" w:val="left"/>
        </w:tabs>
        <w:numPr>
          <w:ilvl w:val="2"/>
          <w:numId w:val="11"/>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21" w:lineRule="exact"/>
        <w:rPr>
          <w:rFonts w:ascii="Arial" w:cs="Arial" w:eastAsia="Arial" w:hAnsi="Arial"/>
          <w:sz w:val="17"/>
          <w:szCs w:val="17"/>
          <w:color w:val="auto"/>
        </w:rPr>
      </w:pPr>
    </w:p>
    <w:p>
      <w:pPr>
        <w:ind w:left="1417" w:hanging="178"/>
        <w:spacing w:after="0"/>
        <w:tabs>
          <w:tab w:leader="none" w:pos="1417" w:val="left"/>
        </w:tabs>
        <w:numPr>
          <w:ilvl w:val="2"/>
          <w:numId w:val="11"/>
        </w:numPr>
        <w:rPr>
          <w:rFonts w:ascii="Arial" w:cs="Arial" w:eastAsia="Arial" w:hAnsi="Arial"/>
          <w:sz w:val="17"/>
          <w:szCs w:val="17"/>
          <w:color w:val="auto"/>
        </w:rPr>
      </w:pPr>
      <w:r>
        <w:rPr>
          <w:rFonts w:ascii="Arial" w:cs="Arial" w:eastAsia="Arial" w:hAnsi="Arial"/>
          <w:sz w:val="17"/>
          <w:szCs w:val="17"/>
          <w:color w:val="auto"/>
        </w:rPr>
        <w:t>Sole power to dispose or direct the disposition: 58,799</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1"/>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ind w:left="1237" w:hanging="617"/>
        <w:spacing w:after="0" w:line="280" w:lineRule="auto"/>
        <w:tabs>
          <w:tab w:leader="none" w:pos="1237"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transactions in the Shares by Scopia Long International during the past 60 days are set forth in Schedule A and are incorporated herein by reference.</w:t>
      </w:r>
    </w:p>
    <w:p>
      <w:pPr>
        <w:spacing w:after="0" w:line="189" w:lineRule="exact"/>
        <w:rPr>
          <w:rFonts w:ascii="Arial" w:cs="Arial" w:eastAsia="Arial" w:hAnsi="Arial"/>
          <w:sz w:val="17"/>
          <w:szCs w:val="17"/>
          <w:color w:val="auto"/>
        </w:rPr>
      </w:pPr>
    </w:p>
    <w:p>
      <w:pPr>
        <w:ind w:left="617" w:hanging="617"/>
        <w:spacing w:after="0"/>
        <w:tabs>
          <w:tab w:leader="none" w:pos="617" w:val="left"/>
        </w:tabs>
        <w:numPr>
          <w:ilvl w:val="0"/>
          <w:numId w:val="13"/>
        </w:numPr>
        <w:rPr>
          <w:rFonts w:ascii="Arial" w:cs="Arial" w:eastAsia="Arial" w:hAnsi="Arial"/>
          <w:sz w:val="17"/>
          <w:szCs w:val="17"/>
          <w:color w:val="auto"/>
        </w:rPr>
      </w:pPr>
      <w:r>
        <w:rPr>
          <w:rFonts w:ascii="Arial" w:cs="Arial" w:eastAsia="Arial" w:hAnsi="Arial"/>
          <w:sz w:val="17"/>
          <w:szCs w:val="17"/>
          <w:color w:val="auto"/>
        </w:rPr>
        <w:t>Scopia Capital</w:t>
      </w:r>
    </w:p>
    <w:p>
      <w:pPr>
        <w:spacing w:after="0" w:line="243" w:lineRule="exact"/>
        <w:rPr>
          <w:rFonts w:ascii="Arial" w:cs="Arial" w:eastAsia="Arial" w:hAnsi="Arial"/>
          <w:sz w:val="17"/>
          <w:szCs w:val="17"/>
          <w:color w:val="auto"/>
        </w:rPr>
      </w:pPr>
    </w:p>
    <w:p>
      <w:pPr>
        <w:jc w:val="both"/>
        <w:ind w:left="1237" w:hanging="617"/>
        <w:spacing w:after="0" w:line="258" w:lineRule="auto"/>
        <w:tabs>
          <w:tab w:leader="none" w:pos="1237" w:val="left"/>
        </w:tabs>
        <w:numPr>
          <w:ilvl w:val="1"/>
          <w:numId w:val="13"/>
        </w:numPr>
        <w:rPr>
          <w:rFonts w:ascii="Arial" w:cs="Arial" w:eastAsia="Arial" w:hAnsi="Arial"/>
          <w:sz w:val="17"/>
          <w:szCs w:val="17"/>
          <w:color w:val="auto"/>
        </w:rPr>
      </w:pPr>
      <w:r>
        <w:rPr>
          <w:rFonts w:ascii="Arial" w:cs="Arial" w:eastAsia="Arial" w:hAnsi="Arial"/>
          <w:sz w:val="17"/>
          <w:szCs w:val="17"/>
          <w:color w:val="auto"/>
        </w:rPr>
        <w:t>Scopia Capital, as the Managing Member of each of Scopia Long, Scopia LB, Scopia PX and Scopia Partners, and the general partner of each of Scopia Windmill, Scopia International, Scopia PX International, Scopia LB International and Scopia Long International, may be deemed the beneficial owner of the: (i) 14,035 Shares owned by Scopia Long; (ii) 20,224 Shares owned by Scopia LB; (iii) 389,461 Shares owned by Scopia PX; (iv) 11,539 Shares owned by Scopia Partners; (v) 262,040 Shares owned by Scopia Windmill; (vi) 74,666 Shares owned by Scopia International; (vii) 518,134 Shares owned by Scopia PX International; (viii) 42,074 Shares owned by Scopia LB International; and (ix) 58,799 Shares owned by Scopia Long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384810</wp:posOffset>
            </wp:positionV>
            <wp:extent cx="725741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127" w:right="239" w:bottom="1440" w:gutter="0" w:footer="0" w:header="0"/>
        </w:sectPr>
      </w:pPr>
    </w:p>
    <w:bookmarkStart w:id="28" w:name="page29"/>
    <w:bookmarkEnd w:id="28"/>
    <w:p>
      <w:pPr>
        <w:ind w:left="1237"/>
        <w:spacing w:after="0"/>
        <w:rPr>
          <w:sz w:val="20"/>
          <w:szCs w:val="20"/>
          <w:color w:val="auto"/>
        </w:rPr>
      </w:pPr>
      <w:r>
        <w:rPr>
          <w:rFonts w:ascii="Arial" w:cs="Arial" w:eastAsia="Arial" w:hAnsi="Arial"/>
          <w:sz w:val="17"/>
          <w:szCs w:val="17"/>
          <w:color w:val="auto"/>
        </w:rPr>
        <w:t>Percentage: Approximately 3.6%</w:t>
      </w:r>
    </w:p>
    <w:p>
      <w:pPr>
        <w:spacing w:after="0" w:line="243" w:lineRule="exact"/>
        <w:rPr>
          <w:sz w:val="20"/>
          <w:szCs w:val="20"/>
          <w:color w:val="auto"/>
        </w:rPr>
      </w:pPr>
    </w:p>
    <w:p>
      <w:pPr>
        <w:ind w:left="1237" w:hanging="617"/>
        <w:spacing w:after="0"/>
        <w:tabs>
          <w:tab w:leader="none" w:pos="1237" w:val="left"/>
        </w:tabs>
        <w:numPr>
          <w:ilvl w:val="1"/>
          <w:numId w:val="14"/>
        </w:numPr>
        <w:rPr>
          <w:rFonts w:ascii="Arial" w:cs="Arial" w:eastAsia="Arial" w:hAnsi="Arial"/>
          <w:sz w:val="17"/>
          <w:szCs w:val="17"/>
          <w:color w:val="auto"/>
        </w:rPr>
      </w:pPr>
      <w:r>
        <w:rPr>
          <w:rFonts w:ascii="Arial" w:cs="Arial" w:eastAsia="Arial" w:hAnsi="Arial"/>
          <w:sz w:val="17"/>
          <w:szCs w:val="17"/>
          <w:color w:val="auto"/>
        </w:rPr>
        <w:t>1. Sole power to vote or direct vote: 1,390,972</w:t>
      </w:r>
    </w:p>
    <w:p>
      <w:pPr>
        <w:spacing w:after="0" w:line="21" w:lineRule="exact"/>
        <w:rPr>
          <w:rFonts w:ascii="Arial" w:cs="Arial" w:eastAsia="Arial" w:hAnsi="Arial"/>
          <w:sz w:val="17"/>
          <w:szCs w:val="17"/>
          <w:color w:val="auto"/>
        </w:rPr>
      </w:pPr>
    </w:p>
    <w:p>
      <w:pPr>
        <w:ind w:left="1417" w:hanging="178"/>
        <w:spacing w:after="0"/>
        <w:tabs>
          <w:tab w:leader="none" w:pos="1417" w:val="left"/>
        </w:tabs>
        <w:numPr>
          <w:ilvl w:val="2"/>
          <w:numId w:val="14"/>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4"/>
        </w:numPr>
        <w:rPr>
          <w:rFonts w:ascii="Arial" w:cs="Arial" w:eastAsia="Arial" w:hAnsi="Arial"/>
          <w:sz w:val="17"/>
          <w:szCs w:val="17"/>
          <w:color w:val="auto"/>
        </w:rPr>
      </w:pPr>
      <w:r>
        <w:rPr>
          <w:rFonts w:ascii="Arial" w:cs="Arial" w:eastAsia="Arial" w:hAnsi="Arial"/>
          <w:sz w:val="17"/>
          <w:szCs w:val="17"/>
          <w:color w:val="auto"/>
        </w:rPr>
        <w:t>Sole power to dispose or direct the disposition: 1,390,972</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4"/>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jc w:val="both"/>
        <w:ind w:left="1237" w:hanging="617"/>
        <w:spacing w:after="0" w:line="291" w:lineRule="auto"/>
        <w:tabs>
          <w:tab w:leader="none" w:pos="1237" w:val="left"/>
        </w:tabs>
        <w:numPr>
          <w:ilvl w:val="1"/>
          <w:numId w:val="14"/>
        </w:numPr>
        <w:rPr>
          <w:rFonts w:ascii="Arial" w:cs="Arial" w:eastAsia="Arial" w:hAnsi="Arial"/>
          <w:sz w:val="16"/>
          <w:szCs w:val="16"/>
          <w:color w:val="auto"/>
        </w:rPr>
      </w:pPr>
      <w:r>
        <w:rPr>
          <w:rFonts w:ascii="Arial" w:cs="Arial" w:eastAsia="Arial" w:hAnsi="Arial"/>
          <w:sz w:val="16"/>
          <w:szCs w:val="16"/>
          <w:color w:val="auto"/>
        </w:rPr>
        <w:t>Scopia Capital has not entered into any transactions in the Shares during the past 60 days. The transactions in the Shares on behalf of each of Scopia Long, Scopia LB, Scopia PX, Scopia Partners, Scopia Windmill, Scopia International, Scopia PX International, Scopia LB International and Scopia Long International during the past 60 days are set forth in Schedule A and are incorporated herein by reference.</w:t>
      </w:r>
    </w:p>
    <w:p>
      <w:pPr>
        <w:spacing w:after="0" w:line="182" w:lineRule="exact"/>
        <w:rPr>
          <w:rFonts w:ascii="Arial" w:cs="Arial" w:eastAsia="Arial" w:hAnsi="Arial"/>
          <w:sz w:val="16"/>
          <w:szCs w:val="16"/>
          <w:color w:val="auto"/>
        </w:rPr>
      </w:pPr>
    </w:p>
    <w:p>
      <w:pPr>
        <w:ind w:left="617" w:hanging="617"/>
        <w:spacing w:after="0"/>
        <w:tabs>
          <w:tab w:leader="none" w:pos="617" w:val="left"/>
        </w:tabs>
        <w:numPr>
          <w:ilvl w:val="0"/>
          <w:numId w:val="15"/>
        </w:numPr>
        <w:rPr>
          <w:rFonts w:ascii="Arial" w:cs="Arial" w:eastAsia="Arial" w:hAnsi="Arial"/>
          <w:sz w:val="17"/>
          <w:szCs w:val="17"/>
          <w:color w:val="auto"/>
        </w:rPr>
      </w:pPr>
      <w:r>
        <w:rPr>
          <w:rFonts w:ascii="Arial" w:cs="Arial" w:eastAsia="Arial" w:hAnsi="Arial"/>
          <w:sz w:val="17"/>
          <w:szCs w:val="17"/>
          <w:color w:val="auto"/>
        </w:rPr>
        <w:t>Scopia Management</w:t>
      </w:r>
    </w:p>
    <w:p>
      <w:pPr>
        <w:spacing w:after="0" w:line="243" w:lineRule="exact"/>
        <w:rPr>
          <w:rFonts w:ascii="Arial" w:cs="Arial" w:eastAsia="Arial" w:hAnsi="Arial"/>
          <w:sz w:val="17"/>
          <w:szCs w:val="17"/>
          <w:color w:val="auto"/>
        </w:rPr>
      </w:pPr>
    </w:p>
    <w:p>
      <w:pPr>
        <w:jc w:val="both"/>
        <w:ind w:left="1237" w:hanging="617"/>
        <w:spacing w:after="0" w:line="291" w:lineRule="auto"/>
        <w:tabs>
          <w:tab w:leader="none" w:pos="1237" w:val="left"/>
        </w:tabs>
        <w:numPr>
          <w:ilvl w:val="1"/>
          <w:numId w:val="15"/>
        </w:numPr>
        <w:rPr>
          <w:rFonts w:ascii="Arial" w:cs="Arial" w:eastAsia="Arial" w:hAnsi="Arial"/>
          <w:sz w:val="15"/>
          <w:szCs w:val="15"/>
          <w:color w:val="auto"/>
        </w:rPr>
      </w:pPr>
      <w:r>
        <w:rPr>
          <w:rFonts w:ascii="Arial" w:cs="Arial" w:eastAsia="Arial" w:hAnsi="Arial"/>
          <w:sz w:val="15"/>
          <w:szCs w:val="15"/>
          <w:color w:val="auto"/>
        </w:rPr>
        <w:t>As of the close of business on the date hereof, 35,808 Shares were held in the Managed Account. Scopia Management, as the Investment Manager of each of Scopia Long, Scopia LB, Scopia PX, Scopia Partners, Scopia Windmill, Scopia International, Scopia PX International, Scopia LB International, Scopia Long International and the Managed Account, may be deemed the beneficial owner of the: (i) 14,035 Shares owned by Scopia Long; (ii) 20,224 Shares owned by Scopia LB; (iii) 389,461 Shares owned by Scopia PX; (iv) 11,539 Shares owned by Scopia Partners;</w:t>
      </w:r>
    </w:p>
    <w:p>
      <w:pPr>
        <w:jc w:val="both"/>
        <w:ind w:left="1237"/>
        <w:spacing w:after="0" w:line="260" w:lineRule="auto"/>
        <w:rPr>
          <w:rFonts w:ascii="Arial" w:cs="Arial" w:eastAsia="Arial" w:hAnsi="Arial"/>
          <w:sz w:val="15"/>
          <w:szCs w:val="15"/>
          <w:color w:val="auto"/>
        </w:rPr>
      </w:pPr>
      <w:r>
        <w:rPr>
          <w:rFonts w:ascii="Arial" w:cs="Arial" w:eastAsia="Arial" w:hAnsi="Arial"/>
          <w:sz w:val="17"/>
          <w:szCs w:val="17"/>
          <w:color w:val="auto"/>
        </w:rPr>
        <w:t>(v) 262,040 Shares owned by Scopia Windmill; (vi) 74,666 Shares owned by Scopia International; (vii) 518,134 Shares owned by Scopia PX International; (viii) 42,074 Shares owned by Scopia LB International; (ix) 58,799 Shares owned by Scopia Long International; and (x) 35,808 Shares held in the Managed Account.</w:t>
      </w:r>
    </w:p>
    <w:p>
      <w:pPr>
        <w:spacing w:after="0" w:line="205" w:lineRule="exact"/>
        <w:rPr>
          <w:rFonts w:ascii="Arial" w:cs="Arial" w:eastAsia="Arial" w:hAnsi="Arial"/>
          <w:sz w:val="15"/>
          <w:szCs w:val="15"/>
          <w:color w:val="auto"/>
        </w:rPr>
      </w:pPr>
    </w:p>
    <w:p>
      <w:pPr>
        <w:ind w:left="1237"/>
        <w:spacing w:after="0"/>
        <w:rPr>
          <w:rFonts w:ascii="Arial" w:cs="Arial" w:eastAsia="Arial" w:hAnsi="Arial"/>
          <w:sz w:val="15"/>
          <w:szCs w:val="15"/>
          <w:color w:val="auto"/>
        </w:rPr>
      </w:pPr>
      <w:r>
        <w:rPr>
          <w:rFonts w:ascii="Arial" w:cs="Arial" w:eastAsia="Arial" w:hAnsi="Arial"/>
          <w:sz w:val="17"/>
          <w:szCs w:val="17"/>
          <w:color w:val="auto"/>
        </w:rPr>
        <w:t>Percentage: Approximately 3.7%</w:t>
      </w:r>
    </w:p>
    <w:p>
      <w:pPr>
        <w:spacing w:after="0" w:line="243" w:lineRule="exact"/>
        <w:rPr>
          <w:rFonts w:ascii="Arial" w:cs="Arial" w:eastAsia="Arial" w:hAnsi="Arial"/>
          <w:sz w:val="15"/>
          <w:szCs w:val="15"/>
          <w:color w:val="auto"/>
        </w:rPr>
      </w:pPr>
    </w:p>
    <w:p>
      <w:pPr>
        <w:ind w:left="1237" w:hanging="617"/>
        <w:spacing w:after="0"/>
        <w:tabs>
          <w:tab w:leader="none" w:pos="1237" w:val="left"/>
        </w:tabs>
        <w:numPr>
          <w:ilvl w:val="1"/>
          <w:numId w:val="15"/>
        </w:numPr>
        <w:rPr>
          <w:rFonts w:ascii="Arial" w:cs="Arial" w:eastAsia="Arial" w:hAnsi="Arial"/>
          <w:sz w:val="17"/>
          <w:szCs w:val="17"/>
          <w:color w:val="auto"/>
        </w:rPr>
      </w:pPr>
      <w:r>
        <w:rPr>
          <w:rFonts w:ascii="Arial" w:cs="Arial" w:eastAsia="Arial" w:hAnsi="Arial"/>
          <w:sz w:val="17"/>
          <w:szCs w:val="17"/>
          <w:color w:val="auto"/>
        </w:rPr>
        <w:t>1. Sole power to vote or direct vote: 1,426,780</w:t>
      </w:r>
    </w:p>
    <w:p>
      <w:pPr>
        <w:spacing w:after="0" w:line="21" w:lineRule="exact"/>
        <w:rPr>
          <w:rFonts w:ascii="Arial" w:cs="Arial" w:eastAsia="Arial" w:hAnsi="Arial"/>
          <w:sz w:val="17"/>
          <w:szCs w:val="17"/>
          <w:color w:val="auto"/>
        </w:rPr>
      </w:pPr>
    </w:p>
    <w:p>
      <w:pPr>
        <w:ind w:left="1417" w:hanging="178"/>
        <w:spacing w:after="0"/>
        <w:tabs>
          <w:tab w:leader="none" w:pos="1417" w:val="left"/>
        </w:tabs>
        <w:numPr>
          <w:ilvl w:val="2"/>
          <w:numId w:val="15"/>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5"/>
        </w:numPr>
        <w:rPr>
          <w:rFonts w:ascii="Arial" w:cs="Arial" w:eastAsia="Arial" w:hAnsi="Arial"/>
          <w:sz w:val="17"/>
          <w:szCs w:val="17"/>
          <w:color w:val="auto"/>
        </w:rPr>
      </w:pPr>
      <w:r>
        <w:rPr>
          <w:rFonts w:ascii="Arial" w:cs="Arial" w:eastAsia="Arial" w:hAnsi="Arial"/>
          <w:sz w:val="17"/>
          <w:szCs w:val="17"/>
          <w:color w:val="auto"/>
        </w:rPr>
        <w:t>Sole power to dispose or direct the disposition: 1,426,780</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5"/>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jc w:val="both"/>
        <w:ind w:left="1237" w:hanging="617"/>
        <w:spacing w:after="0" w:line="266" w:lineRule="auto"/>
        <w:tabs>
          <w:tab w:leader="none" w:pos="1237"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transactions in the Shares by Scopia Management through the Managed Account and on behalf of each of Scopia Long, Scopia LB, Scopia PX, Scopia Partners, Scopia Windmill, Scopia International, Scopia PX International, Scopia LB International and Scopia Long International during the past 60 days are set forth in Schedule A and are incorporated herein by reference.</w:t>
      </w:r>
    </w:p>
    <w:p>
      <w:pPr>
        <w:spacing w:after="0" w:line="201" w:lineRule="exact"/>
        <w:rPr>
          <w:rFonts w:ascii="Arial" w:cs="Arial" w:eastAsia="Arial" w:hAnsi="Arial"/>
          <w:sz w:val="17"/>
          <w:szCs w:val="17"/>
          <w:color w:val="auto"/>
        </w:rPr>
      </w:pPr>
    </w:p>
    <w:p>
      <w:pPr>
        <w:ind w:left="617" w:hanging="617"/>
        <w:spacing w:after="0"/>
        <w:tabs>
          <w:tab w:leader="none" w:pos="617" w:val="left"/>
        </w:tabs>
        <w:numPr>
          <w:ilvl w:val="0"/>
          <w:numId w:val="15"/>
        </w:numPr>
        <w:rPr>
          <w:rFonts w:ascii="Arial" w:cs="Arial" w:eastAsia="Arial" w:hAnsi="Arial"/>
          <w:sz w:val="17"/>
          <w:szCs w:val="17"/>
          <w:color w:val="auto"/>
        </w:rPr>
      </w:pPr>
      <w:r>
        <w:rPr>
          <w:rFonts w:ascii="Arial" w:cs="Arial" w:eastAsia="Arial" w:hAnsi="Arial"/>
          <w:sz w:val="17"/>
          <w:szCs w:val="17"/>
          <w:color w:val="auto"/>
        </w:rPr>
        <w:t>Scopia Inc.</w:t>
      </w:r>
    </w:p>
    <w:p>
      <w:pPr>
        <w:spacing w:after="0" w:line="243" w:lineRule="exact"/>
        <w:rPr>
          <w:rFonts w:ascii="Arial" w:cs="Arial" w:eastAsia="Arial" w:hAnsi="Arial"/>
          <w:sz w:val="17"/>
          <w:szCs w:val="17"/>
          <w:color w:val="auto"/>
        </w:rPr>
      </w:pPr>
    </w:p>
    <w:p>
      <w:pPr>
        <w:jc w:val="both"/>
        <w:ind w:left="1237" w:hanging="617"/>
        <w:spacing w:after="0" w:line="260" w:lineRule="auto"/>
        <w:tabs>
          <w:tab w:leader="none" w:pos="1237" w:val="left"/>
        </w:tabs>
        <w:numPr>
          <w:ilvl w:val="1"/>
          <w:numId w:val="15"/>
        </w:numPr>
        <w:rPr>
          <w:rFonts w:ascii="Arial" w:cs="Arial" w:eastAsia="Arial" w:hAnsi="Arial"/>
          <w:sz w:val="17"/>
          <w:szCs w:val="17"/>
          <w:color w:val="auto"/>
        </w:rPr>
      </w:pPr>
      <w:r>
        <w:rPr>
          <w:rFonts w:ascii="Arial" w:cs="Arial" w:eastAsia="Arial" w:hAnsi="Arial"/>
          <w:sz w:val="17"/>
          <w:szCs w:val="17"/>
          <w:color w:val="auto"/>
        </w:rPr>
        <w:t>Scopia Inc., as the general partner of Scopia Management, may be deemed the beneficial owner of the: (i) 14,035 Shares owned by Scopia Long; (ii) 20,224 Shares owned by Scopia LB; (iii) 389,461 Shares owned by Scopia PX; (iv) 11,539 Shares owned by Scopia Partners; (v) 262,040 Shares owned by Scopia Windmill; (vi) 74,666 Shares owned by Scopia International; (vii) 518,134 Shares owned by Scopia PX International; (viii) 42,074 Shares owned by Scopia LB International; (ix) 58,799 Shares owned by Scopia Long International; and (x) 35,808 Shares held in the Managed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382270</wp:posOffset>
            </wp:positionV>
            <wp:extent cx="725741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1" w:right="239" w:bottom="1440" w:gutter="0" w:footer="0" w:header="0"/>
        </w:sectPr>
      </w:pPr>
    </w:p>
    <w:bookmarkStart w:id="29" w:name="page30"/>
    <w:bookmarkEnd w:id="29"/>
    <w:p>
      <w:pPr>
        <w:ind w:left="1237"/>
        <w:spacing w:after="0"/>
        <w:rPr>
          <w:sz w:val="20"/>
          <w:szCs w:val="20"/>
          <w:color w:val="auto"/>
        </w:rPr>
      </w:pPr>
      <w:r>
        <w:rPr>
          <w:rFonts w:ascii="Arial" w:cs="Arial" w:eastAsia="Arial" w:hAnsi="Arial"/>
          <w:sz w:val="17"/>
          <w:szCs w:val="17"/>
          <w:color w:val="auto"/>
        </w:rPr>
        <w:t>Percentage: Approximately 3.7%</w:t>
      </w:r>
    </w:p>
    <w:p>
      <w:pPr>
        <w:spacing w:after="0" w:line="243" w:lineRule="exact"/>
        <w:rPr>
          <w:sz w:val="20"/>
          <w:szCs w:val="20"/>
          <w:color w:val="auto"/>
        </w:rPr>
      </w:pPr>
    </w:p>
    <w:p>
      <w:pPr>
        <w:ind w:left="1237" w:hanging="617"/>
        <w:spacing w:after="0"/>
        <w:tabs>
          <w:tab w:leader="none" w:pos="1237" w:val="left"/>
        </w:tabs>
        <w:numPr>
          <w:ilvl w:val="1"/>
          <w:numId w:val="16"/>
        </w:numPr>
        <w:rPr>
          <w:rFonts w:ascii="Arial" w:cs="Arial" w:eastAsia="Arial" w:hAnsi="Arial"/>
          <w:sz w:val="17"/>
          <w:szCs w:val="17"/>
          <w:color w:val="auto"/>
        </w:rPr>
      </w:pPr>
      <w:r>
        <w:rPr>
          <w:rFonts w:ascii="Arial" w:cs="Arial" w:eastAsia="Arial" w:hAnsi="Arial"/>
          <w:sz w:val="17"/>
          <w:szCs w:val="17"/>
          <w:color w:val="auto"/>
        </w:rPr>
        <w:t>1. Sole power to vote or direct vote: 1,426,780</w:t>
      </w:r>
    </w:p>
    <w:p>
      <w:pPr>
        <w:spacing w:after="0" w:line="21" w:lineRule="exact"/>
        <w:rPr>
          <w:rFonts w:ascii="Arial" w:cs="Arial" w:eastAsia="Arial" w:hAnsi="Arial"/>
          <w:sz w:val="17"/>
          <w:szCs w:val="17"/>
          <w:color w:val="auto"/>
        </w:rPr>
      </w:pPr>
    </w:p>
    <w:p>
      <w:pPr>
        <w:ind w:left="1417" w:hanging="178"/>
        <w:spacing w:after="0"/>
        <w:tabs>
          <w:tab w:leader="none" w:pos="1417" w:val="left"/>
        </w:tabs>
        <w:numPr>
          <w:ilvl w:val="2"/>
          <w:numId w:val="16"/>
        </w:numPr>
        <w:rPr>
          <w:rFonts w:ascii="Arial" w:cs="Arial" w:eastAsia="Arial" w:hAnsi="Arial"/>
          <w:sz w:val="17"/>
          <w:szCs w:val="17"/>
          <w:color w:val="auto"/>
        </w:rPr>
      </w:pPr>
      <w:r>
        <w:rPr>
          <w:rFonts w:ascii="Arial" w:cs="Arial" w:eastAsia="Arial" w:hAnsi="Arial"/>
          <w:sz w:val="17"/>
          <w:szCs w:val="17"/>
          <w:color w:val="auto"/>
        </w:rPr>
        <w:t>Shared power to vote or direct vote: 0</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6"/>
        </w:numPr>
        <w:rPr>
          <w:rFonts w:ascii="Arial" w:cs="Arial" w:eastAsia="Arial" w:hAnsi="Arial"/>
          <w:sz w:val="17"/>
          <w:szCs w:val="17"/>
          <w:color w:val="auto"/>
        </w:rPr>
      </w:pPr>
      <w:r>
        <w:rPr>
          <w:rFonts w:ascii="Arial" w:cs="Arial" w:eastAsia="Arial" w:hAnsi="Arial"/>
          <w:sz w:val="17"/>
          <w:szCs w:val="17"/>
          <w:color w:val="auto"/>
        </w:rPr>
        <w:t>Sole power to dispose or direct the disposition: 1,426,780</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6"/>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0</w:t>
      </w:r>
    </w:p>
    <w:p>
      <w:pPr>
        <w:spacing w:after="0" w:line="232" w:lineRule="exact"/>
        <w:rPr>
          <w:rFonts w:ascii="Arial" w:cs="Arial" w:eastAsia="Arial" w:hAnsi="Arial"/>
          <w:sz w:val="17"/>
          <w:szCs w:val="17"/>
          <w:color w:val="auto"/>
        </w:rPr>
      </w:pPr>
    </w:p>
    <w:p>
      <w:pPr>
        <w:jc w:val="both"/>
        <w:ind w:left="1237" w:hanging="617"/>
        <w:spacing w:after="0" w:line="318" w:lineRule="auto"/>
        <w:tabs>
          <w:tab w:leader="none" w:pos="1237" w:val="left"/>
        </w:tabs>
        <w:numPr>
          <w:ilvl w:val="1"/>
          <w:numId w:val="16"/>
        </w:numPr>
        <w:rPr>
          <w:rFonts w:ascii="Arial" w:cs="Arial" w:eastAsia="Arial" w:hAnsi="Arial"/>
          <w:sz w:val="15"/>
          <w:szCs w:val="15"/>
          <w:color w:val="auto"/>
        </w:rPr>
      </w:pPr>
      <w:r>
        <w:rPr>
          <w:rFonts w:ascii="Arial" w:cs="Arial" w:eastAsia="Arial" w:hAnsi="Arial"/>
          <w:sz w:val="15"/>
          <w:szCs w:val="15"/>
          <w:color w:val="auto"/>
        </w:rPr>
        <w:t>Scopia Inc. has not entered into any transactions in the Shares during the past 60 days. The transactions in the Shares on behalf of each of Scopia Long, Scopia LB, Scopia PX, Scopia Partners, Scopia Windmill, Scopia International, Scopia PX International, Scopia LB International, Scopia Long International and through the Managed Account during the past 60 days are set forth in Schedule A and are incorporated herein by reference.</w:t>
      </w:r>
    </w:p>
    <w:p>
      <w:pPr>
        <w:spacing w:after="0" w:line="166" w:lineRule="exact"/>
        <w:rPr>
          <w:rFonts w:ascii="Arial" w:cs="Arial" w:eastAsia="Arial" w:hAnsi="Arial"/>
          <w:sz w:val="15"/>
          <w:szCs w:val="15"/>
          <w:color w:val="auto"/>
        </w:rPr>
      </w:pPr>
    </w:p>
    <w:p>
      <w:pPr>
        <w:ind w:left="617" w:hanging="617"/>
        <w:spacing w:after="0"/>
        <w:tabs>
          <w:tab w:leader="none" w:pos="617" w:val="left"/>
        </w:tabs>
        <w:numPr>
          <w:ilvl w:val="0"/>
          <w:numId w:val="17"/>
        </w:numPr>
        <w:rPr>
          <w:rFonts w:ascii="Arial" w:cs="Arial" w:eastAsia="Arial" w:hAnsi="Arial"/>
          <w:sz w:val="17"/>
          <w:szCs w:val="17"/>
          <w:color w:val="auto"/>
        </w:rPr>
      </w:pPr>
      <w:r>
        <w:rPr>
          <w:rFonts w:ascii="Arial" w:cs="Arial" w:eastAsia="Arial" w:hAnsi="Arial"/>
          <w:sz w:val="17"/>
          <w:szCs w:val="17"/>
          <w:color w:val="auto"/>
        </w:rPr>
        <w:t>Mr. Sirovich</w:t>
      </w:r>
    </w:p>
    <w:p>
      <w:pPr>
        <w:spacing w:after="0" w:line="243" w:lineRule="exact"/>
        <w:rPr>
          <w:rFonts w:ascii="Arial" w:cs="Arial" w:eastAsia="Arial" w:hAnsi="Arial"/>
          <w:sz w:val="17"/>
          <w:szCs w:val="17"/>
          <w:color w:val="auto"/>
        </w:rPr>
      </w:pPr>
    </w:p>
    <w:p>
      <w:pPr>
        <w:jc w:val="both"/>
        <w:ind w:left="1237" w:hanging="617"/>
        <w:spacing w:after="0" w:line="260" w:lineRule="auto"/>
        <w:tabs>
          <w:tab w:leader="none" w:pos="1237" w:val="left"/>
        </w:tabs>
        <w:numPr>
          <w:ilvl w:val="1"/>
          <w:numId w:val="17"/>
        </w:numPr>
        <w:rPr>
          <w:rFonts w:ascii="Arial" w:cs="Arial" w:eastAsia="Arial" w:hAnsi="Arial"/>
          <w:sz w:val="17"/>
          <w:szCs w:val="17"/>
          <w:color w:val="auto"/>
        </w:rPr>
      </w:pPr>
      <w:r>
        <w:rPr>
          <w:rFonts w:ascii="Arial" w:cs="Arial" w:eastAsia="Arial" w:hAnsi="Arial"/>
          <w:sz w:val="17"/>
          <w:szCs w:val="17"/>
          <w:color w:val="auto"/>
        </w:rPr>
        <w:t>Mr. Sirovich, as a Managing Member of Scopia Capital and Managing Director of Scopia Inc., may be deemed the beneficial owner of the: (i) 14,035 Shares owned by Scopia Long; (ii) 20,224 Shares owned by Scopia LB; (iii) 389,461 Shares owned by Scopia PX; (iv) 11,539 Shares owned by Scopia Partners; (v) 262,040 Shares owned by Scopia Windmill; (vi) 74,666 Shares owned by Scopia International; (vii) 518,134 Shares owned by Scopia PX International; (viii) 42,074 Shares owned by Scopia LB International; (ix) 58,799 Shares owned by Scopia Long International; and (x) 35,808 Shares held in the Managed Account.</w:t>
      </w:r>
    </w:p>
    <w:p>
      <w:pPr>
        <w:spacing w:after="0" w:line="205" w:lineRule="exact"/>
        <w:rPr>
          <w:rFonts w:ascii="Arial" w:cs="Arial" w:eastAsia="Arial" w:hAnsi="Arial"/>
          <w:sz w:val="17"/>
          <w:szCs w:val="17"/>
          <w:color w:val="auto"/>
        </w:rPr>
      </w:pPr>
    </w:p>
    <w:p>
      <w:pPr>
        <w:ind w:left="1237"/>
        <w:spacing w:after="0"/>
        <w:rPr>
          <w:rFonts w:ascii="Arial" w:cs="Arial" w:eastAsia="Arial" w:hAnsi="Arial"/>
          <w:sz w:val="17"/>
          <w:szCs w:val="17"/>
          <w:color w:val="auto"/>
        </w:rPr>
      </w:pPr>
      <w:r>
        <w:rPr>
          <w:rFonts w:ascii="Arial" w:cs="Arial" w:eastAsia="Arial" w:hAnsi="Arial"/>
          <w:sz w:val="17"/>
          <w:szCs w:val="17"/>
          <w:color w:val="auto"/>
        </w:rPr>
        <w:t>Percentage: Approximately 3.7%</w:t>
      </w:r>
    </w:p>
    <w:p>
      <w:pPr>
        <w:spacing w:after="0" w:line="243" w:lineRule="exact"/>
        <w:rPr>
          <w:rFonts w:ascii="Arial" w:cs="Arial" w:eastAsia="Arial" w:hAnsi="Arial"/>
          <w:sz w:val="17"/>
          <w:szCs w:val="17"/>
          <w:color w:val="auto"/>
        </w:rPr>
      </w:pPr>
    </w:p>
    <w:p>
      <w:pPr>
        <w:ind w:left="1237" w:hanging="617"/>
        <w:spacing w:after="0"/>
        <w:tabs>
          <w:tab w:leader="none" w:pos="1237" w:val="left"/>
        </w:tabs>
        <w:numPr>
          <w:ilvl w:val="1"/>
          <w:numId w:val="17"/>
        </w:numPr>
        <w:rPr>
          <w:rFonts w:ascii="Arial" w:cs="Arial" w:eastAsia="Arial" w:hAnsi="Arial"/>
          <w:sz w:val="17"/>
          <w:szCs w:val="17"/>
          <w:color w:val="auto"/>
        </w:rPr>
      </w:pPr>
      <w:r>
        <w:rPr>
          <w:rFonts w:ascii="Arial" w:cs="Arial" w:eastAsia="Arial" w:hAnsi="Arial"/>
          <w:sz w:val="17"/>
          <w:szCs w:val="17"/>
          <w:color w:val="auto"/>
        </w:rPr>
        <w:t>1. Sole power to vote or direct vote: 0</w:t>
      </w:r>
    </w:p>
    <w:p>
      <w:pPr>
        <w:spacing w:after="0" w:line="21" w:lineRule="exact"/>
        <w:rPr>
          <w:rFonts w:ascii="Arial" w:cs="Arial" w:eastAsia="Arial" w:hAnsi="Arial"/>
          <w:sz w:val="17"/>
          <w:szCs w:val="17"/>
          <w:color w:val="auto"/>
        </w:rPr>
      </w:pPr>
    </w:p>
    <w:p>
      <w:pPr>
        <w:ind w:left="1417" w:hanging="178"/>
        <w:spacing w:after="0"/>
        <w:tabs>
          <w:tab w:leader="none" w:pos="1417" w:val="left"/>
        </w:tabs>
        <w:numPr>
          <w:ilvl w:val="2"/>
          <w:numId w:val="17"/>
        </w:numPr>
        <w:rPr>
          <w:rFonts w:ascii="Arial" w:cs="Arial" w:eastAsia="Arial" w:hAnsi="Arial"/>
          <w:sz w:val="17"/>
          <w:szCs w:val="17"/>
          <w:color w:val="auto"/>
        </w:rPr>
      </w:pPr>
      <w:r>
        <w:rPr>
          <w:rFonts w:ascii="Arial" w:cs="Arial" w:eastAsia="Arial" w:hAnsi="Arial"/>
          <w:sz w:val="17"/>
          <w:szCs w:val="17"/>
          <w:color w:val="auto"/>
        </w:rPr>
        <w:t>Shared power to vote or direct vote: 1,426,780</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7"/>
        </w:numPr>
        <w:rPr>
          <w:rFonts w:ascii="Arial" w:cs="Arial" w:eastAsia="Arial" w:hAnsi="Arial"/>
          <w:sz w:val="17"/>
          <w:szCs w:val="17"/>
          <w:color w:val="auto"/>
        </w:rPr>
      </w:pPr>
      <w:r>
        <w:rPr>
          <w:rFonts w:ascii="Arial" w:cs="Arial" w:eastAsia="Arial" w:hAnsi="Arial"/>
          <w:sz w:val="17"/>
          <w:szCs w:val="17"/>
          <w:color w:val="auto"/>
        </w:rPr>
        <w:t>Sole power to dispose or direct the disposition: 0</w:t>
      </w:r>
    </w:p>
    <w:p>
      <w:pPr>
        <w:spacing w:after="0" w:line="11" w:lineRule="exact"/>
        <w:rPr>
          <w:rFonts w:ascii="Arial" w:cs="Arial" w:eastAsia="Arial" w:hAnsi="Arial"/>
          <w:sz w:val="17"/>
          <w:szCs w:val="17"/>
          <w:color w:val="auto"/>
        </w:rPr>
      </w:pPr>
    </w:p>
    <w:p>
      <w:pPr>
        <w:ind w:left="1417" w:hanging="178"/>
        <w:spacing w:after="0"/>
        <w:tabs>
          <w:tab w:leader="none" w:pos="1417" w:val="left"/>
        </w:tabs>
        <w:numPr>
          <w:ilvl w:val="2"/>
          <w:numId w:val="17"/>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1,426,780</w:t>
      </w:r>
    </w:p>
    <w:p>
      <w:pPr>
        <w:spacing w:after="0" w:line="232" w:lineRule="exact"/>
        <w:rPr>
          <w:rFonts w:ascii="Arial" w:cs="Arial" w:eastAsia="Arial" w:hAnsi="Arial"/>
          <w:sz w:val="17"/>
          <w:szCs w:val="17"/>
          <w:color w:val="auto"/>
        </w:rPr>
      </w:pPr>
    </w:p>
    <w:p>
      <w:pPr>
        <w:jc w:val="both"/>
        <w:ind w:left="1237" w:hanging="617"/>
        <w:spacing w:after="0" w:line="318" w:lineRule="auto"/>
        <w:tabs>
          <w:tab w:leader="none" w:pos="1237" w:val="left"/>
        </w:tabs>
        <w:numPr>
          <w:ilvl w:val="1"/>
          <w:numId w:val="17"/>
        </w:numPr>
        <w:rPr>
          <w:rFonts w:ascii="Arial" w:cs="Arial" w:eastAsia="Arial" w:hAnsi="Arial"/>
          <w:sz w:val="15"/>
          <w:szCs w:val="15"/>
          <w:color w:val="auto"/>
        </w:rPr>
      </w:pPr>
      <w:r>
        <w:rPr>
          <w:rFonts w:ascii="Arial" w:cs="Arial" w:eastAsia="Arial" w:hAnsi="Arial"/>
          <w:sz w:val="15"/>
          <w:szCs w:val="15"/>
          <w:color w:val="auto"/>
        </w:rPr>
        <w:t>Mr. Sirovich has not entered into any transactions in the Shares during the past 60 days. The transactions in the Shares on behalf of each of Scopia Long, Scopia LB, Scopia PX, Scopia Partners, Scopia Windmill, Scopia International, Scopia PX International, Scopia LB International, Scopia Long International and through the Managed Account during the past 60 days are set forth in Schedule A and are incorporated herein by reference.</w:t>
      </w:r>
    </w:p>
    <w:p>
      <w:pPr>
        <w:spacing w:after="0" w:line="166" w:lineRule="exact"/>
        <w:rPr>
          <w:rFonts w:ascii="Arial" w:cs="Arial" w:eastAsia="Arial" w:hAnsi="Arial"/>
          <w:sz w:val="15"/>
          <w:szCs w:val="15"/>
          <w:color w:val="auto"/>
        </w:rPr>
      </w:pPr>
    </w:p>
    <w:p>
      <w:pPr>
        <w:ind w:left="617" w:hanging="617"/>
        <w:spacing w:after="0"/>
        <w:tabs>
          <w:tab w:leader="none" w:pos="617" w:val="left"/>
        </w:tabs>
        <w:numPr>
          <w:ilvl w:val="0"/>
          <w:numId w:val="17"/>
        </w:numPr>
        <w:rPr>
          <w:rFonts w:ascii="Arial" w:cs="Arial" w:eastAsia="Arial" w:hAnsi="Arial"/>
          <w:sz w:val="17"/>
          <w:szCs w:val="17"/>
          <w:color w:val="auto"/>
        </w:rPr>
      </w:pPr>
      <w:r>
        <w:rPr>
          <w:rFonts w:ascii="Arial" w:cs="Arial" w:eastAsia="Arial" w:hAnsi="Arial"/>
          <w:sz w:val="17"/>
          <w:szCs w:val="17"/>
          <w:color w:val="auto"/>
        </w:rPr>
        <w:t>Mr. Mindich</w:t>
      </w:r>
    </w:p>
    <w:p>
      <w:pPr>
        <w:spacing w:after="0" w:line="243" w:lineRule="exact"/>
        <w:rPr>
          <w:rFonts w:ascii="Arial" w:cs="Arial" w:eastAsia="Arial" w:hAnsi="Arial"/>
          <w:sz w:val="17"/>
          <w:szCs w:val="17"/>
          <w:color w:val="auto"/>
        </w:rPr>
      </w:pPr>
    </w:p>
    <w:p>
      <w:pPr>
        <w:jc w:val="both"/>
        <w:ind w:left="1237" w:hanging="617"/>
        <w:spacing w:after="0" w:line="260" w:lineRule="auto"/>
        <w:tabs>
          <w:tab w:leader="none" w:pos="1237" w:val="left"/>
        </w:tabs>
        <w:numPr>
          <w:ilvl w:val="1"/>
          <w:numId w:val="17"/>
        </w:numPr>
        <w:rPr>
          <w:rFonts w:ascii="Arial" w:cs="Arial" w:eastAsia="Arial" w:hAnsi="Arial"/>
          <w:sz w:val="17"/>
          <w:szCs w:val="17"/>
          <w:color w:val="auto"/>
        </w:rPr>
      </w:pPr>
      <w:r>
        <w:rPr>
          <w:rFonts w:ascii="Arial" w:cs="Arial" w:eastAsia="Arial" w:hAnsi="Arial"/>
          <w:sz w:val="17"/>
          <w:szCs w:val="17"/>
          <w:color w:val="auto"/>
        </w:rPr>
        <w:t>Mr. Mindich, as a Managing Member of Scopia Capital and Managing Director of Scopia Inc., may be deemed the beneficial owner of the: (i) 14,035 Shares owned by Scopia Long; (ii) 20,224 Shares owned by Scopia LB; (iii) 389,461 Shares owned by Scopia PX; (iv) 11,539 Shares owned by Scopia Partners; (v) 262,040 Shares owned by Scopia Windmill; (vi) 74,666 Shares owned by Scopia International; (vii) 518,134 Shares owned by Scopia PX International; (viii) 42,074 Shares owned by Scopia LB International; (ix) 58,799 Shares owned by Scopia Long International; and (x) 35,808 Shares held in the Managed Account.</w:t>
      </w:r>
    </w:p>
    <w:p>
      <w:pPr>
        <w:spacing w:after="0" w:line="205" w:lineRule="exact"/>
        <w:rPr>
          <w:rFonts w:ascii="Arial" w:cs="Arial" w:eastAsia="Arial" w:hAnsi="Arial"/>
          <w:sz w:val="17"/>
          <w:szCs w:val="17"/>
          <w:color w:val="auto"/>
        </w:rPr>
      </w:pPr>
    </w:p>
    <w:p>
      <w:pPr>
        <w:ind w:left="1237"/>
        <w:spacing w:after="0"/>
        <w:rPr>
          <w:rFonts w:ascii="Arial" w:cs="Arial" w:eastAsia="Arial" w:hAnsi="Arial"/>
          <w:sz w:val="17"/>
          <w:szCs w:val="17"/>
          <w:color w:val="auto"/>
        </w:rPr>
      </w:pPr>
      <w:r>
        <w:rPr>
          <w:rFonts w:ascii="Arial" w:cs="Arial" w:eastAsia="Arial" w:hAnsi="Arial"/>
          <w:sz w:val="17"/>
          <w:szCs w:val="17"/>
          <w:color w:val="auto"/>
        </w:rPr>
        <w:t>Percentage: Approximately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405765</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1" w:right="239" w:bottom="1440" w:gutter="0" w:footer="0" w:header="0"/>
        </w:sectPr>
      </w:pPr>
    </w:p>
    <w:bookmarkStart w:id="30" w:name="page31"/>
    <w:bookmarkEnd w:id="30"/>
    <w:p>
      <w:pPr>
        <w:ind w:left="1240" w:hanging="617"/>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1. Sole power to vote or direct vote: 0</w:t>
      </w:r>
    </w:p>
    <w:p>
      <w:pPr>
        <w:spacing w:after="0" w:line="21" w:lineRule="exact"/>
        <w:rPr>
          <w:rFonts w:ascii="Arial" w:cs="Arial" w:eastAsia="Arial" w:hAnsi="Arial"/>
          <w:sz w:val="17"/>
          <w:szCs w:val="17"/>
          <w:color w:val="auto"/>
        </w:rPr>
      </w:pPr>
    </w:p>
    <w:p>
      <w:pPr>
        <w:ind w:left="1420" w:hanging="178"/>
        <w:spacing w:after="0"/>
        <w:tabs>
          <w:tab w:leader="none" w:pos="14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Shared power to vote or direct vote: 1,426,780</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Sole power to dispose or direct the disposition: 0</w:t>
      </w:r>
    </w:p>
    <w:p>
      <w:pPr>
        <w:spacing w:after="0" w:line="11" w:lineRule="exact"/>
        <w:rPr>
          <w:rFonts w:ascii="Arial" w:cs="Arial" w:eastAsia="Arial" w:hAnsi="Arial"/>
          <w:sz w:val="17"/>
          <w:szCs w:val="17"/>
          <w:color w:val="auto"/>
        </w:rPr>
      </w:pPr>
    </w:p>
    <w:p>
      <w:pPr>
        <w:ind w:left="1420" w:hanging="178"/>
        <w:spacing w:after="0"/>
        <w:tabs>
          <w:tab w:leader="none" w:pos="14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1,426,780</w:t>
      </w:r>
    </w:p>
    <w:p>
      <w:pPr>
        <w:spacing w:after="0" w:line="232" w:lineRule="exact"/>
        <w:rPr>
          <w:rFonts w:ascii="Arial" w:cs="Arial" w:eastAsia="Arial" w:hAnsi="Arial"/>
          <w:sz w:val="17"/>
          <w:szCs w:val="17"/>
          <w:color w:val="auto"/>
        </w:rPr>
      </w:pPr>
    </w:p>
    <w:p>
      <w:pPr>
        <w:jc w:val="both"/>
        <w:ind w:left="1240" w:hanging="617"/>
        <w:spacing w:after="0" w:line="318" w:lineRule="auto"/>
        <w:tabs>
          <w:tab w:leader="none" w:pos="12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Mr. Mindich has not entered into any transactions in the Shares during the past 60 days. The transactions in the Shares on behalf of each of Scopia Long, Scopia LB, Scopia PX, Scopia Partners, Scopia Windmill, Scopia International, Scopia PX International, Scopia LB International, Scopia Long International and through the Managed Account during the past 60 days are set forth in Schedule A and are incorporated herein by reference.</w:t>
      </w:r>
    </w:p>
    <w:p>
      <w:pPr>
        <w:spacing w:after="0" w:line="166" w:lineRule="exact"/>
        <w:rPr>
          <w:rFonts w:ascii="Arial" w:cs="Arial" w:eastAsia="Arial" w:hAnsi="Arial"/>
          <w:sz w:val="15"/>
          <w:szCs w:val="15"/>
          <w:color w:val="auto"/>
        </w:rPr>
      </w:pPr>
    </w:p>
    <w:p>
      <w:pPr>
        <w:ind w:left="1240"/>
        <w:spacing w:after="0"/>
        <w:rPr>
          <w:rFonts w:ascii="Arial" w:cs="Arial" w:eastAsia="Arial" w:hAnsi="Arial"/>
          <w:sz w:val="15"/>
          <w:szCs w:val="15"/>
          <w:color w:val="auto"/>
        </w:rPr>
      </w:pPr>
      <w:r>
        <w:rPr>
          <w:rFonts w:ascii="Arial" w:cs="Arial" w:eastAsia="Arial" w:hAnsi="Arial"/>
          <w:sz w:val="17"/>
          <w:szCs w:val="17"/>
          <w:color w:val="auto"/>
        </w:rPr>
        <w:t>An aggregate of 2,347,039 Shares, constituting approximately 6.2% of the Shares outstanding, are reported in this Schedule 13D.</w:t>
      </w:r>
    </w:p>
    <w:p>
      <w:pPr>
        <w:spacing w:after="0" w:line="243" w:lineRule="exact"/>
        <w:rPr>
          <w:sz w:val="20"/>
          <w:szCs w:val="20"/>
          <w:color w:val="auto"/>
        </w:rPr>
      </w:pPr>
    </w:p>
    <w:p>
      <w:pPr>
        <w:jc w:val="both"/>
        <w:ind w:firstLine="1239"/>
        <w:spacing w:after="0" w:line="266" w:lineRule="auto"/>
        <w:rPr>
          <w:sz w:val="20"/>
          <w:szCs w:val="20"/>
          <w:color w:val="auto"/>
        </w:rPr>
      </w:pPr>
      <w:r>
        <w:rPr>
          <w:rFonts w:ascii="Arial" w:cs="Arial" w:eastAsia="Arial" w:hAnsi="Arial"/>
          <w:sz w:val="17"/>
          <w:szCs w:val="17"/>
          <w:color w:val="auto"/>
        </w:rPr>
        <w:t>The Reporting Persons, as members of a “group” for the purposes of Section 13(d)(3) of the Securities Exchange Act of 1934, as amended, may be deemed the beneficial owner of the Shares directly owned by the other Reporting Person. Each Reporting Person disclaims beneficial ownership of such Shares except to the extent of his or its pecuniary interest therein.</w:t>
      </w:r>
    </w:p>
    <w:p>
      <w:pPr>
        <w:spacing w:after="0" w:line="202" w:lineRule="exact"/>
        <w:rPr>
          <w:sz w:val="20"/>
          <w:szCs w:val="20"/>
          <w:color w:val="auto"/>
        </w:rPr>
      </w:pPr>
    </w:p>
    <w:p>
      <w:pPr>
        <w:ind w:right="80" w:firstLine="623"/>
        <w:spacing w:after="0" w:line="280" w:lineRule="auto"/>
        <w:tabs>
          <w:tab w:leader="none" w:pos="1293"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person other than the Reporting Persons is known to have the right to receive, or the power to direct the receipt of dividends from, or proceeds from the sale of, the Shares.</w:t>
      </w:r>
    </w:p>
    <w:p>
      <w:pPr>
        <w:spacing w:after="0" w:line="189" w:lineRule="exact"/>
        <w:rPr>
          <w:rFonts w:ascii="Arial" w:cs="Arial" w:eastAsia="Arial" w:hAnsi="Arial"/>
          <w:sz w:val="17"/>
          <w:szCs w:val="17"/>
          <w:color w:val="auto"/>
        </w:rPr>
      </w:pPr>
    </w:p>
    <w:p>
      <w:pPr>
        <w:ind w:left="1240" w:hanging="617"/>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43"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Item 6.</w:t>
      </w:r>
      <w:r>
        <w:rPr>
          <w:sz w:val="20"/>
          <w:szCs w:val="20"/>
          <w:color w:val="auto"/>
        </w:rPr>
        <w:tab/>
      </w:r>
      <w:r>
        <w:rPr>
          <w:rFonts w:ascii="Arial" w:cs="Arial" w:eastAsia="Arial" w:hAnsi="Arial"/>
          <w:sz w:val="15"/>
          <w:szCs w:val="15"/>
          <w:u w:val="single" w:color="auto"/>
          <w:color w:val="auto"/>
        </w:rPr>
        <w:t>Contracts, Arrangements, Understandings or Relationships With Respect to Securities of the Issuer</w:t>
      </w:r>
      <w:r>
        <w:rPr>
          <w:rFonts w:ascii="Arial" w:cs="Arial" w:eastAsia="Arial" w:hAnsi="Arial"/>
          <w:sz w:val="15"/>
          <w:szCs w:val="15"/>
          <w:color w:val="auto"/>
        </w:rPr>
        <w:t>.</w:t>
      </w:r>
    </w:p>
    <w:p>
      <w:pPr>
        <w:spacing w:after="0" w:line="243" w:lineRule="exact"/>
        <w:rPr>
          <w:sz w:val="20"/>
          <w:szCs w:val="20"/>
          <w:color w:val="auto"/>
        </w:rPr>
      </w:pPr>
    </w:p>
    <w:p>
      <w:pPr>
        <w:jc w:val="both"/>
        <w:ind w:firstLine="1239"/>
        <w:spacing w:after="0" w:line="260" w:lineRule="auto"/>
        <w:rPr>
          <w:sz w:val="20"/>
          <w:szCs w:val="20"/>
          <w:color w:val="auto"/>
        </w:rPr>
      </w:pPr>
      <w:r>
        <w:rPr>
          <w:rFonts w:ascii="Arial" w:cs="Arial" w:eastAsia="Arial" w:hAnsi="Arial"/>
          <w:sz w:val="17"/>
          <w:szCs w:val="17"/>
          <w:color w:val="auto"/>
        </w:rPr>
        <w:t>On August 5, 2015, Coppersmith Capital, Scopia Management and Messrs. Lande, Rosenblum, Sirovich and Mindich entered into a Joint Filing Agreement (the “Joint Filing Agreement”) in which, among other things, the parties agreed to (a) the joint filing on behalf of each of them of statements on Schedule 13D, and any amendments thereto, with respect to the securities of the Issuer to the extent required by applicable law and (b) form a group for the purpose of engaging in discussions with the Issuer regarding plans or proposals under Item 4 of Schedule 13D. A copy of the Joint Filing Agreement is attached hereto as Exhibit 99.1 and is incorporated herein by reference.</w:t>
      </w:r>
    </w:p>
    <w:p>
      <w:pPr>
        <w:spacing w:after="0" w:line="206" w:lineRule="exact"/>
        <w:rPr>
          <w:sz w:val="20"/>
          <w:szCs w:val="20"/>
          <w:color w:val="auto"/>
        </w:rPr>
      </w:pPr>
    </w:p>
    <w:p>
      <w:pPr>
        <w:jc w:val="both"/>
        <w:ind w:firstLine="1239"/>
        <w:spacing w:after="0" w:line="280" w:lineRule="auto"/>
        <w:rPr>
          <w:sz w:val="20"/>
          <w:szCs w:val="20"/>
          <w:color w:val="auto"/>
        </w:rPr>
      </w:pPr>
      <w:r>
        <w:rPr>
          <w:rFonts w:ascii="Arial" w:cs="Arial" w:eastAsia="Arial" w:hAnsi="Arial"/>
          <w:sz w:val="16"/>
          <w:szCs w:val="16"/>
          <w:color w:val="auto"/>
        </w:rPr>
        <w:t>On September 21, 2015, Coppersmith Value II, Coppersmith Partners, Scopia Long, Scopia LB, Scopia PX, Scopia Partners, Scopia Windmill, Scopia International, Scopia PX International, Scopia LB International, Scopia Long International, Scopia Capital and Scopia Inc. entered into a Joinder Agreement (the “Joinder Agreement”) to the Joint Filing Agreement, pursuant to which such parties agreed to be bound by the terms and conditions set forth therein, including, among other things, the joint filing on behalf of each of them of statements on Schedule 13D, and any amendments thereto, with respect to the securities of the Issuer. A copy of the Joinder Agreement is attached hereto as Exhibit 99.2 and is incorporated herein by reference.</w:t>
      </w:r>
    </w:p>
    <w:p>
      <w:pPr>
        <w:spacing w:after="0" w:line="192" w:lineRule="exact"/>
        <w:rPr>
          <w:sz w:val="20"/>
          <w:szCs w:val="20"/>
          <w:color w:val="auto"/>
        </w:rPr>
      </w:pPr>
    </w:p>
    <w:p>
      <w:pPr>
        <w:jc w:val="both"/>
        <w:ind w:firstLine="1239"/>
        <w:spacing w:after="0" w:line="280" w:lineRule="auto"/>
        <w:rPr>
          <w:sz w:val="20"/>
          <w:szCs w:val="20"/>
          <w:color w:val="auto"/>
        </w:rPr>
      </w:pPr>
      <w:r>
        <w:rPr>
          <w:rFonts w:ascii="Arial" w:cs="Arial" w:eastAsia="Arial" w:hAnsi="Arial"/>
          <w:sz w:val="17"/>
          <w:szCs w:val="17"/>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189"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Item 7.</w:t>
      </w:r>
      <w:r>
        <w:rPr>
          <w:sz w:val="20"/>
          <w:szCs w:val="20"/>
          <w:color w:val="auto"/>
        </w:rPr>
        <w:tab/>
      </w:r>
      <w:r>
        <w:rPr>
          <w:rFonts w:ascii="Arial" w:cs="Arial" w:eastAsia="Arial" w:hAnsi="Arial"/>
          <w:sz w:val="15"/>
          <w:szCs w:val="15"/>
          <w:u w:val="single" w:color="auto"/>
          <w:color w:val="auto"/>
        </w:rPr>
        <w:t>Material to be Filed as Exhibits</w:t>
      </w:r>
      <w:r>
        <w:rPr>
          <w:rFonts w:ascii="Arial" w:cs="Arial" w:eastAsia="Arial" w:hAnsi="Arial"/>
          <w:sz w:val="15"/>
          <w:szCs w:val="15"/>
          <w:color w:val="auto"/>
        </w:rPr>
        <w:t>.</w:t>
      </w:r>
    </w:p>
    <w:p>
      <w:pPr>
        <w:spacing w:after="0" w:line="243"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Joint Filing Agreement, dated August 5, 2015.</w:t>
      </w:r>
    </w:p>
    <w:p>
      <w:pPr>
        <w:spacing w:after="0" w:line="243"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99.2</w:t>
      </w:r>
      <w:r>
        <w:rPr>
          <w:sz w:val="20"/>
          <w:szCs w:val="20"/>
          <w:color w:val="auto"/>
        </w:rPr>
        <w:tab/>
      </w:r>
      <w:r>
        <w:rPr>
          <w:rFonts w:ascii="Arial" w:cs="Arial" w:eastAsia="Arial" w:hAnsi="Arial"/>
          <w:sz w:val="15"/>
          <w:szCs w:val="15"/>
          <w:color w:val="auto"/>
        </w:rPr>
        <w:t>Joinder Agreement, dated September 21, 2015.</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CUSIP NO. 465741106</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SIGNATURES</w:t>
      </w:r>
    </w:p>
    <w:p>
      <w:pPr>
        <w:spacing w:after="0" w:line="243" w:lineRule="exact"/>
        <w:rPr>
          <w:sz w:val="20"/>
          <w:szCs w:val="20"/>
          <w:color w:val="auto"/>
        </w:rPr>
      </w:pPr>
    </w:p>
    <w:p>
      <w:pPr>
        <w:ind w:firstLine="1239"/>
        <w:spacing w:after="0" w:line="280" w:lineRule="auto"/>
        <w:rPr>
          <w:sz w:val="20"/>
          <w:szCs w:val="20"/>
          <w:color w:val="auto"/>
        </w:rPr>
      </w:pPr>
      <w:r>
        <w:rPr>
          <w:rFonts w:ascii="Arial" w:cs="Arial" w:eastAsia="Arial" w:hAnsi="Arial"/>
          <w:sz w:val="17"/>
          <w:szCs w:val="17"/>
          <w:color w:val="auto"/>
        </w:rPr>
        <w:t>After reasonable inquiry and to the best of his knowledge and belief, each of the undersigned certifies that the information set forth in this statement is true, complete and correct.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Dated: September 21, 2015</w:t>
      </w:r>
    </w:p>
    <w:p>
      <w:pPr>
        <w:spacing w:after="0" w:line="24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COPPERSMITH VALUE PARTNERS II, LP</w:t>
      </w:r>
    </w:p>
    <w:p>
      <w:pPr>
        <w:spacing w:after="0" w:line="218" w:lineRule="exact"/>
        <w:rPr>
          <w:sz w:val="20"/>
          <w:szCs w:val="20"/>
          <w:color w:val="auto"/>
        </w:rPr>
      </w:pPr>
    </w:p>
    <w:tbl>
      <w:tblPr>
        <w:tblLayout w:type="fixed"/>
        <w:tblInd w:w="5840" w:type="dxa"/>
        <w:tblCellMar>
          <w:top w:w="0" w:type="dxa"/>
          <w:left w:w="0" w:type="dxa"/>
          <w:bottom w:w="0" w:type="dxa"/>
          <w:right w:w="0" w:type="dxa"/>
        </w:tblCellMar>
      </w:tblPr>
      <w:tr>
        <w:trPr>
          <w:trHeight w:val="206"/>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gridSpan w:val="2"/>
          </w:tcPr>
          <w:p>
            <w:pPr>
              <w:spacing w:after="0"/>
              <w:rPr>
                <w:sz w:val="20"/>
                <w:szCs w:val="20"/>
                <w:color w:val="auto"/>
              </w:rPr>
            </w:pPr>
            <w:r>
              <w:rPr>
                <w:rFonts w:ascii="Arial" w:cs="Arial" w:eastAsia="Arial" w:hAnsi="Arial"/>
                <w:sz w:val="17"/>
                <w:szCs w:val="17"/>
                <w:color w:val="auto"/>
              </w:rPr>
              <w:t>Coppersmith Capital Partners, LLC</w:t>
            </w:r>
          </w:p>
        </w:tc>
      </w:tr>
      <w:tr>
        <w:trPr>
          <w:trHeight w:val="217"/>
        </w:trPr>
        <w:tc>
          <w:tcPr>
            <w:tcW w:w="58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General Partner</w:t>
            </w:r>
          </w:p>
        </w:tc>
      </w:tr>
      <w:tr>
        <w:trPr>
          <w:trHeight w:val="420"/>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Jerome J. Lande</w:t>
            </w:r>
          </w:p>
        </w:tc>
      </w:tr>
      <w:tr>
        <w:trPr>
          <w:trHeight w:val="194"/>
        </w:trPr>
        <w:tc>
          <w:tcPr>
            <w:tcW w:w="580" w:type="dxa"/>
            <w:vAlign w:val="bottom"/>
          </w:tcPr>
          <w:p>
            <w:pPr>
              <w:spacing w:after="0"/>
              <w:rPr>
                <w:sz w:val="16"/>
                <w:szCs w:val="16"/>
                <w:color w:val="auto"/>
              </w:rPr>
            </w:pPr>
          </w:p>
        </w:tc>
        <w:tc>
          <w:tcPr>
            <w:tcW w:w="74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4260" w:type="dxa"/>
            <w:vAlign w:val="bottom"/>
          </w:tcPr>
          <w:p>
            <w:pPr>
              <w:ind w:left="280"/>
              <w:spacing w:after="0" w:line="194" w:lineRule="exact"/>
              <w:rPr>
                <w:sz w:val="20"/>
                <w:szCs w:val="20"/>
                <w:color w:val="auto"/>
              </w:rPr>
            </w:pPr>
            <w:r>
              <w:rPr>
                <w:rFonts w:ascii="Arial" w:cs="Arial" w:eastAsia="Arial" w:hAnsi="Arial"/>
                <w:sz w:val="17"/>
                <w:szCs w:val="17"/>
                <w:color w:val="auto"/>
              </w:rPr>
              <w:t>Jerome J. Lande</w:t>
            </w:r>
          </w:p>
        </w:tc>
      </w:tr>
      <w:tr>
        <w:trPr>
          <w:trHeight w:val="217"/>
        </w:trPr>
        <w:tc>
          <w:tcPr>
            <w:tcW w:w="58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260" w:type="dxa"/>
            <w:vAlign w:val="bottom"/>
          </w:tcPr>
          <w:p>
            <w:pPr>
              <w:ind w:left="280"/>
              <w:spacing w:after="0"/>
              <w:rPr>
                <w:sz w:val="20"/>
                <w:szCs w:val="20"/>
                <w:color w:val="auto"/>
              </w:rPr>
            </w:pPr>
            <w:r>
              <w:rPr>
                <w:rFonts w:ascii="Arial" w:cs="Arial" w:eastAsia="Arial" w:hAnsi="Arial"/>
                <w:sz w:val="17"/>
                <w:szCs w:val="17"/>
                <w:color w:val="auto"/>
              </w:rPr>
              <w:t>Managing Member</w:t>
            </w:r>
          </w:p>
        </w:tc>
      </w:tr>
    </w:tbl>
    <w:p>
      <w:pPr>
        <w:spacing w:after="0" w:line="200" w:lineRule="exact"/>
        <w:rPr>
          <w:sz w:val="20"/>
          <w:szCs w:val="20"/>
          <w:color w:val="auto"/>
        </w:rPr>
      </w:pPr>
    </w:p>
    <w:p>
      <w:pPr>
        <w:spacing w:after="0" w:line="25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COPPERSMITH CAPITAL PARTNERS, LLC</w:t>
      </w:r>
    </w:p>
    <w:p>
      <w:pPr>
        <w:spacing w:after="0" w:line="218" w:lineRule="exact"/>
        <w:rPr>
          <w:sz w:val="20"/>
          <w:szCs w:val="20"/>
          <w:color w:val="auto"/>
        </w:rPr>
      </w:pPr>
    </w:p>
    <w:tbl>
      <w:tblPr>
        <w:tblLayout w:type="fixed"/>
        <w:tblInd w:w="5840" w:type="dxa"/>
        <w:tblCellMar>
          <w:top w:w="0" w:type="dxa"/>
          <w:left w:w="0" w:type="dxa"/>
          <w:bottom w:w="0" w:type="dxa"/>
          <w:right w:w="0" w:type="dxa"/>
        </w:tblCellMar>
      </w:tblPr>
      <w:tr>
        <w:trPr>
          <w:trHeight w:val="225"/>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Jerome J. Lande</w:t>
            </w:r>
          </w:p>
        </w:tc>
      </w:tr>
      <w:tr>
        <w:trPr>
          <w:trHeight w:val="194"/>
        </w:trPr>
        <w:tc>
          <w:tcPr>
            <w:tcW w:w="580" w:type="dxa"/>
            <w:vAlign w:val="bottom"/>
          </w:tcPr>
          <w:p>
            <w:pPr>
              <w:spacing w:after="0"/>
              <w:rPr>
                <w:sz w:val="16"/>
                <w:szCs w:val="16"/>
                <w:color w:val="auto"/>
              </w:rPr>
            </w:pPr>
          </w:p>
        </w:tc>
        <w:tc>
          <w:tcPr>
            <w:tcW w:w="74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4260" w:type="dxa"/>
            <w:vAlign w:val="bottom"/>
          </w:tcPr>
          <w:p>
            <w:pPr>
              <w:ind w:left="280"/>
              <w:spacing w:after="0" w:line="194" w:lineRule="exact"/>
              <w:rPr>
                <w:sz w:val="20"/>
                <w:szCs w:val="20"/>
                <w:color w:val="auto"/>
              </w:rPr>
            </w:pPr>
            <w:r>
              <w:rPr>
                <w:rFonts w:ascii="Arial" w:cs="Arial" w:eastAsia="Arial" w:hAnsi="Arial"/>
                <w:sz w:val="17"/>
                <w:szCs w:val="17"/>
                <w:color w:val="auto"/>
              </w:rPr>
              <w:t>Jerome J. Lande</w:t>
            </w:r>
          </w:p>
        </w:tc>
      </w:tr>
      <w:tr>
        <w:trPr>
          <w:trHeight w:val="217"/>
        </w:trPr>
        <w:tc>
          <w:tcPr>
            <w:tcW w:w="58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260" w:type="dxa"/>
            <w:vAlign w:val="bottom"/>
          </w:tcPr>
          <w:p>
            <w:pPr>
              <w:ind w:left="280"/>
              <w:spacing w:after="0"/>
              <w:rPr>
                <w:sz w:val="20"/>
                <w:szCs w:val="20"/>
                <w:color w:val="auto"/>
              </w:rPr>
            </w:pPr>
            <w:r>
              <w:rPr>
                <w:rFonts w:ascii="Arial" w:cs="Arial" w:eastAsia="Arial" w:hAnsi="Arial"/>
                <w:sz w:val="17"/>
                <w:szCs w:val="17"/>
                <w:color w:val="auto"/>
              </w:rPr>
              <w:t>Managing Member</w:t>
            </w:r>
          </w:p>
        </w:tc>
      </w:tr>
    </w:tbl>
    <w:p>
      <w:pPr>
        <w:spacing w:after="0" w:line="200" w:lineRule="exact"/>
        <w:rPr>
          <w:sz w:val="20"/>
          <w:szCs w:val="20"/>
          <w:color w:val="auto"/>
        </w:rPr>
      </w:pPr>
    </w:p>
    <w:p>
      <w:pPr>
        <w:spacing w:after="0" w:line="25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COPPERSMITH CAPITAL MANAGEMENT, LLC</w:t>
      </w:r>
    </w:p>
    <w:p>
      <w:pPr>
        <w:spacing w:after="0" w:line="218" w:lineRule="exact"/>
        <w:rPr>
          <w:sz w:val="20"/>
          <w:szCs w:val="20"/>
          <w:color w:val="auto"/>
        </w:rPr>
      </w:pPr>
    </w:p>
    <w:tbl>
      <w:tblPr>
        <w:tblLayout w:type="fixed"/>
        <w:tblInd w:w="5840" w:type="dxa"/>
        <w:tblCellMar>
          <w:top w:w="0" w:type="dxa"/>
          <w:left w:w="0" w:type="dxa"/>
          <w:bottom w:w="0" w:type="dxa"/>
          <w:right w:w="0" w:type="dxa"/>
        </w:tblCellMar>
      </w:tblPr>
      <w:tr>
        <w:trPr>
          <w:trHeight w:val="225"/>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Jerome J. Lande</w:t>
            </w:r>
          </w:p>
        </w:tc>
      </w:tr>
      <w:tr>
        <w:trPr>
          <w:trHeight w:val="194"/>
        </w:trPr>
        <w:tc>
          <w:tcPr>
            <w:tcW w:w="580" w:type="dxa"/>
            <w:vAlign w:val="bottom"/>
          </w:tcPr>
          <w:p>
            <w:pPr>
              <w:spacing w:after="0"/>
              <w:rPr>
                <w:sz w:val="16"/>
                <w:szCs w:val="16"/>
                <w:color w:val="auto"/>
              </w:rPr>
            </w:pPr>
          </w:p>
        </w:tc>
        <w:tc>
          <w:tcPr>
            <w:tcW w:w="74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4260" w:type="dxa"/>
            <w:vAlign w:val="bottom"/>
          </w:tcPr>
          <w:p>
            <w:pPr>
              <w:ind w:left="280"/>
              <w:spacing w:after="0" w:line="194" w:lineRule="exact"/>
              <w:rPr>
                <w:sz w:val="20"/>
                <w:szCs w:val="20"/>
                <w:color w:val="auto"/>
              </w:rPr>
            </w:pPr>
            <w:r>
              <w:rPr>
                <w:rFonts w:ascii="Arial" w:cs="Arial" w:eastAsia="Arial" w:hAnsi="Arial"/>
                <w:sz w:val="17"/>
                <w:szCs w:val="17"/>
                <w:color w:val="auto"/>
              </w:rPr>
              <w:t>Jerome J. Lande</w:t>
            </w:r>
          </w:p>
        </w:tc>
      </w:tr>
      <w:tr>
        <w:trPr>
          <w:trHeight w:val="217"/>
        </w:trPr>
        <w:tc>
          <w:tcPr>
            <w:tcW w:w="58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260" w:type="dxa"/>
            <w:vAlign w:val="bottom"/>
          </w:tcPr>
          <w:p>
            <w:pPr>
              <w:ind w:left="280"/>
              <w:spacing w:after="0"/>
              <w:rPr>
                <w:sz w:val="20"/>
                <w:szCs w:val="20"/>
                <w:color w:val="auto"/>
              </w:rPr>
            </w:pPr>
            <w:r>
              <w:rPr>
                <w:rFonts w:ascii="Arial" w:cs="Arial" w:eastAsia="Arial" w:hAnsi="Arial"/>
                <w:sz w:val="17"/>
                <w:szCs w:val="17"/>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 Jerome J.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14605</wp:posOffset>
            </wp:positionV>
            <wp:extent cx="354838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48380" cy="16510"/>
                    </a:xfrm>
                    <a:prstGeom prst="rect">
                      <a:avLst/>
                    </a:prstGeom>
                    <a:noFill/>
                  </pic:spPr>
                </pic:pic>
              </a:graphicData>
            </a:graphic>
          </wp:anchor>
        </w:drawing>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JEROME J. LANDE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 Craig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14605</wp:posOffset>
            </wp:positionV>
            <wp:extent cx="354838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48380" cy="16510"/>
                    </a:xfrm>
                    <a:prstGeom prst="rect">
                      <a:avLst/>
                    </a:prstGeom>
                    <a:noFill/>
                  </pic:spPr>
                </pic:pic>
              </a:graphicData>
            </a:graphic>
          </wp:anchor>
        </w:drawing>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CRAIG ROSENBLUM</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2" w:name="page33"/>
    <w:bookmarkEnd w:id="32"/>
    <w:p>
      <w:pPr>
        <w:spacing w:after="0"/>
        <w:rPr>
          <w:sz w:val="20"/>
          <w:szCs w:val="20"/>
          <w:color w:val="auto"/>
        </w:rPr>
      </w:pPr>
      <w:r>
        <w:rPr>
          <w:rFonts w:ascii="Arial" w:cs="Arial" w:eastAsia="Arial" w:hAnsi="Arial"/>
          <w:sz w:val="15"/>
          <w:szCs w:val="15"/>
          <w:color w:val="auto"/>
        </w:rPr>
        <w:t>CUSIP NO. 465741106</w:t>
      </w:r>
    </w:p>
    <w:p>
      <w:pPr>
        <w:sectPr>
          <w:pgSz w:w="11900" w:h="16838" w:orient="portrait"/>
          <w:cols w:equalWidth="0" w:num="1">
            <w:col w:w="11420"/>
          </w:cols>
          <w:pgMar w:left="240" w:top="26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SCOPIA LONG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SCOPIA WINDMILL FUND LP</w:t>
      </w:r>
    </w:p>
    <w:p>
      <w:pPr>
        <w:spacing w:after="0" w:line="200" w:lineRule="exact"/>
        <w:rPr>
          <w:sz w:val="20"/>
          <w:szCs w:val="20"/>
          <w:color w:val="auto"/>
        </w:rPr>
      </w:pPr>
    </w:p>
    <w:p>
      <w:pPr>
        <w:sectPr>
          <w:pgSz w:w="11900" w:h="16838" w:orient="portrait"/>
          <w:cols w:equalWidth="0" w:num="2">
            <w:col w:w="5560" w:space="720"/>
            <w:col w:w="5140"/>
          </w:cols>
          <w:pgMar w:left="240" w:top="269" w:right="2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SCOPIA LB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SCOPIA INTERNATIONAL MASTER FUND LP</w:t>
      </w:r>
    </w:p>
    <w:p>
      <w:pPr>
        <w:spacing w:after="0" w:line="200" w:lineRule="exact"/>
        <w:rPr>
          <w:sz w:val="20"/>
          <w:szCs w:val="20"/>
          <w:color w:val="auto"/>
        </w:rPr>
      </w:pPr>
    </w:p>
    <w:p>
      <w:pPr>
        <w:sectPr>
          <w:pgSz w:w="11900" w:h="16838" w:orient="portrait"/>
          <w:cols w:equalWidth="0" w:num="2">
            <w:col w:w="5560" w:space="720"/>
            <w:col w:w="5140"/>
          </w:cols>
          <w:pgMar w:left="240" w:top="269"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SCOPIA PX LLC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SCOPIA PX INTERNATIONAL MASTER FUND LP</w:t>
      </w:r>
    </w:p>
    <w:p>
      <w:pPr>
        <w:spacing w:after="0" w:line="200" w:lineRule="exact"/>
        <w:rPr>
          <w:sz w:val="20"/>
          <w:szCs w:val="20"/>
          <w:color w:val="auto"/>
        </w:rPr>
      </w:pPr>
    </w:p>
    <w:p>
      <w:pPr>
        <w:sectPr>
          <w:pgSz w:w="11900" w:h="16838" w:orient="portrait"/>
          <w:cols w:equalWidth="0" w:num="2">
            <w:col w:w="5560" w:space="720"/>
            <w:col w:w="5140"/>
          </w:cols>
          <w:pgMar w:left="240" w:top="269"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SCOPIA PARTNERS LLC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SCOPIA LB INTERNATIONAL MASTER FUND LP</w:t>
      </w:r>
    </w:p>
    <w:p>
      <w:pPr>
        <w:spacing w:after="0" w:line="200" w:lineRule="exact"/>
        <w:rPr>
          <w:sz w:val="20"/>
          <w:szCs w:val="20"/>
          <w:color w:val="auto"/>
        </w:rPr>
      </w:pPr>
    </w:p>
    <w:p>
      <w:pPr>
        <w:sectPr>
          <w:pgSz w:w="11900" w:h="16838" w:orient="portrait"/>
          <w:cols w:equalWidth="0" w:num="2">
            <w:col w:w="5560" w:space="720"/>
            <w:col w:w="5140"/>
          </w:cols>
          <w:pgMar w:left="240" w:top="269" w:right="2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20" w:type="dxa"/>
            <w:vAlign w:val="bottom"/>
          </w:tcPr>
          <w:p>
            <w:pPr>
              <w:spacing w:after="0"/>
              <w:rPr>
                <w:sz w:val="20"/>
                <w:szCs w:val="20"/>
                <w:color w:val="auto"/>
              </w:rPr>
            </w:pPr>
            <w:r>
              <w:rPr>
                <w:rFonts w:ascii="Arial" w:cs="Arial" w:eastAsia="Arial" w:hAnsi="Arial"/>
                <w:sz w:val="17"/>
                <w:szCs w:val="17"/>
                <w:color w:val="auto"/>
                <w:w w:val="99"/>
              </w:rPr>
              <w:t>SCOPIA LONG INTERNATIONAL MASTER FUND LP</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428"/>
        </w:trPr>
        <w:tc>
          <w:tcPr>
            <w:tcW w:w="4120" w:type="dxa"/>
            <w:vAlign w:val="bottom"/>
          </w:tcPr>
          <w:p>
            <w:pPr>
              <w:ind w:left="3720"/>
              <w:spacing w:after="0"/>
              <w:rPr>
                <w:sz w:val="20"/>
                <w:szCs w:val="20"/>
                <w:color w:val="auto"/>
              </w:rPr>
            </w:pPr>
            <w:r>
              <w:rPr>
                <w:rFonts w:ascii="Arial" w:cs="Arial" w:eastAsia="Arial" w:hAnsi="Arial"/>
                <w:sz w:val="17"/>
                <w:szCs w:val="17"/>
                <w:color w:val="auto"/>
              </w:rPr>
              <w:t>By:</w:t>
            </w:r>
          </w:p>
        </w:tc>
        <w:tc>
          <w:tcPr>
            <w:tcW w:w="3580" w:type="dxa"/>
            <w:vAlign w:val="bottom"/>
            <w:gridSpan w:val="3"/>
          </w:tcPr>
          <w:p>
            <w:pPr>
              <w:ind w:left="60"/>
              <w:spacing w:after="0"/>
              <w:rPr>
                <w:sz w:val="20"/>
                <w:szCs w:val="20"/>
                <w:color w:val="auto"/>
              </w:rPr>
            </w:pPr>
            <w:r>
              <w:rPr>
                <w:rFonts w:ascii="Arial" w:cs="Arial" w:eastAsia="Arial" w:hAnsi="Arial"/>
                <w:sz w:val="17"/>
                <w:szCs w:val="17"/>
                <w:color w:val="auto"/>
              </w:rPr>
              <w:t>Scopia Capital Management LP</w:t>
            </w:r>
          </w:p>
        </w:tc>
      </w:tr>
      <w:tr>
        <w:trPr>
          <w:trHeight w:val="217"/>
        </w:trPr>
        <w:tc>
          <w:tcPr>
            <w:tcW w:w="4120" w:type="dxa"/>
            <w:vAlign w:val="bottom"/>
          </w:tcPr>
          <w:p>
            <w:pPr>
              <w:spacing w:after="0"/>
              <w:rPr>
                <w:sz w:val="18"/>
                <w:szCs w:val="18"/>
                <w:color w:val="auto"/>
              </w:rPr>
            </w:pPr>
          </w:p>
        </w:tc>
        <w:tc>
          <w:tcPr>
            <w:tcW w:w="3580" w:type="dxa"/>
            <w:vAlign w:val="bottom"/>
            <w:gridSpan w:val="3"/>
          </w:tcPr>
          <w:p>
            <w:pPr>
              <w:ind w:left="80"/>
              <w:spacing w:after="0"/>
              <w:rPr>
                <w:sz w:val="20"/>
                <w:szCs w:val="20"/>
                <w:color w:val="auto"/>
              </w:rPr>
            </w:pPr>
            <w:r>
              <w:rPr>
                <w:rFonts w:ascii="Arial" w:cs="Arial" w:eastAsia="Arial" w:hAnsi="Arial"/>
                <w:sz w:val="17"/>
                <w:szCs w:val="17"/>
                <w:color w:val="auto"/>
              </w:rPr>
              <w:t>Investment Manager</w:t>
            </w:r>
          </w:p>
        </w:tc>
      </w:tr>
      <w:tr>
        <w:trPr>
          <w:trHeight w:val="402"/>
        </w:trPr>
        <w:tc>
          <w:tcPr>
            <w:tcW w:w="4120" w:type="dxa"/>
            <w:vAlign w:val="bottom"/>
          </w:tcPr>
          <w:p>
            <w:pPr>
              <w:ind w:left="3720"/>
              <w:spacing w:after="0"/>
              <w:rPr>
                <w:sz w:val="20"/>
                <w:szCs w:val="20"/>
                <w:color w:val="auto"/>
              </w:rPr>
            </w:pPr>
            <w:r>
              <w:rPr>
                <w:rFonts w:ascii="Arial" w:cs="Arial" w:eastAsia="Arial" w:hAnsi="Arial"/>
                <w:sz w:val="17"/>
                <w:szCs w:val="17"/>
                <w:color w:val="auto"/>
              </w:rPr>
              <w:t>By:</w:t>
            </w:r>
          </w:p>
        </w:tc>
        <w:tc>
          <w:tcPr>
            <w:tcW w:w="3580" w:type="dxa"/>
            <w:vAlign w:val="bottom"/>
            <w:gridSpan w:val="3"/>
          </w:tcPr>
          <w:p>
            <w:pPr>
              <w:ind w:left="60"/>
              <w:spacing w:after="0"/>
              <w:rPr>
                <w:sz w:val="20"/>
                <w:szCs w:val="20"/>
                <w:color w:val="auto"/>
              </w:rPr>
            </w:pPr>
            <w:r>
              <w:rPr>
                <w:rFonts w:ascii="Arial" w:cs="Arial" w:eastAsia="Arial" w:hAnsi="Arial"/>
                <w:sz w:val="17"/>
                <w:szCs w:val="17"/>
                <w:color w:val="auto"/>
              </w:rPr>
              <w:t>Scopia Management, Inc.</w:t>
            </w:r>
          </w:p>
        </w:tc>
      </w:tr>
      <w:tr>
        <w:trPr>
          <w:trHeight w:val="217"/>
        </w:trPr>
        <w:tc>
          <w:tcPr>
            <w:tcW w:w="4120" w:type="dxa"/>
            <w:vAlign w:val="bottom"/>
          </w:tcPr>
          <w:p>
            <w:pPr>
              <w:spacing w:after="0"/>
              <w:rPr>
                <w:sz w:val="18"/>
                <w:szCs w:val="18"/>
                <w:color w:val="auto"/>
              </w:rPr>
            </w:pPr>
          </w:p>
        </w:tc>
        <w:tc>
          <w:tcPr>
            <w:tcW w:w="3580" w:type="dxa"/>
            <w:vAlign w:val="bottom"/>
            <w:gridSpan w:val="3"/>
          </w:tcPr>
          <w:p>
            <w:pPr>
              <w:ind w:left="80"/>
              <w:spacing w:after="0"/>
              <w:rPr>
                <w:sz w:val="20"/>
                <w:szCs w:val="20"/>
                <w:color w:val="auto"/>
              </w:rPr>
            </w:pPr>
            <w:r>
              <w:rPr>
                <w:rFonts w:ascii="Arial" w:cs="Arial" w:eastAsia="Arial" w:hAnsi="Arial"/>
                <w:sz w:val="17"/>
                <w:szCs w:val="17"/>
                <w:color w:val="auto"/>
              </w:rPr>
              <w:t>General Partner</w:t>
            </w:r>
          </w:p>
        </w:tc>
      </w:tr>
      <w:tr>
        <w:trPr>
          <w:trHeight w:val="420"/>
        </w:trPr>
        <w:tc>
          <w:tcPr>
            <w:tcW w:w="4120" w:type="dxa"/>
            <w:vAlign w:val="bottom"/>
          </w:tcPr>
          <w:p>
            <w:pPr>
              <w:ind w:left="3720"/>
              <w:spacing w:after="0"/>
              <w:rPr>
                <w:sz w:val="20"/>
                <w:szCs w:val="20"/>
                <w:color w:val="auto"/>
              </w:rPr>
            </w:pPr>
            <w:r>
              <w:rPr>
                <w:rFonts w:ascii="Arial" w:cs="Arial" w:eastAsia="Arial" w:hAnsi="Arial"/>
                <w:sz w:val="17"/>
                <w:szCs w:val="17"/>
                <w:color w:val="auto"/>
              </w:rPr>
              <w:t>By:</w:t>
            </w:r>
          </w:p>
        </w:tc>
        <w:tc>
          <w:tcPr>
            <w:tcW w:w="120" w:type="dxa"/>
            <w:vAlign w:val="bottom"/>
          </w:tcPr>
          <w:p>
            <w:pPr>
              <w:spacing w:after="0"/>
              <w:rPr>
                <w:sz w:val="24"/>
                <w:szCs w:val="24"/>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Matthew Sirovich</w:t>
            </w:r>
          </w:p>
        </w:tc>
      </w:tr>
      <w:tr>
        <w:trPr>
          <w:trHeight w:val="194"/>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2820" w:type="dxa"/>
            <w:vAlign w:val="bottom"/>
          </w:tcPr>
          <w:p>
            <w:pPr>
              <w:ind w:left="200"/>
              <w:spacing w:after="0" w:line="194" w:lineRule="exact"/>
              <w:rPr>
                <w:sz w:val="20"/>
                <w:szCs w:val="20"/>
                <w:color w:val="auto"/>
              </w:rPr>
            </w:pPr>
            <w:r>
              <w:rPr>
                <w:rFonts w:ascii="Arial" w:cs="Arial" w:eastAsia="Arial" w:hAnsi="Arial"/>
                <w:sz w:val="17"/>
                <w:szCs w:val="17"/>
                <w:color w:val="auto"/>
              </w:rPr>
              <w:t>Matthew Sirovich</w:t>
            </w:r>
          </w:p>
        </w:tc>
      </w:tr>
      <w:tr>
        <w:trPr>
          <w:trHeight w:val="217"/>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2820" w:type="dxa"/>
            <w:vAlign w:val="bottom"/>
          </w:tcPr>
          <w:p>
            <w:pPr>
              <w:ind w:left="200"/>
              <w:spacing w:after="0"/>
              <w:rPr>
                <w:sz w:val="20"/>
                <w:szCs w:val="20"/>
                <w:color w:val="auto"/>
              </w:rPr>
            </w:pPr>
            <w:r>
              <w:rPr>
                <w:rFonts w:ascii="Arial" w:cs="Arial" w:eastAsia="Arial" w:hAnsi="Arial"/>
                <w:sz w:val="17"/>
                <w:szCs w:val="17"/>
                <w:color w:val="auto"/>
              </w:rPr>
              <w:t>Managing Director</w:t>
            </w: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260" w:type="dxa"/>
            <w:vAlign w:val="bottom"/>
            <w:gridSpan w:val="4"/>
          </w:tcPr>
          <w:p>
            <w:pPr>
              <w:ind w:left="1120"/>
              <w:spacing w:after="0"/>
              <w:rPr>
                <w:sz w:val="20"/>
                <w:szCs w:val="20"/>
                <w:color w:val="auto"/>
              </w:rPr>
            </w:pPr>
            <w:r>
              <w:rPr>
                <w:rFonts w:ascii="Arial" w:cs="Arial" w:eastAsia="Arial" w:hAnsi="Arial"/>
                <w:sz w:val="17"/>
                <w:szCs w:val="17"/>
                <w:color w:val="auto"/>
              </w:rPr>
              <w:t>SCOPIA CAPITAL MANAGEMENT LP</w:t>
            </w:r>
          </w:p>
        </w:tc>
      </w:tr>
      <w:tr>
        <w:trPr>
          <w:trHeight w:val="402"/>
        </w:trPr>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00" w:type="dxa"/>
            <w:vAlign w:val="bottom"/>
          </w:tcPr>
          <w:p>
            <w:pPr>
              <w:ind w:left="1120"/>
              <w:spacing w:after="0"/>
              <w:rPr>
                <w:sz w:val="20"/>
                <w:szCs w:val="20"/>
                <w:color w:val="auto"/>
              </w:rPr>
            </w:pPr>
            <w:r>
              <w:rPr>
                <w:rFonts w:ascii="Arial" w:cs="Arial" w:eastAsia="Arial" w:hAnsi="Arial"/>
                <w:sz w:val="17"/>
                <w:szCs w:val="17"/>
                <w:color w:val="auto"/>
              </w:rPr>
              <w:t>By:</w:t>
            </w:r>
          </w:p>
        </w:tc>
        <w:tc>
          <w:tcPr>
            <w:tcW w:w="4560" w:type="dxa"/>
            <w:vAlign w:val="bottom"/>
            <w:gridSpan w:val="3"/>
          </w:tcPr>
          <w:p>
            <w:pPr>
              <w:spacing w:after="0"/>
              <w:rPr>
                <w:sz w:val="20"/>
                <w:szCs w:val="20"/>
                <w:color w:val="auto"/>
              </w:rPr>
            </w:pPr>
            <w:r>
              <w:rPr>
                <w:rFonts w:ascii="Arial" w:cs="Arial" w:eastAsia="Arial" w:hAnsi="Arial"/>
                <w:sz w:val="17"/>
                <w:szCs w:val="17"/>
                <w:color w:val="auto"/>
              </w:rPr>
              <w:t>Scopia Management, Inc.</w:t>
            </w:r>
          </w:p>
        </w:tc>
      </w:tr>
      <w:tr>
        <w:trPr>
          <w:trHeight w:val="217"/>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General Partner</w:t>
            </w:r>
          </w:p>
        </w:tc>
      </w:tr>
      <w:tr>
        <w:trPr>
          <w:trHeight w:val="420"/>
        </w:trPr>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00" w:type="dxa"/>
            <w:vAlign w:val="bottom"/>
          </w:tcPr>
          <w:p>
            <w:pPr>
              <w:ind w:left="1120"/>
              <w:spacing w:after="0"/>
              <w:rPr>
                <w:sz w:val="20"/>
                <w:szCs w:val="20"/>
                <w:color w:val="auto"/>
              </w:rPr>
            </w:pPr>
            <w:r>
              <w:rPr>
                <w:rFonts w:ascii="Arial" w:cs="Arial" w:eastAsia="Arial" w:hAnsi="Arial"/>
                <w:sz w:val="17"/>
                <w:szCs w:val="17"/>
                <w:color w:val="auto"/>
              </w:rPr>
              <w:t>By:</w:t>
            </w:r>
          </w:p>
        </w:tc>
        <w:tc>
          <w:tcPr>
            <w:tcW w:w="45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Matthew Sirovich</w:t>
            </w:r>
          </w:p>
        </w:tc>
      </w:tr>
      <w:tr>
        <w:trPr>
          <w:trHeight w:val="194"/>
        </w:trPr>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40" w:type="dxa"/>
            <w:vAlign w:val="bottom"/>
            <w:gridSpan w:val="2"/>
          </w:tcPr>
          <w:p>
            <w:pPr>
              <w:spacing w:after="0" w:line="194" w:lineRule="exact"/>
              <w:rPr>
                <w:sz w:val="20"/>
                <w:szCs w:val="20"/>
                <w:color w:val="auto"/>
              </w:rPr>
            </w:pPr>
            <w:r>
              <w:rPr>
                <w:rFonts w:ascii="Arial" w:cs="Arial" w:eastAsia="Arial" w:hAnsi="Arial"/>
                <w:sz w:val="17"/>
                <w:szCs w:val="17"/>
                <w:color w:val="auto"/>
              </w:rPr>
              <w:t>Name:</w:t>
            </w:r>
          </w:p>
        </w:tc>
        <w:tc>
          <w:tcPr>
            <w:tcW w:w="3920" w:type="dxa"/>
            <w:vAlign w:val="bottom"/>
          </w:tcPr>
          <w:p>
            <w:pPr>
              <w:ind w:left="160"/>
              <w:spacing w:after="0" w:line="194" w:lineRule="exact"/>
              <w:rPr>
                <w:sz w:val="20"/>
                <w:szCs w:val="20"/>
                <w:color w:val="auto"/>
              </w:rPr>
            </w:pPr>
            <w:r>
              <w:rPr>
                <w:rFonts w:ascii="Arial" w:cs="Arial" w:eastAsia="Arial" w:hAnsi="Arial"/>
                <w:sz w:val="17"/>
                <w:szCs w:val="17"/>
                <w:color w:val="auto"/>
              </w:rPr>
              <w:t>Matthew Sirovich</w:t>
            </w:r>
          </w:p>
        </w:tc>
      </w:tr>
      <w:tr>
        <w:trPr>
          <w:trHeight w:val="217"/>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7"/>
                <w:szCs w:val="17"/>
                <w:color w:val="auto"/>
              </w:rPr>
              <w:t>Title:</w:t>
            </w:r>
          </w:p>
        </w:tc>
        <w:tc>
          <w:tcPr>
            <w:tcW w:w="3920" w:type="dxa"/>
            <w:vAlign w:val="bottom"/>
          </w:tcPr>
          <w:p>
            <w:pPr>
              <w:ind w:left="160"/>
              <w:spacing w:after="0"/>
              <w:rPr>
                <w:sz w:val="20"/>
                <w:szCs w:val="20"/>
                <w:color w:val="auto"/>
              </w:rPr>
            </w:pPr>
            <w:r>
              <w:rPr>
                <w:rFonts w:ascii="Arial" w:cs="Arial" w:eastAsia="Arial" w:hAnsi="Arial"/>
                <w:sz w:val="17"/>
                <w:szCs w:val="17"/>
                <w:color w:val="auto"/>
              </w:rPr>
              <w:t>Managing Director</w:t>
            </w:r>
          </w:p>
        </w:tc>
      </w:tr>
      <w:tr>
        <w:trPr>
          <w:trHeight w:val="671"/>
        </w:trPr>
        <w:tc>
          <w:tcPr>
            <w:tcW w:w="5160" w:type="dxa"/>
            <w:vAlign w:val="bottom"/>
            <w:gridSpan w:val="3"/>
          </w:tcPr>
          <w:p>
            <w:pPr>
              <w:spacing w:after="0"/>
              <w:rPr>
                <w:sz w:val="20"/>
                <w:szCs w:val="20"/>
                <w:color w:val="auto"/>
              </w:rPr>
            </w:pPr>
            <w:r>
              <w:rPr>
                <w:rFonts w:ascii="Arial" w:cs="Arial" w:eastAsia="Arial" w:hAnsi="Arial"/>
                <w:sz w:val="17"/>
                <w:szCs w:val="17"/>
                <w:color w:val="auto"/>
              </w:rPr>
              <w:t>SCOPIA CAPITAL GP LLC</w:t>
            </w:r>
          </w:p>
        </w:tc>
        <w:tc>
          <w:tcPr>
            <w:tcW w:w="6260" w:type="dxa"/>
            <w:vAlign w:val="bottom"/>
            <w:gridSpan w:val="4"/>
          </w:tcPr>
          <w:p>
            <w:pPr>
              <w:ind w:left="1140"/>
              <w:spacing w:after="0"/>
              <w:rPr>
                <w:sz w:val="20"/>
                <w:szCs w:val="20"/>
                <w:color w:val="auto"/>
              </w:rPr>
            </w:pPr>
            <w:r>
              <w:rPr>
                <w:rFonts w:ascii="Arial" w:cs="Arial" w:eastAsia="Arial" w:hAnsi="Arial"/>
                <w:sz w:val="17"/>
                <w:szCs w:val="17"/>
                <w:color w:val="auto"/>
              </w:rPr>
              <w:t>SCOPIA MANAGEMENT, INC.</w:t>
            </w:r>
          </w:p>
        </w:tc>
      </w:tr>
      <w:tr>
        <w:trPr>
          <w:trHeight w:val="420"/>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4580" w:type="dxa"/>
            <w:vAlign w:val="bottom"/>
            <w:gridSpan w:val="2"/>
          </w:tcPr>
          <w:p>
            <w:pPr>
              <w:spacing w:after="0"/>
              <w:rPr>
                <w:sz w:val="20"/>
                <w:szCs w:val="20"/>
                <w:color w:val="auto"/>
              </w:rPr>
            </w:pPr>
            <w:r>
              <w:rPr>
                <w:rFonts w:ascii="Arial" w:cs="Arial" w:eastAsia="Arial" w:hAnsi="Arial"/>
                <w:sz w:val="17"/>
                <w:szCs w:val="17"/>
                <w:color w:val="auto"/>
              </w:rPr>
              <w:t>/s/ Matthew Sirovich</w:t>
            </w:r>
          </w:p>
        </w:tc>
        <w:tc>
          <w:tcPr>
            <w:tcW w:w="1700" w:type="dxa"/>
            <w:vAlign w:val="bottom"/>
          </w:tcPr>
          <w:p>
            <w:pPr>
              <w:ind w:left="1140"/>
              <w:spacing w:after="0"/>
              <w:rPr>
                <w:sz w:val="20"/>
                <w:szCs w:val="20"/>
                <w:color w:val="auto"/>
              </w:rPr>
            </w:pPr>
            <w:r>
              <w:rPr>
                <w:rFonts w:ascii="Arial" w:cs="Arial" w:eastAsia="Arial" w:hAnsi="Arial"/>
                <w:sz w:val="17"/>
                <w:szCs w:val="17"/>
                <w:color w:val="auto"/>
              </w:rPr>
              <w:t>By:</w:t>
            </w:r>
          </w:p>
        </w:tc>
        <w:tc>
          <w:tcPr>
            <w:tcW w:w="4560" w:type="dxa"/>
            <w:vAlign w:val="bottom"/>
            <w:gridSpan w:val="3"/>
          </w:tcPr>
          <w:p>
            <w:pPr>
              <w:spacing w:after="0"/>
              <w:rPr>
                <w:sz w:val="20"/>
                <w:szCs w:val="20"/>
                <w:color w:val="auto"/>
              </w:rPr>
            </w:pPr>
            <w:r>
              <w:rPr>
                <w:rFonts w:ascii="Arial" w:cs="Arial" w:eastAsia="Arial" w:hAnsi="Arial"/>
                <w:sz w:val="17"/>
                <w:szCs w:val="17"/>
                <w:color w:val="auto"/>
              </w:rPr>
              <w:t>/s/ Matthew Sirovich</w:t>
            </w:r>
          </w:p>
        </w:tc>
      </w:tr>
      <w:tr>
        <w:trPr>
          <w:trHeight w:val="194"/>
        </w:trPr>
        <w:tc>
          <w:tcPr>
            <w:tcW w:w="580" w:type="dxa"/>
            <w:vAlign w:val="bottom"/>
          </w:tcPr>
          <w:p>
            <w:pPr>
              <w:spacing w:after="0"/>
              <w:rPr>
                <w:sz w:val="16"/>
                <w:szCs w:val="16"/>
                <w:color w:val="auto"/>
              </w:rPr>
            </w:pPr>
          </w:p>
        </w:tc>
        <w:tc>
          <w:tcPr>
            <w:tcW w:w="6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Name:</w:t>
            </w:r>
          </w:p>
        </w:tc>
        <w:tc>
          <w:tcPr>
            <w:tcW w:w="3940" w:type="dxa"/>
            <w:vAlign w:val="bottom"/>
            <w:tcBorders>
              <w:top w:val="single" w:sz="8" w:color="auto"/>
            </w:tcBorders>
          </w:tcPr>
          <w:p>
            <w:pPr>
              <w:ind w:left="160"/>
              <w:spacing w:after="0" w:line="194" w:lineRule="exact"/>
              <w:rPr>
                <w:sz w:val="20"/>
                <w:szCs w:val="20"/>
                <w:color w:val="auto"/>
              </w:rPr>
            </w:pPr>
            <w:r>
              <w:rPr>
                <w:rFonts w:ascii="Arial" w:cs="Arial" w:eastAsia="Arial" w:hAnsi="Arial"/>
                <w:sz w:val="17"/>
                <w:szCs w:val="17"/>
                <w:color w:val="auto"/>
              </w:rPr>
              <w:t>Matthew Sirovich</w:t>
            </w: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Name:</w:t>
            </w:r>
          </w:p>
        </w:tc>
        <w:tc>
          <w:tcPr>
            <w:tcW w:w="3920" w:type="dxa"/>
            <w:vAlign w:val="bottom"/>
            <w:tcBorders>
              <w:top w:val="single" w:sz="8" w:color="auto"/>
            </w:tcBorders>
          </w:tcPr>
          <w:p>
            <w:pPr>
              <w:ind w:left="160"/>
              <w:spacing w:after="0" w:line="194" w:lineRule="exact"/>
              <w:rPr>
                <w:sz w:val="20"/>
                <w:szCs w:val="20"/>
                <w:color w:val="auto"/>
              </w:rPr>
            </w:pPr>
            <w:r>
              <w:rPr>
                <w:rFonts w:ascii="Arial" w:cs="Arial" w:eastAsia="Arial" w:hAnsi="Arial"/>
                <w:sz w:val="17"/>
                <w:szCs w:val="17"/>
                <w:color w:val="auto"/>
              </w:rPr>
              <w:t>Matthew Sirovich</w:t>
            </w:r>
          </w:p>
        </w:tc>
      </w:tr>
      <w:tr>
        <w:trPr>
          <w:trHeight w:val="217"/>
        </w:trPr>
        <w:tc>
          <w:tcPr>
            <w:tcW w:w="5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3940" w:type="dxa"/>
            <w:vAlign w:val="bottom"/>
          </w:tcPr>
          <w:p>
            <w:pPr>
              <w:ind w:left="160"/>
              <w:spacing w:after="0"/>
              <w:rPr>
                <w:sz w:val="20"/>
                <w:szCs w:val="20"/>
                <w:color w:val="auto"/>
              </w:rPr>
            </w:pPr>
            <w:r>
              <w:rPr>
                <w:rFonts w:ascii="Arial" w:cs="Arial" w:eastAsia="Arial" w:hAnsi="Arial"/>
                <w:sz w:val="17"/>
                <w:szCs w:val="17"/>
                <w:color w:val="auto"/>
              </w:rPr>
              <w:t>Managing Member</w:t>
            </w:r>
          </w:p>
        </w:tc>
        <w:tc>
          <w:tcPr>
            <w:tcW w:w="17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7"/>
                <w:szCs w:val="17"/>
                <w:color w:val="auto"/>
              </w:rPr>
              <w:t>Title:</w:t>
            </w:r>
          </w:p>
        </w:tc>
        <w:tc>
          <w:tcPr>
            <w:tcW w:w="3920" w:type="dxa"/>
            <w:vAlign w:val="bottom"/>
          </w:tcPr>
          <w:p>
            <w:pPr>
              <w:ind w:left="160"/>
              <w:spacing w:after="0"/>
              <w:rPr>
                <w:sz w:val="20"/>
                <w:szCs w:val="20"/>
                <w:color w:val="auto"/>
              </w:rPr>
            </w:pPr>
            <w:r>
              <w:rPr>
                <w:rFonts w:ascii="Arial" w:cs="Arial" w:eastAsia="Arial" w:hAnsi="Arial"/>
                <w:sz w:val="17"/>
                <w:szCs w:val="17"/>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/s/ Matthew Sirovich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6136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61360" cy="16510"/>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MATTHEW SIROVICH</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/S/ Jeremy Mindich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6136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61360" cy="16510"/>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JEREMY MINDICH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17"/>
        </w:trPr>
        <w:tc>
          <w:tcPr>
            <w:tcW w:w="3280" w:type="dxa"/>
            <w:vAlign w:val="bottom"/>
            <w:gridSpan w:val="4"/>
          </w:tcPr>
          <w:p>
            <w:pPr>
              <w:spacing w:after="0"/>
              <w:rPr>
                <w:sz w:val="20"/>
                <w:szCs w:val="20"/>
                <w:color w:val="auto"/>
              </w:rPr>
            </w:pPr>
            <w:r>
              <w:rPr>
                <w:rFonts w:ascii="Arial" w:cs="Arial" w:eastAsia="Arial" w:hAnsi="Arial"/>
                <w:sz w:val="17"/>
                <w:szCs w:val="17"/>
                <w:color w:val="auto"/>
              </w:rPr>
              <w:t>CUSIP NO. 465741106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SCHEDULE A</w:t>
            </w:r>
          </w:p>
        </w:tc>
        <w:tc>
          <w:tcPr>
            <w:tcW w:w="204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40" w:type="dxa"/>
            <w:vAlign w:val="bottom"/>
            <w:gridSpan w:val="14"/>
          </w:tcPr>
          <w:p>
            <w:pPr>
              <w:jc w:val="center"/>
              <w:ind w:right="660"/>
              <w:spacing w:after="0"/>
              <w:rPr>
                <w:sz w:val="20"/>
                <w:szCs w:val="20"/>
                <w:color w:val="auto"/>
              </w:rPr>
            </w:pPr>
            <w:r>
              <w:rPr>
                <w:rFonts w:ascii="Arial" w:cs="Arial" w:eastAsia="Arial" w:hAnsi="Arial"/>
                <w:sz w:val="17"/>
                <w:szCs w:val="17"/>
                <w:b w:val="1"/>
                <w:bCs w:val="1"/>
                <w:color w:val="auto"/>
                <w:w w:val="90"/>
              </w:rPr>
              <w:t>Transactions in the Shares During the Past 60 Days</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3260" w:type="dxa"/>
            <w:vAlign w:val="bottom"/>
            <w:gridSpan w:val="3"/>
          </w:tcPr>
          <w:p>
            <w:pPr>
              <w:jc w:val="center"/>
              <w:ind w:left="414"/>
              <w:spacing w:after="0"/>
              <w:rPr>
                <w:sz w:val="20"/>
                <w:szCs w:val="20"/>
                <w:color w:val="auto"/>
              </w:rPr>
            </w:pPr>
            <w:r>
              <w:rPr>
                <w:rFonts w:ascii="Arial" w:cs="Arial" w:eastAsia="Arial" w:hAnsi="Arial"/>
                <w:sz w:val="17"/>
                <w:szCs w:val="17"/>
                <w:color w:val="auto"/>
                <w:w w:val="90"/>
              </w:rPr>
              <w:t>Shares of Common Stock</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gridSpan w:val="7"/>
          </w:tcPr>
          <w:p>
            <w:pPr>
              <w:jc w:val="center"/>
              <w:ind w:right="1340"/>
              <w:spacing w:after="0"/>
              <w:rPr>
                <w:sz w:val="20"/>
                <w:szCs w:val="20"/>
                <w:color w:val="auto"/>
              </w:rPr>
            </w:pPr>
            <w:r>
              <w:rPr>
                <w:rFonts w:ascii="Arial" w:cs="Arial" w:eastAsia="Arial" w:hAnsi="Arial"/>
                <w:sz w:val="17"/>
                <w:szCs w:val="17"/>
                <w:color w:val="auto"/>
                <w:w w:val="88"/>
              </w:rPr>
              <w:t>Price Per</w:t>
            </w:r>
          </w:p>
        </w:tc>
        <w:tc>
          <w:tcPr>
            <w:tcW w:w="72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2420" w:type="dxa"/>
            <w:vAlign w:val="bottom"/>
            <w:gridSpan w:val="2"/>
          </w:tcPr>
          <w:p>
            <w:pPr>
              <w:jc w:val="center"/>
              <w:ind w:right="1380"/>
              <w:spacing w:after="0"/>
              <w:rPr>
                <w:sz w:val="20"/>
                <w:szCs w:val="20"/>
                <w:color w:val="auto"/>
              </w:rPr>
            </w:pPr>
            <w:r>
              <w:rPr>
                <w:rFonts w:ascii="Arial" w:cs="Arial" w:eastAsia="Arial" w:hAnsi="Arial"/>
                <w:sz w:val="17"/>
                <w:szCs w:val="17"/>
                <w:color w:val="auto"/>
                <w:w w:val="94"/>
              </w:rPr>
              <w:t>Date of</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0" w:type="dxa"/>
            <w:vAlign w:val="bottom"/>
            <w:gridSpan w:val="2"/>
          </w:tcPr>
          <w:p>
            <w:pPr>
              <w:jc w:val="center"/>
              <w:ind w:right="760"/>
              <w:spacing w:after="0" w:line="182" w:lineRule="exact"/>
              <w:rPr>
                <w:sz w:val="20"/>
                <w:szCs w:val="20"/>
                <w:color w:val="auto"/>
              </w:rPr>
            </w:pPr>
            <w:r>
              <w:rPr>
                <w:rFonts w:ascii="Arial" w:cs="Arial" w:eastAsia="Arial" w:hAnsi="Arial"/>
                <w:sz w:val="15"/>
                <w:szCs w:val="15"/>
                <w:color w:val="auto"/>
              </w:rPr>
              <w:t>Purchased/(Sold)</w:t>
            </w:r>
            <w:r>
              <w:rPr>
                <w:rFonts w:ascii="Arial" w:cs="Arial" w:eastAsia="Arial" w:hAnsi="Arial"/>
                <w:sz w:val="21"/>
                <w:szCs w:val="21"/>
                <w:color w:val="auto"/>
                <w:vertAlign w:val="superscript"/>
              </w:rPr>
              <w:t>*</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gridSpan w:val="8"/>
          </w:tcPr>
          <w:p>
            <w:pPr>
              <w:jc w:val="center"/>
              <w:ind w:right="2300"/>
              <w:spacing w:after="0" w:line="182" w:lineRule="exact"/>
              <w:rPr>
                <w:sz w:val="20"/>
                <w:szCs w:val="20"/>
                <w:color w:val="auto"/>
              </w:rPr>
            </w:pPr>
            <w:r>
              <w:rPr>
                <w:rFonts w:ascii="Arial" w:cs="Arial" w:eastAsia="Arial" w:hAnsi="Arial"/>
                <w:sz w:val="17"/>
                <w:szCs w:val="17"/>
                <w:u w:val="single" w:color="auto"/>
                <w:color w:val="auto"/>
                <w:w w:val="90"/>
              </w:rPr>
              <w:t>Share($</w:t>
            </w:r>
            <w:r>
              <w:rPr>
                <w:rFonts w:ascii="Arial" w:cs="Arial" w:eastAsia="Arial" w:hAnsi="Arial"/>
                <w:sz w:val="17"/>
                <w:szCs w:val="17"/>
                <w:color w:val="auto"/>
                <w:w w:val="90"/>
              </w:rPr>
              <w:t>)</w:t>
            </w:r>
          </w:p>
        </w:tc>
        <w:tc>
          <w:tcPr>
            <w:tcW w:w="3100" w:type="dxa"/>
            <w:vAlign w:val="bottom"/>
            <w:gridSpan w:val="3"/>
          </w:tcPr>
          <w:p>
            <w:pPr>
              <w:jc w:val="center"/>
              <w:ind w:right="700"/>
              <w:spacing w:after="0" w:line="182" w:lineRule="exact"/>
              <w:rPr>
                <w:sz w:val="20"/>
                <w:szCs w:val="20"/>
                <w:color w:val="auto"/>
              </w:rPr>
            </w:pPr>
            <w:r>
              <w:rPr>
                <w:rFonts w:ascii="Arial" w:cs="Arial" w:eastAsia="Arial" w:hAnsi="Arial"/>
                <w:sz w:val="17"/>
                <w:szCs w:val="17"/>
                <w:color w:val="auto"/>
                <w:w w:val="86"/>
              </w:rPr>
              <w:t>Purchase / Sale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80" w:type="dxa"/>
            <w:vAlign w:val="bottom"/>
            <w:gridSpan w:val="12"/>
          </w:tcPr>
          <w:p>
            <w:pPr>
              <w:jc w:val="center"/>
              <w:ind w:right="940"/>
              <w:spacing w:after="0"/>
              <w:rPr>
                <w:sz w:val="20"/>
                <w:szCs w:val="20"/>
                <w:color w:val="auto"/>
              </w:rPr>
            </w:pPr>
            <w:r>
              <w:rPr>
                <w:rFonts w:ascii="Arial" w:cs="Arial" w:eastAsia="Arial" w:hAnsi="Arial"/>
                <w:sz w:val="17"/>
                <w:szCs w:val="17"/>
                <w:b w:val="1"/>
                <w:bCs w:val="1"/>
                <w:color w:val="auto"/>
              </w:rPr>
              <w:t>COPPERSMITH VALUE PARTNERS II, LP</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440" w:type="dxa"/>
            <w:vAlign w:val="bottom"/>
            <w:gridSpan w:val="2"/>
            <w:shd w:val="clear" w:color="auto" w:fill="CCEEFF"/>
          </w:tcPr>
          <w:p>
            <w:pPr>
              <w:jc w:val="center"/>
              <w:ind w:left="1254"/>
              <w:spacing w:after="0"/>
              <w:rPr>
                <w:sz w:val="20"/>
                <w:szCs w:val="20"/>
                <w:color w:val="auto"/>
              </w:rPr>
            </w:pPr>
            <w:r>
              <w:rPr>
                <w:rFonts w:ascii="Arial" w:cs="Arial" w:eastAsia="Arial" w:hAnsi="Arial"/>
                <w:sz w:val="17"/>
                <w:szCs w:val="17"/>
                <w:color w:val="auto"/>
                <w:w w:val="88"/>
              </w:rPr>
              <w:t>25,000</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30.7177</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08/24/2015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tcPr>
          <w:p>
            <w:pPr>
              <w:jc w:val="center"/>
              <w:ind w:left="1254"/>
              <w:spacing w:after="0"/>
              <w:rPr>
                <w:sz w:val="20"/>
                <w:szCs w:val="20"/>
                <w:color w:val="auto"/>
              </w:rPr>
            </w:pPr>
            <w:r>
              <w:rPr>
                <w:rFonts w:ascii="Arial" w:cs="Arial" w:eastAsia="Arial" w:hAnsi="Arial"/>
                <w:sz w:val="17"/>
                <w:szCs w:val="17"/>
                <w:color w:val="auto"/>
                <w:w w:val="88"/>
              </w:rPr>
              <w:t>20,000</w:t>
            </w:r>
          </w:p>
        </w:tc>
        <w:tc>
          <w:tcPr>
            <w:tcW w:w="820" w:type="dxa"/>
            <w:vAlign w:val="bottom"/>
          </w:tcPr>
          <w:p>
            <w:pPr>
              <w:spacing w:after="0"/>
              <w:rPr>
                <w:sz w:val="17"/>
                <w:szCs w:val="17"/>
                <w:color w:val="auto"/>
              </w:rPr>
            </w:pPr>
          </w:p>
        </w:tc>
        <w:tc>
          <w:tcPr>
            <w:tcW w:w="2740" w:type="dxa"/>
            <w:vAlign w:val="bottom"/>
            <w:gridSpan w:val="8"/>
          </w:tcPr>
          <w:p>
            <w:pPr>
              <w:jc w:val="center"/>
              <w:ind w:left="2054"/>
              <w:spacing w:after="0"/>
              <w:rPr>
                <w:sz w:val="20"/>
                <w:szCs w:val="20"/>
                <w:color w:val="auto"/>
              </w:rPr>
            </w:pPr>
            <w:r>
              <w:rPr>
                <w:rFonts w:ascii="Arial" w:cs="Arial" w:eastAsia="Arial" w:hAnsi="Arial"/>
                <w:sz w:val="17"/>
                <w:szCs w:val="17"/>
                <w:color w:val="auto"/>
                <w:w w:val="91"/>
              </w:rPr>
              <w:t>30.1705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gridSpan w:val="2"/>
          </w:tcPr>
          <w:p>
            <w:pPr>
              <w:jc w:val="center"/>
              <w:ind w:left="594"/>
              <w:spacing w:after="0"/>
              <w:rPr>
                <w:sz w:val="20"/>
                <w:szCs w:val="20"/>
                <w:color w:val="auto"/>
              </w:rPr>
            </w:pPr>
            <w:r>
              <w:rPr>
                <w:rFonts w:ascii="Arial" w:cs="Arial" w:eastAsia="Arial" w:hAnsi="Arial"/>
                <w:sz w:val="17"/>
                <w:szCs w:val="17"/>
                <w:color w:val="auto"/>
                <w:w w:val="93"/>
              </w:rPr>
              <w:t>08/25/2015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shd w:val="clear" w:color="auto" w:fill="CCEEFF"/>
          </w:tcPr>
          <w:p>
            <w:pPr>
              <w:jc w:val="center"/>
              <w:ind w:left="1254"/>
              <w:spacing w:after="0"/>
              <w:rPr>
                <w:sz w:val="20"/>
                <w:szCs w:val="20"/>
                <w:color w:val="auto"/>
              </w:rPr>
            </w:pPr>
            <w:r>
              <w:rPr>
                <w:rFonts w:ascii="Arial" w:cs="Arial" w:eastAsia="Arial" w:hAnsi="Arial"/>
                <w:sz w:val="17"/>
                <w:szCs w:val="17"/>
                <w:color w:val="auto"/>
                <w:w w:val="88"/>
              </w:rPr>
              <w:t>15,000</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29.6139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08/26/2015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tcPr>
          <w:p>
            <w:pPr>
              <w:jc w:val="center"/>
              <w:ind w:left="1254"/>
              <w:spacing w:after="0"/>
              <w:rPr>
                <w:sz w:val="20"/>
                <w:szCs w:val="20"/>
                <w:color w:val="auto"/>
              </w:rPr>
            </w:pPr>
            <w:r>
              <w:rPr>
                <w:rFonts w:ascii="Arial" w:cs="Arial" w:eastAsia="Arial" w:hAnsi="Arial"/>
                <w:sz w:val="17"/>
                <w:szCs w:val="17"/>
                <w:color w:val="auto"/>
                <w:w w:val="88"/>
              </w:rPr>
              <w:t>15,000</w:t>
            </w:r>
          </w:p>
        </w:tc>
        <w:tc>
          <w:tcPr>
            <w:tcW w:w="820" w:type="dxa"/>
            <w:vAlign w:val="bottom"/>
          </w:tcPr>
          <w:p>
            <w:pPr>
              <w:spacing w:after="0"/>
              <w:rPr>
                <w:sz w:val="17"/>
                <w:szCs w:val="17"/>
                <w:color w:val="auto"/>
              </w:rPr>
            </w:pPr>
          </w:p>
        </w:tc>
        <w:tc>
          <w:tcPr>
            <w:tcW w:w="2740" w:type="dxa"/>
            <w:vAlign w:val="bottom"/>
            <w:gridSpan w:val="8"/>
          </w:tcPr>
          <w:p>
            <w:pPr>
              <w:jc w:val="center"/>
              <w:ind w:left="2054"/>
              <w:spacing w:after="0"/>
              <w:rPr>
                <w:sz w:val="20"/>
                <w:szCs w:val="20"/>
                <w:color w:val="auto"/>
              </w:rPr>
            </w:pPr>
            <w:r>
              <w:rPr>
                <w:rFonts w:ascii="Arial" w:cs="Arial" w:eastAsia="Arial" w:hAnsi="Arial"/>
                <w:sz w:val="17"/>
                <w:szCs w:val="17"/>
                <w:color w:val="auto"/>
                <w:w w:val="91"/>
              </w:rPr>
              <w:t>29.2986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gridSpan w:val="2"/>
          </w:tcPr>
          <w:p>
            <w:pPr>
              <w:jc w:val="center"/>
              <w:ind w:left="594"/>
              <w:spacing w:after="0"/>
              <w:rPr>
                <w:sz w:val="20"/>
                <w:szCs w:val="20"/>
                <w:color w:val="auto"/>
              </w:rPr>
            </w:pPr>
            <w:r>
              <w:rPr>
                <w:rFonts w:ascii="Arial" w:cs="Arial" w:eastAsia="Arial" w:hAnsi="Arial"/>
                <w:sz w:val="17"/>
                <w:szCs w:val="17"/>
                <w:color w:val="auto"/>
                <w:w w:val="93"/>
              </w:rPr>
              <w:t>08/27/2015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shd w:val="clear" w:color="auto" w:fill="CCEEFF"/>
          </w:tcPr>
          <w:p>
            <w:pPr>
              <w:jc w:val="center"/>
              <w:ind w:left="1254"/>
              <w:spacing w:after="0"/>
              <w:rPr>
                <w:sz w:val="20"/>
                <w:szCs w:val="20"/>
                <w:color w:val="auto"/>
              </w:rPr>
            </w:pPr>
            <w:r>
              <w:rPr>
                <w:rFonts w:ascii="Arial" w:cs="Arial" w:eastAsia="Arial" w:hAnsi="Arial"/>
                <w:sz w:val="17"/>
                <w:szCs w:val="17"/>
                <w:color w:val="auto"/>
                <w:w w:val="88"/>
              </w:rPr>
              <w:t>10,000</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29.9872</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08/28/2015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tcPr>
          <w:p>
            <w:pPr>
              <w:jc w:val="center"/>
              <w:ind w:left="1254"/>
              <w:spacing w:after="0"/>
              <w:rPr>
                <w:sz w:val="20"/>
                <w:szCs w:val="20"/>
                <w:color w:val="auto"/>
              </w:rPr>
            </w:pPr>
            <w:r>
              <w:rPr>
                <w:rFonts w:ascii="Arial" w:cs="Arial" w:eastAsia="Arial" w:hAnsi="Arial"/>
                <w:sz w:val="17"/>
                <w:szCs w:val="17"/>
                <w:color w:val="auto"/>
                <w:w w:val="88"/>
              </w:rPr>
              <w:t>15,000</w:t>
            </w:r>
          </w:p>
        </w:tc>
        <w:tc>
          <w:tcPr>
            <w:tcW w:w="820" w:type="dxa"/>
            <w:vAlign w:val="bottom"/>
          </w:tcPr>
          <w:p>
            <w:pPr>
              <w:spacing w:after="0"/>
              <w:rPr>
                <w:sz w:val="17"/>
                <w:szCs w:val="17"/>
                <w:color w:val="auto"/>
              </w:rPr>
            </w:pPr>
          </w:p>
        </w:tc>
        <w:tc>
          <w:tcPr>
            <w:tcW w:w="2740" w:type="dxa"/>
            <w:vAlign w:val="bottom"/>
            <w:gridSpan w:val="8"/>
          </w:tcPr>
          <w:p>
            <w:pPr>
              <w:jc w:val="center"/>
              <w:ind w:left="2054"/>
              <w:spacing w:after="0"/>
              <w:rPr>
                <w:sz w:val="20"/>
                <w:szCs w:val="20"/>
                <w:color w:val="auto"/>
              </w:rPr>
            </w:pPr>
            <w:r>
              <w:rPr>
                <w:rFonts w:ascii="Arial" w:cs="Arial" w:eastAsia="Arial" w:hAnsi="Arial"/>
                <w:sz w:val="17"/>
                <w:szCs w:val="17"/>
                <w:color w:val="auto"/>
                <w:w w:val="91"/>
              </w:rPr>
              <w:t>29.9697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gridSpan w:val="2"/>
          </w:tcPr>
          <w:p>
            <w:pPr>
              <w:jc w:val="center"/>
              <w:ind w:left="594"/>
              <w:spacing w:after="0"/>
              <w:rPr>
                <w:sz w:val="20"/>
                <w:szCs w:val="20"/>
                <w:color w:val="auto"/>
              </w:rPr>
            </w:pPr>
            <w:r>
              <w:rPr>
                <w:rFonts w:ascii="Arial" w:cs="Arial" w:eastAsia="Arial" w:hAnsi="Arial"/>
                <w:sz w:val="17"/>
                <w:szCs w:val="17"/>
                <w:color w:val="auto"/>
                <w:w w:val="93"/>
              </w:rPr>
              <w:t>08/31/2015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shd w:val="clear" w:color="auto" w:fill="CCEEFF"/>
          </w:tcPr>
          <w:p>
            <w:pPr>
              <w:jc w:val="center"/>
              <w:ind w:left="1254"/>
              <w:spacing w:after="0"/>
              <w:rPr>
                <w:sz w:val="20"/>
                <w:szCs w:val="20"/>
                <w:color w:val="auto"/>
              </w:rPr>
            </w:pPr>
            <w:r>
              <w:rPr>
                <w:rFonts w:ascii="Arial" w:cs="Arial" w:eastAsia="Arial" w:hAnsi="Arial"/>
                <w:sz w:val="17"/>
                <w:szCs w:val="17"/>
                <w:color w:val="auto"/>
                <w:w w:val="88"/>
              </w:rPr>
              <w:t>20,000</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29.3630</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09/01/2015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tcPr>
          <w:p>
            <w:pPr>
              <w:jc w:val="center"/>
              <w:ind w:left="1254"/>
              <w:spacing w:after="0"/>
              <w:rPr>
                <w:sz w:val="20"/>
                <w:szCs w:val="20"/>
                <w:color w:val="auto"/>
              </w:rPr>
            </w:pPr>
            <w:r>
              <w:rPr>
                <w:rFonts w:ascii="Arial" w:cs="Arial" w:eastAsia="Arial" w:hAnsi="Arial"/>
                <w:sz w:val="17"/>
                <w:szCs w:val="17"/>
                <w:color w:val="auto"/>
                <w:w w:val="89"/>
              </w:rPr>
              <w:t>5,000</w:t>
            </w:r>
          </w:p>
        </w:tc>
        <w:tc>
          <w:tcPr>
            <w:tcW w:w="820" w:type="dxa"/>
            <w:vAlign w:val="bottom"/>
          </w:tcPr>
          <w:p>
            <w:pPr>
              <w:spacing w:after="0"/>
              <w:rPr>
                <w:sz w:val="17"/>
                <w:szCs w:val="17"/>
                <w:color w:val="auto"/>
              </w:rPr>
            </w:pPr>
          </w:p>
        </w:tc>
        <w:tc>
          <w:tcPr>
            <w:tcW w:w="2740" w:type="dxa"/>
            <w:vAlign w:val="bottom"/>
            <w:gridSpan w:val="8"/>
          </w:tcPr>
          <w:p>
            <w:pPr>
              <w:jc w:val="center"/>
              <w:ind w:left="2054"/>
              <w:spacing w:after="0"/>
              <w:rPr>
                <w:sz w:val="20"/>
                <w:szCs w:val="20"/>
                <w:color w:val="auto"/>
              </w:rPr>
            </w:pPr>
            <w:r>
              <w:rPr>
                <w:rFonts w:ascii="Arial" w:cs="Arial" w:eastAsia="Arial" w:hAnsi="Arial"/>
                <w:sz w:val="17"/>
                <w:szCs w:val="17"/>
                <w:color w:val="auto"/>
                <w:w w:val="91"/>
              </w:rPr>
              <w:t>29.1312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gridSpan w:val="2"/>
          </w:tcPr>
          <w:p>
            <w:pPr>
              <w:jc w:val="center"/>
              <w:ind w:left="594"/>
              <w:spacing w:after="0"/>
              <w:rPr>
                <w:sz w:val="20"/>
                <w:szCs w:val="20"/>
                <w:color w:val="auto"/>
              </w:rPr>
            </w:pPr>
            <w:r>
              <w:rPr>
                <w:rFonts w:ascii="Arial" w:cs="Arial" w:eastAsia="Arial" w:hAnsi="Arial"/>
                <w:sz w:val="17"/>
                <w:szCs w:val="17"/>
                <w:color w:val="auto"/>
                <w:w w:val="93"/>
              </w:rPr>
              <w:t>09/02/2015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shd w:val="clear" w:color="auto" w:fill="CCEEFF"/>
          </w:tcPr>
          <w:p>
            <w:pPr>
              <w:jc w:val="center"/>
              <w:ind w:left="1254"/>
              <w:spacing w:after="0"/>
              <w:rPr>
                <w:sz w:val="20"/>
                <w:szCs w:val="20"/>
                <w:color w:val="auto"/>
              </w:rPr>
            </w:pPr>
            <w:r>
              <w:rPr>
                <w:rFonts w:ascii="Arial" w:cs="Arial" w:eastAsia="Arial" w:hAnsi="Arial"/>
                <w:sz w:val="17"/>
                <w:szCs w:val="17"/>
                <w:color w:val="auto"/>
                <w:w w:val="88"/>
              </w:rPr>
              <w:t>15,000</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29.4802</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09/03/2015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40" w:type="dxa"/>
            <w:vAlign w:val="bottom"/>
            <w:gridSpan w:val="2"/>
          </w:tcPr>
          <w:p>
            <w:pPr>
              <w:jc w:val="center"/>
              <w:ind w:left="1254"/>
              <w:spacing w:after="0"/>
              <w:rPr>
                <w:sz w:val="20"/>
                <w:szCs w:val="20"/>
                <w:color w:val="auto"/>
              </w:rPr>
            </w:pPr>
            <w:r>
              <w:rPr>
                <w:rFonts w:ascii="Arial" w:cs="Arial" w:eastAsia="Arial" w:hAnsi="Arial"/>
                <w:sz w:val="17"/>
                <w:szCs w:val="17"/>
                <w:color w:val="auto"/>
                <w:w w:val="88"/>
              </w:rPr>
              <w:t>20,000</w:t>
            </w:r>
          </w:p>
        </w:tc>
        <w:tc>
          <w:tcPr>
            <w:tcW w:w="820" w:type="dxa"/>
            <w:vAlign w:val="bottom"/>
          </w:tcPr>
          <w:p>
            <w:pPr>
              <w:spacing w:after="0"/>
              <w:rPr>
                <w:sz w:val="18"/>
                <w:szCs w:val="18"/>
                <w:color w:val="auto"/>
              </w:rPr>
            </w:pPr>
          </w:p>
        </w:tc>
        <w:tc>
          <w:tcPr>
            <w:tcW w:w="2740" w:type="dxa"/>
            <w:vAlign w:val="bottom"/>
            <w:gridSpan w:val="8"/>
          </w:tcPr>
          <w:p>
            <w:pPr>
              <w:jc w:val="center"/>
              <w:ind w:left="2054"/>
              <w:spacing w:after="0"/>
              <w:rPr>
                <w:sz w:val="20"/>
                <w:szCs w:val="20"/>
                <w:color w:val="auto"/>
              </w:rPr>
            </w:pPr>
            <w:r>
              <w:rPr>
                <w:rFonts w:ascii="Arial" w:cs="Arial" w:eastAsia="Arial" w:hAnsi="Arial"/>
                <w:sz w:val="17"/>
                <w:szCs w:val="17"/>
                <w:color w:val="auto"/>
                <w:w w:val="91"/>
              </w:rPr>
              <w:t>28.8441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20" w:type="dxa"/>
            <w:vAlign w:val="bottom"/>
            <w:gridSpan w:val="2"/>
          </w:tcPr>
          <w:p>
            <w:pPr>
              <w:jc w:val="center"/>
              <w:ind w:left="594"/>
              <w:spacing w:after="0"/>
              <w:rPr>
                <w:sz w:val="20"/>
                <w:szCs w:val="20"/>
                <w:color w:val="auto"/>
              </w:rPr>
            </w:pPr>
            <w:r>
              <w:rPr>
                <w:rFonts w:ascii="Arial" w:cs="Arial" w:eastAsia="Arial" w:hAnsi="Arial"/>
                <w:sz w:val="17"/>
                <w:szCs w:val="17"/>
                <w:color w:val="auto"/>
                <w:w w:val="93"/>
              </w:rPr>
              <w:t>09/04/2015</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40" w:type="dxa"/>
            <w:vAlign w:val="bottom"/>
            <w:gridSpan w:val="14"/>
          </w:tcPr>
          <w:p>
            <w:pPr>
              <w:jc w:val="center"/>
              <w:ind w:right="680"/>
              <w:spacing w:after="0"/>
              <w:rPr>
                <w:sz w:val="20"/>
                <w:szCs w:val="20"/>
                <w:color w:val="auto"/>
              </w:rPr>
            </w:pPr>
            <w:r>
              <w:rPr>
                <w:rFonts w:ascii="Arial" w:cs="Arial" w:eastAsia="Arial" w:hAnsi="Arial"/>
                <w:sz w:val="17"/>
                <w:szCs w:val="17"/>
                <w:b w:val="1"/>
                <w:bCs w:val="1"/>
                <w:color w:val="auto"/>
              </w:rPr>
              <w:t>COPPERSMITH CAPITAL MANAGEMENT, LLC</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600" w:type="dxa"/>
            <w:vAlign w:val="bottom"/>
            <w:tcBorders>
              <w:top w:val="single" w:sz="8" w:color="auto"/>
            </w:tcBorders>
            <w:gridSpan w:val="11"/>
          </w:tcPr>
          <w:p>
            <w:pPr>
              <w:jc w:val="center"/>
              <w:ind w:right="240"/>
              <w:spacing w:after="0" w:line="186" w:lineRule="exact"/>
              <w:rPr>
                <w:sz w:val="20"/>
                <w:szCs w:val="20"/>
                <w:color w:val="auto"/>
              </w:rPr>
            </w:pPr>
            <w:r>
              <w:rPr>
                <w:rFonts w:ascii="Arial" w:cs="Arial" w:eastAsia="Arial" w:hAnsi="Arial"/>
                <w:sz w:val="17"/>
                <w:szCs w:val="17"/>
                <w:b w:val="1"/>
                <w:bCs w:val="1"/>
                <w:color w:val="auto"/>
                <w:w w:val="91"/>
              </w:rPr>
              <w:t>(Through the Coppersmith Accounts)</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440" w:type="dxa"/>
            <w:vAlign w:val="bottom"/>
            <w:gridSpan w:val="2"/>
            <w:shd w:val="clear" w:color="auto" w:fill="CCEEFF"/>
          </w:tcPr>
          <w:p>
            <w:pPr>
              <w:jc w:val="center"/>
              <w:ind w:left="1234"/>
              <w:spacing w:after="0"/>
              <w:rPr>
                <w:sz w:val="20"/>
                <w:szCs w:val="20"/>
                <w:color w:val="auto"/>
              </w:rPr>
            </w:pPr>
            <w:r>
              <w:rPr>
                <w:rFonts w:ascii="Arial" w:cs="Arial" w:eastAsia="Arial" w:hAnsi="Arial"/>
                <w:sz w:val="17"/>
                <w:szCs w:val="17"/>
                <w:color w:val="auto"/>
                <w:w w:val="91"/>
              </w:rPr>
              <w:t>150,000</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31.9225</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08/06/2015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tcPr>
          <w:p>
            <w:pPr>
              <w:jc w:val="center"/>
              <w:ind w:left="1254"/>
              <w:spacing w:after="0"/>
              <w:rPr>
                <w:sz w:val="20"/>
                <w:szCs w:val="20"/>
                <w:color w:val="auto"/>
              </w:rPr>
            </w:pPr>
            <w:r>
              <w:rPr>
                <w:rFonts w:ascii="Arial" w:cs="Arial" w:eastAsia="Arial" w:hAnsi="Arial"/>
                <w:sz w:val="17"/>
                <w:szCs w:val="17"/>
                <w:color w:val="auto"/>
                <w:w w:val="88"/>
              </w:rPr>
              <w:t>90,000</w:t>
            </w:r>
          </w:p>
        </w:tc>
        <w:tc>
          <w:tcPr>
            <w:tcW w:w="820" w:type="dxa"/>
            <w:vAlign w:val="bottom"/>
          </w:tcPr>
          <w:p>
            <w:pPr>
              <w:spacing w:after="0"/>
              <w:rPr>
                <w:sz w:val="17"/>
                <w:szCs w:val="17"/>
                <w:color w:val="auto"/>
              </w:rPr>
            </w:pPr>
          </w:p>
        </w:tc>
        <w:tc>
          <w:tcPr>
            <w:tcW w:w="2740" w:type="dxa"/>
            <w:vAlign w:val="bottom"/>
            <w:gridSpan w:val="8"/>
          </w:tcPr>
          <w:p>
            <w:pPr>
              <w:jc w:val="center"/>
              <w:ind w:left="2054"/>
              <w:spacing w:after="0"/>
              <w:rPr>
                <w:sz w:val="20"/>
                <w:szCs w:val="20"/>
                <w:color w:val="auto"/>
              </w:rPr>
            </w:pPr>
            <w:r>
              <w:rPr>
                <w:rFonts w:ascii="Arial" w:cs="Arial" w:eastAsia="Arial" w:hAnsi="Arial"/>
                <w:sz w:val="17"/>
                <w:szCs w:val="17"/>
                <w:color w:val="auto"/>
                <w:w w:val="91"/>
              </w:rPr>
              <w:t>32.4412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gridSpan w:val="2"/>
          </w:tcPr>
          <w:p>
            <w:pPr>
              <w:jc w:val="center"/>
              <w:ind w:left="594"/>
              <w:spacing w:after="0"/>
              <w:rPr>
                <w:sz w:val="20"/>
                <w:szCs w:val="20"/>
                <w:color w:val="auto"/>
              </w:rPr>
            </w:pPr>
            <w:r>
              <w:rPr>
                <w:rFonts w:ascii="Arial" w:cs="Arial" w:eastAsia="Arial" w:hAnsi="Arial"/>
                <w:sz w:val="17"/>
                <w:szCs w:val="17"/>
                <w:color w:val="auto"/>
                <w:w w:val="93"/>
              </w:rPr>
              <w:t>08/07/2015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shd w:val="clear" w:color="auto" w:fill="CCEEFF"/>
          </w:tcPr>
          <w:p>
            <w:pPr>
              <w:jc w:val="center"/>
              <w:ind w:left="1254"/>
              <w:spacing w:after="0"/>
              <w:rPr>
                <w:sz w:val="20"/>
                <w:szCs w:val="20"/>
                <w:color w:val="auto"/>
              </w:rPr>
            </w:pPr>
            <w:r>
              <w:rPr>
                <w:rFonts w:ascii="Arial" w:cs="Arial" w:eastAsia="Arial" w:hAnsi="Arial"/>
                <w:sz w:val="17"/>
                <w:szCs w:val="17"/>
                <w:color w:val="auto"/>
                <w:w w:val="88"/>
              </w:rPr>
              <w:t>33,000</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32.8590</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08/10/2015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tcPr>
          <w:p>
            <w:pPr>
              <w:jc w:val="center"/>
              <w:ind w:left="1254"/>
              <w:spacing w:after="0"/>
              <w:rPr>
                <w:sz w:val="20"/>
                <w:szCs w:val="20"/>
                <w:color w:val="auto"/>
              </w:rPr>
            </w:pPr>
            <w:r>
              <w:rPr>
                <w:rFonts w:ascii="Arial" w:cs="Arial" w:eastAsia="Arial" w:hAnsi="Arial"/>
                <w:sz w:val="17"/>
                <w:szCs w:val="17"/>
                <w:color w:val="auto"/>
                <w:w w:val="88"/>
              </w:rPr>
              <w:t>75,000</w:t>
            </w:r>
          </w:p>
        </w:tc>
        <w:tc>
          <w:tcPr>
            <w:tcW w:w="820" w:type="dxa"/>
            <w:vAlign w:val="bottom"/>
          </w:tcPr>
          <w:p>
            <w:pPr>
              <w:spacing w:after="0"/>
              <w:rPr>
                <w:sz w:val="17"/>
                <w:szCs w:val="17"/>
                <w:color w:val="auto"/>
              </w:rPr>
            </w:pPr>
          </w:p>
        </w:tc>
        <w:tc>
          <w:tcPr>
            <w:tcW w:w="2740" w:type="dxa"/>
            <w:vAlign w:val="bottom"/>
            <w:gridSpan w:val="8"/>
          </w:tcPr>
          <w:p>
            <w:pPr>
              <w:jc w:val="center"/>
              <w:ind w:left="2054"/>
              <w:spacing w:after="0"/>
              <w:rPr>
                <w:sz w:val="20"/>
                <w:szCs w:val="20"/>
                <w:color w:val="auto"/>
              </w:rPr>
            </w:pPr>
            <w:r>
              <w:rPr>
                <w:rFonts w:ascii="Arial" w:cs="Arial" w:eastAsia="Arial" w:hAnsi="Arial"/>
                <w:sz w:val="17"/>
                <w:szCs w:val="17"/>
                <w:color w:val="auto"/>
                <w:w w:val="91"/>
              </w:rPr>
              <w:t>33.2308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gridSpan w:val="2"/>
          </w:tcPr>
          <w:p>
            <w:pPr>
              <w:jc w:val="center"/>
              <w:ind w:left="594"/>
              <w:spacing w:after="0"/>
              <w:rPr>
                <w:sz w:val="20"/>
                <w:szCs w:val="20"/>
                <w:color w:val="auto"/>
              </w:rPr>
            </w:pPr>
            <w:r>
              <w:rPr>
                <w:rFonts w:ascii="Arial" w:cs="Arial" w:eastAsia="Arial" w:hAnsi="Arial"/>
                <w:sz w:val="17"/>
                <w:szCs w:val="17"/>
                <w:color w:val="auto"/>
                <w:w w:val="89"/>
              </w:rPr>
              <w:t>08/11/2015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shd w:val="clear" w:color="auto" w:fill="CCEEFF"/>
          </w:tcPr>
          <w:p>
            <w:pPr>
              <w:jc w:val="center"/>
              <w:ind w:left="1254"/>
              <w:spacing w:after="0"/>
              <w:rPr>
                <w:sz w:val="20"/>
                <w:szCs w:val="20"/>
                <w:color w:val="auto"/>
              </w:rPr>
            </w:pPr>
            <w:r>
              <w:rPr>
                <w:rFonts w:ascii="Arial" w:cs="Arial" w:eastAsia="Arial" w:hAnsi="Arial"/>
                <w:sz w:val="17"/>
                <w:szCs w:val="17"/>
                <w:color w:val="auto"/>
                <w:w w:val="88"/>
              </w:rPr>
              <w:t>43,281</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33.4169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08/12/2015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tcPr>
          <w:p>
            <w:pPr>
              <w:jc w:val="center"/>
              <w:ind w:left="1254"/>
              <w:spacing w:after="0"/>
              <w:rPr>
                <w:sz w:val="20"/>
                <w:szCs w:val="20"/>
                <w:color w:val="auto"/>
              </w:rPr>
            </w:pPr>
            <w:r>
              <w:rPr>
                <w:rFonts w:ascii="Arial" w:cs="Arial" w:eastAsia="Arial" w:hAnsi="Arial"/>
                <w:sz w:val="17"/>
                <w:szCs w:val="17"/>
                <w:color w:val="auto"/>
                <w:w w:val="88"/>
              </w:rPr>
              <w:t>80,000</w:t>
            </w:r>
          </w:p>
        </w:tc>
        <w:tc>
          <w:tcPr>
            <w:tcW w:w="820" w:type="dxa"/>
            <w:vAlign w:val="bottom"/>
          </w:tcPr>
          <w:p>
            <w:pPr>
              <w:spacing w:after="0"/>
              <w:rPr>
                <w:sz w:val="17"/>
                <w:szCs w:val="17"/>
                <w:color w:val="auto"/>
              </w:rPr>
            </w:pPr>
          </w:p>
        </w:tc>
        <w:tc>
          <w:tcPr>
            <w:tcW w:w="2740" w:type="dxa"/>
            <w:vAlign w:val="bottom"/>
            <w:gridSpan w:val="8"/>
          </w:tcPr>
          <w:p>
            <w:pPr>
              <w:jc w:val="center"/>
              <w:ind w:left="2054"/>
              <w:spacing w:after="0"/>
              <w:rPr>
                <w:sz w:val="20"/>
                <w:szCs w:val="20"/>
                <w:color w:val="auto"/>
              </w:rPr>
            </w:pPr>
            <w:r>
              <w:rPr>
                <w:rFonts w:ascii="Arial" w:cs="Arial" w:eastAsia="Arial" w:hAnsi="Arial"/>
                <w:sz w:val="17"/>
                <w:szCs w:val="17"/>
                <w:color w:val="auto"/>
                <w:w w:val="91"/>
              </w:rPr>
              <w:t>33.4638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gridSpan w:val="2"/>
          </w:tcPr>
          <w:p>
            <w:pPr>
              <w:jc w:val="center"/>
              <w:ind w:left="594"/>
              <w:spacing w:after="0"/>
              <w:rPr>
                <w:sz w:val="20"/>
                <w:szCs w:val="20"/>
                <w:color w:val="auto"/>
              </w:rPr>
            </w:pPr>
            <w:r>
              <w:rPr>
                <w:rFonts w:ascii="Arial" w:cs="Arial" w:eastAsia="Arial" w:hAnsi="Arial"/>
                <w:sz w:val="17"/>
                <w:szCs w:val="17"/>
                <w:color w:val="auto"/>
                <w:w w:val="93"/>
              </w:rPr>
              <w:t>08/13/2015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shd w:val="clear" w:color="auto" w:fill="CCEEFF"/>
          </w:tcPr>
          <w:p>
            <w:pPr>
              <w:jc w:val="center"/>
              <w:ind w:left="1254"/>
              <w:spacing w:after="0"/>
              <w:rPr>
                <w:sz w:val="20"/>
                <w:szCs w:val="20"/>
                <w:color w:val="auto"/>
              </w:rPr>
            </w:pPr>
            <w:r>
              <w:rPr>
                <w:rFonts w:ascii="Arial" w:cs="Arial" w:eastAsia="Arial" w:hAnsi="Arial"/>
                <w:sz w:val="17"/>
                <w:szCs w:val="17"/>
                <w:color w:val="auto"/>
                <w:w w:val="89"/>
              </w:rPr>
              <w:t>7,500</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33.2701</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08/14/2015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tcPr>
          <w:p>
            <w:pPr>
              <w:jc w:val="center"/>
              <w:ind w:left="1254"/>
              <w:spacing w:after="0"/>
              <w:rPr>
                <w:sz w:val="20"/>
                <w:szCs w:val="20"/>
                <w:color w:val="auto"/>
              </w:rPr>
            </w:pPr>
            <w:r>
              <w:rPr>
                <w:rFonts w:ascii="Arial" w:cs="Arial" w:eastAsia="Arial" w:hAnsi="Arial"/>
                <w:sz w:val="17"/>
                <w:szCs w:val="17"/>
                <w:color w:val="auto"/>
                <w:w w:val="89"/>
              </w:rPr>
              <w:t>2,900</w:t>
            </w:r>
          </w:p>
        </w:tc>
        <w:tc>
          <w:tcPr>
            <w:tcW w:w="820" w:type="dxa"/>
            <w:vAlign w:val="bottom"/>
          </w:tcPr>
          <w:p>
            <w:pPr>
              <w:spacing w:after="0"/>
              <w:rPr>
                <w:sz w:val="17"/>
                <w:szCs w:val="17"/>
                <w:color w:val="auto"/>
              </w:rPr>
            </w:pPr>
          </w:p>
        </w:tc>
        <w:tc>
          <w:tcPr>
            <w:tcW w:w="2740" w:type="dxa"/>
            <w:vAlign w:val="bottom"/>
            <w:gridSpan w:val="8"/>
          </w:tcPr>
          <w:p>
            <w:pPr>
              <w:jc w:val="center"/>
              <w:ind w:left="2054"/>
              <w:spacing w:after="0"/>
              <w:rPr>
                <w:sz w:val="20"/>
                <w:szCs w:val="20"/>
                <w:color w:val="auto"/>
              </w:rPr>
            </w:pPr>
            <w:r>
              <w:rPr>
                <w:rFonts w:ascii="Arial" w:cs="Arial" w:eastAsia="Arial" w:hAnsi="Arial"/>
                <w:sz w:val="17"/>
                <w:szCs w:val="17"/>
                <w:color w:val="auto"/>
                <w:w w:val="91"/>
              </w:rPr>
              <w:t>33.3803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gridSpan w:val="2"/>
          </w:tcPr>
          <w:p>
            <w:pPr>
              <w:jc w:val="center"/>
              <w:ind w:left="594"/>
              <w:spacing w:after="0"/>
              <w:rPr>
                <w:sz w:val="20"/>
                <w:szCs w:val="20"/>
                <w:color w:val="auto"/>
              </w:rPr>
            </w:pPr>
            <w:r>
              <w:rPr>
                <w:rFonts w:ascii="Arial" w:cs="Arial" w:eastAsia="Arial" w:hAnsi="Arial"/>
                <w:sz w:val="17"/>
                <w:szCs w:val="17"/>
                <w:color w:val="auto"/>
                <w:w w:val="93"/>
              </w:rPr>
              <w:t>08/17/2015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shd w:val="clear" w:color="auto" w:fill="CCEEFF"/>
          </w:tcPr>
          <w:p>
            <w:pPr>
              <w:jc w:val="center"/>
              <w:ind w:left="1234"/>
              <w:spacing w:after="0"/>
              <w:rPr>
                <w:sz w:val="20"/>
                <w:szCs w:val="20"/>
                <w:color w:val="auto"/>
              </w:rPr>
            </w:pPr>
            <w:r>
              <w:rPr>
                <w:rFonts w:ascii="Arial" w:cs="Arial" w:eastAsia="Arial" w:hAnsi="Arial"/>
                <w:sz w:val="17"/>
                <w:szCs w:val="17"/>
                <w:color w:val="auto"/>
                <w:w w:val="91"/>
              </w:rPr>
              <w:t>132,200</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33.4961</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08/18/2015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tcPr>
          <w:p>
            <w:pPr>
              <w:jc w:val="center"/>
              <w:ind w:left="1254"/>
              <w:spacing w:after="0"/>
              <w:rPr>
                <w:sz w:val="20"/>
                <w:szCs w:val="20"/>
                <w:color w:val="auto"/>
              </w:rPr>
            </w:pPr>
            <w:r>
              <w:rPr>
                <w:rFonts w:ascii="Arial" w:cs="Arial" w:eastAsia="Arial" w:hAnsi="Arial"/>
                <w:sz w:val="17"/>
                <w:szCs w:val="17"/>
                <w:color w:val="auto"/>
                <w:w w:val="88"/>
              </w:rPr>
              <w:t>75,000</w:t>
            </w:r>
          </w:p>
        </w:tc>
        <w:tc>
          <w:tcPr>
            <w:tcW w:w="820" w:type="dxa"/>
            <w:vAlign w:val="bottom"/>
          </w:tcPr>
          <w:p>
            <w:pPr>
              <w:spacing w:after="0"/>
              <w:rPr>
                <w:sz w:val="17"/>
                <w:szCs w:val="17"/>
                <w:color w:val="auto"/>
              </w:rPr>
            </w:pPr>
          </w:p>
        </w:tc>
        <w:tc>
          <w:tcPr>
            <w:tcW w:w="2740" w:type="dxa"/>
            <w:vAlign w:val="bottom"/>
            <w:gridSpan w:val="8"/>
          </w:tcPr>
          <w:p>
            <w:pPr>
              <w:jc w:val="center"/>
              <w:ind w:left="2054"/>
              <w:spacing w:after="0"/>
              <w:rPr>
                <w:sz w:val="20"/>
                <w:szCs w:val="20"/>
                <w:color w:val="auto"/>
              </w:rPr>
            </w:pPr>
            <w:r>
              <w:rPr>
                <w:rFonts w:ascii="Arial" w:cs="Arial" w:eastAsia="Arial" w:hAnsi="Arial"/>
                <w:sz w:val="17"/>
                <w:szCs w:val="17"/>
                <w:color w:val="auto"/>
                <w:w w:val="91"/>
              </w:rPr>
              <w:t>32.9788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gridSpan w:val="2"/>
          </w:tcPr>
          <w:p>
            <w:pPr>
              <w:jc w:val="center"/>
              <w:ind w:left="594"/>
              <w:spacing w:after="0"/>
              <w:rPr>
                <w:sz w:val="20"/>
                <w:szCs w:val="20"/>
                <w:color w:val="auto"/>
              </w:rPr>
            </w:pPr>
            <w:r>
              <w:rPr>
                <w:rFonts w:ascii="Arial" w:cs="Arial" w:eastAsia="Arial" w:hAnsi="Arial"/>
                <w:sz w:val="17"/>
                <w:szCs w:val="17"/>
                <w:color w:val="auto"/>
                <w:w w:val="93"/>
              </w:rPr>
              <w:t>08/19/2015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shd w:val="clear" w:color="auto" w:fill="CCEEFF"/>
          </w:tcPr>
          <w:p>
            <w:pPr>
              <w:jc w:val="center"/>
              <w:ind w:left="1254"/>
              <w:spacing w:after="0"/>
              <w:rPr>
                <w:sz w:val="20"/>
                <w:szCs w:val="20"/>
                <w:color w:val="auto"/>
              </w:rPr>
            </w:pPr>
            <w:r>
              <w:rPr>
                <w:rFonts w:ascii="Arial" w:cs="Arial" w:eastAsia="Arial" w:hAnsi="Arial"/>
                <w:sz w:val="17"/>
                <w:szCs w:val="17"/>
                <w:color w:val="auto"/>
                <w:w w:val="88"/>
              </w:rPr>
              <w:t>71,378</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32.5521</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08/20/2015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80" w:type="dxa"/>
            <w:vAlign w:val="bottom"/>
            <w:gridSpan w:val="11"/>
          </w:tcPr>
          <w:p>
            <w:pPr>
              <w:jc w:val="center"/>
              <w:ind w:right="1220"/>
              <w:spacing w:after="0"/>
              <w:rPr>
                <w:sz w:val="20"/>
                <w:szCs w:val="20"/>
                <w:color w:val="auto"/>
              </w:rPr>
            </w:pPr>
            <w:r>
              <w:rPr>
                <w:rFonts w:ascii="Arial" w:cs="Arial" w:eastAsia="Arial" w:hAnsi="Arial"/>
                <w:sz w:val="17"/>
                <w:szCs w:val="17"/>
                <w:b w:val="1"/>
                <w:bCs w:val="1"/>
                <w:color w:val="auto"/>
              </w:rPr>
              <w:t>SCOPIA LONG LLC</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440" w:type="dxa"/>
            <w:vAlign w:val="bottom"/>
            <w:gridSpan w:val="2"/>
            <w:shd w:val="clear" w:color="auto" w:fill="CCEEFF"/>
          </w:tcPr>
          <w:p>
            <w:pPr>
              <w:jc w:val="center"/>
              <w:ind w:left="1254"/>
              <w:spacing w:after="0"/>
              <w:rPr>
                <w:sz w:val="20"/>
                <w:szCs w:val="20"/>
                <w:color w:val="auto"/>
              </w:rPr>
            </w:pPr>
            <w:r>
              <w:rPr>
                <w:rFonts w:ascii="Arial" w:cs="Arial" w:eastAsia="Arial" w:hAnsi="Arial"/>
                <w:sz w:val="17"/>
                <w:szCs w:val="17"/>
                <w:color w:val="auto"/>
                <w:w w:val="91"/>
              </w:rPr>
              <w:t>206</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31.5034</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08/06/2015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tcPr>
          <w:p>
            <w:pPr>
              <w:jc w:val="center"/>
              <w:ind w:left="1254"/>
              <w:spacing w:after="0"/>
              <w:rPr>
                <w:sz w:val="20"/>
                <w:szCs w:val="20"/>
                <w:color w:val="auto"/>
              </w:rPr>
            </w:pPr>
            <w:r>
              <w:rPr>
                <w:rFonts w:ascii="Arial" w:cs="Arial" w:eastAsia="Arial" w:hAnsi="Arial"/>
                <w:sz w:val="17"/>
                <w:szCs w:val="17"/>
                <w:color w:val="auto"/>
                <w:w w:val="89"/>
              </w:rPr>
              <w:t>1,161</w:t>
            </w:r>
          </w:p>
        </w:tc>
        <w:tc>
          <w:tcPr>
            <w:tcW w:w="820" w:type="dxa"/>
            <w:vAlign w:val="bottom"/>
          </w:tcPr>
          <w:p>
            <w:pPr>
              <w:spacing w:after="0"/>
              <w:rPr>
                <w:sz w:val="17"/>
                <w:szCs w:val="17"/>
                <w:color w:val="auto"/>
              </w:rPr>
            </w:pPr>
          </w:p>
        </w:tc>
        <w:tc>
          <w:tcPr>
            <w:tcW w:w="2740" w:type="dxa"/>
            <w:vAlign w:val="bottom"/>
            <w:gridSpan w:val="8"/>
          </w:tcPr>
          <w:p>
            <w:pPr>
              <w:jc w:val="center"/>
              <w:ind w:left="2054"/>
              <w:spacing w:after="0"/>
              <w:rPr>
                <w:sz w:val="20"/>
                <w:szCs w:val="20"/>
                <w:color w:val="auto"/>
              </w:rPr>
            </w:pPr>
            <w:r>
              <w:rPr>
                <w:rFonts w:ascii="Arial" w:cs="Arial" w:eastAsia="Arial" w:hAnsi="Arial"/>
                <w:sz w:val="17"/>
                <w:szCs w:val="17"/>
                <w:color w:val="auto"/>
                <w:w w:val="91"/>
              </w:rPr>
              <w:t>32.4175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gridSpan w:val="2"/>
          </w:tcPr>
          <w:p>
            <w:pPr>
              <w:jc w:val="center"/>
              <w:ind w:left="594"/>
              <w:spacing w:after="0"/>
              <w:rPr>
                <w:sz w:val="20"/>
                <w:szCs w:val="20"/>
                <w:color w:val="auto"/>
              </w:rPr>
            </w:pPr>
            <w:r>
              <w:rPr>
                <w:rFonts w:ascii="Arial" w:cs="Arial" w:eastAsia="Arial" w:hAnsi="Arial"/>
                <w:sz w:val="17"/>
                <w:szCs w:val="17"/>
                <w:color w:val="auto"/>
                <w:w w:val="93"/>
              </w:rPr>
              <w:t>08/06/2015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shd w:val="clear" w:color="auto" w:fill="CCEEFF"/>
          </w:tcPr>
          <w:p>
            <w:pPr>
              <w:jc w:val="center"/>
              <w:ind w:left="1254"/>
              <w:spacing w:after="0"/>
              <w:rPr>
                <w:sz w:val="20"/>
                <w:szCs w:val="20"/>
                <w:color w:val="auto"/>
              </w:rPr>
            </w:pPr>
            <w:r>
              <w:rPr>
                <w:rFonts w:ascii="Arial" w:cs="Arial" w:eastAsia="Arial" w:hAnsi="Arial"/>
                <w:sz w:val="17"/>
                <w:szCs w:val="17"/>
                <w:color w:val="auto"/>
                <w:w w:val="91"/>
              </w:rPr>
              <w:t>320</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31.3972</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08/06/2015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tcPr>
          <w:p>
            <w:pPr>
              <w:jc w:val="center"/>
              <w:ind w:left="1254"/>
              <w:spacing w:after="0"/>
              <w:rPr>
                <w:sz w:val="20"/>
                <w:szCs w:val="20"/>
                <w:color w:val="auto"/>
              </w:rPr>
            </w:pPr>
            <w:r>
              <w:rPr>
                <w:rFonts w:ascii="Arial" w:cs="Arial" w:eastAsia="Arial" w:hAnsi="Arial"/>
                <w:sz w:val="17"/>
                <w:szCs w:val="17"/>
                <w:color w:val="auto"/>
                <w:w w:val="91"/>
              </w:rPr>
              <w:t>581</w:t>
            </w:r>
          </w:p>
        </w:tc>
        <w:tc>
          <w:tcPr>
            <w:tcW w:w="820" w:type="dxa"/>
            <w:vAlign w:val="bottom"/>
          </w:tcPr>
          <w:p>
            <w:pPr>
              <w:spacing w:after="0"/>
              <w:rPr>
                <w:sz w:val="17"/>
                <w:szCs w:val="17"/>
                <w:color w:val="auto"/>
              </w:rPr>
            </w:pPr>
          </w:p>
        </w:tc>
        <w:tc>
          <w:tcPr>
            <w:tcW w:w="2740" w:type="dxa"/>
            <w:vAlign w:val="bottom"/>
            <w:gridSpan w:val="8"/>
          </w:tcPr>
          <w:p>
            <w:pPr>
              <w:jc w:val="center"/>
              <w:ind w:left="2054"/>
              <w:spacing w:after="0"/>
              <w:rPr>
                <w:sz w:val="20"/>
                <w:szCs w:val="20"/>
                <w:color w:val="auto"/>
              </w:rPr>
            </w:pPr>
            <w:r>
              <w:rPr>
                <w:rFonts w:ascii="Arial" w:cs="Arial" w:eastAsia="Arial" w:hAnsi="Arial"/>
                <w:sz w:val="17"/>
                <w:szCs w:val="17"/>
                <w:color w:val="auto"/>
                <w:w w:val="91"/>
              </w:rPr>
              <w:t>32.5294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gridSpan w:val="2"/>
          </w:tcPr>
          <w:p>
            <w:pPr>
              <w:jc w:val="center"/>
              <w:ind w:left="594"/>
              <w:spacing w:after="0"/>
              <w:rPr>
                <w:sz w:val="20"/>
                <w:szCs w:val="20"/>
                <w:color w:val="auto"/>
              </w:rPr>
            </w:pPr>
            <w:r>
              <w:rPr>
                <w:rFonts w:ascii="Arial" w:cs="Arial" w:eastAsia="Arial" w:hAnsi="Arial"/>
                <w:sz w:val="17"/>
                <w:szCs w:val="17"/>
                <w:color w:val="auto"/>
                <w:w w:val="93"/>
              </w:rPr>
              <w:t>08/07/2015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shd w:val="clear" w:color="auto" w:fill="CCEEFF"/>
          </w:tcPr>
          <w:p>
            <w:pPr>
              <w:jc w:val="center"/>
              <w:ind w:left="1254"/>
              <w:spacing w:after="0"/>
              <w:rPr>
                <w:sz w:val="20"/>
                <w:szCs w:val="20"/>
                <w:color w:val="auto"/>
              </w:rPr>
            </w:pPr>
            <w:r>
              <w:rPr>
                <w:rFonts w:ascii="Arial" w:cs="Arial" w:eastAsia="Arial" w:hAnsi="Arial"/>
                <w:sz w:val="17"/>
                <w:szCs w:val="17"/>
                <w:color w:val="auto"/>
                <w:w w:val="91"/>
              </w:rPr>
              <w:t>697</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33.3512</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08/10/2015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tcPr>
          <w:p>
            <w:pPr>
              <w:jc w:val="center"/>
              <w:ind w:left="1254"/>
              <w:spacing w:after="0"/>
              <w:rPr>
                <w:sz w:val="20"/>
                <w:szCs w:val="20"/>
                <w:color w:val="auto"/>
              </w:rPr>
            </w:pPr>
            <w:r>
              <w:rPr>
                <w:rFonts w:ascii="Arial" w:cs="Arial" w:eastAsia="Arial" w:hAnsi="Arial"/>
                <w:sz w:val="17"/>
                <w:szCs w:val="17"/>
                <w:color w:val="auto"/>
                <w:w w:val="91"/>
              </w:rPr>
              <w:t>697</w:t>
            </w:r>
          </w:p>
        </w:tc>
        <w:tc>
          <w:tcPr>
            <w:tcW w:w="820" w:type="dxa"/>
            <w:vAlign w:val="bottom"/>
          </w:tcPr>
          <w:p>
            <w:pPr>
              <w:spacing w:after="0"/>
              <w:rPr>
                <w:sz w:val="17"/>
                <w:szCs w:val="17"/>
                <w:color w:val="auto"/>
              </w:rPr>
            </w:pPr>
          </w:p>
        </w:tc>
        <w:tc>
          <w:tcPr>
            <w:tcW w:w="2740" w:type="dxa"/>
            <w:vAlign w:val="bottom"/>
            <w:gridSpan w:val="8"/>
          </w:tcPr>
          <w:p>
            <w:pPr>
              <w:jc w:val="center"/>
              <w:ind w:left="2054"/>
              <w:spacing w:after="0"/>
              <w:rPr>
                <w:sz w:val="20"/>
                <w:szCs w:val="20"/>
                <w:color w:val="auto"/>
              </w:rPr>
            </w:pPr>
            <w:r>
              <w:rPr>
                <w:rFonts w:ascii="Arial" w:cs="Arial" w:eastAsia="Arial" w:hAnsi="Arial"/>
                <w:sz w:val="17"/>
                <w:szCs w:val="17"/>
                <w:color w:val="auto"/>
                <w:w w:val="91"/>
              </w:rPr>
              <w:t>33.2919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gridSpan w:val="2"/>
          </w:tcPr>
          <w:p>
            <w:pPr>
              <w:jc w:val="center"/>
              <w:ind w:left="594"/>
              <w:spacing w:after="0"/>
              <w:rPr>
                <w:sz w:val="20"/>
                <w:szCs w:val="20"/>
                <w:color w:val="auto"/>
              </w:rPr>
            </w:pPr>
            <w:r>
              <w:rPr>
                <w:rFonts w:ascii="Arial" w:cs="Arial" w:eastAsia="Arial" w:hAnsi="Arial"/>
                <w:sz w:val="17"/>
                <w:szCs w:val="17"/>
                <w:color w:val="auto"/>
                <w:w w:val="89"/>
              </w:rPr>
              <w:t>08/11/2015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shd w:val="clear" w:color="auto" w:fill="CCEEFF"/>
          </w:tcPr>
          <w:p>
            <w:pPr>
              <w:jc w:val="center"/>
              <w:ind w:left="1254"/>
              <w:spacing w:after="0"/>
              <w:rPr>
                <w:sz w:val="20"/>
                <w:szCs w:val="20"/>
                <w:color w:val="auto"/>
              </w:rPr>
            </w:pPr>
            <w:r>
              <w:rPr>
                <w:rFonts w:ascii="Arial" w:cs="Arial" w:eastAsia="Arial" w:hAnsi="Arial"/>
                <w:sz w:val="17"/>
                <w:szCs w:val="17"/>
                <w:color w:val="auto"/>
                <w:w w:val="91"/>
              </w:rPr>
              <w:t>581</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33.5389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08/12/2015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tcPr>
          <w:p>
            <w:pPr>
              <w:jc w:val="center"/>
              <w:ind w:left="1254"/>
              <w:spacing w:after="0"/>
              <w:rPr>
                <w:sz w:val="20"/>
                <w:szCs w:val="20"/>
                <w:color w:val="auto"/>
              </w:rPr>
            </w:pPr>
            <w:r>
              <w:rPr>
                <w:rFonts w:ascii="Arial" w:cs="Arial" w:eastAsia="Arial" w:hAnsi="Arial"/>
                <w:sz w:val="17"/>
                <w:szCs w:val="17"/>
                <w:color w:val="auto"/>
                <w:w w:val="91"/>
              </w:rPr>
              <w:t>269</w:t>
            </w:r>
          </w:p>
        </w:tc>
        <w:tc>
          <w:tcPr>
            <w:tcW w:w="820" w:type="dxa"/>
            <w:vAlign w:val="bottom"/>
          </w:tcPr>
          <w:p>
            <w:pPr>
              <w:spacing w:after="0"/>
              <w:rPr>
                <w:sz w:val="17"/>
                <w:szCs w:val="17"/>
                <w:color w:val="auto"/>
              </w:rPr>
            </w:pPr>
          </w:p>
        </w:tc>
        <w:tc>
          <w:tcPr>
            <w:tcW w:w="2740" w:type="dxa"/>
            <w:vAlign w:val="bottom"/>
            <w:gridSpan w:val="8"/>
          </w:tcPr>
          <w:p>
            <w:pPr>
              <w:jc w:val="center"/>
              <w:ind w:left="2054"/>
              <w:spacing w:after="0"/>
              <w:rPr>
                <w:sz w:val="20"/>
                <w:szCs w:val="20"/>
                <w:color w:val="auto"/>
              </w:rPr>
            </w:pPr>
            <w:r>
              <w:rPr>
                <w:rFonts w:ascii="Arial" w:cs="Arial" w:eastAsia="Arial" w:hAnsi="Arial"/>
                <w:sz w:val="17"/>
                <w:szCs w:val="17"/>
                <w:color w:val="auto"/>
                <w:w w:val="91"/>
              </w:rPr>
              <w:t>33.5181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gridSpan w:val="2"/>
          </w:tcPr>
          <w:p>
            <w:pPr>
              <w:jc w:val="center"/>
              <w:ind w:left="594"/>
              <w:spacing w:after="0"/>
              <w:rPr>
                <w:sz w:val="20"/>
                <w:szCs w:val="20"/>
                <w:color w:val="auto"/>
              </w:rPr>
            </w:pPr>
            <w:r>
              <w:rPr>
                <w:rFonts w:ascii="Arial" w:cs="Arial" w:eastAsia="Arial" w:hAnsi="Arial"/>
                <w:sz w:val="17"/>
                <w:szCs w:val="17"/>
                <w:color w:val="auto"/>
                <w:w w:val="93"/>
              </w:rPr>
              <w:t>08/13/2015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2"/>
            <w:shd w:val="clear" w:color="auto" w:fill="CCEEFF"/>
          </w:tcPr>
          <w:p>
            <w:pPr>
              <w:jc w:val="center"/>
              <w:ind w:left="1254"/>
              <w:spacing w:after="0"/>
              <w:rPr>
                <w:sz w:val="20"/>
                <w:szCs w:val="20"/>
                <w:color w:val="auto"/>
              </w:rPr>
            </w:pPr>
            <w:r>
              <w:rPr>
                <w:rFonts w:ascii="Arial" w:cs="Arial" w:eastAsia="Arial" w:hAnsi="Arial"/>
                <w:sz w:val="17"/>
                <w:szCs w:val="17"/>
                <w:color w:val="auto"/>
                <w:w w:val="91"/>
              </w:rPr>
              <w:t>581</w:t>
            </w:r>
          </w:p>
        </w:tc>
        <w:tc>
          <w:tcPr>
            <w:tcW w:w="820" w:type="dxa"/>
            <w:vAlign w:val="bottom"/>
            <w:shd w:val="clear" w:color="auto" w:fill="CCEEFF"/>
          </w:tcPr>
          <w:p>
            <w:pPr>
              <w:spacing w:after="0"/>
              <w:rPr>
                <w:sz w:val="17"/>
                <w:szCs w:val="17"/>
                <w:color w:val="auto"/>
              </w:rPr>
            </w:pPr>
          </w:p>
        </w:tc>
        <w:tc>
          <w:tcPr>
            <w:tcW w:w="2740" w:type="dxa"/>
            <w:vAlign w:val="bottom"/>
            <w:gridSpan w:val="8"/>
            <w:shd w:val="clear" w:color="auto" w:fill="CCEEFF"/>
          </w:tcPr>
          <w:p>
            <w:pPr>
              <w:jc w:val="center"/>
              <w:ind w:left="2054"/>
              <w:spacing w:after="0"/>
              <w:rPr>
                <w:sz w:val="20"/>
                <w:szCs w:val="20"/>
                <w:color w:val="auto"/>
              </w:rPr>
            </w:pPr>
            <w:r>
              <w:rPr>
                <w:rFonts w:ascii="Arial" w:cs="Arial" w:eastAsia="Arial" w:hAnsi="Arial"/>
                <w:sz w:val="17"/>
                <w:szCs w:val="17"/>
                <w:color w:val="auto"/>
                <w:w w:val="91"/>
              </w:rPr>
              <w:t>33.5758</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3"/>
              </w:rPr>
              <w:t>08/13/2015</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1118870" cy="33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8870"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60" w:firstLine="3"/>
        <w:spacing w:after="0" w:line="215" w:lineRule="auto"/>
        <w:tabs>
          <w:tab w:leader="none" w:pos="103"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All of the transactions on August 31 and September 1, 2015 by the entities and separately managed account that Scopia Capital Management LP serves as the Investment Manager of represent rebalancing transactions among such entities/account.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450215</wp:posOffset>
            </wp:positionV>
            <wp:extent cx="725741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CUSIP NO. 465741106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225</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33.3663</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08/14/2015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121</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33.3545</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08/17/2015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89"/>
              </w:rPr>
              <w:t>1,220</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33.5650</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08/17/2015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871</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33.4877</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08/18/2015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575</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33.0226</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08/19/2015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726</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32.6012</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08/20/2015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546</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32.1161</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08/21/2015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871</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30.4237</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08/24/2015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5"/>
              </w:rPr>
              <w:t>(558)</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29.9929</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08/31/2015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9"/>
              </w:rPr>
              <w:t>(65)</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29.6185</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09/01/2015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4"/>
              </w:rPr>
              <w:t>38</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29.5756</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09/01/2015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4"/>
              </w:rPr>
              <w:t>22</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29.0768</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09/02/2015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237</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29.1613</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09/09/2015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237</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28.7391</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09/10/2015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807</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28.3031</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34"/>
              <w:spacing w:after="0"/>
              <w:rPr>
                <w:sz w:val="20"/>
                <w:szCs w:val="20"/>
                <w:color w:val="auto"/>
              </w:rPr>
            </w:pPr>
            <w:r>
              <w:rPr>
                <w:rFonts w:ascii="Arial" w:cs="Arial" w:eastAsia="Arial" w:hAnsi="Arial"/>
                <w:sz w:val="17"/>
                <w:szCs w:val="17"/>
                <w:color w:val="auto"/>
              </w:rPr>
              <w:t>09/11/2015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89"/>
              </w:rPr>
              <w:t>1,187</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28.5477</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09/14/2015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360</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29.5364</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09/15/2015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297</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30.2308</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09/16/2015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247</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30.5227</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09/17/2015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731</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30.4153</w:t>
            </w:r>
          </w:p>
        </w:tc>
        <w:tc>
          <w:tcPr>
            <w:tcW w:w="1380" w:type="dxa"/>
            <w:vAlign w:val="bottom"/>
          </w:tcPr>
          <w:p>
            <w:pPr>
              <w:spacing w:after="0"/>
              <w:rPr>
                <w:sz w:val="17"/>
                <w:szCs w:val="17"/>
                <w:color w:val="auto"/>
              </w:rPr>
            </w:pPr>
          </w:p>
        </w:tc>
        <w:tc>
          <w:tcPr>
            <w:tcW w:w="3660" w:type="dxa"/>
            <w:vAlign w:val="bottom"/>
          </w:tcPr>
          <w:p>
            <w:pPr>
              <w:jc w:val="right"/>
              <w:ind w:right="1394"/>
              <w:spacing w:after="0"/>
              <w:rPr>
                <w:sz w:val="20"/>
                <w:szCs w:val="20"/>
                <w:color w:val="auto"/>
              </w:rPr>
            </w:pPr>
            <w:r>
              <w:rPr>
                <w:rFonts w:ascii="Arial" w:cs="Arial" w:eastAsia="Arial" w:hAnsi="Arial"/>
                <w:sz w:val="17"/>
                <w:szCs w:val="17"/>
                <w:color w:val="auto"/>
              </w:rPr>
              <w:t>09/18/2015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247</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30.5432</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394"/>
              <w:spacing w:after="0"/>
              <w:rPr>
                <w:sz w:val="20"/>
                <w:szCs w:val="20"/>
                <w:color w:val="auto"/>
              </w:rPr>
            </w:pPr>
            <w:r>
              <w:rPr>
                <w:rFonts w:ascii="Arial" w:cs="Arial" w:eastAsia="Arial" w:hAnsi="Arial"/>
                <w:sz w:val="17"/>
                <w:szCs w:val="17"/>
                <w:color w:val="auto"/>
              </w:rPr>
              <w:t>09/21/2015</w:t>
            </w:r>
          </w:p>
        </w:tc>
      </w:tr>
      <w:tr>
        <w:trPr>
          <w:trHeight w:val="400"/>
        </w:trPr>
        <w:tc>
          <w:tcPr>
            <w:tcW w:w="5060" w:type="dxa"/>
            <w:vAlign w:val="bottom"/>
          </w:tcPr>
          <w:p>
            <w:pPr>
              <w:spacing w:after="0"/>
              <w:rPr>
                <w:sz w:val="24"/>
                <w:szCs w:val="24"/>
                <w:color w:val="auto"/>
              </w:rPr>
            </w:pPr>
          </w:p>
        </w:tc>
        <w:tc>
          <w:tcPr>
            <w:tcW w:w="2700" w:type="dxa"/>
            <w:vAlign w:val="bottom"/>
            <w:gridSpan w:val="2"/>
          </w:tcPr>
          <w:p>
            <w:pPr>
              <w:jc w:val="center"/>
              <w:ind w:right="1380"/>
              <w:spacing w:after="0"/>
              <w:rPr>
                <w:sz w:val="20"/>
                <w:szCs w:val="20"/>
                <w:color w:val="auto"/>
              </w:rPr>
            </w:pPr>
            <w:r>
              <w:rPr>
                <w:rFonts w:ascii="Arial" w:cs="Arial" w:eastAsia="Arial" w:hAnsi="Arial"/>
                <w:sz w:val="17"/>
                <w:szCs w:val="17"/>
                <w:b w:val="1"/>
                <w:bCs w:val="1"/>
                <w:color w:val="auto"/>
              </w:rPr>
              <w:t>SCOPIA LB LLC</w:t>
            </w:r>
          </w:p>
        </w:tc>
        <w:tc>
          <w:tcPr>
            <w:tcW w:w="3660" w:type="dxa"/>
            <w:vAlign w:val="bottom"/>
          </w:tcPr>
          <w:p>
            <w:pPr>
              <w:spacing w:after="0"/>
              <w:rPr>
                <w:sz w:val="24"/>
                <w:szCs w:val="24"/>
                <w:color w:val="auto"/>
              </w:rPr>
            </w:pPr>
          </w:p>
        </w:tc>
      </w:tr>
      <w:tr>
        <w:trPr>
          <w:trHeight w:val="251"/>
        </w:trPr>
        <w:tc>
          <w:tcPr>
            <w:tcW w:w="506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380" w:type="dxa"/>
            <w:vAlign w:val="bottom"/>
          </w:tcPr>
          <w:p>
            <w:pPr>
              <w:spacing w:after="0"/>
              <w:rPr>
                <w:sz w:val="21"/>
                <w:szCs w:val="21"/>
                <w:color w:val="auto"/>
              </w:rPr>
            </w:pPr>
          </w:p>
        </w:tc>
        <w:tc>
          <w:tcPr>
            <w:tcW w:w="3660" w:type="dxa"/>
            <w:vAlign w:val="bottom"/>
          </w:tcPr>
          <w:p>
            <w:pPr>
              <w:spacing w:after="0"/>
              <w:rPr>
                <w:sz w:val="21"/>
                <w:szCs w:val="21"/>
                <w:color w:val="auto"/>
              </w:rPr>
            </w:pP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409</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31.3972</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263</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31.5034</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89"/>
              </w:rPr>
              <w:t>1,484</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32.4175</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742</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32.5294</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08/07/2015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890</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33.3512</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08/10/2015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890</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33.2919</w:t>
            </w:r>
          </w:p>
        </w:tc>
        <w:tc>
          <w:tcPr>
            <w:tcW w:w="1380" w:type="dxa"/>
            <w:vAlign w:val="bottom"/>
          </w:tcPr>
          <w:p>
            <w:pPr>
              <w:spacing w:after="0"/>
              <w:rPr>
                <w:sz w:val="17"/>
                <w:szCs w:val="17"/>
                <w:color w:val="auto"/>
              </w:rPr>
            </w:pPr>
          </w:p>
        </w:tc>
        <w:tc>
          <w:tcPr>
            <w:tcW w:w="3660" w:type="dxa"/>
            <w:vAlign w:val="bottom"/>
          </w:tcPr>
          <w:p>
            <w:pPr>
              <w:jc w:val="right"/>
              <w:ind w:right="1434"/>
              <w:spacing w:after="0"/>
              <w:rPr>
                <w:sz w:val="20"/>
                <w:szCs w:val="20"/>
                <w:color w:val="auto"/>
              </w:rPr>
            </w:pPr>
            <w:r>
              <w:rPr>
                <w:rFonts w:ascii="Arial" w:cs="Arial" w:eastAsia="Arial" w:hAnsi="Arial"/>
                <w:sz w:val="17"/>
                <w:szCs w:val="17"/>
                <w:color w:val="auto"/>
              </w:rPr>
              <w:t>08/11/2015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742</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33.5389</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08/12/2015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344</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33.5181</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08/13/2015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742</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33.5758</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08/13/2015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287</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33.3663</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08/14/2015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154</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33.3545</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08/17/2015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89"/>
              </w:rPr>
              <w:t>1,560</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33.5650</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08/17/2015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89"/>
              </w:rPr>
              <w:t>1,113</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33.4877</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08/18/2015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735</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33.0226</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08/19/2015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928</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32.6012</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08/20/2015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698</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32.1161</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08/21/2015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89"/>
              </w:rPr>
              <w:t>1,113</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30.4237</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08/24/2015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9"/>
              </w:rPr>
              <w:t>(81)</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29.9929</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08/31/2015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578</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29.5756</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09/01/2015</w:t>
            </w:r>
          </w:p>
        </w:tc>
      </w:tr>
      <w:tr>
        <w:trPr>
          <w:trHeight w:val="206"/>
        </w:trPr>
        <w:tc>
          <w:tcPr>
            <w:tcW w:w="5060" w:type="dxa"/>
            <w:vAlign w:val="bottom"/>
          </w:tcPr>
          <w:p>
            <w:pPr>
              <w:jc w:val="center"/>
              <w:ind w:right="1174"/>
              <w:spacing w:after="0"/>
              <w:rPr>
                <w:sz w:val="20"/>
                <w:szCs w:val="20"/>
                <w:color w:val="auto"/>
              </w:rPr>
            </w:pPr>
            <w:r>
              <w:rPr>
                <w:rFonts w:ascii="Arial" w:cs="Arial" w:eastAsia="Arial" w:hAnsi="Arial"/>
                <w:sz w:val="17"/>
                <w:szCs w:val="17"/>
                <w:color w:val="auto"/>
                <w:w w:val="96"/>
              </w:rPr>
              <w:t>(9)</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29.6185</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09/01/2015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337</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29.0768</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09/02/2015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347</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29.1613</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09/09/2015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347</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28.7391</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09/10/2015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89"/>
              </w:rPr>
              <w:t>1,179</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28.3031</w:t>
            </w:r>
          </w:p>
        </w:tc>
        <w:tc>
          <w:tcPr>
            <w:tcW w:w="1380" w:type="dxa"/>
            <w:vAlign w:val="bottom"/>
          </w:tcPr>
          <w:p>
            <w:pPr>
              <w:spacing w:after="0"/>
              <w:rPr>
                <w:sz w:val="17"/>
                <w:szCs w:val="17"/>
                <w:color w:val="auto"/>
              </w:rPr>
            </w:pPr>
          </w:p>
        </w:tc>
        <w:tc>
          <w:tcPr>
            <w:tcW w:w="3660" w:type="dxa"/>
            <w:vAlign w:val="bottom"/>
          </w:tcPr>
          <w:p>
            <w:pPr>
              <w:jc w:val="right"/>
              <w:ind w:right="1434"/>
              <w:spacing w:after="0"/>
              <w:rPr>
                <w:sz w:val="20"/>
                <w:szCs w:val="20"/>
                <w:color w:val="auto"/>
              </w:rPr>
            </w:pPr>
            <w:r>
              <w:rPr>
                <w:rFonts w:ascii="Arial" w:cs="Arial" w:eastAsia="Arial" w:hAnsi="Arial"/>
                <w:sz w:val="17"/>
                <w:szCs w:val="17"/>
                <w:color w:val="auto"/>
              </w:rPr>
              <w:t>09/11/2015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89"/>
              </w:rPr>
              <w:t>1,734</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28.5477</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09/14/2015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526</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29.5364</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09/15/2015</w:t>
            </w:r>
          </w:p>
        </w:tc>
      </w:tr>
      <w:tr>
        <w:trPr>
          <w:trHeight w:val="206"/>
        </w:trPr>
        <w:tc>
          <w:tcPr>
            <w:tcW w:w="5060" w:type="dxa"/>
            <w:vAlign w:val="bottom"/>
            <w:shd w:val="clear" w:color="auto" w:fill="CCEEFF"/>
          </w:tcPr>
          <w:p>
            <w:pPr>
              <w:jc w:val="center"/>
              <w:ind w:right="1154"/>
              <w:spacing w:after="0"/>
              <w:rPr>
                <w:sz w:val="20"/>
                <w:szCs w:val="20"/>
                <w:color w:val="auto"/>
              </w:rPr>
            </w:pPr>
            <w:r>
              <w:rPr>
                <w:rFonts w:ascii="Arial" w:cs="Arial" w:eastAsia="Arial" w:hAnsi="Arial"/>
                <w:sz w:val="17"/>
                <w:szCs w:val="17"/>
                <w:color w:val="auto"/>
                <w:w w:val="91"/>
              </w:rPr>
              <w:t>423</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30.2308</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09/16/2015</w:t>
            </w:r>
          </w:p>
        </w:tc>
      </w:tr>
      <w:tr>
        <w:trPr>
          <w:trHeight w:val="206"/>
        </w:trPr>
        <w:tc>
          <w:tcPr>
            <w:tcW w:w="5060" w:type="dxa"/>
            <w:vAlign w:val="bottom"/>
          </w:tcPr>
          <w:p>
            <w:pPr>
              <w:jc w:val="center"/>
              <w:ind w:right="1154"/>
              <w:spacing w:after="0"/>
              <w:rPr>
                <w:sz w:val="20"/>
                <w:szCs w:val="20"/>
                <w:color w:val="auto"/>
              </w:rPr>
            </w:pPr>
            <w:r>
              <w:rPr>
                <w:rFonts w:ascii="Arial" w:cs="Arial" w:eastAsia="Arial" w:hAnsi="Arial"/>
                <w:sz w:val="17"/>
                <w:szCs w:val="17"/>
                <w:color w:val="auto"/>
                <w:w w:val="91"/>
              </w:rPr>
              <w:t>353</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30.5227</w:t>
            </w:r>
          </w:p>
        </w:tc>
        <w:tc>
          <w:tcPr>
            <w:tcW w:w="1380" w:type="dxa"/>
            <w:vAlign w:val="bottom"/>
          </w:tcPr>
          <w:p>
            <w:pPr>
              <w:spacing w:after="0"/>
              <w:rPr>
                <w:sz w:val="17"/>
                <w:szCs w:val="17"/>
                <w:color w:val="auto"/>
              </w:rPr>
            </w:pPr>
          </w:p>
        </w:tc>
        <w:tc>
          <w:tcPr>
            <w:tcW w:w="3660" w:type="dxa"/>
            <w:vAlign w:val="bottom"/>
          </w:tcPr>
          <w:p>
            <w:pPr>
              <w:jc w:val="right"/>
              <w:ind w:right="1414"/>
              <w:spacing w:after="0"/>
              <w:rPr>
                <w:sz w:val="20"/>
                <w:szCs w:val="20"/>
                <w:color w:val="auto"/>
              </w:rPr>
            </w:pPr>
            <w:r>
              <w:rPr>
                <w:rFonts w:ascii="Arial" w:cs="Arial" w:eastAsia="Arial" w:hAnsi="Arial"/>
                <w:sz w:val="17"/>
                <w:szCs w:val="17"/>
                <w:color w:val="auto"/>
              </w:rPr>
              <w:t>09/17/2015</w:t>
            </w:r>
          </w:p>
        </w:tc>
      </w:tr>
      <w:tr>
        <w:trPr>
          <w:trHeight w:val="206"/>
        </w:trPr>
        <w:tc>
          <w:tcPr>
            <w:tcW w:w="5060" w:type="dxa"/>
            <w:vAlign w:val="bottom"/>
            <w:shd w:val="clear" w:color="auto" w:fill="CCEEFF"/>
          </w:tcPr>
          <w:p>
            <w:pPr>
              <w:jc w:val="right"/>
              <w:ind w:right="2854"/>
              <w:spacing w:after="0"/>
              <w:rPr>
                <w:sz w:val="20"/>
                <w:szCs w:val="20"/>
                <w:color w:val="auto"/>
              </w:rPr>
            </w:pPr>
            <w:r>
              <w:rPr>
                <w:rFonts w:ascii="Arial" w:cs="Arial" w:eastAsia="Arial" w:hAnsi="Arial"/>
                <w:sz w:val="17"/>
                <w:szCs w:val="17"/>
                <w:color w:val="auto"/>
              </w:rPr>
              <w:t>1,043</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30.4153</w:t>
            </w:r>
          </w:p>
        </w:tc>
        <w:tc>
          <w:tcPr>
            <w:tcW w:w="1380" w:type="dxa"/>
            <w:vAlign w:val="bottom"/>
            <w:shd w:val="clear" w:color="auto" w:fill="CCEEFF"/>
          </w:tcPr>
          <w:p>
            <w:pPr>
              <w:spacing w:after="0"/>
              <w:rPr>
                <w:sz w:val="17"/>
                <w:szCs w:val="17"/>
                <w:color w:val="auto"/>
              </w:rPr>
            </w:pPr>
          </w:p>
        </w:tc>
        <w:tc>
          <w:tcPr>
            <w:tcW w:w="3660" w:type="dxa"/>
            <w:vAlign w:val="bottom"/>
            <w:shd w:val="clear" w:color="auto" w:fill="CCEEFF"/>
          </w:tcPr>
          <w:p>
            <w:pPr>
              <w:jc w:val="right"/>
              <w:ind w:right="1394"/>
              <w:spacing w:after="0"/>
              <w:rPr>
                <w:sz w:val="20"/>
                <w:szCs w:val="20"/>
                <w:color w:val="auto"/>
              </w:rPr>
            </w:pPr>
            <w:r>
              <w:rPr>
                <w:rFonts w:ascii="Arial" w:cs="Arial" w:eastAsia="Arial" w:hAnsi="Arial"/>
                <w:sz w:val="17"/>
                <w:szCs w:val="17"/>
                <w:color w:val="auto"/>
              </w:rPr>
              <w:t>09/18/2015</w:t>
            </w:r>
          </w:p>
        </w:tc>
      </w:tr>
      <w:tr>
        <w:trPr>
          <w:trHeight w:val="217"/>
        </w:trPr>
        <w:tc>
          <w:tcPr>
            <w:tcW w:w="5060" w:type="dxa"/>
            <w:vAlign w:val="bottom"/>
          </w:tcPr>
          <w:p>
            <w:pPr>
              <w:jc w:val="right"/>
              <w:ind w:right="2954"/>
              <w:spacing w:after="0"/>
              <w:rPr>
                <w:sz w:val="20"/>
                <w:szCs w:val="20"/>
                <w:color w:val="auto"/>
              </w:rPr>
            </w:pPr>
            <w:r>
              <w:rPr>
                <w:rFonts w:ascii="Arial" w:cs="Arial" w:eastAsia="Arial" w:hAnsi="Arial"/>
                <w:sz w:val="17"/>
                <w:szCs w:val="17"/>
                <w:color w:val="auto"/>
              </w:rPr>
              <w:t>353</w:t>
            </w: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30.5432</w:t>
            </w:r>
          </w:p>
        </w:tc>
        <w:tc>
          <w:tcPr>
            <w:tcW w:w="1380" w:type="dxa"/>
            <w:vAlign w:val="bottom"/>
          </w:tcPr>
          <w:p>
            <w:pPr>
              <w:spacing w:after="0"/>
              <w:rPr>
                <w:sz w:val="18"/>
                <w:szCs w:val="18"/>
                <w:color w:val="auto"/>
              </w:rPr>
            </w:pPr>
          </w:p>
        </w:tc>
        <w:tc>
          <w:tcPr>
            <w:tcW w:w="3660" w:type="dxa"/>
            <w:vAlign w:val="bottom"/>
          </w:tcPr>
          <w:p>
            <w:pPr>
              <w:jc w:val="right"/>
              <w:ind w:right="1394"/>
              <w:spacing w:after="0"/>
              <w:rPr>
                <w:sz w:val="20"/>
                <w:szCs w:val="20"/>
                <w:color w:val="auto"/>
              </w:rPr>
            </w:pPr>
            <w:r>
              <w:rPr>
                <w:rFonts w:ascii="Arial" w:cs="Arial" w:eastAsia="Arial" w:hAnsi="Arial"/>
                <w:sz w:val="17"/>
                <w:szCs w:val="17"/>
                <w:color w:val="auto"/>
              </w:rPr>
              <w:t>09/21/2015</w:t>
            </w:r>
          </w:p>
        </w:tc>
      </w:tr>
      <w:tr>
        <w:trPr>
          <w:trHeight w:val="708"/>
        </w:trPr>
        <w:tc>
          <w:tcPr>
            <w:tcW w:w="50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CUSIP NO. 465741106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0" w:type="dxa"/>
            <w:vAlign w:val="bottom"/>
            <w:gridSpan w:val="4"/>
          </w:tcPr>
          <w:p>
            <w:pPr>
              <w:jc w:val="center"/>
              <w:ind w:right="1200"/>
              <w:spacing w:after="0"/>
              <w:rPr>
                <w:sz w:val="20"/>
                <w:szCs w:val="20"/>
                <w:color w:val="auto"/>
              </w:rPr>
            </w:pPr>
            <w:r>
              <w:rPr>
                <w:rFonts w:ascii="Arial" w:cs="Arial" w:eastAsia="Arial" w:hAnsi="Arial"/>
                <w:sz w:val="17"/>
                <w:szCs w:val="17"/>
                <w:b w:val="1"/>
                <w:bCs w:val="1"/>
                <w:color w:val="auto"/>
              </w:rPr>
              <w:t>SCOPIA PX LLC</w:t>
            </w:r>
          </w:p>
        </w:tc>
        <w:tc>
          <w:tcPr>
            <w:tcW w:w="3500" w:type="dxa"/>
            <w:vAlign w:val="bottom"/>
          </w:tcPr>
          <w:p>
            <w:pPr>
              <w:spacing w:after="0"/>
              <w:rPr>
                <w:sz w:val="16"/>
                <w:szCs w:val="16"/>
                <w:color w:val="auto"/>
              </w:rPr>
            </w:pPr>
          </w:p>
        </w:tc>
      </w:tr>
      <w:tr>
        <w:trPr>
          <w:trHeight w:val="251"/>
        </w:trPr>
        <w:tc>
          <w:tcPr>
            <w:tcW w:w="3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500" w:type="dxa"/>
            <w:vAlign w:val="bottom"/>
          </w:tcPr>
          <w:p>
            <w:pPr>
              <w:spacing w:after="0"/>
              <w:rPr>
                <w:sz w:val="21"/>
                <w:szCs w:val="21"/>
                <w:color w:val="auto"/>
              </w:rPr>
            </w:pP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89"/>
              </w:rPr>
              <w:t>7,466</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31.3972</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89"/>
              </w:rPr>
              <w:t>4,798</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31.5034</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88"/>
              </w:rPr>
              <w:t>27,108</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32.4175</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88"/>
              </w:rPr>
              <w:t>13,554</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32.5294</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08/07/2015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88"/>
              </w:rPr>
              <w:t>16,265</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33.3512</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08/10/2015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88"/>
              </w:rPr>
              <w:t>16,264</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33.2919</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34"/>
              <w:spacing w:after="0"/>
              <w:rPr>
                <w:sz w:val="20"/>
                <w:szCs w:val="20"/>
                <w:color w:val="auto"/>
              </w:rPr>
            </w:pPr>
            <w:r>
              <w:rPr>
                <w:rFonts w:ascii="Arial" w:cs="Arial" w:eastAsia="Arial" w:hAnsi="Arial"/>
                <w:sz w:val="17"/>
                <w:szCs w:val="17"/>
                <w:color w:val="auto"/>
              </w:rPr>
              <w:t>08/11/2015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88"/>
              </w:rPr>
              <w:t>13,554</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33.5389</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08/12/2015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89"/>
              </w:rPr>
              <w:t>6,289</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33.5181</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08/13/2015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88"/>
              </w:rPr>
              <w:t>13,554</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33.5758</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08/13/2015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89"/>
              </w:rPr>
              <w:t>5,248</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33.3663</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08/14/2015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89"/>
              </w:rPr>
              <w:t>2,819</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33.3545</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08/17/2015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88"/>
              </w:rPr>
              <w:t>28,490</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33.5650</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08/17/2015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88"/>
              </w:rPr>
              <w:t>20,331</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33.4877</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08/18/2015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88"/>
              </w:rPr>
              <w:t>13,425</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33.0226</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08/19/2015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88"/>
              </w:rPr>
              <w:t>16,942</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32.6012</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08/20/2015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88"/>
              </w:rPr>
              <w:t>12,747</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32.1161</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08/21/2015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88"/>
              </w:rPr>
              <w:t>20,332</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30.4237</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08/24/2015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89"/>
              </w:rPr>
              <w:t>5,303</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30.6464</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08/25/2015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91"/>
              </w:rPr>
              <w:t>654</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29.9999</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08/31/2015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88"/>
              </w:rPr>
              <w:t>13,412</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29.5756</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09/01/2015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89"/>
              </w:rPr>
              <w:t>7,828</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29.0768</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09/02/2015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89"/>
              </w:rPr>
              <w:t>6,827</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29.1613</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09/09/2015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89"/>
              </w:rPr>
              <w:t>6,827</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28.7391</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09/10/2015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88"/>
              </w:rPr>
              <w:t>23,213</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28.3031</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34"/>
              <w:spacing w:after="0"/>
              <w:rPr>
                <w:sz w:val="20"/>
                <w:szCs w:val="20"/>
                <w:color w:val="auto"/>
              </w:rPr>
            </w:pPr>
            <w:r>
              <w:rPr>
                <w:rFonts w:ascii="Arial" w:cs="Arial" w:eastAsia="Arial" w:hAnsi="Arial"/>
                <w:sz w:val="17"/>
                <w:szCs w:val="17"/>
                <w:color w:val="auto"/>
              </w:rPr>
              <w:t>09/11/2015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88"/>
              </w:rPr>
              <w:t>34,137</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28.5477</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09/14/2015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88"/>
              </w:rPr>
              <w:t>10,350</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29.5364</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09/15/2015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89"/>
              </w:rPr>
              <w:t>8,134</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30.2308</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09/16/2015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89"/>
              </w:rPr>
              <w:t>6,779</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30.5227</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09/17/2015</w:t>
            </w:r>
          </w:p>
        </w:tc>
      </w:tr>
      <w:tr>
        <w:trPr>
          <w:trHeight w:val="206"/>
        </w:trPr>
        <w:tc>
          <w:tcPr>
            <w:tcW w:w="3440" w:type="dxa"/>
            <w:vAlign w:val="bottom"/>
            <w:shd w:val="clear" w:color="auto" w:fill="CCEEFF"/>
          </w:tcPr>
          <w:p>
            <w:pPr>
              <w:ind w:left="1700"/>
              <w:spacing w:after="0"/>
              <w:rPr>
                <w:sz w:val="20"/>
                <w:szCs w:val="20"/>
                <w:color w:val="auto"/>
              </w:rPr>
            </w:pPr>
            <w:r>
              <w:rPr>
                <w:rFonts w:ascii="Arial" w:cs="Arial" w:eastAsia="Arial" w:hAnsi="Arial"/>
                <w:sz w:val="17"/>
                <w:szCs w:val="17"/>
                <w:color w:val="auto"/>
              </w:rPr>
              <w:t>20,032</w:t>
            </w:r>
          </w:p>
        </w:tc>
        <w:tc>
          <w:tcPr>
            <w:tcW w:w="2940" w:type="dxa"/>
            <w:vAlign w:val="bottom"/>
            <w:gridSpan w:val="3"/>
            <w:shd w:val="clear" w:color="auto" w:fill="CCEEFF"/>
          </w:tcPr>
          <w:p>
            <w:pPr>
              <w:jc w:val="center"/>
              <w:ind w:left="1574"/>
              <w:spacing w:after="0"/>
              <w:rPr>
                <w:sz w:val="20"/>
                <w:szCs w:val="20"/>
                <w:color w:val="auto"/>
              </w:rPr>
            </w:pPr>
            <w:r>
              <w:rPr>
                <w:rFonts w:ascii="Arial" w:cs="Arial" w:eastAsia="Arial" w:hAnsi="Arial"/>
                <w:sz w:val="17"/>
                <w:szCs w:val="17"/>
                <w:color w:val="auto"/>
                <w:w w:val="91"/>
              </w:rPr>
              <w:t>30.4153</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394"/>
              <w:spacing w:after="0"/>
              <w:rPr>
                <w:sz w:val="20"/>
                <w:szCs w:val="20"/>
                <w:color w:val="auto"/>
              </w:rPr>
            </w:pPr>
            <w:r>
              <w:rPr>
                <w:rFonts w:ascii="Arial" w:cs="Arial" w:eastAsia="Arial" w:hAnsi="Arial"/>
                <w:sz w:val="17"/>
                <w:szCs w:val="17"/>
                <w:color w:val="auto"/>
              </w:rPr>
              <w:t>09/18/2015</w:t>
            </w:r>
          </w:p>
        </w:tc>
      </w:tr>
      <w:tr>
        <w:trPr>
          <w:trHeight w:val="217"/>
        </w:trPr>
        <w:tc>
          <w:tcPr>
            <w:tcW w:w="3440" w:type="dxa"/>
            <w:vAlign w:val="bottom"/>
          </w:tcPr>
          <w:p>
            <w:pPr>
              <w:ind w:left="1700"/>
              <w:spacing w:after="0"/>
              <w:rPr>
                <w:sz w:val="20"/>
                <w:szCs w:val="20"/>
                <w:color w:val="auto"/>
              </w:rPr>
            </w:pPr>
            <w:r>
              <w:rPr>
                <w:rFonts w:ascii="Arial" w:cs="Arial" w:eastAsia="Arial" w:hAnsi="Arial"/>
                <w:sz w:val="17"/>
                <w:szCs w:val="17"/>
                <w:color w:val="auto"/>
              </w:rPr>
              <w:t>6,779</w:t>
            </w:r>
          </w:p>
        </w:tc>
        <w:tc>
          <w:tcPr>
            <w:tcW w:w="2940" w:type="dxa"/>
            <w:vAlign w:val="bottom"/>
            <w:gridSpan w:val="3"/>
          </w:tcPr>
          <w:p>
            <w:pPr>
              <w:jc w:val="center"/>
              <w:ind w:left="1574"/>
              <w:spacing w:after="0"/>
              <w:rPr>
                <w:sz w:val="20"/>
                <w:szCs w:val="20"/>
                <w:color w:val="auto"/>
              </w:rPr>
            </w:pPr>
            <w:r>
              <w:rPr>
                <w:rFonts w:ascii="Arial" w:cs="Arial" w:eastAsia="Arial" w:hAnsi="Arial"/>
                <w:sz w:val="17"/>
                <w:szCs w:val="17"/>
                <w:color w:val="auto"/>
                <w:w w:val="91"/>
              </w:rPr>
              <w:t>30.5432</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500" w:type="dxa"/>
            <w:vAlign w:val="bottom"/>
          </w:tcPr>
          <w:p>
            <w:pPr>
              <w:jc w:val="right"/>
              <w:ind w:right="1394"/>
              <w:spacing w:after="0"/>
              <w:rPr>
                <w:sz w:val="20"/>
                <w:szCs w:val="20"/>
                <w:color w:val="auto"/>
              </w:rPr>
            </w:pPr>
            <w:r>
              <w:rPr>
                <w:rFonts w:ascii="Arial" w:cs="Arial" w:eastAsia="Arial" w:hAnsi="Arial"/>
                <w:sz w:val="17"/>
                <w:szCs w:val="17"/>
                <w:color w:val="auto"/>
              </w:rPr>
              <w:t>09/21/2015</w:t>
            </w:r>
          </w:p>
        </w:tc>
      </w:tr>
      <w:tr>
        <w:trPr>
          <w:trHeight w:val="389"/>
        </w:trPr>
        <w:tc>
          <w:tcPr>
            <w:tcW w:w="3440" w:type="dxa"/>
            <w:vAlign w:val="bottom"/>
          </w:tcPr>
          <w:p>
            <w:pPr>
              <w:spacing w:after="0"/>
              <w:rPr>
                <w:sz w:val="24"/>
                <w:szCs w:val="24"/>
                <w:color w:val="auto"/>
              </w:rPr>
            </w:pPr>
          </w:p>
        </w:tc>
        <w:tc>
          <w:tcPr>
            <w:tcW w:w="4480" w:type="dxa"/>
            <w:vAlign w:val="bottom"/>
            <w:gridSpan w:val="5"/>
          </w:tcPr>
          <w:p>
            <w:pPr>
              <w:ind w:left="1280"/>
              <w:spacing w:after="0"/>
              <w:rPr>
                <w:sz w:val="20"/>
                <w:szCs w:val="20"/>
                <w:color w:val="auto"/>
              </w:rPr>
            </w:pPr>
            <w:r>
              <w:rPr>
                <w:rFonts w:ascii="Arial" w:cs="Arial" w:eastAsia="Arial" w:hAnsi="Arial"/>
                <w:sz w:val="17"/>
                <w:szCs w:val="17"/>
                <w:b w:val="1"/>
                <w:bCs w:val="1"/>
                <w:color w:val="auto"/>
              </w:rPr>
              <w:t>SCOPIA PARTNERS LLC</w:t>
            </w:r>
          </w:p>
        </w:tc>
        <w:tc>
          <w:tcPr>
            <w:tcW w:w="3500" w:type="dxa"/>
            <w:vAlign w:val="bottom"/>
          </w:tcPr>
          <w:p>
            <w:pPr>
              <w:spacing w:after="0"/>
              <w:rPr>
                <w:sz w:val="24"/>
                <w:szCs w:val="24"/>
                <w:color w:val="auto"/>
              </w:rPr>
            </w:pPr>
          </w:p>
        </w:tc>
      </w:tr>
      <w:tr>
        <w:trPr>
          <w:trHeight w:val="251"/>
        </w:trPr>
        <w:tc>
          <w:tcPr>
            <w:tcW w:w="3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3500" w:type="dxa"/>
            <w:vAlign w:val="bottom"/>
          </w:tcPr>
          <w:p>
            <w:pPr>
              <w:spacing w:after="0"/>
              <w:rPr>
                <w:sz w:val="21"/>
                <w:szCs w:val="21"/>
                <w:color w:val="auto"/>
              </w:rPr>
            </w:pP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91"/>
              </w:rPr>
              <w:t>227</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31.3972</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91"/>
              </w:rPr>
              <w:t>146</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31.5034</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91"/>
              </w:rPr>
              <w:t>824</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32.4175</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91"/>
              </w:rPr>
              <w:t>412</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32.5294</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08/07/2015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91"/>
              </w:rPr>
              <w:t>495</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33.3512</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08/10/2015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91"/>
              </w:rPr>
              <w:t>495</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33.2919</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34"/>
              <w:spacing w:after="0"/>
              <w:rPr>
                <w:sz w:val="20"/>
                <w:szCs w:val="20"/>
                <w:color w:val="auto"/>
              </w:rPr>
            </w:pPr>
            <w:r>
              <w:rPr>
                <w:rFonts w:ascii="Arial" w:cs="Arial" w:eastAsia="Arial" w:hAnsi="Arial"/>
                <w:sz w:val="17"/>
                <w:szCs w:val="17"/>
                <w:color w:val="auto"/>
              </w:rPr>
              <w:t>08/11/2015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91"/>
              </w:rPr>
              <w:t>412</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33.5389</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08/12/2015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91"/>
              </w:rPr>
              <w:t>191</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33.5181</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08/13/2015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91"/>
              </w:rPr>
              <w:t>412</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33.5758</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08/13/2015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91"/>
              </w:rPr>
              <w:t>160</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33.3663</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08/14/2015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94"/>
              </w:rPr>
              <w:t>86</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33.3545</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08/17/2015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91"/>
              </w:rPr>
              <w:t>867</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33.5650</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08/17/2015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91"/>
              </w:rPr>
              <w:t>618</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33.4877</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08/18/2015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91"/>
              </w:rPr>
              <w:t>408</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33.0226</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08/19/2015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91"/>
              </w:rPr>
              <w:t>515</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32.6012</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08/20/2015</w:t>
            </w:r>
          </w:p>
        </w:tc>
      </w:tr>
      <w:tr>
        <w:trPr>
          <w:trHeight w:val="206"/>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91"/>
              </w:rPr>
              <w:t>388</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32.1161</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08/21/2015</w:t>
            </w:r>
          </w:p>
        </w:tc>
      </w:tr>
      <w:tr>
        <w:trPr>
          <w:trHeight w:val="206"/>
        </w:trPr>
        <w:tc>
          <w:tcPr>
            <w:tcW w:w="3440" w:type="dxa"/>
            <w:vAlign w:val="bottom"/>
            <w:shd w:val="clear" w:color="auto" w:fill="CCEEFF"/>
          </w:tcPr>
          <w:p>
            <w:pPr>
              <w:jc w:val="center"/>
              <w:ind w:left="294"/>
              <w:spacing w:after="0"/>
              <w:rPr>
                <w:sz w:val="20"/>
                <w:szCs w:val="20"/>
                <w:color w:val="auto"/>
              </w:rPr>
            </w:pPr>
            <w:r>
              <w:rPr>
                <w:rFonts w:ascii="Arial" w:cs="Arial" w:eastAsia="Arial" w:hAnsi="Arial"/>
                <w:sz w:val="17"/>
                <w:szCs w:val="17"/>
                <w:color w:val="auto"/>
                <w:w w:val="91"/>
              </w:rPr>
              <w:t>618</w:t>
            </w:r>
          </w:p>
        </w:tc>
        <w:tc>
          <w:tcPr>
            <w:tcW w:w="2940" w:type="dxa"/>
            <w:vAlign w:val="bottom"/>
            <w:gridSpan w:val="3"/>
            <w:shd w:val="clear" w:color="auto" w:fill="CCEEFF"/>
          </w:tcPr>
          <w:p>
            <w:pPr>
              <w:jc w:val="center"/>
              <w:ind w:left="1534"/>
              <w:spacing w:after="0"/>
              <w:rPr>
                <w:sz w:val="20"/>
                <w:szCs w:val="20"/>
                <w:color w:val="auto"/>
              </w:rPr>
            </w:pPr>
            <w:r>
              <w:rPr>
                <w:rFonts w:ascii="Arial" w:cs="Arial" w:eastAsia="Arial" w:hAnsi="Arial"/>
                <w:sz w:val="17"/>
                <w:szCs w:val="17"/>
                <w:color w:val="auto"/>
                <w:w w:val="91"/>
              </w:rPr>
              <w:t>30.4237</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5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08/24/2015</w:t>
            </w:r>
          </w:p>
        </w:tc>
      </w:tr>
      <w:tr>
        <w:trPr>
          <w:trHeight w:val="217"/>
        </w:trPr>
        <w:tc>
          <w:tcPr>
            <w:tcW w:w="3440" w:type="dxa"/>
            <w:vAlign w:val="bottom"/>
          </w:tcPr>
          <w:p>
            <w:pPr>
              <w:jc w:val="center"/>
              <w:ind w:left="294"/>
              <w:spacing w:after="0"/>
              <w:rPr>
                <w:sz w:val="20"/>
                <w:szCs w:val="20"/>
                <w:color w:val="auto"/>
              </w:rPr>
            </w:pPr>
            <w:r>
              <w:rPr>
                <w:rFonts w:ascii="Arial" w:cs="Arial" w:eastAsia="Arial" w:hAnsi="Arial"/>
                <w:sz w:val="17"/>
                <w:szCs w:val="17"/>
                <w:color w:val="auto"/>
                <w:w w:val="91"/>
              </w:rPr>
              <w:t>176</w:t>
            </w:r>
          </w:p>
        </w:tc>
        <w:tc>
          <w:tcPr>
            <w:tcW w:w="2940" w:type="dxa"/>
            <w:vAlign w:val="bottom"/>
            <w:gridSpan w:val="3"/>
          </w:tcPr>
          <w:p>
            <w:pPr>
              <w:jc w:val="center"/>
              <w:ind w:left="1534"/>
              <w:spacing w:after="0"/>
              <w:rPr>
                <w:sz w:val="20"/>
                <w:szCs w:val="20"/>
                <w:color w:val="auto"/>
              </w:rPr>
            </w:pPr>
            <w:r>
              <w:rPr>
                <w:rFonts w:ascii="Arial" w:cs="Arial" w:eastAsia="Arial" w:hAnsi="Arial"/>
                <w:sz w:val="17"/>
                <w:szCs w:val="17"/>
                <w:color w:val="auto"/>
                <w:w w:val="91"/>
              </w:rPr>
              <w:t>30.6464</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500" w:type="dxa"/>
            <w:vAlign w:val="bottom"/>
          </w:tcPr>
          <w:p>
            <w:pPr>
              <w:jc w:val="right"/>
              <w:ind w:right="1414"/>
              <w:spacing w:after="0"/>
              <w:rPr>
                <w:sz w:val="20"/>
                <w:szCs w:val="20"/>
                <w:color w:val="auto"/>
              </w:rPr>
            </w:pPr>
            <w:r>
              <w:rPr>
                <w:rFonts w:ascii="Arial" w:cs="Arial" w:eastAsia="Arial" w:hAnsi="Arial"/>
                <w:sz w:val="17"/>
                <w:szCs w:val="17"/>
                <w:color w:val="auto"/>
              </w:rPr>
              <w:t>08/25/2015</w:t>
            </w:r>
          </w:p>
        </w:tc>
      </w:tr>
      <w:tr>
        <w:trPr>
          <w:trHeight w:val="708"/>
        </w:trPr>
        <w:tc>
          <w:tcPr>
            <w:tcW w:w="3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7"/>
        </w:trPr>
        <w:tc>
          <w:tcPr>
            <w:tcW w:w="3820" w:type="dxa"/>
            <w:vAlign w:val="bottom"/>
            <w:gridSpan w:val="2"/>
          </w:tcPr>
          <w:p>
            <w:pPr>
              <w:spacing w:after="0"/>
              <w:rPr>
                <w:sz w:val="20"/>
                <w:szCs w:val="20"/>
                <w:color w:val="auto"/>
              </w:rPr>
            </w:pPr>
            <w:r>
              <w:rPr>
                <w:rFonts w:ascii="Arial" w:cs="Arial" w:eastAsia="Arial" w:hAnsi="Arial"/>
                <w:sz w:val="17"/>
                <w:szCs w:val="17"/>
                <w:color w:val="auto"/>
              </w:rPr>
              <w:t>CUSIP NO. 465741106</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restart"/>
          </w:tcPr>
          <w:p>
            <w:pPr>
              <w:spacing w:after="0"/>
              <w:rPr>
                <w:sz w:val="20"/>
                <w:szCs w:val="20"/>
                <w:color w:val="auto"/>
              </w:rPr>
            </w:pPr>
          </w:p>
        </w:tc>
        <w:tc>
          <w:tcPr>
            <w:tcW w:w="3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(78)</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29.9929</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08/31/2015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91"/>
              </w:rPr>
              <w:t>333</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29.5756</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09/01/2015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(9)</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29.6185</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09/01/2015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91"/>
              </w:rPr>
              <w:t>195</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29.0768</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09/02/2015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202</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29.1613</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09/09/2015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91"/>
              </w:rPr>
              <w:t>202</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28.7391</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09/10/2015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688</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28.3031</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34"/>
              <w:spacing w:after="0"/>
              <w:rPr>
                <w:sz w:val="20"/>
                <w:szCs w:val="20"/>
                <w:color w:val="auto"/>
              </w:rPr>
            </w:pPr>
            <w:r>
              <w:rPr>
                <w:rFonts w:ascii="Arial" w:cs="Arial" w:eastAsia="Arial" w:hAnsi="Arial"/>
                <w:sz w:val="17"/>
                <w:szCs w:val="17"/>
                <w:color w:val="auto"/>
              </w:rPr>
              <w:t>09/11/2015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9"/>
              </w:rPr>
              <w:t>1,012</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28.5477</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09/14/2015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307</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29.5364</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09/15/2015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91"/>
              </w:rPr>
              <w:t>241</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30.2308</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09/16/2015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201</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30.5227</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09/17/2015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594</w:t>
            </w:r>
          </w:p>
        </w:tc>
        <w:tc>
          <w:tcPr>
            <w:tcW w:w="3100" w:type="dxa"/>
            <w:vAlign w:val="bottom"/>
            <w:gridSpan w:val="3"/>
            <w:shd w:val="clear" w:color="auto" w:fill="CCEEFF"/>
          </w:tcPr>
          <w:p>
            <w:pPr>
              <w:jc w:val="center"/>
              <w:ind w:left="654"/>
              <w:spacing w:after="0"/>
              <w:rPr>
                <w:sz w:val="20"/>
                <w:szCs w:val="20"/>
                <w:color w:val="auto"/>
              </w:rPr>
            </w:pPr>
            <w:r>
              <w:rPr>
                <w:rFonts w:ascii="Arial" w:cs="Arial" w:eastAsia="Arial" w:hAnsi="Arial"/>
                <w:sz w:val="17"/>
                <w:szCs w:val="17"/>
                <w:color w:val="auto"/>
                <w:w w:val="91"/>
              </w:rPr>
              <w:t>30.4153</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394"/>
              <w:spacing w:after="0"/>
              <w:rPr>
                <w:sz w:val="20"/>
                <w:szCs w:val="20"/>
                <w:color w:val="auto"/>
              </w:rPr>
            </w:pPr>
            <w:r>
              <w:rPr>
                <w:rFonts w:ascii="Arial" w:cs="Arial" w:eastAsia="Arial" w:hAnsi="Arial"/>
                <w:sz w:val="17"/>
                <w:szCs w:val="17"/>
                <w:color w:val="auto"/>
              </w:rPr>
              <w:t>09/18/2015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201</w:t>
            </w:r>
          </w:p>
        </w:tc>
        <w:tc>
          <w:tcPr>
            <w:tcW w:w="3100" w:type="dxa"/>
            <w:vAlign w:val="bottom"/>
            <w:gridSpan w:val="3"/>
            <w:shd w:val="clear" w:color="auto" w:fill="CCEEFF"/>
          </w:tcPr>
          <w:p>
            <w:pPr>
              <w:jc w:val="center"/>
              <w:ind w:left="654"/>
              <w:spacing w:after="0"/>
              <w:rPr>
                <w:sz w:val="20"/>
                <w:szCs w:val="20"/>
                <w:color w:val="auto"/>
              </w:rPr>
            </w:pPr>
            <w:r>
              <w:rPr>
                <w:rFonts w:ascii="Arial" w:cs="Arial" w:eastAsia="Arial" w:hAnsi="Arial"/>
                <w:sz w:val="17"/>
                <w:szCs w:val="17"/>
                <w:color w:val="auto"/>
                <w:w w:val="91"/>
              </w:rPr>
              <w:t>30.5432</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394"/>
              <w:spacing w:after="0"/>
              <w:rPr>
                <w:sz w:val="20"/>
                <w:szCs w:val="20"/>
                <w:color w:val="auto"/>
              </w:rPr>
            </w:pPr>
            <w:r>
              <w:rPr>
                <w:rFonts w:ascii="Arial" w:cs="Arial" w:eastAsia="Arial" w:hAnsi="Arial"/>
                <w:sz w:val="17"/>
                <w:szCs w:val="17"/>
                <w:color w:val="auto"/>
              </w:rPr>
              <w:t>09/21/2015</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gridSpan w:val="4"/>
          </w:tcPr>
          <w:p>
            <w:pPr>
              <w:ind w:left="640"/>
              <w:spacing w:after="0"/>
              <w:rPr>
                <w:sz w:val="20"/>
                <w:szCs w:val="20"/>
                <w:color w:val="auto"/>
              </w:rPr>
            </w:pPr>
            <w:r>
              <w:rPr>
                <w:rFonts w:ascii="Arial" w:cs="Arial" w:eastAsia="Arial" w:hAnsi="Arial"/>
                <w:sz w:val="17"/>
                <w:szCs w:val="17"/>
                <w:b w:val="1"/>
                <w:bCs w:val="1"/>
                <w:color w:val="auto"/>
              </w:rPr>
              <w:t>SCOPIA WINDMILL FUND LP</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20" w:type="dxa"/>
            <w:vAlign w:val="bottom"/>
            <w:tcBorders>
              <w:top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5,126</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31.3972</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9"/>
              </w:rPr>
              <w:t>3,294</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31.5034</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08/06/2015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18,609</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32.4175</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9"/>
              </w:rPr>
              <w:t>9,304</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32.5294</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08/07/2015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11,165</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33.3512</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08/10/2015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8"/>
              </w:rPr>
              <w:t>11,165</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33.2919</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34"/>
              <w:spacing w:after="0"/>
              <w:rPr>
                <w:sz w:val="20"/>
                <w:szCs w:val="20"/>
                <w:color w:val="auto"/>
              </w:rPr>
            </w:pPr>
            <w:r>
              <w:rPr>
                <w:rFonts w:ascii="Arial" w:cs="Arial" w:eastAsia="Arial" w:hAnsi="Arial"/>
                <w:sz w:val="17"/>
                <w:szCs w:val="17"/>
                <w:color w:val="auto"/>
              </w:rPr>
              <w:t>08/11/2015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9,304</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33.5389</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08/12/2015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9"/>
              </w:rPr>
              <w:t>4,317</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33.5181</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08/13/2015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9,304</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33.5758</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08/13/2015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9"/>
              </w:rPr>
              <w:t>3,602</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33.3663</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08/14/2015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1,935</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33.3545</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08/17/2015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8"/>
              </w:rPr>
              <w:t>19,558</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33.5650</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08/17/2015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13,957</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33.4877</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08/18/2015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9"/>
              </w:rPr>
              <w:t>9,216</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33.0226</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08/19/2015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11,630</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32.6012</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08/20/2015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9"/>
              </w:rPr>
              <w:t>8,750</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32.1161</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08/21/2015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13,958</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30.4237</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08/24/2015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9"/>
              </w:rPr>
              <w:t>3,324</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30.6464</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08/25/2015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(1,724)</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29.9929</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08/31/2015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9"/>
              </w:rPr>
              <w:t>7,619</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29.5756</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09/01/2015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(201)</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29.6185</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09/01/2015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9"/>
              </w:rPr>
              <w:t>4,447</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29.0768</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09/02/2015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4,649</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29.1613</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09/09/2015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9"/>
              </w:rPr>
              <w:t>4,649</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28.7391</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09/10/2015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15,807</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28.3031</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34"/>
              <w:spacing w:after="0"/>
              <w:rPr>
                <w:sz w:val="20"/>
                <w:szCs w:val="20"/>
                <w:color w:val="auto"/>
              </w:rPr>
            </w:pPr>
            <w:r>
              <w:rPr>
                <w:rFonts w:ascii="Arial" w:cs="Arial" w:eastAsia="Arial" w:hAnsi="Arial"/>
                <w:sz w:val="17"/>
                <w:szCs w:val="17"/>
                <w:color w:val="auto"/>
              </w:rPr>
              <w:t>09/11/2015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8"/>
              </w:rPr>
              <w:t>23,245</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28.5477</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09/14/2015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7,048</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29.5364</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09/15/2015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9"/>
              </w:rPr>
              <w:t>5,650</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30.2308</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09/16/2015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4,709</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30.5227</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09/17/2015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right"/>
              <w:ind w:right="1574"/>
              <w:spacing w:after="0"/>
              <w:rPr>
                <w:sz w:val="20"/>
                <w:szCs w:val="20"/>
                <w:color w:val="auto"/>
              </w:rPr>
            </w:pPr>
            <w:r>
              <w:rPr>
                <w:rFonts w:ascii="Arial" w:cs="Arial" w:eastAsia="Arial" w:hAnsi="Arial"/>
                <w:sz w:val="17"/>
                <w:szCs w:val="17"/>
                <w:color w:val="auto"/>
              </w:rPr>
              <w:t>13,915</w:t>
            </w:r>
          </w:p>
        </w:tc>
        <w:tc>
          <w:tcPr>
            <w:tcW w:w="3100" w:type="dxa"/>
            <w:vAlign w:val="bottom"/>
            <w:gridSpan w:val="3"/>
          </w:tcPr>
          <w:p>
            <w:pPr>
              <w:jc w:val="center"/>
              <w:ind w:left="654"/>
              <w:spacing w:after="0"/>
              <w:rPr>
                <w:sz w:val="20"/>
                <w:szCs w:val="20"/>
                <w:color w:val="auto"/>
              </w:rPr>
            </w:pPr>
            <w:r>
              <w:rPr>
                <w:rFonts w:ascii="Arial" w:cs="Arial" w:eastAsia="Arial" w:hAnsi="Arial"/>
                <w:sz w:val="17"/>
                <w:szCs w:val="17"/>
                <w:color w:val="auto"/>
                <w:w w:val="91"/>
              </w:rPr>
              <w:t>30.4153</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394"/>
              <w:spacing w:after="0"/>
              <w:rPr>
                <w:sz w:val="20"/>
                <w:szCs w:val="20"/>
                <w:color w:val="auto"/>
              </w:rPr>
            </w:pPr>
            <w:r>
              <w:rPr>
                <w:rFonts w:ascii="Arial" w:cs="Arial" w:eastAsia="Arial" w:hAnsi="Arial"/>
                <w:sz w:val="17"/>
                <w:szCs w:val="17"/>
                <w:color w:val="auto"/>
              </w:rPr>
              <w:t>09/18/2015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right"/>
              <w:ind w:right="1614"/>
              <w:spacing w:after="0"/>
              <w:rPr>
                <w:sz w:val="20"/>
                <w:szCs w:val="20"/>
                <w:color w:val="auto"/>
              </w:rPr>
            </w:pPr>
            <w:r>
              <w:rPr>
                <w:rFonts w:ascii="Arial" w:cs="Arial" w:eastAsia="Arial" w:hAnsi="Arial"/>
                <w:sz w:val="17"/>
                <w:szCs w:val="17"/>
                <w:color w:val="auto"/>
              </w:rPr>
              <w:t>4,709</w:t>
            </w:r>
          </w:p>
        </w:tc>
        <w:tc>
          <w:tcPr>
            <w:tcW w:w="3100" w:type="dxa"/>
            <w:vAlign w:val="bottom"/>
            <w:gridSpan w:val="3"/>
            <w:shd w:val="clear" w:color="auto" w:fill="CCEEFF"/>
          </w:tcPr>
          <w:p>
            <w:pPr>
              <w:jc w:val="center"/>
              <w:ind w:left="654"/>
              <w:spacing w:after="0"/>
              <w:rPr>
                <w:sz w:val="20"/>
                <w:szCs w:val="20"/>
                <w:color w:val="auto"/>
              </w:rPr>
            </w:pPr>
            <w:r>
              <w:rPr>
                <w:rFonts w:ascii="Arial" w:cs="Arial" w:eastAsia="Arial" w:hAnsi="Arial"/>
                <w:sz w:val="17"/>
                <w:szCs w:val="17"/>
                <w:color w:val="auto"/>
                <w:w w:val="91"/>
              </w:rPr>
              <w:t>30.5432</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394"/>
              <w:spacing w:after="0"/>
              <w:rPr>
                <w:sz w:val="20"/>
                <w:szCs w:val="20"/>
                <w:color w:val="auto"/>
              </w:rPr>
            </w:pPr>
            <w:r>
              <w:rPr>
                <w:rFonts w:ascii="Arial" w:cs="Arial" w:eastAsia="Arial" w:hAnsi="Arial"/>
                <w:sz w:val="17"/>
                <w:szCs w:val="17"/>
                <w:color w:val="auto"/>
              </w:rPr>
              <w:t>09/21/2015</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gridSpan w:val="4"/>
          </w:tcPr>
          <w:p>
            <w:pPr>
              <w:jc w:val="center"/>
              <w:ind w:right="40"/>
              <w:spacing w:after="0"/>
              <w:rPr>
                <w:sz w:val="20"/>
                <w:szCs w:val="20"/>
                <w:color w:val="auto"/>
              </w:rPr>
            </w:pPr>
            <w:r>
              <w:rPr>
                <w:rFonts w:ascii="Arial" w:cs="Arial" w:eastAsia="Arial" w:hAnsi="Arial"/>
                <w:sz w:val="17"/>
                <w:szCs w:val="17"/>
                <w:b w:val="1"/>
                <w:bCs w:val="1"/>
                <w:color w:val="auto"/>
              </w:rPr>
              <w:t>SCOPIA INTERNATIONAL MASTER FUND LP</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4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1,467</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31.3972</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91"/>
              </w:rPr>
              <w:t>942</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31.5034</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08/06/2015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5,325</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32.4175</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7"/>
                <w:szCs w:val="17"/>
                <w:color w:val="auto"/>
                <w:w w:val="89"/>
              </w:rPr>
              <w:t>2,662</w:t>
            </w:r>
          </w:p>
        </w:tc>
        <w:tc>
          <w:tcPr>
            <w:tcW w:w="3100" w:type="dxa"/>
            <w:vAlign w:val="bottom"/>
            <w:gridSpan w:val="3"/>
          </w:tcPr>
          <w:p>
            <w:pPr>
              <w:jc w:val="center"/>
              <w:ind w:left="614"/>
              <w:spacing w:after="0"/>
              <w:rPr>
                <w:sz w:val="20"/>
                <w:szCs w:val="20"/>
                <w:color w:val="auto"/>
              </w:rPr>
            </w:pPr>
            <w:r>
              <w:rPr>
                <w:rFonts w:ascii="Arial" w:cs="Arial" w:eastAsia="Arial" w:hAnsi="Arial"/>
                <w:sz w:val="17"/>
                <w:szCs w:val="17"/>
                <w:color w:val="auto"/>
                <w:w w:val="91"/>
              </w:rPr>
              <w:t>32.5294</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jc w:val="right"/>
              <w:ind w:right="1414"/>
              <w:spacing w:after="0"/>
              <w:rPr>
                <w:sz w:val="20"/>
                <w:szCs w:val="20"/>
                <w:color w:val="auto"/>
              </w:rPr>
            </w:pPr>
            <w:r>
              <w:rPr>
                <w:rFonts w:ascii="Arial" w:cs="Arial" w:eastAsia="Arial" w:hAnsi="Arial"/>
                <w:sz w:val="17"/>
                <w:szCs w:val="17"/>
                <w:color w:val="auto"/>
              </w:rPr>
              <w:t>08/07/2015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3,195</w:t>
            </w:r>
          </w:p>
        </w:tc>
        <w:tc>
          <w:tcPr>
            <w:tcW w:w="3100" w:type="dxa"/>
            <w:vAlign w:val="bottom"/>
            <w:gridSpan w:val="3"/>
            <w:shd w:val="clear" w:color="auto" w:fill="CCEEFF"/>
          </w:tcPr>
          <w:p>
            <w:pPr>
              <w:jc w:val="center"/>
              <w:ind w:left="614"/>
              <w:spacing w:after="0"/>
              <w:rPr>
                <w:sz w:val="20"/>
                <w:szCs w:val="20"/>
                <w:color w:val="auto"/>
              </w:rPr>
            </w:pPr>
            <w:r>
              <w:rPr>
                <w:rFonts w:ascii="Arial" w:cs="Arial" w:eastAsia="Arial" w:hAnsi="Arial"/>
                <w:sz w:val="17"/>
                <w:szCs w:val="17"/>
                <w:color w:val="auto"/>
                <w:w w:val="91"/>
              </w:rPr>
              <w:t>33.3512</w:t>
            </w: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08/10/2015</w:t>
            </w:r>
          </w:p>
        </w:tc>
        <w:tc>
          <w:tcPr>
            <w:tcW w:w="0" w:type="dxa"/>
            <w:vAlign w:val="bottom"/>
          </w:tcPr>
          <w:p>
            <w:pPr>
              <w:spacing w:after="0"/>
              <w:rPr>
                <w:sz w:val="1"/>
                <w:szCs w:val="1"/>
                <w:color w:val="auto"/>
              </w:rPr>
            </w:pPr>
          </w:p>
        </w:tc>
      </w:tr>
      <w:tr>
        <w:trPr>
          <w:trHeight w:val="719"/>
        </w:trPr>
        <w:tc>
          <w:tcPr>
            <w:tcW w:w="20" w:type="dxa"/>
            <w:vAlign w:val="bottom"/>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CUSIP NO. 465741106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3,195</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33.2919</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20"/>
              <w:spacing w:after="0"/>
              <w:rPr>
                <w:sz w:val="20"/>
                <w:szCs w:val="20"/>
                <w:color w:val="auto"/>
              </w:rPr>
            </w:pPr>
            <w:r>
              <w:rPr>
                <w:rFonts w:ascii="Arial" w:cs="Arial" w:eastAsia="Arial" w:hAnsi="Arial"/>
                <w:sz w:val="17"/>
                <w:szCs w:val="17"/>
                <w:color w:val="auto"/>
              </w:rPr>
              <w:t>08/11/2015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9"/>
              </w:rPr>
              <w:t>2,662</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33.5389</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08/12/2015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1,235</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33.5181</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08/13/2015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9"/>
              </w:rPr>
              <w:t>2,662</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33.5758</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08/13/2015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1,031</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33.3663</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08/14/2015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91"/>
              </w:rPr>
              <w:t>554</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33.3545</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08/17/2015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5,596</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33.5650</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08/17/2015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9"/>
              </w:rPr>
              <w:t>3,993</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33.4877</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08/18/2015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2,637</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33.0226</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08/19/2015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9"/>
              </w:rPr>
              <w:t>3,328</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32.6012</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08/20/2015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2,504</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32.1161</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08/21/2015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9"/>
              </w:rPr>
              <w:t>3,994</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30.4237</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08/24/2015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1,047</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30.6464</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08/25/2015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95"/>
              </w:rPr>
              <w:t>(404)</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29.9929</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08/31/2015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2,204</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29.5756</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09/01/2015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99"/>
              </w:rPr>
              <w:t>(47)</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29.6185</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09/01/2015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1,287</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29.0768</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09/02/2015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9"/>
              </w:rPr>
              <w:t>1,309</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29.1613</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09/09/2015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1,309</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28.7391</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09/10/2015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9"/>
              </w:rPr>
              <w:t>4,451</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28.3031</w:t>
            </w:r>
          </w:p>
        </w:tc>
        <w:tc>
          <w:tcPr>
            <w:tcW w:w="720" w:type="dxa"/>
            <w:vAlign w:val="bottom"/>
          </w:tcPr>
          <w:p>
            <w:pPr>
              <w:spacing w:after="0"/>
              <w:rPr>
                <w:sz w:val="17"/>
                <w:szCs w:val="17"/>
                <w:color w:val="auto"/>
              </w:rPr>
            </w:pPr>
          </w:p>
        </w:tc>
        <w:tc>
          <w:tcPr>
            <w:tcW w:w="3000" w:type="dxa"/>
            <w:vAlign w:val="bottom"/>
          </w:tcPr>
          <w:p>
            <w:pPr>
              <w:ind w:left="720"/>
              <w:spacing w:after="0"/>
              <w:rPr>
                <w:sz w:val="20"/>
                <w:szCs w:val="20"/>
                <w:color w:val="auto"/>
              </w:rPr>
            </w:pPr>
            <w:r>
              <w:rPr>
                <w:rFonts w:ascii="Arial" w:cs="Arial" w:eastAsia="Arial" w:hAnsi="Arial"/>
                <w:sz w:val="17"/>
                <w:szCs w:val="17"/>
                <w:color w:val="auto"/>
              </w:rPr>
              <w:t>09/11/2015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6,546</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28.5477</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09/14/2015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9"/>
              </w:rPr>
              <w:t>1,985</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29.5364</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09/15/2015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1,559</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30.2308</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09/16/2015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9"/>
              </w:rPr>
              <w:t>1,299</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30.5227</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09/17/2015</w:t>
            </w:r>
          </w:p>
        </w:tc>
      </w:tr>
      <w:tr>
        <w:trPr>
          <w:trHeight w:val="206"/>
        </w:trPr>
        <w:tc>
          <w:tcPr>
            <w:tcW w:w="294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rPr>
              <w:t>3,840</w:t>
            </w:r>
          </w:p>
        </w:tc>
        <w:tc>
          <w:tcPr>
            <w:tcW w:w="4760" w:type="dxa"/>
            <w:vAlign w:val="bottom"/>
            <w:gridSpan w:val="2"/>
            <w:shd w:val="clear" w:color="auto" w:fill="CCEEFF"/>
          </w:tcPr>
          <w:p>
            <w:pPr>
              <w:jc w:val="center"/>
              <w:ind w:left="754"/>
              <w:spacing w:after="0"/>
              <w:rPr>
                <w:sz w:val="20"/>
                <w:szCs w:val="20"/>
                <w:color w:val="auto"/>
              </w:rPr>
            </w:pPr>
            <w:r>
              <w:rPr>
                <w:rFonts w:ascii="Arial" w:cs="Arial" w:eastAsia="Arial" w:hAnsi="Arial"/>
                <w:sz w:val="17"/>
                <w:szCs w:val="17"/>
                <w:color w:val="auto"/>
                <w:w w:val="91"/>
              </w:rPr>
              <w:t>30.4153</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09/18/2015</w:t>
            </w:r>
          </w:p>
        </w:tc>
      </w:tr>
      <w:tr>
        <w:trPr>
          <w:trHeight w:val="217"/>
        </w:trPr>
        <w:tc>
          <w:tcPr>
            <w:tcW w:w="2940" w:type="dxa"/>
            <w:vAlign w:val="bottom"/>
          </w:tcPr>
          <w:p>
            <w:pPr>
              <w:jc w:val="right"/>
              <w:ind w:right="734"/>
              <w:spacing w:after="0"/>
              <w:rPr>
                <w:sz w:val="20"/>
                <w:szCs w:val="20"/>
                <w:color w:val="auto"/>
              </w:rPr>
            </w:pPr>
            <w:r>
              <w:rPr>
                <w:rFonts w:ascii="Arial" w:cs="Arial" w:eastAsia="Arial" w:hAnsi="Arial"/>
                <w:sz w:val="17"/>
                <w:szCs w:val="17"/>
                <w:color w:val="auto"/>
              </w:rPr>
              <w:t>1,299</w:t>
            </w:r>
          </w:p>
        </w:tc>
        <w:tc>
          <w:tcPr>
            <w:tcW w:w="4760" w:type="dxa"/>
            <w:vAlign w:val="bottom"/>
            <w:gridSpan w:val="2"/>
          </w:tcPr>
          <w:p>
            <w:pPr>
              <w:jc w:val="center"/>
              <w:ind w:left="754"/>
              <w:spacing w:after="0"/>
              <w:rPr>
                <w:sz w:val="20"/>
                <w:szCs w:val="20"/>
                <w:color w:val="auto"/>
              </w:rPr>
            </w:pPr>
            <w:r>
              <w:rPr>
                <w:rFonts w:ascii="Arial" w:cs="Arial" w:eastAsia="Arial" w:hAnsi="Arial"/>
                <w:sz w:val="17"/>
                <w:szCs w:val="17"/>
                <w:color w:val="auto"/>
                <w:w w:val="91"/>
              </w:rPr>
              <w:t>30.5432</w:t>
            </w:r>
          </w:p>
        </w:tc>
        <w:tc>
          <w:tcPr>
            <w:tcW w:w="720" w:type="dxa"/>
            <w:vAlign w:val="bottom"/>
          </w:tcPr>
          <w:p>
            <w:pPr>
              <w:spacing w:after="0"/>
              <w:rPr>
                <w:sz w:val="18"/>
                <w:szCs w:val="18"/>
                <w:color w:val="auto"/>
              </w:rPr>
            </w:pPr>
          </w:p>
        </w:tc>
        <w:tc>
          <w:tcPr>
            <w:tcW w:w="3000" w:type="dxa"/>
            <w:vAlign w:val="bottom"/>
          </w:tcPr>
          <w:p>
            <w:pPr>
              <w:ind w:left="740"/>
              <w:spacing w:after="0"/>
              <w:rPr>
                <w:sz w:val="20"/>
                <w:szCs w:val="20"/>
                <w:color w:val="auto"/>
              </w:rPr>
            </w:pPr>
            <w:r>
              <w:rPr>
                <w:rFonts w:ascii="Arial" w:cs="Arial" w:eastAsia="Arial" w:hAnsi="Arial"/>
                <w:sz w:val="17"/>
                <w:szCs w:val="17"/>
                <w:color w:val="auto"/>
              </w:rPr>
              <w:t>09/21/2015</w:t>
            </w:r>
          </w:p>
        </w:tc>
      </w:tr>
      <w:tr>
        <w:trPr>
          <w:trHeight w:val="389"/>
        </w:trPr>
        <w:tc>
          <w:tcPr>
            <w:tcW w:w="2940" w:type="dxa"/>
            <w:vAlign w:val="bottom"/>
          </w:tcPr>
          <w:p>
            <w:pPr>
              <w:spacing w:after="0"/>
              <w:rPr>
                <w:sz w:val="24"/>
                <w:szCs w:val="24"/>
                <w:color w:val="auto"/>
              </w:rPr>
            </w:pPr>
          </w:p>
        </w:tc>
        <w:tc>
          <w:tcPr>
            <w:tcW w:w="5480" w:type="dxa"/>
            <w:vAlign w:val="bottom"/>
            <w:gridSpan w:val="3"/>
          </w:tcPr>
          <w:p>
            <w:pPr>
              <w:jc w:val="center"/>
              <w:spacing w:after="0"/>
              <w:rPr>
                <w:sz w:val="20"/>
                <w:szCs w:val="20"/>
                <w:color w:val="auto"/>
              </w:rPr>
            </w:pPr>
            <w:r>
              <w:rPr>
                <w:rFonts w:ascii="Arial" w:cs="Arial" w:eastAsia="Arial" w:hAnsi="Arial"/>
                <w:sz w:val="17"/>
                <w:szCs w:val="17"/>
                <w:b w:val="1"/>
                <w:bCs w:val="1"/>
                <w:color w:val="auto"/>
              </w:rPr>
              <w:t>SCOPIA PX INTERNATIONAL MASTER FUND LP</w:t>
            </w:r>
          </w:p>
        </w:tc>
        <w:tc>
          <w:tcPr>
            <w:tcW w:w="3000" w:type="dxa"/>
            <w:vAlign w:val="bottom"/>
          </w:tcPr>
          <w:p>
            <w:pPr>
              <w:spacing w:after="0"/>
              <w:rPr>
                <w:sz w:val="24"/>
                <w:szCs w:val="24"/>
                <w:color w:val="auto"/>
              </w:rPr>
            </w:pPr>
          </w:p>
        </w:tc>
      </w:tr>
      <w:tr>
        <w:trPr>
          <w:trHeight w:val="251"/>
        </w:trPr>
        <w:tc>
          <w:tcPr>
            <w:tcW w:w="2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980" w:type="dxa"/>
            <w:vAlign w:val="bottom"/>
            <w:tcBorders>
              <w:top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8"/>
              </w:rPr>
              <w:t>10,038</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31.3972</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08/06/2015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9"/>
              </w:rPr>
              <w:t>6,450</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31.5034</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08/06/2015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8"/>
              </w:rPr>
              <w:t>36,444</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32.4175</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08/06/2015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8"/>
              </w:rPr>
              <w:t>18,222</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32.5294</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08/07/2015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8"/>
              </w:rPr>
              <w:t>21,866</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33.3512</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08/10/2015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8"/>
              </w:rPr>
              <w:t>21,867</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33.2919</w:t>
            </w:r>
          </w:p>
        </w:tc>
        <w:tc>
          <w:tcPr>
            <w:tcW w:w="720" w:type="dxa"/>
            <w:vAlign w:val="bottom"/>
          </w:tcPr>
          <w:p>
            <w:pPr>
              <w:spacing w:after="0"/>
              <w:rPr>
                <w:sz w:val="17"/>
                <w:szCs w:val="17"/>
                <w:color w:val="auto"/>
              </w:rPr>
            </w:pPr>
          </w:p>
        </w:tc>
        <w:tc>
          <w:tcPr>
            <w:tcW w:w="3000" w:type="dxa"/>
            <w:vAlign w:val="bottom"/>
          </w:tcPr>
          <w:p>
            <w:pPr>
              <w:ind w:left="720"/>
              <w:spacing w:after="0"/>
              <w:rPr>
                <w:sz w:val="20"/>
                <w:szCs w:val="20"/>
                <w:color w:val="auto"/>
              </w:rPr>
            </w:pPr>
            <w:r>
              <w:rPr>
                <w:rFonts w:ascii="Arial" w:cs="Arial" w:eastAsia="Arial" w:hAnsi="Arial"/>
                <w:sz w:val="17"/>
                <w:szCs w:val="17"/>
                <w:color w:val="auto"/>
              </w:rPr>
              <w:t>08/11/2015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8"/>
              </w:rPr>
              <w:t>18,222</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33.5389</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08/12/2015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9"/>
              </w:rPr>
              <w:t>8,456</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33.5181</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08/13/2015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8"/>
              </w:rPr>
              <w:t>18,222</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33.5758</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08/13/2015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9"/>
              </w:rPr>
              <w:t>7,055</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33.3663</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08/14/2015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3,790</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33.3545</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08/17/2015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8"/>
              </w:rPr>
              <w:t>38,303</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33.5650</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08/17/2015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8"/>
              </w:rPr>
              <w:t>27,334</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33.4877</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08/18/2015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8"/>
              </w:rPr>
              <w:t>18,049</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33.0226</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08/19/2015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8"/>
              </w:rPr>
              <w:t>22,778</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32.6012</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08/20/2015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8"/>
              </w:rPr>
              <w:t>17,137</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32.1161</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08/21/2015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8"/>
              </w:rPr>
              <w:t>27,336</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30.4237</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08/24/2015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9"/>
              </w:rPr>
              <w:t>7,182</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30.6464</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08/25/2015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95"/>
              </w:rPr>
              <w:t>(780)</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29.9929</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08/31/2015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8"/>
              </w:rPr>
              <w:t>16,742</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29.5756</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09/01/2015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99"/>
              </w:rPr>
              <w:t>(91)</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29.6185</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09/01/2015</w:t>
            </w:r>
          </w:p>
        </w:tc>
      </w:tr>
      <w:tr>
        <w:trPr>
          <w:trHeight w:val="206"/>
        </w:trPr>
        <w:tc>
          <w:tcPr>
            <w:tcW w:w="2940" w:type="dxa"/>
            <w:vAlign w:val="bottom"/>
          </w:tcPr>
          <w:p>
            <w:pPr>
              <w:jc w:val="center"/>
              <w:ind w:left="794"/>
              <w:spacing w:after="0"/>
              <w:rPr>
                <w:sz w:val="20"/>
                <w:szCs w:val="20"/>
                <w:color w:val="auto"/>
              </w:rPr>
            </w:pPr>
            <w:r>
              <w:rPr>
                <w:rFonts w:ascii="Arial" w:cs="Arial" w:eastAsia="Arial" w:hAnsi="Arial"/>
                <w:sz w:val="17"/>
                <w:szCs w:val="17"/>
                <w:color w:val="auto"/>
                <w:w w:val="89"/>
              </w:rPr>
              <w:t>9,772</w:t>
            </w:r>
          </w:p>
        </w:tc>
        <w:tc>
          <w:tcPr>
            <w:tcW w:w="4760" w:type="dxa"/>
            <w:vAlign w:val="bottom"/>
            <w:gridSpan w:val="2"/>
          </w:tcPr>
          <w:p>
            <w:pPr>
              <w:jc w:val="center"/>
              <w:ind w:left="714"/>
              <w:spacing w:after="0"/>
              <w:rPr>
                <w:sz w:val="20"/>
                <w:szCs w:val="20"/>
                <w:color w:val="auto"/>
              </w:rPr>
            </w:pPr>
            <w:r>
              <w:rPr>
                <w:rFonts w:ascii="Arial" w:cs="Arial" w:eastAsia="Arial" w:hAnsi="Arial"/>
                <w:sz w:val="17"/>
                <w:szCs w:val="17"/>
                <w:color w:val="auto"/>
                <w:w w:val="91"/>
              </w:rPr>
              <w:t>29.0768</w:t>
            </w:r>
          </w:p>
        </w:tc>
        <w:tc>
          <w:tcPr>
            <w:tcW w:w="720" w:type="dxa"/>
            <w:vAlign w:val="bottom"/>
          </w:tcPr>
          <w:p>
            <w:pPr>
              <w:spacing w:after="0"/>
              <w:rPr>
                <w:sz w:val="17"/>
                <w:szCs w:val="17"/>
                <w:color w:val="auto"/>
              </w:rPr>
            </w:pPr>
          </w:p>
        </w:tc>
        <w:tc>
          <w:tcPr>
            <w:tcW w:w="3000" w:type="dxa"/>
            <w:vAlign w:val="bottom"/>
          </w:tcPr>
          <w:p>
            <w:pPr>
              <w:ind w:left="700"/>
              <w:spacing w:after="0"/>
              <w:rPr>
                <w:sz w:val="20"/>
                <w:szCs w:val="20"/>
                <w:color w:val="auto"/>
              </w:rPr>
            </w:pPr>
            <w:r>
              <w:rPr>
                <w:rFonts w:ascii="Arial" w:cs="Arial" w:eastAsia="Arial" w:hAnsi="Arial"/>
                <w:sz w:val="17"/>
                <w:szCs w:val="17"/>
                <w:color w:val="auto"/>
              </w:rPr>
              <w:t>09/02/2015</w:t>
            </w:r>
          </w:p>
        </w:tc>
      </w:tr>
      <w:tr>
        <w:trPr>
          <w:trHeight w:val="206"/>
        </w:trPr>
        <w:tc>
          <w:tcPr>
            <w:tcW w:w="29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89"/>
              </w:rPr>
              <w:t>9,084</w:t>
            </w:r>
          </w:p>
        </w:tc>
        <w:tc>
          <w:tcPr>
            <w:tcW w:w="4760" w:type="dxa"/>
            <w:vAlign w:val="bottom"/>
            <w:gridSpan w:val="2"/>
            <w:shd w:val="clear" w:color="auto" w:fill="CCEEFF"/>
          </w:tcPr>
          <w:p>
            <w:pPr>
              <w:jc w:val="center"/>
              <w:ind w:left="714"/>
              <w:spacing w:after="0"/>
              <w:rPr>
                <w:sz w:val="20"/>
                <w:szCs w:val="20"/>
                <w:color w:val="auto"/>
              </w:rPr>
            </w:pPr>
            <w:r>
              <w:rPr>
                <w:rFonts w:ascii="Arial" w:cs="Arial" w:eastAsia="Arial" w:hAnsi="Arial"/>
                <w:sz w:val="17"/>
                <w:szCs w:val="17"/>
                <w:color w:val="auto"/>
                <w:w w:val="91"/>
              </w:rPr>
              <w:t>29.1613</w:t>
            </w:r>
          </w:p>
        </w:tc>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09/09/2015</w:t>
            </w:r>
          </w:p>
        </w:tc>
      </w:tr>
      <w:tr>
        <w:trPr>
          <w:trHeight w:val="719"/>
        </w:trPr>
        <w:tc>
          <w:tcPr>
            <w:tcW w:w="29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CUSIP NO. 465741106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9"/>
              </w:rPr>
              <w:t>9,085</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28.7391</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09/10/2015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88"/>
              </w:rPr>
              <w:t>30,881</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28.3031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34"/>
              <w:spacing w:after="0"/>
              <w:rPr>
                <w:sz w:val="20"/>
                <w:szCs w:val="20"/>
                <w:color w:val="auto"/>
              </w:rPr>
            </w:pPr>
            <w:r>
              <w:rPr>
                <w:rFonts w:ascii="Arial" w:cs="Arial" w:eastAsia="Arial" w:hAnsi="Arial"/>
                <w:sz w:val="17"/>
                <w:szCs w:val="17"/>
                <w:color w:val="auto"/>
              </w:rPr>
              <w:t>09/11/2015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8"/>
              </w:rPr>
              <w:t>45,412</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28.5477</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09/14/2015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88"/>
              </w:rPr>
              <w:t>13,768</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29.5364</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09/15/2015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8"/>
              </w:rPr>
              <w:t>10,823</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30.2308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09/16/2015</w:t>
            </w:r>
          </w:p>
        </w:tc>
      </w:tr>
      <w:tr>
        <w:trPr>
          <w:trHeight w:val="194"/>
        </w:trPr>
        <w:tc>
          <w:tcPr>
            <w:tcW w:w="3580" w:type="dxa"/>
            <w:vAlign w:val="bottom"/>
          </w:tcPr>
          <w:p>
            <w:pPr>
              <w:jc w:val="center"/>
              <w:ind w:left="154"/>
              <w:spacing w:after="0" w:line="194" w:lineRule="exact"/>
              <w:rPr>
                <w:sz w:val="20"/>
                <w:szCs w:val="20"/>
                <w:color w:val="auto"/>
              </w:rPr>
            </w:pPr>
            <w:r>
              <w:rPr>
                <w:rFonts w:ascii="Arial" w:cs="Arial" w:eastAsia="Arial" w:hAnsi="Arial"/>
                <w:sz w:val="17"/>
                <w:szCs w:val="17"/>
                <w:color w:val="auto"/>
                <w:w w:val="89"/>
              </w:rPr>
              <w:t>9,018</w:t>
            </w:r>
          </w:p>
        </w:tc>
        <w:tc>
          <w:tcPr>
            <w:tcW w:w="4120" w:type="dxa"/>
            <w:vAlign w:val="bottom"/>
            <w:gridSpan w:val="2"/>
          </w:tcPr>
          <w:p>
            <w:pPr>
              <w:jc w:val="center"/>
              <w:ind w:left="74"/>
              <w:spacing w:after="0" w:line="194" w:lineRule="exact"/>
              <w:rPr>
                <w:sz w:val="20"/>
                <w:szCs w:val="20"/>
                <w:color w:val="auto"/>
              </w:rPr>
            </w:pPr>
            <w:r>
              <w:rPr>
                <w:rFonts w:ascii="Arial" w:cs="Arial" w:eastAsia="Arial" w:hAnsi="Arial"/>
                <w:sz w:val="17"/>
                <w:szCs w:val="17"/>
                <w:color w:val="auto"/>
                <w:w w:val="91"/>
              </w:rPr>
              <w:t>30.5227</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940" w:type="dxa"/>
            <w:vAlign w:val="bottom"/>
          </w:tcPr>
          <w:p>
            <w:pPr>
              <w:jc w:val="right"/>
              <w:ind w:right="1414"/>
              <w:spacing w:after="0" w:line="194" w:lineRule="exact"/>
              <w:rPr>
                <w:sz w:val="20"/>
                <w:szCs w:val="20"/>
                <w:color w:val="auto"/>
              </w:rPr>
            </w:pPr>
            <w:r>
              <w:rPr>
                <w:rFonts w:ascii="Arial" w:cs="Arial" w:eastAsia="Arial" w:hAnsi="Arial"/>
                <w:sz w:val="17"/>
                <w:szCs w:val="17"/>
                <w:color w:val="auto"/>
              </w:rPr>
              <w:t>09/17/2015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88"/>
              </w:rPr>
              <w:t>26,651</w:t>
            </w:r>
          </w:p>
        </w:tc>
        <w:tc>
          <w:tcPr>
            <w:tcW w:w="4120" w:type="dxa"/>
            <w:vAlign w:val="bottom"/>
            <w:gridSpan w:val="2"/>
          </w:tcPr>
          <w:p>
            <w:pPr>
              <w:jc w:val="center"/>
              <w:ind w:left="114"/>
              <w:spacing w:after="0"/>
              <w:rPr>
                <w:sz w:val="20"/>
                <w:szCs w:val="20"/>
                <w:color w:val="auto"/>
              </w:rPr>
            </w:pPr>
            <w:r>
              <w:rPr>
                <w:rFonts w:ascii="Arial" w:cs="Arial" w:eastAsia="Arial" w:hAnsi="Arial"/>
                <w:sz w:val="17"/>
                <w:szCs w:val="17"/>
                <w:color w:val="auto"/>
                <w:w w:val="91"/>
              </w:rPr>
              <w:t>30.4153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394"/>
              <w:spacing w:after="0"/>
              <w:rPr>
                <w:sz w:val="20"/>
                <w:szCs w:val="20"/>
                <w:color w:val="auto"/>
              </w:rPr>
            </w:pPr>
            <w:r>
              <w:rPr>
                <w:rFonts w:ascii="Arial" w:cs="Arial" w:eastAsia="Arial" w:hAnsi="Arial"/>
                <w:sz w:val="17"/>
                <w:szCs w:val="17"/>
                <w:color w:val="auto"/>
              </w:rPr>
              <w:t>09/18/2015</w:t>
            </w:r>
          </w:p>
        </w:tc>
      </w:tr>
      <w:tr>
        <w:trPr>
          <w:trHeight w:val="217"/>
        </w:trPr>
        <w:tc>
          <w:tcPr>
            <w:tcW w:w="3580" w:type="dxa"/>
            <w:vAlign w:val="bottom"/>
          </w:tcPr>
          <w:p>
            <w:pPr>
              <w:jc w:val="center"/>
              <w:ind w:left="194"/>
              <w:spacing w:after="0"/>
              <w:rPr>
                <w:sz w:val="20"/>
                <w:szCs w:val="20"/>
                <w:color w:val="auto"/>
              </w:rPr>
            </w:pPr>
            <w:r>
              <w:rPr>
                <w:rFonts w:ascii="Arial" w:cs="Arial" w:eastAsia="Arial" w:hAnsi="Arial"/>
                <w:sz w:val="17"/>
                <w:szCs w:val="17"/>
                <w:color w:val="auto"/>
                <w:w w:val="89"/>
              </w:rPr>
              <w:t>9,018</w:t>
            </w:r>
          </w:p>
        </w:tc>
        <w:tc>
          <w:tcPr>
            <w:tcW w:w="4120" w:type="dxa"/>
            <w:vAlign w:val="bottom"/>
            <w:gridSpan w:val="2"/>
          </w:tcPr>
          <w:p>
            <w:pPr>
              <w:jc w:val="center"/>
              <w:ind w:left="114"/>
              <w:spacing w:after="0"/>
              <w:rPr>
                <w:sz w:val="20"/>
                <w:szCs w:val="20"/>
                <w:color w:val="auto"/>
              </w:rPr>
            </w:pPr>
            <w:r>
              <w:rPr>
                <w:rFonts w:ascii="Arial" w:cs="Arial" w:eastAsia="Arial" w:hAnsi="Arial"/>
                <w:sz w:val="17"/>
                <w:szCs w:val="17"/>
                <w:color w:val="auto"/>
                <w:w w:val="91"/>
              </w:rPr>
              <w:t>30.5432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940" w:type="dxa"/>
            <w:vAlign w:val="bottom"/>
          </w:tcPr>
          <w:p>
            <w:pPr>
              <w:jc w:val="right"/>
              <w:ind w:right="1394"/>
              <w:spacing w:after="0"/>
              <w:rPr>
                <w:sz w:val="20"/>
                <w:szCs w:val="20"/>
                <w:color w:val="auto"/>
              </w:rPr>
            </w:pPr>
            <w:r>
              <w:rPr>
                <w:rFonts w:ascii="Arial" w:cs="Arial" w:eastAsia="Arial" w:hAnsi="Arial"/>
                <w:sz w:val="17"/>
                <w:szCs w:val="17"/>
                <w:color w:val="auto"/>
              </w:rPr>
              <w:t>09/21/2015</w:t>
            </w:r>
          </w:p>
        </w:tc>
      </w:tr>
      <w:tr>
        <w:trPr>
          <w:trHeight w:val="402"/>
        </w:trPr>
        <w:tc>
          <w:tcPr>
            <w:tcW w:w="3580" w:type="dxa"/>
            <w:vAlign w:val="bottom"/>
          </w:tcPr>
          <w:p>
            <w:pPr>
              <w:spacing w:after="0"/>
              <w:rPr>
                <w:sz w:val="24"/>
                <w:szCs w:val="24"/>
                <w:color w:val="auto"/>
              </w:rPr>
            </w:pPr>
          </w:p>
        </w:tc>
        <w:tc>
          <w:tcPr>
            <w:tcW w:w="4900" w:type="dxa"/>
            <w:vAlign w:val="bottom"/>
            <w:gridSpan w:val="4"/>
          </w:tcPr>
          <w:p>
            <w:pPr>
              <w:ind w:left="140"/>
              <w:spacing w:after="0"/>
              <w:rPr>
                <w:sz w:val="20"/>
                <w:szCs w:val="20"/>
                <w:color w:val="auto"/>
              </w:rPr>
            </w:pPr>
            <w:r>
              <w:rPr>
                <w:rFonts w:ascii="Arial" w:cs="Arial" w:eastAsia="Arial" w:hAnsi="Arial"/>
                <w:sz w:val="17"/>
                <w:szCs w:val="17"/>
                <w:b w:val="1"/>
                <w:bCs w:val="1"/>
                <w:color w:val="auto"/>
              </w:rPr>
              <w:t>SCOPIA LB INTERNATIONAL MASTER FUND LP</w:t>
            </w:r>
          </w:p>
        </w:tc>
        <w:tc>
          <w:tcPr>
            <w:tcW w:w="2940" w:type="dxa"/>
            <w:vAlign w:val="bottom"/>
          </w:tcPr>
          <w:p>
            <w:pPr>
              <w:spacing w:after="0"/>
              <w:rPr>
                <w:sz w:val="24"/>
                <w:szCs w:val="24"/>
                <w:color w:val="auto"/>
              </w:rPr>
            </w:pPr>
          </w:p>
        </w:tc>
      </w:tr>
      <w:tr>
        <w:trPr>
          <w:trHeight w:val="251"/>
        </w:trPr>
        <w:tc>
          <w:tcPr>
            <w:tcW w:w="3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91"/>
              </w:rPr>
              <w:t>464</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31.3972</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91"/>
              </w:rPr>
              <w:t>298</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31.5034</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9"/>
              </w:rPr>
              <w:t>1,683</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32.4175</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91"/>
              </w:rPr>
              <w:t>842</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32.5294</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08/07/2015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9"/>
              </w:rPr>
              <w:t>1,010</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33.3512</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08/10/2015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89"/>
              </w:rPr>
              <w:t>1,010</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33.2919</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34"/>
              <w:spacing w:after="0"/>
              <w:rPr>
                <w:sz w:val="20"/>
                <w:szCs w:val="20"/>
                <w:color w:val="auto"/>
              </w:rPr>
            </w:pPr>
            <w:r>
              <w:rPr>
                <w:rFonts w:ascii="Arial" w:cs="Arial" w:eastAsia="Arial" w:hAnsi="Arial"/>
                <w:sz w:val="17"/>
                <w:szCs w:val="17"/>
                <w:color w:val="auto"/>
              </w:rPr>
              <w:t>08/11/2015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91"/>
              </w:rPr>
              <w:t>842</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33.5389</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08/12/2015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91"/>
              </w:rPr>
              <w:t>391</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33.5181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08/13/2015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91"/>
              </w:rPr>
              <w:t>842</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33.5758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08/13/2015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91"/>
              </w:rPr>
              <w:t>326</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33.3663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08/14/2015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91"/>
              </w:rPr>
              <w:t>175</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33.3545</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08/17/2015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89"/>
              </w:rPr>
              <w:t>1,769</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33.5650</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08/17/2015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9"/>
              </w:rPr>
              <w:t>1,262</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33.4877</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08/18/2015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91"/>
              </w:rPr>
              <w:t>834</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33.0226</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08/19/2015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9"/>
              </w:rPr>
              <w:t>1,052</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32.6012</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08/20/2015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91"/>
              </w:rPr>
              <w:t>791</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32.1161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08/21/2015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9"/>
              </w:rPr>
              <w:t>1,263</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30.4237</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08/24/2015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89"/>
              </w:rPr>
              <w:t>5,346</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29.9999</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08/31/2015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9"/>
              </w:rPr>
              <w:t>5,521</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29.5756</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09/01/2015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89"/>
              </w:rPr>
              <w:t>3,222</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29.0768</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09/02/2015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91"/>
              </w:rPr>
              <w:t>722</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29.1613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09/09/2015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91"/>
              </w:rPr>
              <w:t>722</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28.7391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09/10/2015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9"/>
              </w:rPr>
              <w:t>2,456</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28.3031</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34"/>
              <w:spacing w:after="0"/>
              <w:rPr>
                <w:sz w:val="20"/>
                <w:szCs w:val="20"/>
                <w:color w:val="auto"/>
              </w:rPr>
            </w:pPr>
            <w:r>
              <w:rPr>
                <w:rFonts w:ascii="Arial" w:cs="Arial" w:eastAsia="Arial" w:hAnsi="Arial"/>
                <w:sz w:val="17"/>
                <w:szCs w:val="17"/>
                <w:color w:val="auto"/>
              </w:rPr>
              <w:t>09/11/2015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89"/>
              </w:rPr>
              <w:t>3,612</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28.5477</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09/14/2015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9"/>
              </w:rPr>
              <w:t>1,095</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29.5364</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09/15/2015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91"/>
              </w:rPr>
              <w:t>882</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30.2308</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09/16/2015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91"/>
              </w:rPr>
              <w:t>735</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30.5227</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09/17/2015</w:t>
            </w:r>
          </w:p>
        </w:tc>
      </w:tr>
      <w:tr>
        <w:trPr>
          <w:trHeight w:val="206"/>
        </w:trPr>
        <w:tc>
          <w:tcPr>
            <w:tcW w:w="3580" w:type="dxa"/>
            <w:vAlign w:val="bottom"/>
          </w:tcPr>
          <w:p>
            <w:pPr>
              <w:jc w:val="center"/>
              <w:ind w:left="194"/>
              <w:spacing w:after="0"/>
              <w:rPr>
                <w:sz w:val="20"/>
                <w:szCs w:val="20"/>
                <w:color w:val="auto"/>
              </w:rPr>
            </w:pPr>
            <w:r>
              <w:rPr>
                <w:rFonts w:ascii="Arial" w:cs="Arial" w:eastAsia="Arial" w:hAnsi="Arial"/>
                <w:sz w:val="17"/>
                <w:szCs w:val="17"/>
                <w:color w:val="auto"/>
                <w:w w:val="89"/>
              </w:rPr>
              <w:t>2,172</w:t>
            </w:r>
          </w:p>
        </w:tc>
        <w:tc>
          <w:tcPr>
            <w:tcW w:w="4120" w:type="dxa"/>
            <w:vAlign w:val="bottom"/>
            <w:gridSpan w:val="2"/>
          </w:tcPr>
          <w:p>
            <w:pPr>
              <w:jc w:val="center"/>
              <w:ind w:left="114"/>
              <w:spacing w:after="0"/>
              <w:rPr>
                <w:sz w:val="20"/>
                <w:szCs w:val="20"/>
                <w:color w:val="auto"/>
              </w:rPr>
            </w:pPr>
            <w:r>
              <w:rPr>
                <w:rFonts w:ascii="Arial" w:cs="Arial" w:eastAsia="Arial" w:hAnsi="Arial"/>
                <w:sz w:val="17"/>
                <w:szCs w:val="17"/>
                <w:color w:val="auto"/>
                <w:w w:val="91"/>
              </w:rPr>
              <w:t>30.4153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394"/>
              <w:spacing w:after="0"/>
              <w:rPr>
                <w:sz w:val="20"/>
                <w:szCs w:val="20"/>
                <w:color w:val="auto"/>
              </w:rPr>
            </w:pPr>
            <w:r>
              <w:rPr>
                <w:rFonts w:ascii="Arial" w:cs="Arial" w:eastAsia="Arial" w:hAnsi="Arial"/>
                <w:sz w:val="17"/>
                <w:szCs w:val="17"/>
                <w:color w:val="auto"/>
              </w:rPr>
              <w:t>09/18/2015</w:t>
            </w:r>
          </w:p>
        </w:tc>
      </w:tr>
      <w:tr>
        <w:trPr>
          <w:trHeight w:val="206"/>
        </w:trPr>
        <w:tc>
          <w:tcPr>
            <w:tcW w:w="358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1"/>
              </w:rPr>
              <w:t>735</w:t>
            </w:r>
          </w:p>
        </w:tc>
        <w:tc>
          <w:tcPr>
            <w:tcW w:w="412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91"/>
              </w:rPr>
              <w:t>30.5432</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394"/>
              <w:spacing w:after="0"/>
              <w:rPr>
                <w:sz w:val="20"/>
                <w:szCs w:val="20"/>
                <w:color w:val="auto"/>
              </w:rPr>
            </w:pPr>
            <w:r>
              <w:rPr>
                <w:rFonts w:ascii="Arial" w:cs="Arial" w:eastAsia="Arial" w:hAnsi="Arial"/>
                <w:sz w:val="17"/>
                <w:szCs w:val="17"/>
                <w:color w:val="auto"/>
              </w:rPr>
              <w:t>09/21/2015</w:t>
            </w:r>
          </w:p>
        </w:tc>
      </w:tr>
      <w:tr>
        <w:trPr>
          <w:trHeight w:val="400"/>
        </w:trPr>
        <w:tc>
          <w:tcPr>
            <w:tcW w:w="3580" w:type="dxa"/>
            <w:vAlign w:val="bottom"/>
          </w:tcPr>
          <w:p>
            <w:pPr>
              <w:spacing w:after="0"/>
              <w:rPr>
                <w:sz w:val="24"/>
                <w:szCs w:val="24"/>
                <w:color w:val="auto"/>
              </w:rPr>
            </w:pPr>
          </w:p>
        </w:tc>
        <w:tc>
          <w:tcPr>
            <w:tcW w:w="4900" w:type="dxa"/>
            <w:vAlign w:val="bottom"/>
            <w:gridSpan w:val="4"/>
          </w:tcPr>
          <w:p>
            <w:pPr>
              <w:jc w:val="center"/>
              <w:ind w:right="640"/>
              <w:spacing w:after="0"/>
              <w:rPr>
                <w:sz w:val="20"/>
                <w:szCs w:val="20"/>
                <w:color w:val="auto"/>
              </w:rPr>
            </w:pPr>
            <w:r>
              <w:rPr>
                <w:rFonts w:ascii="Arial" w:cs="Arial" w:eastAsia="Arial" w:hAnsi="Arial"/>
                <w:sz w:val="17"/>
                <w:szCs w:val="17"/>
                <w:b w:val="1"/>
                <w:bCs w:val="1"/>
                <w:color w:val="auto"/>
              </w:rPr>
              <w:t>SCOPIA LONG INTERNATIONAL MASTER FUND LP</w:t>
            </w:r>
          </w:p>
        </w:tc>
        <w:tc>
          <w:tcPr>
            <w:tcW w:w="2940" w:type="dxa"/>
            <w:vAlign w:val="bottom"/>
          </w:tcPr>
          <w:p>
            <w:pPr>
              <w:spacing w:after="0"/>
              <w:rPr>
                <w:sz w:val="24"/>
                <w:szCs w:val="24"/>
                <w:color w:val="auto"/>
              </w:rPr>
            </w:pPr>
          </w:p>
        </w:tc>
      </w:tr>
      <w:tr>
        <w:trPr>
          <w:trHeight w:val="251"/>
        </w:trPr>
        <w:tc>
          <w:tcPr>
            <w:tcW w:w="35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9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9"/>
              </w:rPr>
              <w:t>1,329</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31.3972</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91"/>
              </w:rPr>
              <w:t>854</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31.5034</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9"/>
              </w:rPr>
              <w:t>4,827</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32.4175</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89"/>
              </w:rPr>
              <w:t>2,413</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32.5294</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08/07/2015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9"/>
              </w:rPr>
              <w:t>2,896</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33.3512</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08/10/2015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89"/>
              </w:rPr>
              <w:t>2,896</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33.2919</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34"/>
              <w:spacing w:after="0"/>
              <w:rPr>
                <w:sz w:val="20"/>
                <w:szCs w:val="20"/>
                <w:color w:val="auto"/>
              </w:rPr>
            </w:pPr>
            <w:r>
              <w:rPr>
                <w:rFonts w:ascii="Arial" w:cs="Arial" w:eastAsia="Arial" w:hAnsi="Arial"/>
                <w:sz w:val="17"/>
                <w:szCs w:val="17"/>
                <w:color w:val="auto"/>
              </w:rPr>
              <w:t>08/11/2015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9"/>
              </w:rPr>
              <w:t>2,413</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33.5389</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08/12/2015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89"/>
              </w:rPr>
              <w:t>1,120</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33.5181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08/13/2015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89"/>
              </w:rPr>
              <w:t>2,413</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33.5758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08/13/2015</w:t>
            </w:r>
          </w:p>
        </w:tc>
      </w:tr>
      <w:tr>
        <w:trPr>
          <w:trHeight w:val="206"/>
        </w:trPr>
        <w:tc>
          <w:tcPr>
            <w:tcW w:w="3580" w:type="dxa"/>
            <w:vAlign w:val="bottom"/>
          </w:tcPr>
          <w:p>
            <w:pPr>
              <w:jc w:val="center"/>
              <w:ind w:left="154"/>
              <w:spacing w:after="0"/>
              <w:rPr>
                <w:sz w:val="20"/>
                <w:szCs w:val="20"/>
                <w:color w:val="auto"/>
              </w:rPr>
            </w:pPr>
            <w:r>
              <w:rPr>
                <w:rFonts w:ascii="Arial" w:cs="Arial" w:eastAsia="Arial" w:hAnsi="Arial"/>
                <w:sz w:val="17"/>
                <w:szCs w:val="17"/>
                <w:color w:val="auto"/>
                <w:w w:val="91"/>
              </w:rPr>
              <w:t>934</w:t>
            </w:r>
          </w:p>
        </w:tc>
        <w:tc>
          <w:tcPr>
            <w:tcW w:w="412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33.3663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tcPr>
          <w:p>
            <w:pPr>
              <w:jc w:val="right"/>
              <w:ind w:right="1414"/>
              <w:spacing w:after="0"/>
              <w:rPr>
                <w:sz w:val="20"/>
                <w:szCs w:val="20"/>
                <w:color w:val="auto"/>
              </w:rPr>
            </w:pPr>
            <w:r>
              <w:rPr>
                <w:rFonts w:ascii="Arial" w:cs="Arial" w:eastAsia="Arial" w:hAnsi="Arial"/>
                <w:sz w:val="17"/>
                <w:szCs w:val="17"/>
                <w:color w:val="auto"/>
              </w:rPr>
              <w:t>08/14/2015</w:t>
            </w:r>
          </w:p>
        </w:tc>
      </w:tr>
      <w:tr>
        <w:trPr>
          <w:trHeight w:val="206"/>
        </w:trPr>
        <w:tc>
          <w:tcPr>
            <w:tcW w:w="3580" w:type="dxa"/>
            <w:vAlign w:val="bottom"/>
            <w:shd w:val="clear" w:color="auto" w:fill="CCEEFF"/>
          </w:tcPr>
          <w:p>
            <w:pPr>
              <w:jc w:val="center"/>
              <w:ind w:left="154"/>
              <w:spacing w:after="0"/>
              <w:rPr>
                <w:sz w:val="20"/>
                <w:szCs w:val="20"/>
                <w:color w:val="auto"/>
              </w:rPr>
            </w:pPr>
            <w:r>
              <w:rPr>
                <w:rFonts w:ascii="Arial" w:cs="Arial" w:eastAsia="Arial" w:hAnsi="Arial"/>
                <w:sz w:val="17"/>
                <w:szCs w:val="17"/>
                <w:color w:val="auto"/>
                <w:w w:val="91"/>
              </w:rPr>
              <w:t>502</w:t>
            </w:r>
          </w:p>
        </w:tc>
        <w:tc>
          <w:tcPr>
            <w:tcW w:w="412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1"/>
              </w:rPr>
              <w:t>33.3545</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9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08/17/2015</w:t>
            </w:r>
          </w:p>
        </w:tc>
      </w:tr>
      <w:tr>
        <w:trPr>
          <w:trHeight w:val="719"/>
        </w:trPr>
        <w:tc>
          <w:tcPr>
            <w:tcW w:w="35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CUSIP NO. 465741106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89"/>
              </w:rPr>
              <w:t>5,073</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33.5650</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08/17/2015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89"/>
              </w:rPr>
              <w:t>3,620</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33.4877</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08/18/2015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89"/>
              </w:rPr>
              <w:t>2,390</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33.0226</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08/19/2015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89"/>
              </w:rPr>
              <w:t>3,017</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32.6012</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08/20/2015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89"/>
              </w:rPr>
              <w:t>2,270</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32.1161</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08/21/2015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89"/>
              </w:rPr>
              <w:t>3,620</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30.4237</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08/24/2015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92"/>
              </w:rPr>
              <w:t>(2,192)</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29.9929</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08/31/2015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91"/>
              </w:rPr>
              <w:t>275</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29.5756</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09/01/2015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95"/>
              </w:rPr>
              <w:t>(257)</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29.6185</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09/01/2015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91"/>
              </w:rPr>
              <w:t>161</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29.0768</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09/02/2015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91"/>
              </w:rPr>
              <w:t>994</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29.1613</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09/09/2015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91"/>
              </w:rPr>
              <w:t>994</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28.7391</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09/10/2015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89"/>
              </w:rPr>
              <w:t>3,381</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28.3031</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34"/>
              <w:spacing w:after="0"/>
              <w:rPr>
                <w:sz w:val="20"/>
                <w:szCs w:val="20"/>
                <w:color w:val="auto"/>
              </w:rPr>
            </w:pPr>
            <w:r>
              <w:rPr>
                <w:rFonts w:ascii="Arial" w:cs="Arial" w:eastAsia="Arial" w:hAnsi="Arial"/>
                <w:sz w:val="17"/>
                <w:szCs w:val="17"/>
                <w:color w:val="auto"/>
              </w:rPr>
              <w:t>09/11/2015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89"/>
              </w:rPr>
              <w:t>4,973</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28.5477</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09/14/2015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89"/>
              </w:rPr>
              <w:t>1,508</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29.5364</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09/15/2015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89"/>
              </w:rPr>
              <w:t>1,243</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30.2308</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09/16/2015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89"/>
              </w:rPr>
              <w:t>1,036</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30.5227</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09/17/2015</w:t>
            </w:r>
          </w:p>
        </w:tc>
      </w:tr>
      <w:tr>
        <w:trPr>
          <w:trHeight w:val="206"/>
        </w:trPr>
        <w:tc>
          <w:tcPr>
            <w:tcW w:w="3180" w:type="dxa"/>
            <w:vAlign w:val="bottom"/>
          </w:tcPr>
          <w:p>
            <w:pPr>
              <w:jc w:val="center"/>
              <w:ind w:left="594"/>
              <w:spacing w:after="0"/>
              <w:rPr>
                <w:sz w:val="20"/>
                <w:szCs w:val="20"/>
                <w:color w:val="auto"/>
              </w:rPr>
            </w:pPr>
            <w:r>
              <w:rPr>
                <w:rFonts w:ascii="Arial" w:cs="Arial" w:eastAsia="Arial" w:hAnsi="Arial"/>
                <w:sz w:val="17"/>
                <w:szCs w:val="17"/>
                <w:color w:val="auto"/>
                <w:w w:val="89"/>
              </w:rPr>
              <w:t>3,060</w:t>
            </w:r>
          </w:p>
        </w:tc>
        <w:tc>
          <w:tcPr>
            <w:tcW w:w="3740" w:type="dxa"/>
            <w:vAlign w:val="bottom"/>
            <w:gridSpan w:val="3"/>
          </w:tcPr>
          <w:p>
            <w:pPr>
              <w:jc w:val="center"/>
              <w:ind w:left="1294"/>
              <w:spacing w:after="0"/>
              <w:rPr>
                <w:sz w:val="20"/>
                <w:szCs w:val="20"/>
                <w:color w:val="auto"/>
              </w:rPr>
            </w:pPr>
            <w:r>
              <w:rPr>
                <w:rFonts w:ascii="Arial" w:cs="Arial" w:eastAsia="Arial" w:hAnsi="Arial"/>
                <w:sz w:val="17"/>
                <w:szCs w:val="17"/>
                <w:color w:val="auto"/>
                <w:w w:val="91"/>
              </w:rPr>
              <w:t>30.4153</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394"/>
              <w:spacing w:after="0"/>
              <w:rPr>
                <w:sz w:val="20"/>
                <w:szCs w:val="20"/>
                <w:color w:val="auto"/>
              </w:rPr>
            </w:pPr>
            <w:r>
              <w:rPr>
                <w:rFonts w:ascii="Arial" w:cs="Arial" w:eastAsia="Arial" w:hAnsi="Arial"/>
                <w:sz w:val="17"/>
                <w:szCs w:val="17"/>
                <w:color w:val="auto"/>
              </w:rPr>
              <w:t>09/18/2015</w:t>
            </w:r>
          </w:p>
        </w:tc>
      </w:tr>
      <w:tr>
        <w:trPr>
          <w:trHeight w:val="206"/>
        </w:trPr>
        <w:tc>
          <w:tcPr>
            <w:tcW w:w="3180" w:type="dxa"/>
            <w:vAlign w:val="bottom"/>
            <w:shd w:val="clear" w:color="auto" w:fill="CCEEFF"/>
          </w:tcPr>
          <w:p>
            <w:pPr>
              <w:jc w:val="center"/>
              <w:ind w:left="594"/>
              <w:spacing w:after="0"/>
              <w:rPr>
                <w:sz w:val="20"/>
                <w:szCs w:val="20"/>
                <w:color w:val="auto"/>
              </w:rPr>
            </w:pPr>
            <w:r>
              <w:rPr>
                <w:rFonts w:ascii="Arial" w:cs="Arial" w:eastAsia="Arial" w:hAnsi="Arial"/>
                <w:sz w:val="17"/>
                <w:szCs w:val="17"/>
                <w:color w:val="auto"/>
                <w:w w:val="89"/>
              </w:rPr>
              <w:t>1,036</w:t>
            </w:r>
          </w:p>
        </w:tc>
        <w:tc>
          <w:tcPr>
            <w:tcW w:w="3740" w:type="dxa"/>
            <w:vAlign w:val="bottom"/>
            <w:gridSpan w:val="3"/>
            <w:shd w:val="clear" w:color="auto" w:fill="CCEEFF"/>
          </w:tcPr>
          <w:p>
            <w:pPr>
              <w:jc w:val="center"/>
              <w:ind w:left="1294"/>
              <w:spacing w:after="0"/>
              <w:rPr>
                <w:sz w:val="20"/>
                <w:szCs w:val="20"/>
                <w:color w:val="auto"/>
              </w:rPr>
            </w:pPr>
            <w:r>
              <w:rPr>
                <w:rFonts w:ascii="Arial" w:cs="Arial" w:eastAsia="Arial" w:hAnsi="Arial"/>
                <w:sz w:val="17"/>
                <w:szCs w:val="17"/>
                <w:color w:val="auto"/>
                <w:w w:val="91"/>
              </w:rPr>
              <w:t>30.5432</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394"/>
              <w:spacing w:after="0"/>
              <w:rPr>
                <w:sz w:val="20"/>
                <w:szCs w:val="20"/>
                <w:color w:val="auto"/>
              </w:rPr>
            </w:pPr>
            <w:r>
              <w:rPr>
                <w:rFonts w:ascii="Arial" w:cs="Arial" w:eastAsia="Arial" w:hAnsi="Arial"/>
                <w:sz w:val="17"/>
                <w:szCs w:val="17"/>
                <w:color w:val="auto"/>
              </w:rPr>
              <w:t>09/21/2015</w:t>
            </w:r>
          </w:p>
        </w:tc>
      </w:tr>
      <w:tr>
        <w:trPr>
          <w:trHeight w:val="400"/>
        </w:trPr>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0" w:type="dxa"/>
            <w:vAlign w:val="bottom"/>
            <w:gridSpan w:val="4"/>
          </w:tcPr>
          <w:p>
            <w:pPr>
              <w:jc w:val="center"/>
              <w:ind w:right="940"/>
              <w:spacing w:after="0"/>
              <w:rPr>
                <w:sz w:val="20"/>
                <w:szCs w:val="20"/>
                <w:color w:val="auto"/>
              </w:rPr>
            </w:pPr>
            <w:r>
              <w:rPr>
                <w:rFonts w:ascii="Arial" w:cs="Arial" w:eastAsia="Arial" w:hAnsi="Arial"/>
                <w:sz w:val="17"/>
                <w:szCs w:val="17"/>
                <w:b w:val="1"/>
                <w:bCs w:val="1"/>
                <w:color w:val="auto"/>
              </w:rPr>
              <w:t>SCOPIA CAPITAL MANAGEMENT LP</w:t>
            </w:r>
          </w:p>
        </w:tc>
        <w:tc>
          <w:tcPr>
            <w:tcW w:w="3240" w:type="dxa"/>
            <w:vAlign w:val="bottom"/>
          </w:tcPr>
          <w:p>
            <w:pPr>
              <w:spacing w:after="0"/>
              <w:rPr>
                <w:sz w:val="24"/>
                <w:szCs w:val="24"/>
                <w:color w:val="auto"/>
              </w:rPr>
            </w:pPr>
          </w:p>
        </w:tc>
      </w:tr>
      <w:tr>
        <w:trPr>
          <w:trHeight w:val="186"/>
        </w:trPr>
        <w:tc>
          <w:tcPr>
            <w:tcW w:w="3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60" w:type="dxa"/>
            <w:vAlign w:val="bottom"/>
            <w:tcBorders>
              <w:top w:val="single" w:sz="8" w:color="auto"/>
            </w:tcBorders>
            <w:gridSpan w:val="3"/>
          </w:tcPr>
          <w:p>
            <w:pPr>
              <w:jc w:val="center"/>
              <w:spacing w:after="0" w:line="186" w:lineRule="exact"/>
              <w:rPr>
                <w:sz w:val="20"/>
                <w:szCs w:val="20"/>
                <w:color w:val="auto"/>
              </w:rPr>
            </w:pPr>
            <w:r>
              <w:rPr>
                <w:rFonts w:ascii="Arial" w:cs="Arial" w:eastAsia="Arial" w:hAnsi="Arial"/>
                <w:sz w:val="17"/>
                <w:szCs w:val="17"/>
                <w:b w:val="1"/>
                <w:bCs w:val="1"/>
                <w:color w:val="auto"/>
                <w:w w:val="92"/>
              </w:rPr>
              <w:t>(Through the Managed Account)</w:t>
            </w:r>
          </w:p>
        </w:tc>
        <w:tc>
          <w:tcPr>
            <w:tcW w:w="9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51"/>
        </w:trPr>
        <w:tc>
          <w:tcPr>
            <w:tcW w:w="3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91"/>
              </w:rPr>
              <w:t>698</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31.3972</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91"/>
              </w:rPr>
              <w:t>449</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31.5034</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89"/>
              </w:rPr>
              <w:t>2,535</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32.4175</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08/06/2015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89"/>
              </w:rPr>
              <w:t>1,268</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32.5294</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08/07/2015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89"/>
              </w:rPr>
              <w:t>1,521</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33.3512</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08/10/2015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89"/>
              </w:rPr>
              <w:t>1,521</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33.2919</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34"/>
              <w:spacing w:after="0"/>
              <w:rPr>
                <w:sz w:val="20"/>
                <w:szCs w:val="20"/>
                <w:color w:val="auto"/>
              </w:rPr>
            </w:pPr>
            <w:r>
              <w:rPr>
                <w:rFonts w:ascii="Arial" w:cs="Arial" w:eastAsia="Arial" w:hAnsi="Arial"/>
                <w:sz w:val="17"/>
                <w:szCs w:val="17"/>
                <w:color w:val="auto"/>
              </w:rPr>
              <w:t>08/11/2015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89"/>
              </w:rPr>
              <w:t>1,268</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33.5389</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08/12/2015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91"/>
              </w:rPr>
              <w:t>588</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33.5181</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08/13/2015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89"/>
              </w:rPr>
              <w:t>1,268</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33.5758</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08/13/2015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91"/>
              </w:rPr>
              <w:t>491</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33.3663</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08/14/2015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91"/>
              </w:rPr>
              <w:t>264</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33.3545</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08/17/2015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89"/>
              </w:rPr>
              <w:t>2,664</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33.5650</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08/17/2015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89"/>
              </w:rPr>
              <w:t>1,901</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33.4877</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08/18/2015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89"/>
              </w:rPr>
              <w:t>1,256</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33.0226</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08/19/2015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89"/>
              </w:rPr>
              <w:t>1,584</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32.6012</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08/20/2015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89"/>
              </w:rPr>
              <w:t>1,192</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32.1161</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08/21/2015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89"/>
              </w:rPr>
              <w:t>1,902</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30.4237</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08/24/2015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91"/>
              </w:rPr>
              <w:t>610</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30.6464</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08/25/2015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95"/>
              </w:rPr>
              <w:t>(183)</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29.9929</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08/31/2015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89"/>
              </w:rPr>
              <w:t>1,078</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29.5756</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09/01/2015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99"/>
              </w:rPr>
              <w:t>(21)</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29.6185</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09/01/2015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91"/>
              </w:rPr>
              <w:t>629</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29.0768</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09/02/2015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91"/>
              </w:rPr>
              <w:t>629</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29.1613</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09/09/2015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91"/>
              </w:rPr>
              <w:t>628</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28.7391</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09/10/2015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89"/>
              </w:rPr>
              <w:t>2,137</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28.3031</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34"/>
              <w:spacing w:after="0"/>
              <w:rPr>
                <w:sz w:val="20"/>
                <w:szCs w:val="20"/>
                <w:color w:val="auto"/>
              </w:rPr>
            </w:pPr>
            <w:r>
              <w:rPr>
                <w:rFonts w:ascii="Arial" w:cs="Arial" w:eastAsia="Arial" w:hAnsi="Arial"/>
                <w:sz w:val="17"/>
                <w:szCs w:val="17"/>
                <w:color w:val="auto"/>
              </w:rPr>
              <w:t>09/11/2015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89"/>
              </w:rPr>
              <w:t>3,142</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28.5477</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09/14/2015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91"/>
              </w:rPr>
              <w:t>953</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29.5364</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09/15/2015</w:t>
            </w:r>
          </w:p>
        </w:tc>
      </w:tr>
      <w:tr>
        <w:trPr>
          <w:trHeight w:val="206"/>
        </w:trPr>
        <w:tc>
          <w:tcPr>
            <w:tcW w:w="3180" w:type="dxa"/>
            <w:vAlign w:val="bottom"/>
          </w:tcPr>
          <w:p>
            <w:pPr>
              <w:jc w:val="center"/>
              <w:ind w:left="554"/>
              <w:spacing w:after="0"/>
              <w:rPr>
                <w:sz w:val="20"/>
                <w:szCs w:val="20"/>
                <w:color w:val="auto"/>
              </w:rPr>
            </w:pPr>
            <w:r>
              <w:rPr>
                <w:rFonts w:ascii="Arial" w:cs="Arial" w:eastAsia="Arial" w:hAnsi="Arial"/>
                <w:sz w:val="17"/>
                <w:szCs w:val="17"/>
                <w:color w:val="auto"/>
                <w:w w:val="91"/>
              </w:rPr>
              <w:t>748</w:t>
            </w:r>
          </w:p>
        </w:tc>
        <w:tc>
          <w:tcPr>
            <w:tcW w:w="3740" w:type="dxa"/>
            <w:vAlign w:val="bottom"/>
            <w:gridSpan w:val="3"/>
          </w:tcPr>
          <w:p>
            <w:pPr>
              <w:jc w:val="center"/>
              <w:ind w:left="1254"/>
              <w:spacing w:after="0"/>
              <w:rPr>
                <w:sz w:val="20"/>
                <w:szCs w:val="20"/>
                <w:color w:val="auto"/>
              </w:rPr>
            </w:pPr>
            <w:r>
              <w:rPr>
                <w:rFonts w:ascii="Arial" w:cs="Arial" w:eastAsia="Arial" w:hAnsi="Arial"/>
                <w:sz w:val="17"/>
                <w:szCs w:val="17"/>
                <w:color w:val="auto"/>
                <w:w w:val="91"/>
              </w:rPr>
              <w:t>30.2308</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414"/>
              <w:spacing w:after="0"/>
              <w:rPr>
                <w:sz w:val="20"/>
                <w:szCs w:val="20"/>
                <w:color w:val="auto"/>
              </w:rPr>
            </w:pPr>
            <w:r>
              <w:rPr>
                <w:rFonts w:ascii="Arial" w:cs="Arial" w:eastAsia="Arial" w:hAnsi="Arial"/>
                <w:sz w:val="17"/>
                <w:szCs w:val="17"/>
                <w:color w:val="auto"/>
              </w:rPr>
              <w:t>09/16/2015</w:t>
            </w:r>
          </w:p>
        </w:tc>
      </w:tr>
      <w:tr>
        <w:trPr>
          <w:trHeight w:val="206"/>
        </w:trPr>
        <w:tc>
          <w:tcPr>
            <w:tcW w:w="318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91"/>
              </w:rPr>
              <w:t>623</w:t>
            </w:r>
          </w:p>
        </w:tc>
        <w:tc>
          <w:tcPr>
            <w:tcW w:w="3740" w:type="dxa"/>
            <w:vAlign w:val="bottom"/>
            <w:gridSpan w:val="3"/>
            <w:shd w:val="clear" w:color="auto" w:fill="CCEEFF"/>
          </w:tcPr>
          <w:p>
            <w:pPr>
              <w:jc w:val="center"/>
              <w:ind w:left="1254"/>
              <w:spacing w:after="0"/>
              <w:rPr>
                <w:sz w:val="20"/>
                <w:szCs w:val="20"/>
                <w:color w:val="auto"/>
              </w:rPr>
            </w:pPr>
            <w:r>
              <w:rPr>
                <w:rFonts w:ascii="Arial" w:cs="Arial" w:eastAsia="Arial" w:hAnsi="Arial"/>
                <w:sz w:val="17"/>
                <w:szCs w:val="17"/>
                <w:color w:val="auto"/>
                <w:w w:val="91"/>
              </w:rPr>
              <w:t>30.5227</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09/17/2015</w:t>
            </w:r>
          </w:p>
        </w:tc>
      </w:tr>
      <w:tr>
        <w:trPr>
          <w:trHeight w:val="206"/>
        </w:trPr>
        <w:tc>
          <w:tcPr>
            <w:tcW w:w="3180" w:type="dxa"/>
            <w:vAlign w:val="bottom"/>
          </w:tcPr>
          <w:p>
            <w:pPr>
              <w:jc w:val="center"/>
              <w:ind w:left="594"/>
              <w:spacing w:after="0"/>
              <w:rPr>
                <w:sz w:val="20"/>
                <w:szCs w:val="20"/>
                <w:color w:val="auto"/>
              </w:rPr>
            </w:pPr>
            <w:r>
              <w:rPr>
                <w:rFonts w:ascii="Arial" w:cs="Arial" w:eastAsia="Arial" w:hAnsi="Arial"/>
                <w:sz w:val="17"/>
                <w:szCs w:val="17"/>
                <w:color w:val="auto"/>
                <w:w w:val="89"/>
              </w:rPr>
              <w:t>1,842</w:t>
            </w:r>
          </w:p>
        </w:tc>
        <w:tc>
          <w:tcPr>
            <w:tcW w:w="3740" w:type="dxa"/>
            <w:vAlign w:val="bottom"/>
            <w:gridSpan w:val="3"/>
          </w:tcPr>
          <w:p>
            <w:pPr>
              <w:jc w:val="center"/>
              <w:ind w:left="1294"/>
              <w:spacing w:after="0"/>
              <w:rPr>
                <w:sz w:val="20"/>
                <w:szCs w:val="20"/>
                <w:color w:val="auto"/>
              </w:rPr>
            </w:pPr>
            <w:r>
              <w:rPr>
                <w:rFonts w:ascii="Arial" w:cs="Arial" w:eastAsia="Arial" w:hAnsi="Arial"/>
                <w:sz w:val="17"/>
                <w:szCs w:val="17"/>
                <w:color w:val="auto"/>
                <w:w w:val="91"/>
              </w:rPr>
              <w:t>30.4153</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40" w:type="dxa"/>
            <w:vAlign w:val="bottom"/>
          </w:tcPr>
          <w:p>
            <w:pPr>
              <w:jc w:val="right"/>
              <w:ind w:right="1394"/>
              <w:spacing w:after="0"/>
              <w:rPr>
                <w:sz w:val="20"/>
                <w:szCs w:val="20"/>
                <w:color w:val="auto"/>
              </w:rPr>
            </w:pPr>
            <w:r>
              <w:rPr>
                <w:rFonts w:ascii="Arial" w:cs="Arial" w:eastAsia="Arial" w:hAnsi="Arial"/>
                <w:sz w:val="17"/>
                <w:szCs w:val="17"/>
                <w:color w:val="auto"/>
              </w:rPr>
              <w:t>09/18/2015</w:t>
            </w:r>
          </w:p>
        </w:tc>
      </w:tr>
      <w:tr>
        <w:trPr>
          <w:trHeight w:val="206"/>
        </w:trPr>
        <w:tc>
          <w:tcPr>
            <w:tcW w:w="3180" w:type="dxa"/>
            <w:vAlign w:val="bottom"/>
            <w:shd w:val="clear" w:color="auto" w:fill="CCEEFF"/>
          </w:tcPr>
          <w:p>
            <w:pPr>
              <w:jc w:val="center"/>
              <w:ind w:left="594"/>
              <w:spacing w:after="0"/>
              <w:rPr>
                <w:sz w:val="20"/>
                <w:szCs w:val="20"/>
                <w:color w:val="auto"/>
              </w:rPr>
            </w:pPr>
            <w:r>
              <w:rPr>
                <w:rFonts w:ascii="Arial" w:cs="Arial" w:eastAsia="Arial" w:hAnsi="Arial"/>
                <w:sz w:val="17"/>
                <w:szCs w:val="17"/>
                <w:color w:val="auto"/>
                <w:w w:val="91"/>
              </w:rPr>
              <w:t>623</w:t>
            </w:r>
          </w:p>
        </w:tc>
        <w:tc>
          <w:tcPr>
            <w:tcW w:w="3740" w:type="dxa"/>
            <w:vAlign w:val="bottom"/>
            <w:gridSpan w:val="3"/>
            <w:shd w:val="clear" w:color="auto" w:fill="CCEEFF"/>
          </w:tcPr>
          <w:p>
            <w:pPr>
              <w:jc w:val="center"/>
              <w:ind w:left="1294"/>
              <w:spacing w:after="0"/>
              <w:rPr>
                <w:sz w:val="20"/>
                <w:szCs w:val="20"/>
                <w:color w:val="auto"/>
              </w:rPr>
            </w:pPr>
            <w:r>
              <w:rPr>
                <w:rFonts w:ascii="Arial" w:cs="Arial" w:eastAsia="Arial" w:hAnsi="Arial"/>
                <w:sz w:val="17"/>
                <w:szCs w:val="17"/>
                <w:color w:val="auto"/>
                <w:w w:val="91"/>
              </w:rPr>
              <w:t>30.5432</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40" w:type="dxa"/>
            <w:vAlign w:val="bottom"/>
            <w:shd w:val="clear" w:color="auto" w:fill="CCEEFF"/>
          </w:tcPr>
          <w:p>
            <w:pPr>
              <w:jc w:val="right"/>
              <w:ind w:right="1434"/>
              <w:spacing w:after="0"/>
              <w:rPr>
                <w:sz w:val="20"/>
                <w:szCs w:val="20"/>
                <w:color w:val="auto"/>
              </w:rPr>
            </w:pPr>
            <w:r>
              <w:rPr>
                <w:rFonts w:ascii="Arial" w:cs="Arial" w:eastAsia="Arial" w:hAnsi="Arial"/>
                <w:sz w:val="17"/>
                <w:szCs w:val="17"/>
                <w:color w:val="auto"/>
              </w:rPr>
              <w:t>09/21/2015</w:t>
            </w:r>
          </w:p>
        </w:tc>
      </w:tr>
    </w:tbl>
    <w:p>
      <w:pPr>
        <w:sectPr>
          <w:pgSz w:w="11900" w:h="16838" w:orient="portrait"/>
          <w:cols w:equalWidth="0" w:num="1">
            <w:col w:w="11420"/>
          </w:cols>
          <w:pgMar w:left="240" w:top="26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1"/>
          <w:szCs w:val="2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JOINT FILING AGREEMENT</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This Agreement (this “Agreement”) is made and entered into as of August 5, 2015, by and among (1) Coppersmith Capital Management, LLC, Jerome J. Lande and Craig Rosenblum (together, “Coppersmith”) and (2) Scopia Capital Management LP, Matthew Sirovich and Jeremy Mindich (together, “Scopia” and with Coppersmith, each a “Party” and, collectively, the “Parties” or the “Group”).</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WHEREAS, each of the Parties are or intend to become stockholders, direct or beneficial, of Itron, Inc., a Washington corporation (the “Company”);</w:t>
      </w:r>
    </w:p>
    <w:p>
      <w:pPr>
        <w:spacing w:after="0" w:line="255"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WHEREAS, the Parties wish to form a group for the purpose of (i) engaging in discussions with the Company regarding plans or proposals under Item 4 of Schedule 13D in accordance with the Securities Exchange Act of 1934, as amended (the “Exchange Act”), (ii) taking all other action necessary to achieve the foregoing and (iii) taking any other actions the Group determines to undertake in connection with their respective investment in the Company.</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NOW, IT IS AGREED, by the Parties:</w:t>
      </w:r>
    </w:p>
    <w:p>
      <w:pPr>
        <w:spacing w:after="0" w:line="243" w:lineRule="exact"/>
        <w:rPr>
          <w:sz w:val="20"/>
          <w:szCs w:val="20"/>
          <w:color w:val="auto"/>
        </w:rPr>
      </w:pPr>
    </w:p>
    <w:p>
      <w:pPr>
        <w:jc w:val="both"/>
        <w:ind w:firstLine="623"/>
        <w:spacing w:after="0" w:line="278" w:lineRule="auto"/>
        <w:tabs>
          <w:tab w:leader="none" w:pos="131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In accordance with Rule 13d-1(k)(1)(iii) under the Exchange Act, each of the undersigned agrees to the joint filing on behalf of each of them of statements on Schedule 13D, and any amendments thereto, with respect to the securities of the Company. Each member of the Group shall be responsible for the accuracy and completeness of its own disclosure therein, and is not responsible for the accuracy and completeness of the information concerning the other member, unless such member has actual knowledge that such information is inaccurate. Coppersmith or its representative shall provide each member of the Group with copies of all Schedule 13D filings and other public filings to be filed on behalf of such member at least one business day prior to the filing or submission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one business day’s notice is not practicable, such copies will be provided with as much notice as practicable.</w:t>
      </w:r>
    </w:p>
    <w:p>
      <w:pPr>
        <w:spacing w:after="0" w:line="192" w:lineRule="exact"/>
        <w:rPr>
          <w:rFonts w:ascii="Arial" w:cs="Arial" w:eastAsia="Arial" w:hAnsi="Arial"/>
          <w:sz w:val="16"/>
          <w:szCs w:val="16"/>
          <w:color w:val="auto"/>
        </w:rPr>
      </w:pPr>
    </w:p>
    <w:p>
      <w:pPr>
        <w:jc w:val="both"/>
        <w:ind w:firstLine="623"/>
        <w:spacing w:after="0" w:line="256" w:lineRule="auto"/>
        <w:tabs>
          <w:tab w:leader="none" w:pos="13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So long as this Agreement is in effect, each Party shall provide written notice to Olshan Frome Wolosky LLP (“Olshan”) promptly following (i) every purchase or sale of securities of the Company and (ii) every acquisition or disposition of beneficial ownership of any securities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Party agrees not to purchase or sell securities of the Company or otherwise increase or decrease its economic exposure to or beneficial ownership over the securities of the Company if it reasonably believes that, as a result of such action, the Group or any member thereof would be likely to be required to make any regulatory filing (including, but not limited to, a Schedule 13D amendment, Form 3 or Form 4 with the Securities and Exchange Commission (the “SEC”)) without using its reasonable efforts to give the other members of the Group at least 24 hours prior written notice;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that no Party shall buy, or increase any beneficial ownership over, any securities of the Company if, as a result of such action, the Group would beneficially own more than 9.9% of the Company's common stock, without the prior consent of the other Party. For purposes of this Agreement, the term “beneficial ownership” shall have the meaning of such term set forth in Rule 13d-3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387350</wp:posOffset>
            </wp:positionV>
            <wp:extent cx="725741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1" w:name="page42"/>
    <w:bookmarkEnd w:id="41"/>
    <w:p>
      <w:pPr>
        <w:jc w:val="both"/>
        <w:ind w:firstLine="623"/>
        <w:spacing w:after="0" w:line="266" w:lineRule="auto"/>
        <w:tabs>
          <w:tab w:leader="none" w:pos="1253"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Party agrees to form the Group for the purpose of (i) engaging in discussions with the Company regarding plans or proposals under Item 4 of Schedule 13D in accordance with the Exchange Act, (ii) taking all other action necessary to achieve the foregoing and (iii) taking any other actions the Group determines to undertake in connection with their respective investment in the Company.</w:t>
      </w:r>
    </w:p>
    <w:p>
      <w:pPr>
        <w:spacing w:after="0" w:line="201" w:lineRule="exact"/>
        <w:rPr>
          <w:rFonts w:ascii="Arial" w:cs="Arial" w:eastAsia="Arial" w:hAnsi="Arial"/>
          <w:sz w:val="17"/>
          <w:szCs w:val="17"/>
          <w:color w:val="auto"/>
        </w:rPr>
      </w:pPr>
    </w:p>
    <w:p>
      <w:pPr>
        <w:jc w:val="both"/>
        <w:ind w:firstLine="623"/>
        <w:spacing w:after="0" w:line="276" w:lineRule="auto"/>
        <w:tabs>
          <w:tab w:leader="none" w:pos="14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Coppersmith shall have the right to pre-approve all expenses incurred in connection with the Group’s activities (“Group Expenses”). Upon reasonable request, Coppersmith will supply supporting documentation in reasonable detail for such Group Expenses. Each of Coppersmith and Scopia agrees to pay directly all such Group Expenses on a percentage basis based on its pro rata ownership percentage of the securities of the Company held by the Group, which are the following percentages: Coppersmith: 50% of such expenses and Scopia: 50% of such expenses. These percentages shall be adjusted each month based on such Party’s respective ownership percentage as of the last day of the preceding month. Notwithstanding the foregoing, in the event that Scopia terminates this Agreement pursuant to Section 10, it shall only be responsible for its pro rata share of any Group Expenses (i) incurred up to the termination date, or (ii) relating to actions taken prior to the termination date where such actions were previously approved by the Group.</w:t>
      </w:r>
    </w:p>
    <w:p>
      <w:pPr>
        <w:spacing w:after="0" w:line="196" w:lineRule="exact"/>
        <w:rPr>
          <w:rFonts w:ascii="Arial" w:cs="Arial" w:eastAsia="Arial" w:hAnsi="Arial"/>
          <w:sz w:val="16"/>
          <w:szCs w:val="16"/>
          <w:color w:val="auto"/>
        </w:rPr>
      </w:pPr>
    </w:p>
    <w:p>
      <w:pPr>
        <w:jc w:val="both"/>
        <w:ind w:firstLine="623"/>
        <w:spacing w:after="0" w:line="272" w:lineRule="auto"/>
        <w:tabs>
          <w:tab w:leader="none" w:pos="1248"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Party agrees that any SEC filing, press release, communication to the Company or communication to other stockholders proposed to be made or issued by the Group or any member of the Group in connection with the Group’s activities set forth in Section 3 shall be as determined by Coppersmith (“Company Communication”). Coppersmith will provide notice to and a reasonable opportunity for each of the Parties to review and comment upon any such SEC filing, press release or communication, or any proposed agreement or negotiating position with respect to the Company. Subject to the foregoing, the Parties hereby agree to work in good faith to resolve any disagreement that may arise between or among any of the members of the Group concerning decisions to be made, actions to be taken or statements to be made in connection with the Group’s activities. In the absence of disagreement, Coppersmith shall have discretion over the content and timing of public or private communications and negotiating positions taken on behalf of the Group. Notwithstanding the foregoing, Scopia shall have the right at all times to make such SEC filings and take such other actions if advised by counsel that it is required to do so under applicable laws, rules or regulations (including, but not limited to, the filing of a Schedule 13D, Form 3 or Form 4, or any amendment thereto, with the SEC and to the extent reasonably practicable, provide Coppersmith with written notice prior to taking such action). Coppersmith hereby agrees to indemnify, defend and hold harmless Scopia from and against any and all liabilities, claims, or losses resulting from or arising out of its negligence, bad faith or willful misconduct in connection with the determinations that it makes and the exercise of its discretion, referred to in this Section 5. Scopia hereby agrees to indemnify, defend and hold harmless Coppersmith from and against any and all liabilities, claims, or losses resulting from or arising out of its negligence, bad faith or willful misconduct in connection with the determinations that it makes and the exercise of its discretion, referred to in this Section 5.</w:t>
      </w:r>
    </w:p>
    <w:p>
      <w:pPr>
        <w:spacing w:after="0" w:line="203" w:lineRule="exact"/>
        <w:rPr>
          <w:rFonts w:ascii="Arial" w:cs="Arial" w:eastAsia="Arial" w:hAnsi="Arial"/>
          <w:sz w:val="16"/>
          <w:szCs w:val="16"/>
          <w:color w:val="auto"/>
        </w:rPr>
      </w:pPr>
    </w:p>
    <w:p>
      <w:pPr>
        <w:ind w:firstLine="623"/>
        <w:spacing w:after="0" w:line="280" w:lineRule="auto"/>
        <w:tabs>
          <w:tab w:leader="none" w:pos="1337"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Party understands and agrees that this is an exclusive arrangement and no additional group members shall be admitted without the mutual written agreement of the Parties.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2" w:name="page43"/>
    <w:bookmarkEnd w:id="42"/>
    <w:p>
      <w:pPr>
        <w:jc w:val="both"/>
        <w:ind w:firstLine="623"/>
        <w:spacing w:after="0" w:line="260" w:lineRule="auto"/>
        <w:tabs>
          <w:tab w:leader="none" w:pos="161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relationship of the Parties hereto shall be limited to carrying on the business of the Group in accordance with the terms of this Agreement. Such relationship shall be construed and deemed to be for the sole and limited purpose of carrying on such business as described herein. Nothing herein shall be construed to authorize any Party to act as an agent for any other Party, or to create a joint venture or partnership. Except as specifically provided in this Agreement, nothing herein shall restrict any Party’s right to purchase or sell securities of the Company, as it deems appropriate, in its sole discretion, provided that all such sales are made in compliance with all applicable securities laws.</w:t>
      </w:r>
    </w:p>
    <w:p>
      <w:pPr>
        <w:spacing w:after="0" w:line="205" w:lineRule="exact"/>
        <w:rPr>
          <w:rFonts w:ascii="Arial" w:cs="Arial" w:eastAsia="Arial" w:hAnsi="Arial"/>
          <w:sz w:val="17"/>
          <w:szCs w:val="17"/>
          <w:color w:val="auto"/>
        </w:rPr>
      </w:pPr>
    </w:p>
    <w:p>
      <w:pPr>
        <w:ind w:firstLine="623"/>
        <w:spacing w:after="0" w:line="280" w:lineRule="auto"/>
        <w:tabs>
          <w:tab w:leader="none" w:pos="129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Agreement may be executed in counterparts, each of which shall be deemed an original and all of which, taken together, shall constitute but one and the same instrument, which may be sufficiently evidenced by one counterpart.</w:t>
      </w:r>
    </w:p>
    <w:p>
      <w:pPr>
        <w:spacing w:after="0" w:line="189" w:lineRule="exact"/>
        <w:rPr>
          <w:rFonts w:ascii="Arial" w:cs="Arial" w:eastAsia="Arial" w:hAnsi="Arial"/>
          <w:sz w:val="17"/>
          <w:szCs w:val="17"/>
          <w:color w:val="auto"/>
        </w:rPr>
      </w:pPr>
    </w:p>
    <w:p>
      <w:pPr>
        <w:jc w:val="both"/>
        <w:ind w:firstLine="623"/>
        <w:spacing w:after="0" w:line="266" w:lineRule="auto"/>
        <w:tabs>
          <w:tab w:leader="none" w:pos="1376"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the event of any dispute arising out of the provisions of this Agreement or their investment in the Company, the Parties hereto consent and submit to the exclusive jurisdiction of the United States District Court for the Southern District of New York located in the Borough of Manhattan or the courts of the State of New York located in the County of New York.</w:t>
      </w:r>
    </w:p>
    <w:p>
      <w:pPr>
        <w:spacing w:after="0" w:line="201" w:lineRule="exact"/>
        <w:rPr>
          <w:rFonts w:ascii="Arial" w:cs="Arial" w:eastAsia="Arial" w:hAnsi="Arial"/>
          <w:sz w:val="17"/>
          <w:szCs w:val="17"/>
          <w:color w:val="auto"/>
        </w:rPr>
      </w:pPr>
    </w:p>
    <w:p>
      <w:pPr>
        <w:jc w:val="both"/>
        <w:ind w:firstLine="623"/>
        <w:spacing w:after="0" w:line="262" w:lineRule="auto"/>
        <w:tabs>
          <w:tab w:leader="none" w:pos="1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Party may terminate its obligations under this Agreement (i) for any reason upon ten (10) business days’ prior written notice to all other Parties, with a copy by fax to Steve Wolosky at Olshan, Fax No. (212) 451-2222, and (ii) a non-breaching Party may terminate its obligations under this Agreement immediately upon another Party’s breach of its obligations under this Agreement. Notwithstanding the foregoing, the rights and obligations set forth in Section 4 and Section 9 shall survive any termination of this Agreement.</w:t>
      </w:r>
    </w:p>
    <w:p>
      <w:pPr>
        <w:spacing w:after="0" w:line="204" w:lineRule="exact"/>
        <w:rPr>
          <w:rFonts w:ascii="Arial" w:cs="Arial" w:eastAsia="Arial" w:hAnsi="Arial"/>
          <w:sz w:val="17"/>
          <w:szCs w:val="17"/>
          <w:color w:val="auto"/>
        </w:rPr>
      </w:pPr>
    </w:p>
    <w:p>
      <w:pPr>
        <w:jc w:val="both"/>
        <w:ind w:firstLine="623"/>
        <w:spacing w:after="0" w:line="266" w:lineRule="auto"/>
        <w:tabs>
          <w:tab w:leader="none" w:pos="1343"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Party acknowledges that Olshan shall act as counsel for both the Group and Coppersmith and its affiliates relating to their investment in the Company. Scopia acknowledges that it has been advised by separate counsel in the negotiation of the terms and conditions of this Agreement. Each of the Parties has reviewed and signed a conflict waiver in connection with Olshan’s representation of the Group.</w:t>
      </w:r>
    </w:p>
    <w:p>
      <w:pPr>
        <w:spacing w:after="0" w:line="201" w:lineRule="exact"/>
        <w:rPr>
          <w:rFonts w:ascii="Arial" w:cs="Arial" w:eastAsia="Arial" w:hAnsi="Arial"/>
          <w:sz w:val="17"/>
          <w:szCs w:val="17"/>
          <w:color w:val="auto"/>
        </w:rPr>
      </w:pPr>
    </w:p>
    <w:p>
      <w:pPr>
        <w:ind w:left="1300" w:hanging="677"/>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terms and provisions of this Agreement may not be modified, waived or amended without the written consent of each of the Parties.</w:t>
      </w:r>
    </w:p>
    <w:p>
      <w:pPr>
        <w:spacing w:after="0" w:line="200" w:lineRule="exact"/>
        <w:rPr>
          <w:rFonts w:ascii="Arial" w:cs="Arial" w:eastAsia="Arial" w:hAnsi="Arial"/>
          <w:sz w:val="16"/>
          <w:szCs w:val="16"/>
          <w:color w:val="auto"/>
        </w:rPr>
      </w:pPr>
    </w:p>
    <w:p>
      <w:pPr>
        <w:spacing w:after="0" w:line="287" w:lineRule="exact"/>
        <w:rPr>
          <w:rFonts w:ascii="Arial" w:cs="Arial" w:eastAsia="Arial" w:hAnsi="Arial"/>
          <w:sz w:val="16"/>
          <w:szCs w:val="16"/>
          <w:color w:val="auto"/>
        </w:rPr>
      </w:pPr>
    </w:p>
    <w:p>
      <w:pPr>
        <w:ind w:left="880" w:hanging="257"/>
        <w:spacing w:after="0"/>
        <w:tabs>
          <w:tab w:leader="none" w:pos="8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Each Party hereby agrees that this Agreement shall be filed as an exhibit to a Schedule 13D pursuant to Rule 13d-1(k)(1)(iii) under the Exchange Act.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IN WITNESS WHEREOF, the Parties hereto have caused this Agreement to be executed as of the day and year first above written.</w:t>
      </w:r>
    </w:p>
    <w:p>
      <w:pPr>
        <w:spacing w:after="0" w:line="243"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COPPERSMITH CAPITAL MANAGEMENT, LLC</w:t>
      </w:r>
    </w:p>
    <w:p>
      <w:pPr>
        <w:spacing w:after="0" w:line="200" w:lineRule="exact"/>
        <w:rPr>
          <w:sz w:val="20"/>
          <w:szCs w:val="20"/>
          <w:color w:val="auto"/>
        </w:rPr>
      </w:pPr>
    </w:p>
    <w:p>
      <w:pPr>
        <w:spacing w:after="0" w:line="224" w:lineRule="exact"/>
        <w:rPr>
          <w:sz w:val="20"/>
          <w:szCs w:val="20"/>
          <w:color w:val="auto"/>
        </w:rPr>
      </w:pPr>
    </w:p>
    <w:tbl>
      <w:tblPr>
        <w:tblLayout w:type="fixed"/>
        <w:tblInd w:w="5100" w:type="dxa"/>
        <w:tblCellMar>
          <w:top w:w="0" w:type="dxa"/>
          <w:left w:w="0" w:type="dxa"/>
          <w:bottom w:w="0" w:type="dxa"/>
          <w:right w:w="0" w:type="dxa"/>
        </w:tblCellMar>
      </w:tblPr>
      <w:tr>
        <w:trPr>
          <w:trHeight w:val="225"/>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9"/>
              </w:rPr>
              <w:t>/s/ Jerome J. Lande</w:t>
            </w:r>
          </w:p>
        </w:tc>
        <w:tc>
          <w:tcPr>
            <w:tcW w:w="3620" w:type="dxa"/>
            <w:vAlign w:val="bottom"/>
            <w:tcBorders>
              <w:bottom w:val="single" w:sz="8" w:color="auto"/>
            </w:tcBorders>
          </w:tcPr>
          <w:p>
            <w:pPr>
              <w:spacing w:after="0"/>
              <w:rPr>
                <w:sz w:val="19"/>
                <w:szCs w:val="19"/>
                <w:color w:val="auto"/>
              </w:rPr>
            </w:pPr>
          </w:p>
        </w:tc>
      </w:tr>
      <w:tr>
        <w:trPr>
          <w:trHeight w:val="194"/>
        </w:trPr>
        <w:tc>
          <w:tcPr>
            <w:tcW w:w="720" w:type="dxa"/>
            <w:vAlign w:val="bottom"/>
          </w:tcPr>
          <w:p>
            <w:pPr>
              <w:spacing w:after="0"/>
              <w:rPr>
                <w:sz w:val="16"/>
                <w:szCs w:val="16"/>
                <w:color w:val="auto"/>
              </w:rPr>
            </w:pPr>
          </w:p>
        </w:tc>
        <w:tc>
          <w:tcPr>
            <w:tcW w:w="136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3620" w:type="dxa"/>
            <w:vAlign w:val="bottom"/>
          </w:tcPr>
          <w:p>
            <w:pPr>
              <w:ind w:left="40"/>
              <w:spacing w:after="0" w:line="194" w:lineRule="exact"/>
              <w:rPr>
                <w:sz w:val="20"/>
                <w:szCs w:val="20"/>
                <w:color w:val="auto"/>
              </w:rPr>
            </w:pPr>
            <w:r>
              <w:rPr>
                <w:rFonts w:ascii="Arial" w:cs="Arial" w:eastAsia="Arial" w:hAnsi="Arial"/>
                <w:sz w:val="17"/>
                <w:szCs w:val="17"/>
                <w:color w:val="auto"/>
              </w:rPr>
              <w:t>Jerome J. Lande</w:t>
            </w:r>
          </w:p>
        </w:tc>
      </w:tr>
      <w:tr>
        <w:trPr>
          <w:trHeight w:val="217"/>
        </w:trPr>
        <w:tc>
          <w:tcPr>
            <w:tcW w:w="7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Title:</w:t>
            </w:r>
          </w:p>
        </w:tc>
        <w:tc>
          <w:tcPr>
            <w:tcW w:w="3620" w:type="dxa"/>
            <w:vAlign w:val="bottom"/>
          </w:tcPr>
          <w:p>
            <w:pPr>
              <w:ind w:left="40"/>
              <w:spacing w:after="0"/>
              <w:rPr>
                <w:sz w:val="20"/>
                <w:szCs w:val="20"/>
                <w:color w:val="auto"/>
              </w:rPr>
            </w:pPr>
            <w:r>
              <w:rPr>
                <w:rFonts w:ascii="Arial" w:cs="Arial" w:eastAsia="Arial" w:hAnsi="Arial"/>
                <w:sz w:val="17"/>
                <w:szCs w:val="17"/>
                <w:color w:val="auto"/>
              </w:rPr>
              <w:t>Managing Member</w:t>
            </w:r>
          </w:p>
        </w:tc>
      </w:tr>
    </w:tbl>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Jerome J.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63029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30295" cy="16510"/>
                    </a:xfrm>
                    <a:prstGeom prst="rect">
                      <a:avLst/>
                    </a:prstGeom>
                    <a:noFill/>
                  </pic:spPr>
                </pic:pic>
              </a:graphicData>
            </a:graphic>
          </wp:anchor>
        </w:drawing>
      </w:r>
    </w:p>
    <w:p>
      <w:pPr>
        <w:spacing w:after="0" w:line="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JEROME J. LANDE</w:t>
      </w:r>
    </w:p>
    <w:p>
      <w:pPr>
        <w:spacing w:after="0" w:line="200" w:lineRule="exact"/>
        <w:rPr>
          <w:sz w:val="20"/>
          <w:szCs w:val="20"/>
          <w:color w:val="auto"/>
        </w:rPr>
      </w:pPr>
    </w:p>
    <w:p>
      <w:pPr>
        <w:spacing w:after="0" w:line="25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Craig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63029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30295" cy="16510"/>
                    </a:xfrm>
                    <a:prstGeom prst="rect">
                      <a:avLst/>
                    </a:prstGeom>
                    <a:noFill/>
                  </pic:spPr>
                </pic:pic>
              </a:graphicData>
            </a:graphic>
          </wp:anchor>
        </w:drawing>
      </w:r>
    </w:p>
    <w:p>
      <w:pPr>
        <w:spacing w:after="0" w:line="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CRAIG ROSENBLUM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SCOPIA CAPITAL MANAGEMENT LP</w:t>
      </w:r>
    </w:p>
    <w:p>
      <w:pPr>
        <w:spacing w:after="0" w:line="200" w:lineRule="exact"/>
        <w:rPr>
          <w:sz w:val="20"/>
          <w:szCs w:val="20"/>
          <w:color w:val="auto"/>
        </w:rPr>
      </w:pPr>
    </w:p>
    <w:p>
      <w:pPr>
        <w:spacing w:after="0" w:line="224" w:lineRule="exact"/>
        <w:rPr>
          <w:sz w:val="20"/>
          <w:szCs w:val="20"/>
          <w:color w:val="auto"/>
        </w:rPr>
      </w:pPr>
    </w:p>
    <w:tbl>
      <w:tblPr>
        <w:tblLayout w:type="fixed"/>
        <w:tblInd w:w="5100" w:type="dxa"/>
        <w:tblCellMar>
          <w:top w:w="0" w:type="dxa"/>
          <w:left w:w="0" w:type="dxa"/>
          <w:bottom w:w="0" w:type="dxa"/>
          <w:right w:w="0" w:type="dxa"/>
        </w:tblCellMar>
      </w:tblPr>
      <w:tr>
        <w:trPr>
          <w:trHeight w:val="225"/>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Matthew Sirovich</w:t>
            </w:r>
          </w:p>
        </w:tc>
      </w:tr>
      <w:tr>
        <w:trPr>
          <w:trHeight w:val="194"/>
        </w:trPr>
        <w:tc>
          <w:tcPr>
            <w:tcW w:w="720" w:type="dxa"/>
            <w:vAlign w:val="bottom"/>
          </w:tcPr>
          <w:p>
            <w:pPr>
              <w:spacing w:after="0"/>
              <w:rPr>
                <w:sz w:val="16"/>
                <w:szCs w:val="16"/>
                <w:color w:val="auto"/>
              </w:rPr>
            </w:pPr>
          </w:p>
        </w:tc>
        <w:tc>
          <w:tcPr>
            <w:tcW w:w="70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4280" w:type="dxa"/>
            <w:vAlign w:val="bottom"/>
          </w:tcPr>
          <w:p>
            <w:pPr>
              <w:ind w:left="280"/>
              <w:spacing w:after="0" w:line="194" w:lineRule="exact"/>
              <w:rPr>
                <w:sz w:val="20"/>
                <w:szCs w:val="20"/>
                <w:color w:val="auto"/>
              </w:rPr>
            </w:pPr>
            <w:r>
              <w:rPr>
                <w:rFonts w:ascii="Arial" w:cs="Arial" w:eastAsia="Arial" w:hAnsi="Arial"/>
                <w:sz w:val="17"/>
                <w:szCs w:val="17"/>
                <w:color w:val="auto"/>
              </w:rPr>
              <w:t>Matthew Sirovich</w:t>
            </w:r>
          </w:p>
        </w:tc>
      </w:tr>
      <w:tr>
        <w:trPr>
          <w:trHeight w:val="217"/>
        </w:trPr>
        <w:tc>
          <w:tcPr>
            <w:tcW w:w="7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4280" w:type="dxa"/>
            <w:vAlign w:val="bottom"/>
          </w:tcPr>
          <w:p>
            <w:pPr>
              <w:ind w:left="280"/>
              <w:spacing w:after="0"/>
              <w:rPr>
                <w:sz w:val="20"/>
                <w:szCs w:val="20"/>
                <w:color w:val="auto"/>
              </w:rPr>
            </w:pPr>
            <w:r>
              <w:rPr>
                <w:rFonts w:ascii="Arial" w:cs="Arial" w:eastAsia="Arial" w:hAnsi="Arial"/>
                <w:sz w:val="17"/>
                <w:szCs w:val="17"/>
                <w:color w:val="auto"/>
              </w:rPr>
              <w:t>Managing Director of its 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Matthew Sirovich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63029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30295" cy="16510"/>
                    </a:xfrm>
                    <a:prstGeom prst="rect">
                      <a:avLst/>
                    </a:prstGeom>
                    <a:noFill/>
                  </pic:spPr>
                </pic:pic>
              </a:graphicData>
            </a:graphic>
          </wp:anchor>
        </w:drawing>
      </w:r>
    </w:p>
    <w:p>
      <w:pPr>
        <w:spacing w:after="0" w:line="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MATTHEW SIROVICH</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Jeremy Mindich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63029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30295" cy="16510"/>
                    </a:xfrm>
                    <a:prstGeom prst="rect">
                      <a:avLst/>
                    </a:prstGeom>
                    <a:noFill/>
                  </pic:spPr>
                </pic:pic>
              </a:graphicData>
            </a:graphic>
          </wp:anchor>
        </w:drawing>
      </w:r>
    </w:p>
    <w:p>
      <w:pPr>
        <w:spacing w:after="0" w:line="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JEREMY MINDICH</w:t>
      </w:r>
    </w:p>
    <w:p>
      <w:pPr>
        <w:sectPr>
          <w:pgSz w:w="11900" w:h="16838" w:orient="portrait"/>
          <w:cols w:equalWidth="0" w:num="1">
            <w:col w:w="10800"/>
          </w:cols>
          <w:pgMar w:left="860" w:top="50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1"/>
          <w:szCs w:val="2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JOINDER AGREEMENT</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This JOINDER AGREEMENT (the “Joinder”) is dated as of September 21, 2015 by and among Coppersmith Capital Management, LLC, Scopia Capital Management LP, Jerome J. Lande, Craig Rosenblum, Matthew Sirovich and Jeremy Mindich (collectively, the “Existing Members”) and Coppersmith Value Partners II, LP, Coppersmith Capital Partners, LLC, Scopia Long LLC, Scopia LB LLC, Scopia PX LLC, Scopia Partners LLC, Scopia Windmill Fund LP, Scopia International Master Fund LP, Scopia PX International Master Fund LP, Scopia LB International Master Fund LP, Scopia Long International Master Fund LP, Scopia Capital GP LLC and Scopia Management, Inc. (each a “New Member” and collectively, the “New Members”).</w:t>
      </w:r>
    </w:p>
    <w:p>
      <w:pPr>
        <w:spacing w:after="0" w:line="192"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WHEREAS, the Existing Members are parties to that certain Joint Filing Agreement dated as of August 5, 2015 (the “Agreement”), pursuant to which the Existing Members formed a “group” (as contemplated by Section 13(d) of the Securities Exchange Act of 1934, as amended) for the purpose of (i) engaging in discussions with Itron, Inc., a Washington corporation (the “Company”), regarding plans or proposals under Item 4 of Schedule 13D, (ii) taking all other action necessary to achieve the foregoing and (iii) taking any other actions the group determines to undertake in connection with their respective investment in the Company; and</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the New Members desire to join the group formed by the Existing Members.</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NOW, THEREFORE, in consideration of the premises and of the mutual covenants and agreements of the parties herein contained, the parties hereby agree as follows:</w:t>
      </w:r>
    </w:p>
    <w:p>
      <w:pPr>
        <w:spacing w:after="0" w:line="189" w:lineRule="exact"/>
        <w:rPr>
          <w:sz w:val="20"/>
          <w:szCs w:val="20"/>
          <w:color w:val="auto"/>
        </w:rPr>
      </w:pPr>
    </w:p>
    <w:p>
      <w:pPr>
        <w:ind w:left="1140" w:hanging="517"/>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 immediately, each New Member is joined as a party to the Agreement.</w:t>
      </w:r>
    </w:p>
    <w:p>
      <w:pPr>
        <w:spacing w:after="0" w:line="243" w:lineRule="exact"/>
        <w:rPr>
          <w:rFonts w:ascii="Arial" w:cs="Arial" w:eastAsia="Arial" w:hAnsi="Arial"/>
          <w:sz w:val="17"/>
          <w:szCs w:val="17"/>
          <w:color w:val="auto"/>
        </w:rPr>
      </w:pPr>
    </w:p>
    <w:p>
      <w:pPr>
        <w:ind w:right="600" w:firstLine="623"/>
        <w:spacing w:after="0" w:line="280" w:lineRule="auto"/>
        <w:tabs>
          <w:tab w:leader="none" w:pos="11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Each New Member agrees to be bound by the terms of the Agreement, including the obligations of a member of the Group (as defined in the Agreement), the terms of which are incorporated herein and made a part hereof.</w:t>
      </w:r>
    </w:p>
    <w:p>
      <w:pPr>
        <w:spacing w:after="0" w:line="189" w:lineRule="exact"/>
        <w:rPr>
          <w:rFonts w:ascii="Arial" w:cs="Arial" w:eastAsia="Arial" w:hAnsi="Arial"/>
          <w:sz w:val="17"/>
          <w:szCs w:val="17"/>
          <w:color w:val="auto"/>
        </w:rPr>
      </w:pPr>
    </w:p>
    <w:p>
      <w:pPr>
        <w:ind w:firstLine="623"/>
        <w:spacing w:after="0" w:line="280" w:lineRule="auto"/>
        <w:tabs>
          <w:tab w:leader="none" w:pos="121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Joinder may be executed in counterparts, each of which shall be deemed an original and all of which, taken together, shall constitute but one and the same instrument, which may be sufficiently evidenced by one counterpart.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[Signatures appear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IN WITNESS WHEREOF, the parties hereto have caused this Agreement to be executed as of the day and year first above written.</w:t>
      </w:r>
    </w:p>
    <w:p>
      <w:pPr>
        <w:spacing w:after="0" w:line="24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COPPERSMITH VALUE PARTNERS II, LP</w:t>
      </w:r>
    </w:p>
    <w:p>
      <w:pPr>
        <w:spacing w:after="0" w:line="218" w:lineRule="exact"/>
        <w:rPr>
          <w:sz w:val="20"/>
          <w:szCs w:val="20"/>
          <w:color w:val="auto"/>
        </w:rPr>
      </w:pPr>
    </w:p>
    <w:tbl>
      <w:tblPr>
        <w:tblLayout w:type="fixed"/>
        <w:tblInd w:w="5220" w:type="dxa"/>
        <w:tblCellMar>
          <w:top w:w="0" w:type="dxa"/>
          <w:left w:w="0" w:type="dxa"/>
          <w:bottom w:w="0" w:type="dxa"/>
          <w:right w:w="0" w:type="dxa"/>
        </w:tblCellMar>
      </w:tblPr>
      <w:tr>
        <w:trPr>
          <w:trHeight w:val="206"/>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gridSpan w:val="2"/>
          </w:tcPr>
          <w:p>
            <w:pPr>
              <w:spacing w:after="0"/>
              <w:rPr>
                <w:sz w:val="20"/>
                <w:szCs w:val="20"/>
                <w:color w:val="auto"/>
              </w:rPr>
            </w:pPr>
            <w:r>
              <w:rPr>
                <w:rFonts w:ascii="Arial" w:cs="Arial" w:eastAsia="Arial" w:hAnsi="Arial"/>
                <w:sz w:val="17"/>
                <w:szCs w:val="17"/>
                <w:color w:val="auto"/>
              </w:rPr>
              <w:t>Coppersmith Capital Partners, LLC</w:t>
            </w:r>
          </w:p>
        </w:tc>
      </w:tr>
      <w:tr>
        <w:trPr>
          <w:trHeight w:val="217"/>
        </w:trPr>
        <w:tc>
          <w:tcPr>
            <w:tcW w:w="58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General Partner</w:t>
            </w:r>
          </w:p>
        </w:tc>
      </w:tr>
      <w:tr>
        <w:trPr>
          <w:trHeight w:val="420"/>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Jerome J. Lande</w:t>
            </w:r>
          </w:p>
        </w:tc>
      </w:tr>
      <w:tr>
        <w:trPr>
          <w:trHeight w:val="194"/>
        </w:trPr>
        <w:tc>
          <w:tcPr>
            <w:tcW w:w="580" w:type="dxa"/>
            <w:vAlign w:val="bottom"/>
          </w:tcPr>
          <w:p>
            <w:pPr>
              <w:spacing w:after="0"/>
              <w:rPr>
                <w:sz w:val="16"/>
                <w:szCs w:val="16"/>
                <w:color w:val="auto"/>
              </w:rPr>
            </w:pPr>
          </w:p>
        </w:tc>
        <w:tc>
          <w:tcPr>
            <w:tcW w:w="74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4260" w:type="dxa"/>
            <w:vAlign w:val="bottom"/>
          </w:tcPr>
          <w:p>
            <w:pPr>
              <w:ind w:left="280"/>
              <w:spacing w:after="0" w:line="194" w:lineRule="exact"/>
              <w:rPr>
                <w:sz w:val="20"/>
                <w:szCs w:val="20"/>
                <w:color w:val="auto"/>
              </w:rPr>
            </w:pPr>
            <w:r>
              <w:rPr>
                <w:rFonts w:ascii="Arial" w:cs="Arial" w:eastAsia="Arial" w:hAnsi="Arial"/>
                <w:sz w:val="17"/>
                <w:szCs w:val="17"/>
                <w:color w:val="auto"/>
              </w:rPr>
              <w:t>Jerome J. Lande</w:t>
            </w:r>
          </w:p>
        </w:tc>
      </w:tr>
      <w:tr>
        <w:trPr>
          <w:trHeight w:val="217"/>
        </w:trPr>
        <w:tc>
          <w:tcPr>
            <w:tcW w:w="58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260" w:type="dxa"/>
            <w:vAlign w:val="bottom"/>
          </w:tcPr>
          <w:p>
            <w:pPr>
              <w:ind w:left="280"/>
              <w:spacing w:after="0"/>
              <w:rPr>
                <w:sz w:val="20"/>
                <w:szCs w:val="20"/>
                <w:color w:val="auto"/>
              </w:rPr>
            </w:pPr>
            <w:r>
              <w:rPr>
                <w:rFonts w:ascii="Arial" w:cs="Arial" w:eastAsia="Arial" w:hAnsi="Arial"/>
                <w:sz w:val="17"/>
                <w:szCs w:val="17"/>
                <w:color w:val="auto"/>
              </w:rPr>
              <w:t>Managing Member</w:t>
            </w:r>
          </w:p>
        </w:tc>
      </w:tr>
    </w:tbl>
    <w:p>
      <w:pPr>
        <w:spacing w:after="0" w:line="200" w:lineRule="exact"/>
        <w:rPr>
          <w:sz w:val="20"/>
          <w:szCs w:val="20"/>
          <w:color w:val="auto"/>
        </w:rPr>
      </w:pPr>
    </w:p>
    <w:p>
      <w:pPr>
        <w:spacing w:after="0" w:line="25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COPPERSMITH CAPITAL PARTNERS, LLC</w:t>
      </w:r>
    </w:p>
    <w:p>
      <w:pPr>
        <w:spacing w:after="0" w:line="218" w:lineRule="exact"/>
        <w:rPr>
          <w:sz w:val="20"/>
          <w:szCs w:val="20"/>
          <w:color w:val="auto"/>
        </w:rPr>
      </w:pPr>
    </w:p>
    <w:tbl>
      <w:tblPr>
        <w:tblLayout w:type="fixed"/>
        <w:tblInd w:w="5220" w:type="dxa"/>
        <w:tblCellMar>
          <w:top w:w="0" w:type="dxa"/>
          <w:left w:w="0" w:type="dxa"/>
          <w:bottom w:w="0" w:type="dxa"/>
          <w:right w:w="0" w:type="dxa"/>
        </w:tblCellMar>
      </w:tblPr>
      <w:tr>
        <w:trPr>
          <w:trHeight w:val="225"/>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Jerome J. Lande</w:t>
            </w:r>
          </w:p>
        </w:tc>
      </w:tr>
      <w:tr>
        <w:trPr>
          <w:trHeight w:val="194"/>
        </w:trPr>
        <w:tc>
          <w:tcPr>
            <w:tcW w:w="580" w:type="dxa"/>
            <w:vAlign w:val="bottom"/>
          </w:tcPr>
          <w:p>
            <w:pPr>
              <w:spacing w:after="0"/>
              <w:rPr>
                <w:sz w:val="16"/>
                <w:szCs w:val="16"/>
                <w:color w:val="auto"/>
              </w:rPr>
            </w:pPr>
          </w:p>
        </w:tc>
        <w:tc>
          <w:tcPr>
            <w:tcW w:w="74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4260" w:type="dxa"/>
            <w:vAlign w:val="bottom"/>
          </w:tcPr>
          <w:p>
            <w:pPr>
              <w:ind w:left="280"/>
              <w:spacing w:after="0" w:line="194" w:lineRule="exact"/>
              <w:rPr>
                <w:sz w:val="20"/>
                <w:szCs w:val="20"/>
                <w:color w:val="auto"/>
              </w:rPr>
            </w:pPr>
            <w:r>
              <w:rPr>
                <w:rFonts w:ascii="Arial" w:cs="Arial" w:eastAsia="Arial" w:hAnsi="Arial"/>
                <w:sz w:val="17"/>
                <w:szCs w:val="17"/>
                <w:color w:val="auto"/>
              </w:rPr>
              <w:t>Jerome J. Lande</w:t>
            </w:r>
          </w:p>
        </w:tc>
      </w:tr>
      <w:tr>
        <w:trPr>
          <w:trHeight w:val="217"/>
        </w:trPr>
        <w:tc>
          <w:tcPr>
            <w:tcW w:w="58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260" w:type="dxa"/>
            <w:vAlign w:val="bottom"/>
          </w:tcPr>
          <w:p>
            <w:pPr>
              <w:ind w:left="280"/>
              <w:spacing w:after="0"/>
              <w:rPr>
                <w:sz w:val="20"/>
                <w:szCs w:val="20"/>
                <w:color w:val="auto"/>
              </w:rPr>
            </w:pPr>
            <w:r>
              <w:rPr>
                <w:rFonts w:ascii="Arial" w:cs="Arial" w:eastAsia="Arial" w:hAnsi="Arial"/>
                <w:sz w:val="17"/>
                <w:szCs w:val="17"/>
                <w:color w:val="auto"/>
              </w:rPr>
              <w:t>Managing Member</w:t>
            </w:r>
          </w:p>
        </w:tc>
      </w:tr>
    </w:tbl>
    <w:p>
      <w:pPr>
        <w:spacing w:after="0" w:line="200" w:lineRule="exact"/>
        <w:rPr>
          <w:sz w:val="20"/>
          <w:szCs w:val="20"/>
          <w:color w:val="auto"/>
        </w:rPr>
      </w:pPr>
    </w:p>
    <w:p>
      <w:pPr>
        <w:spacing w:after="0" w:line="25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COPPERSMITH CAPITAL MANAGEMENT, LLC</w:t>
      </w:r>
    </w:p>
    <w:p>
      <w:pPr>
        <w:spacing w:after="0" w:line="218"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Jerome J. Lande</w:t>
      </w:r>
    </w:p>
    <w:p>
      <w:pPr>
        <w:spacing w:after="0" w:line="22" w:lineRule="exact"/>
        <w:rPr>
          <w:sz w:val="20"/>
          <w:szCs w:val="20"/>
          <w:color w:val="auto"/>
        </w:rPr>
      </w:pPr>
    </w:p>
    <w:tbl>
      <w:tblPr>
        <w:tblLayout w:type="fixed"/>
        <w:tblInd w:w="5220" w:type="dxa"/>
        <w:tblCellMar>
          <w:top w:w="0" w:type="dxa"/>
          <w:left w:w="0" w:type="dxa"/>
          <w:bottom w:w="0" w:type="dxa"/>
          <w:right w:w="0" w:type="dxa"/>
        </w:tblCellMar>
      </w:tblPr>
      <w:tr>
        <w:trPr>
          <w:trHeight w:val="202"/>
        </w:trPr>
        <w:tc>
          <w:tcPr>
            <w:tcW w:w="580" w:type="dxa"/>
            <w:vAlign w:val="bottom"/>
          </w:tcPr>
          <w:p>
            <w:pPr>
              <w:spacing w:after="0"/>
              <w:rPr>
                <w:sz w:val="17"/>
                <w:szCs w:val="17"/>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4060" w:type="dxa"/>
            <w:vAlign w:val="bottom"/>
            <w:tcBorders>
              <w:top w:val="single" w:sz="8" w:color="auto"/>
            </w:tcBorders>
          </w:tcPr>
          <w:p>
            <w:pPr>
              <w:ind w:left="80"/>
              <w:spacing w:after="0"/>
              <w:rPr>
                <w:sz w:val="20"/>
                <w:szCs w:val="20"/>
                <w:color w:val="auto"/>
              </w:rPr>
            </w:pPr>
            <w:r>
              <w:rPr>
                <w:rFonts w:ascii="Arial" w:cs="Arial" w:eastAsia="Arial" w:hAnsi="Arial"/>
                <w:sz w:val="17"/>
                <w:szCs w:val="17"/>
                <w:color w:val="auto"/>
              </w:rPr>
              <w:t>Jerome J. Lande</w:t>
            </w:r>
          </w:p>
        </w:tc>
      </w:tr>
      <w:tr>
        <w:trPr>
          <w:trHeight w:val="217"/>
        </w:trPr>
        <w:tc>
          <w:tcPr>
            <w:tcW w:w="58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Title:</w:t>
            </w:r>
          </w:p>
        </w:tc>
        <w:tc>
          <w:tcPr>
            <w:tcW w:w="4060" w:type="dxa"/>
            <w:vAlign w:val="bottom"/>
          </w:tcPr>
          <w:p>
            <w:pPr>
              <w:ind w:left="80"/>
              <w:spacing w:after="0"/>
              <w:rPr>
                <w:sz w:val="20"/>
                <w:szCs w:val="20"/>
                <w:color w:val="auto"/>
              </w:rPr>
            </w:pPr>
            <w:r>
              <w:rPr>
                <w:rFonts w:ascii="Arial" w:cs="Arial" w:eastAsia="Arial" w:hAnsi="Arial"/>
                <w:sz w:val="17"/>
                <w:szCs w:val="17"/>
                <w:color w:val="auto"/>
              </w:rPr>
              <w:t>Managing Member</w:t>
            </w:r>
          </w:p>
        </w:tc>
      </w:tr>
      <w:tr>
        <w:trPr>
          <w:trHeight w:val="88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Jerome J. Lande</w:t>
            </w:r>
          </w:p>
        </w:tc>
        <w:tc>
          <w:tcPr>
            <w:tcW w:w="4060" w:type="dxa"/>
            <w:vAlign w:val="bottom"/>
            <w:tcBorders>
              <w:bottom w:val="single" w:sz="8" w:color="auto"/>
            </w:tcBorders>
          </w:tcPr>
          <w:p>
            <w:pPr>
              <w:spacing w:after="0"/>
              <w:rPr>
                <w:sz w:val="24"/>
                <w:szCs w:val="24"/>
                <w:color w:val="auto"/>
              </w:rPr>
            </w:pPr>
          </w:p>
        </w:tc>
      </w:tr>
      <w:tr>
        <w:trPr>
          <w:trHeight w:val="217"/>
        </w:trPr>
        <w:tc>
          <w:tcPr>
            <w:tcW w:w="1520" w:type="dxa"/>
            <w:vAlign w:val="bottom"/>
            <w:gridSpan w:val="2"/>
          </w:tcPr>
          <w:p>
            <w:pPr>
              <w:spacing w:after="0"/>
              <w:rPr>
                <w:sz w:val="20"/>
                <w:szCs w:val="20"/>
                <w:color w:val="auto"/>
              </w:rPr>
            </w:pPr>
            <w:r>
              <w:rPr>
                <w:rFonts w:ascii="Arial" w:cs="Arial" w:eastAsia="Arial" w:hAnsi="Arial"/>
                <w:sz w:val="17"/>
                <w:szCs w:val="17"/>
                <w:color w:val="auto"/>
                <w:w w:val="99"/>
              </w:rPr>
              <w:t>JEROME J. LANDE</w:t>
            </w:r>
          </w:p>
        </w:tc>
        <w:tc>
          <w:tcPr>
            <w:tcW w:w="40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/s/ Craig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14605</wp:posOffset>
            </wp:positionV>
            <wp:extent cx="354838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48380" cy="16510"/>
                    </a:xfrm>
                    <a:prstGeom prst="rect">
                      <a:avLst/>
                    </a:prstGeom>
                    <a:noFill/>
                  </pic:spPr>
                </pic:pic>
              </a:graphicData>
            </a:graphic>
          </wp:anchor>
        </w:drawing>
      </w:r>
    </w:p>
    <w:p>
      <w:pPr>
        <w:spacing w:after="0" w:line="1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CRAIG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463550</wp:posOffset>
            </wp:positionV>
            <wp:extent cx="725741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SCOPIA LONG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SCOPIA WINDMILL FUND LP</w:t>
      </w:r>
    </w:p>
    <w:p>
      <w:pPr>
        <w:spacing w:after="0" w:line="200" w:lineRule="exact"/>
        <w:rPr>
          <w:sz w:val="20"/>
          <w:szCs w:val="20"/>
          <w:color w:val="auto"/>
        </w:rPr>
      </w:pPr>
    </w:p>
    <w:p>
      <w:pPr>
        <w:sectPr>
          <w:pgSz w:w="11900" w:h="16838" w:orient="portrait"/>
          <w:cols w:equalWidth="0" w:num="2">
            <w:col w:w="5560" w:space="720"/>
            <w:col w:w="5140"/>
          </w:cols>
          <w:pgMar w:left="240" w:top="734" w:right="239" w:bottom="1440" w:gutter="0" w:footer="0" w:header="0"/>
        </w:sectPr>
      </w:pP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SCOPIA LB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SCOPIA INTERNATIONAL MASTER FUND LP</w:t>
      </w:r>
    </w:p>
    <w:p>
      <w:pPr>
        <w:spacing w:after="0" w:line="200" w:lineRule="exact"/>
        <w:rPr>
          <w:sz w:val="20"/>
          <w:szCs w:val="20"/>
          <w:color w:val="auto"/>
        </w:rPr>
      </w:pPr>
    </w:p>
    <w:p>
      <w:pPr>
        <w:sectPr>
          <w:pgSz w:w="11900" w:h="16838" w:orient="portrait"/>
          <w:cols w:equalWidth="0" w:num="2">
            <w:col w:w="5560" w:space="720"/>
            <w:col w:w="5140"/>
          </w:cols>
          <w:pgMar w:left="240" w:top="734"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SCOPIA PX LLC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SCOPIA PX INTERNATIONAL MASTER FUND LP</w:t>
      </w:r>
    </w:p>
    <w:p>
      <w:pPr>
        <w:spacing w:after="0" w:line="200" w:lineRule="exact"/>
        <w:rPr>
          <w:sz w:val="20"/>
          <w:szCs w:val="20"/>
          <w:color w:val="auto"/>
        </w:rPr>
      </w:pPr>
    </w:p>
    <w:p>
      <w:pPr>
        <w:sectPr>
          <w:pgSz w:w="11900" w:h="16838" w:orient="portrait"/>
          <w:cols w:equalWidth="0" w:num="2">
            <w:col w:w="5560" w:space="720"/>
            <w:col w:w="5140"/>
          </w:cols>
          <w:pgMar w:left="240" w:top="734"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SCOPIA PARTNERS LLC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SCOPIA LB INTERNATIONAL MASTER FUND LP</w:t>
      </w:r>
    </w:p>
    <w:p>
      <w:pPr>
        <w:spacing w:after="0" w:line="200" w:lineRule="exact"/>
        <w:rPr>
          <w:sz w:val="20"/>
          <w:szCs w:val="20"/>
          <w:color w:val="auto"/>
        </w:rPr>
      </w:pPr>
    </w:p>
    <w:p>
      <w:pPr>
        <w:sectPr>
          <w:pgSz w:w="11900" w:h="16838" w:orient="portrait"/>
          <w:cols w:equalWidth="0" w:num="2">
            <w:col w:w="5560" w:space="720"/>
            <w:col w:w="5140"/>
          </w:cols>
          <w:pgMar w:left="240" w:top="734" w:right="2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20" w:type="dxa"/>
            <w:vAlign w:val="bottom"/>
          </w:tcPr>
          <w:p>
            <w:pPr>
              <w:spacing w:after="0"/>
              <w:rPr>
                <w:sz w:val="20"/>
                <w:szCs w:val="20"/>
                <w:color w:val="auto"/>
              </w:rPr>
            </w:pPr>
            <w:r>
              <w:rPr>
                <w:rFonts w:ascii="Arial" w:cs="Arial" w:eastAsia="Arial" w:hAnsi="Arial"/>
                <w:sz w:val="17"/>
                <w:szCs w:val="17"/>
                <w:color w:val="auto"/>
                <w:w w:val="99"/>
              </w:rPr>
              <w:t>SCOPIA LONG INTERNATIONAL MASTER FUND LP</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428"/>
        </w:trPr>
        <w:tc>
          <w:tcPr>
            <w:tcW w:w="4120" w:type="dxa"/>
            <w:vAlign w:val="bottom"/>
          </w:tcPr>
          <w:p>
            <w:pPr>
              <w:ind w:left="3720"/>
              <w:spacing w:after="0"/>
              <w:rPr>
                <w:sz w:val="20"/>
                <w:szCs w:val="20"/>
                <w:color w:val="auto"/>
              </w:rPr>
            </w:pPr>
            <w:r>
              <w:rPr>
                <w:rFonts w:ascii="Arial" w:cs="Arial" w:eastAsia="Arial" w:hAnsi="Arial"/>
                <w:sz w:val="17"/>
                <w:szCs w:val="17"/>
                <w:color w:val="auto"/>
              </w:rPr>
              <w:t>By:</w:t>
            </w:r>
          </w:p>
        </w:tc>
        <w:tc>
          <w:tcPr>
            <w:tcW w:w="3580" w:type="dxa"/>
            <w:vAlign w:val="bottom"/>
            <w:gridSpan w:val="3"/>
          </w:tcPr>
          <w:p>
            <w:pPr>
              <w:ind w:left="60"/>
              <w:spacing w:after="0"/>
              <w:rPr>
                <w:sz w:val="20"/>
                <w:szCs w:val="20"/>
                <w:color w:val="auto"/>
              </w:rPr>
            </w:pPr>
            <w:r>
              <w:rPr>
                <w:rFonts w:ascii="Arial" w:cs="Arial" w:eastAsia="Arial" w:hAnsi="Arial"/>
                <w:sz w:val="17"/>
                <w:szCs w:val="17"/>
                <w:color w:val="auto"/>
              </w:rPr>
              <w:t>Scopia Capital Management LP</w:t>
            </w:r>
          </w:p>
        </w:tc>
      </w:tr>
      <w:tr>
        <w:trPr>
          <w:trHeight w:val="217"/>
        </w:trPr>
        <w:tc>
          <w:tcPr>
            <w:tcW w:w="4120" w:type="dxa"/>
            <w:vAlign w:val="bottom"/>
          </w:tcPr>
          <w:p>
            <w:pPr>
              <w:spacing w:after="0"/>
              <w:rPr>
                <w:sz w:val="18"/>
                <w:szCs w:val="18"/>
                <w:color w:val="auto"/>
              </w:rPr>
            </w:pPr>
          </w:p>
        </w:tc>
        <w:tc>
          <w:tcPr>
            <w:tcW w:w="3580" w:type="dxa"/>
            <w:vAlign w:val="bottom"/>
            <w:gridSpan w:val="3"/>
          </w:tcPr>
          <w:p>
            <w:pPr>
              <w:ind w:left="80"/>
              <w:spacing w:after="0"/>
              <w:rPr>
                <w:sz w:val="20"/>
                <w:szCs w:val="20"/>
                <w:color w:val="auto"/>
              </w:rPr>
            </w:pPr>
            <w:r>
              <w:rPr>
                <w:rFonts w:ascii="Arial" w:cs="Arial" w:eastAsia="Arial" w:hAnsi="Arial"/>
                <w:sz w:val="17"/>
                <w:szCs w:val="17"/>
                <w:color w:val="auto"/>
              </w:rPr>
              <w:t>Investment Manager</w:t>
            </w:r>
          </w:p>
        </w:tc>
      </w:tr>
      <w:tr>
        <w:trPr>
          <w:trHeight w:val="402"/>
        </w:trPr>
        <w:tc>
          <w:tcPr>
            <w:tcW w:w="4120" w:type="dxa"/>
            <w:vAlign w:val="bottom"/>
          </w:tcPr>
          <w:p>
            <w:pPr>
              <w:ind w:left="3720"/>
              <w:spacing w:after="0"/>
              <w:rPr>
                <w:sz w:val="20"/>
                <w:szCs w:val="20"/>
                <w:color w:val="auto"/>
              </w:rPr>
            </w:pPr>
            <w:r>
              <w:rPr>
                <w:rFonts w:ascii="Arial" w:cs="Arial" w:eastAsia="Arial" w:hAnsi="Arial"/>
                <w:sz w:val="17"/>
                <w:szCs w:val="17"/>
                <w:color w:val="auto"/>
              </w:rPr>
              <w:t>By:</w:t>
            </w:r>
          </w:p>
        </w:tc>
        <w:tc>
          <w:tcPr>
            <w:tcW w:w="3580" w:type="dxa"/>
            <w:vAlign w:val="bottom"/>
            <w:gridSpan w:val="3"/>
          </w:tcPr>
          <w:p>
            <w:pPr>
              <w:ind w:left="60"/>
              <w:spacing w:after="0"/>
              <w:rPr>
                <w:sz w:val="20"/>
                <w:szCs w:val="20"/>
                <w:color w:val="auto"/>
              </w:rPr>
            </w:pPr>
            <w:r>
              <w:rPr>
                <w:rFonts w:ascii="Arial" w:cs="Arial" w:eastAsia="Arial" w:hAnsi="Arial"/>
                <w:sz w:val="17"/>
                <w:szCs w:val="17"/>
                <w:color w:val="auto"/>
              </w:rPr>
              <w:t>Scopia Management, Inc.</w:t>
            </w:r>
          </w:p>
        </w:tc>
      </w:tr>
      <w:tr>
        <w:trPr>
          <w:trHeight w:val="217"/>
        </w:trPr>
        <w:tc>
          <w:tcPr>
            <w:tcW w:w="4120" w:type="dxa"/>
            <w:vAlign w:val="bottom"/>
          </w:tcPr>
          <w:p>
            <w:pPr>
              <w:spacing w:after="0"/>
              <w:rPr>
                <w:sz w:val="18"/>
                <w:szCs w:val="18"/>
                <w:color w:val="auto"/>
              </w:rPr>
            </w:pPr>
          </w:p>
        </w:tc>
        <w:tc>
          <w:tcPr>
            <w:tcW w:w="3580" w:type="dxa"/>
            <w:vAlign w:val="bottom"/>
            <w:gridSpan w:val="3"/>
          </w:tcPr>
          <w:p>
            <w:pPr>
              <w:ind w:left="80"/>
              <w:spacing w:after="0"/>
              <w:rPr>
                <w:sz w:val="20"/>
                <w:szCs w:val="20"/>
                <w:color w:val="auto"/>
              </w:rPr>
            </w:pPr>
            <w:r>
              <w:rPr>
                <w:rFonts w:ascii="Arial" w:cs="Arial" w:eastAsia="Arial" w:hAnsi="Arial"/>
                <w:sz w:val="17"/>
                <w:szCs w:val="17"/>
                <w:color w:val="auto"/>
              </w:rPr>
              <w:t>General Partner</w:t>
            </w:r>
          </w:p>
        </w:tc>
      </w:tr>
      <w:tr>
        <w:trPr>
          <w:trHeight w:val="420"/>
        </w:trPr>
        <w:tc>
          <w:tcPr>
            <w:tcW w:w="4120" w:type="dxa"/>
            <w:vAlign w:val="bottom"/>
          </w:tcPr>
          <w:p>
            <w:pPr>
              <w:ind w:left="3720"/>
              <w:spacing w:after="0"/>
              <w:rPr>
                <w:sz w:val="20"/>
                <w:szCs w:val="20"/>
                <w:color w:val="auto"/>
              </w:rPr>
            </w:pPr>
            <w:r>
              <w:rPr>
                <w:rFonts w:ascii="Arial" w:cs="Arial" w:eastAsia="Arial" w:hAnsi="Arial"/>
                <w:sz w:val="17"/>
                <w:szCs w:val="17"/>
                <w:color w:val="auto"/>
              </w:rPr>
              <w:t>By:</w:t>
            </w:r>
          </w:p>
        </w:tc>
        <w:tc>
          <w:tcPr>
            <w:tcW w:w="120" w:type="dxa"/>
            <w:vAlign w:val="bottom"/>
          </w:tcPr>
          <w:p>
            <w:pPr>
              <w:spacing w:after="0"/>
              <w:rPr>
                <w:sz w:val="24"/>
                <w:szCs w:val="24"/>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Matthew Sirovich</w:t>
            </w:r>
          </w:p>
        </w:tc>
      </w:tr>
      <w:tr>
        <w:trPr>
          <w:trHeight w:val="194"/>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2820" w:type="dxa"/>
            <w:vAlign w:val="bottom"/>
          </w:tcPr>
          <w:p>
            <w:pPr>
              <w:ind w:left="200"/>
              <w:spacing w:after="0" w:line="194" w:lineRule="exact"/>
              <w:rPr>
                <w:sz w:val="20"/>
                <w:szCs w:val="20"/>
                <w:color w:val="auto"/>
              </w:rPr>
            </w:pPr>
            <w:r>
              <w:rPr>
                <w:rFonts w:ascii="Arial" w:cs="Arial" w:eastAsia="Arial" w:hAnsi="Arial"/>
                <w:sz w:val="17"/>
                <w:szCs w:val="17"/>
                <w:color w:val="auto"/>
              </w:rPr>
              <w:t>Matthew Sirovich</w:t>
            </w:r>
          </w:p>
        </w:tc>
      </w:tr>
      <w:tr>
        <w:trPr>
          <w:trHeight w:val="217"/>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2820" w:type="dxa"/>
            <w:vAlign w:val="bottom"/>
          </w:tcPr>
          <w:p>
            <w:pPr>
              <w:ind w:left="200"/>
              <w:spacing w:after="0"/>
              <w:rPr>
                <w:sz w:val="20"/>
                <w:szCs w:val="20"/>
                <w:color w:val="auto"/>
              </w:rPr>
            </w:pPr>
            <w:r>
              <w:rPr>
                <w:rFonts w:ascii="Arial" w:cs="Arial" w:eastAsia="Arial" w:hAnsi="Arial"/>
                <w:sz w:val="17"/>
                <w:szCs w:val="17"/>
                <w:color w:val="auto"/>
              </w:rPr>
              <w:t>Managing Director</w:t>
            </w: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260" w:type="dxa"/>
            <w:vAlign w:val="bottom"/>
            <w:gridSpan w:val="4"/>
          </w:tcPr>
          <w:p>
            <w:pPr>
              <w:ind w:left="1120"/>
              <w:spacing w:after="0"/>
              <w:rPr>
                <w:sz w:val="20"/>
                <w:szCs w:val="20"/>
                <w:color w:val="auto"/>
              </w:rPr>
            </w:pPr>
            <w:r>
              <w:rPr>
                <w:rFonts w:ascii="Arial" w:cs="Arial" w:eastAsia="Arial" w:hAnsi="Arial"/>
                <w:sz w:val="17"/>
                <w:szCs w:val="17"/>
                <w:color w:val="auto"/>
              </w:rPr>
              <w:t>SCOPIA CAPITAL MANAGEMENT LP</w:t>
            </w:r>
          </w:p>
        </w:tc>
      </w:tr>
      <w:tr>
        <w:trPr>
          <w:trHeight w:val="402"/>
        </w:trPr>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00" w:type="dxa"/>
            <w:vAlign w:val="bottom"/>
          </w:tcPr>
          <w:p>
            <w:pPr>
              <w:ind w:left="1120"/>
              <w:spacing w:after="0"/>
              <w:rPr>
                <w:sz w:val="20"/>
                <w:szCs w:val="20"/>
                <w:color w:val="auto"/>
              </w:rPr>
            </w:pPr>
            <w:r>
              <w:rPr>
                <w:rFonts w:ascii="Arial" w:cs="Arial" w:eastAsia="Arial" w:hAnsi="Arial"/>
                <w:sz w:val="17"/>
                <w:szCs w:val="17"/>
                <w:color w:val="auto"/>
              </w:rPr>
              <w:t>By:</w:t>
            </w:r>
          </w:p>
        </w:tc>
        <w:tc>
          <w:tcPr>
            <w:tcW w:w="4560" w:type="dxa"/>
            <w:vAlign w:val="bottom"/>
            <w:gridSpan w:val="3"/>
          </w:tcPr>
          <w:p>
            <w:pPr>
              <w:spacing w:after="0"/>
              <w:rPr>
                <w:sz w:val="20"/>
                <w:szCs w:val="20"/>
                <w:color w:val="auto"/>
              </w:rPr>
            </w:pPr>
            <w:r>
              <w:rPr>
                <w:rFonts w:ascii="Arial" w:cs="Arial" w:eastAsia="Arial" w:hAnsi="Arial"/>
                <w:sz w:val="17"/>
                <w:szCs w:val="17"/>
                <w:color w:val="auto"/>
              </w:rPr>
              <w:t>Scopia Management, Inc.</w:t>
            </w:r>
          </w:p>
        </w:tc>
      </w:tr>
      <w:tr>
        <w:trPr>
          <w:trHeight w:val="217"/>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General Partner</w:t>
            </w:r>
          </w:p>
        </w:tc>
      </w:tr>
      <w:tr>
        <w:trPr>
          <w:trHeight w:val="420"/>
        </w:trPr>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00" w:type="dxa"/>
            <w:vAlign w:val="bottom"/>
          </w:tcPr>
          <w:p>
            <w:pPr>
              <w:ind w:left="1120"/>
              <w:spacing w:after="0"/>
              <w:rPr>
                <w:sz w:val="20"/>
                <w:szCs w:val="20"/>
                <w:color w:val="auto"/>
              </w:rPr>
            </w:pPr>
            <w:r>
              <w:rPr>
                <w:rFonts w:ascii="Arial" w:cs="Arial" w:eastAsia="Arial" w:hAnsi="Arial"/>
                <w:sz w:val="17"/>
                <w:szCs w:val="17"/>
                <w:color w:val="auto"/>
              </w:rPr>
              <w:t>By:</w:t>
            </w:r>
          </w:p>
        </w:tc>
        <w:tc>
          <w:tcPr>
            <w:tcW w:w="45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Matthew Sirovich</w:t>
            </w:r>
          </w:p>
        </w:tc>
      </w:tr>
      <w:tr>
        <w:trPr>
          <w:trHeight w:val="194"/>
        </w:trPr>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40" w:type="dxa"/>
            <w:vAlign w:val="bottom"/>
            <w:gridSpan w:val="2"/>
          </w:tcPr>
          <w:p>
            <w:pPr>
              <w:spacing w:after="0" w:line="194" w:lineRule="exact"/>
              <w:rPr>
                <w:sz w:val="20"/>
                <w:szCs w:val="20"/>
                <w:color w:val="auto"/>
              </w:rPr>
            </w:pPr>
            <w:r>
              <w:rPr>
                <w:rFonts w:ascii="Arial" w:cs="Arial" w:eastAsia="Arial" w:hAnsi="Arial"/>
                <w:sz w:val="17"/>
                <w:szCs w:val="17"/>
                <w:color w:val="auto"/>
              </w:rPr>
              <w:t>Name:</w:t>
            </w:r>
          </w:p>
        </w:tc>
        <w:tc>
          <w:tcPr>
            <w:tcW w:w="3920" w:type="dxa"/>
            <w:vAlign w:val="bottom"/>
          </w:tcPr>
          <w:p>
            <w:pPr>
              <w:ind w:left="160"/>
              <w:spacing w:after="0" w:line="194" w:lineRule="exact"/>
              <w:rPr>
                <w:sz w:val="20"/>
                <w:szCs w:val="20"/>
                <w:color w:val="auto"/>
              </w:rPr>
            </w:pPr>
            <w:r>
              <w:rPr>
                <w:rFonts w:ascii="Arial" w:cs="Arial" w:eastAsia="Arial" w:hAnsi="Arial"/>
                <w:sz w:val="17"/>
                <w:szCs w:val="17"/>
                <w:color w:val="auto"/>
              </w:rPr>
              <w:t>Matthew Sirovich</w:t>
            </w:r>
          </w:p>
        </w:tc>
      </w:tr>
      <w:tr>
        <w:trPr>
          <w:trHeight w:val="217"/>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7"/>
                <w:szCs w:val="17"/>
                <w:color w:val="auto"/>
              </w:rPr>
              <w:t>Title:</w:t>
            </w:r>
          </w:p>
        </w:tc>
        <w:tc>
          <w:tcPr>
            <w:tcW w:w="3920" w:type="dxa"/>
            <w:vAlign w:val="bottom"/>
          </w:tcPr>
          <w:p>
            <w:pPr>
              <w:ind w:left="160"/>
              <w:spacing w:after="0"/>
              <w:rPr>
                <w:sz w:val="20"/>
                <w:szCs w:val="20"/>
                <w:color w:val="auto"/>
              </w:rPr>
            </w:pPr>
            <w:r>
              <w:rPr>
                <w:rFonts w:ascii="Arial" w:cs="Arial" w:eastAsia="Arial" w:hAnsi="Arial"/>
                <w:sz w:val="17"/>
                <w:szCs w:val="17"/>
                <w:color w:val="auto"/>
              </w:rPr>
              <w:t>Managing Director</w:t>
            </w:r>
          </w:p>
        </w:tc>
      </w:tr>
      <w:tr>
        <w:trPr>
          <w:trHeight w:val="671"/>
        </w:trPr>
        <w:tc>
          <w:tcPr>
            <w:tcW w:w="5160" w:type="dxa"/>
            <w:vAlign w:val="bottom"/>
            <w:gridSpan w:val="3"/>
          </w:tcPr>
          <w:p>
            <w:pPr>
              <w:spacing w:after="0"/>
              <w:rPr>
                <w:sz w:val="20"/>
                <w:szCs w:val="20"/>
                <w:color w:val="auto"/>
              </w:rPr>
            </w:pPr>
            <w:r>
              <w:rPr>
                <w:rFonts w:ascii="Arial" w:cs="Arial" w:eastAsia="Arial" w:hAnsi="Arial"/>
                <w:sz w:val="17"/>
                <w:szCs w:val="17"/>
                <w:color w:val="auto"/>
              </w:rPr>
              <w:t>SCOPIA CAPITAL GP LLC</w:t>
            </w:r>
          </w:p>
        </w:tc>
        <w:tc>
          <w:tcPr>
            <w:tcW w:w="6260" w:type="dxa"/>
            <w:vAlign w:val="bottom"/>
            <w:gridSpan w:val="4"/>
          </w:tcPr>
          <w:p>
            <w:pPr>
              <w:ind w:left="1140"/>
              <w:spacing w:after="0"/>
              <w:rPr>
                <w:sz w:val="20"/>
                <w:szCs w:val="20"/>
                <w:color w:val="auto"/>
              </w:rPr>
            </w:pPr>
            <w:r>
              <w:rPr>
                <w:rFonts w:ascii="Arial" w:cs="Arial" w:eastAsia="Arial" w:hAnsi="Arial"/>
                <w:sz w:val="17"/>
                <w:szCs w:val="17"/>
                <w:color w:val="auto"/>
              </w:rPr>
              <w:t>SCOPIA MANAGEMENT, INC.</w:t>
            </w:r>
          </w:p>
        </w:tc>
      </w:tr>
      <w:tr>
        <w:trPr>
          <w:trHeight w:val="420"/>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4580" w:type="dxa"/>
            <w:vAlign w:val="bottom"/>
            <w:gridSpan w:val="2"/>
          </w:tcPr>
          <w:p>
            <w:pPr>
              <w:spacing w:after="0"/>
              <w:rPr>
                <w:sz w:val="20"/>
                <w:szCs w:val="20"/>
                <w:color w:val="auto"/>
              </w:rPr>
            </w:pPr>
            <w:r>
              <w:rPr>
                <w:rFonts w:ascii="Arial" w:cs="Arial" w:eastAsia="Arial" w:hAnsi="Arial"/>
                <w:sz w:val="17"/>
                <w:szCs w:val="17"/>
                <w:color w:val="auto"/>
              </w:rPr>
              <w:t>/s/ Matthew Sirovich</w:t>
            </w:r>
          </w:p>
        </w:tc>
        <w:tc>
          <w:tcPr>
            <w:tcW w:w="1700" w:type="dxa"/>
            <w:vAlign w:val="bottom"/>
          </w:tcPr>
          <w:p>
            <w:pPr>
              <w:ind w:left="1140"/>
              <w:spacing w:after="0"/>
              <w:rPr>
                <w:sz w:val="20"/>
                <w:szCs w:val="20"/>
                <w:color w:val="auto"/>
              </w:rPr>
            </w:pPr>
            <w:r>
              <w:rPr>
                <w:rFonts w:ascii="Arial" w:cs="Arial" w:eastAsia="Arial" w:hAnsi="Arial"/>
                <w:sz w:val="17"/>
                <w:szCs w:val="17"/>
                <w:color w:val="auto"/>
              </w:rPr>
              <w:t>By:</w:t>
            </w:r>
          </w:p>
        </w:tc>
        <w:tc>
          <w:tcPr>
            <w:tcW w:w="4560" w:type="dxa"/>
            <w:vAlign w:val="bottom"/>
            <w:gridSpan w:val="3"/>
          </w:tcPr>
          <w:p>
            <w:pPr>
              <w:spacing w:after="0"/>
              <w:rPr>
                <w:sz w:val="20"/>
                <w:szCs w:val="20"/>
                <w:color w:val="auto"/>
              </w:rPr>
            </w:pPr>
            <w:r>
              <w:rPr>
                <w:rFonts w:ascii="Arial" w:cs="Arial" w:eastAsia="Arial" w:hAnsi="Arial"/>
                <w:sz w:val="17"/>
                <w:szCs w:val="17"/>
                <w:color w:val="auto"/>
              </w:rPr>
              <w:t>/s/ Matthew Sirovich</w:t>
            </w:r>
          </w:p>
        </w:tc>
      </w:tr>
      <w:tr>
        <w:trPr>
          <w:trHeight w:val="194"/>
        </w:trPr>
        <w:tc>
          <w:tcPr>
            <w:tcW w:w="580" w:type="dxa"/>
            <w:vAlign w:val="bottom"/>
          </w:tcPr>
          <w:p>
            <w:pPr>
              <w:spacing w:after="0"/>
              <w:rPr>
                <w:sz w:val="16"/>
                <w:szCs w:val="16"/>
                <w:color w:val="auto"/>
              </w:rPr>
            </w:pPr>
          </w:p>
        </w:tc>
        <w:tc>
          <w:tcPr>
            <w:tcW w:w="6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Name:</w:t>
            </w:r>
          </w:p>
        </w:tc>
        <w:tc>
          <w:tcPr>
            <w:tcW w:w="3940" w:type="dxa"/>
            <w:vAlign w:val="bottom"/>
            <w:tcBorders>
              <w:top w:val="single" w:sz="8" w:color="auto"/>
            </w:tcBorders>
          </w:tcPr>
          <w:p>
            <w:pPr>
              <w:ind w:left="160"/>
              <w:spacing w:after="0" w:line="194" w:lineRule="exact"/>
              <w:rPr>
                <w:sz w:val="20"/>
                <w:szCs w:val="20"/>
                <w:color w:val="auto"/>
              </w:rPr>
            </w:pPr>
            <w:r>
              <w:rPr>
                <w:rFonts w:ascii="Arial" w:cs="Arial" w:eastAsia="Arial" w:hAnsi="Arial"/>
                <w:sz w:val="17"/>
                <w:szCs w:val="17"/>
                <w:color w:val="auto"/>
              </w:rPr>
              <w:t>Matthew Sirovich</w:t>
            </w: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Name:</w:t>
            </w:r>
          </w:p>
        </w:tc>
        <w:tc>
          <w:tcPr>
            <w:tcW w:w="3920" w:type="dxa"/>
            <w:vAlign w:val="bottom"/>
            <w:tcBorders>
              <w:top w:val="single" w:sz="8" w:color="auto"/>
            </w:tcBorders>
          </w:tcPr>
          <w:p>
            <w:pPr>
              <w:ind w:left="160"/>
              <w:spacing w:after="0" w:line="194" w:lineRule="exact"/>
              <w:rPr>
                <w:sz w:val="20"/>
                <w:szCs w:val="20"/>
                <w:color w:val="auto"/>
              </w:rPr>
            </w:pPr>
            <w:r>
              <w:rPr>
                <w:rFonts w:ascii="Arial" w:cs="Arial" w:eastAsia="Arial" w:hAnsi="Arial"/>
                <w:sz w:val="17"/>
                <w:szCs w:val="17"/>
                <w:color w:val="auto"/>
              </w:rPr>
              <w:t>Matthew Sirovich</w:t>
            </w:r>
          </w:p>
        </w:tc>
      </w:tr>
      <w:tr>
        <w:trPr>
          <w:trHeight w:val="217"/>
        </w:trPr>
        <w:tc>
          <w:tcPr>
            <w:tcW w:w="5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3940" w:type="dxa"/>
            <w:vAlign w:val="bottom"/>
          </w:tcPr>
          <w:p>
            <w:pPr>
              <w:ind w:left="160"/>
              <w:spacing w:after="0"/>
              <w:rPr>
                <w:sz w:val="20"/>
                <w:szCs w:val="20"/>
                <w:color w:val="auto"/>
              </w:rPr>
            </w:pPr>
            <w:r>
              <w:rPr>
                <w:rFonts w:ascii="Arial" w:cs="Arial" w:eastAsia="Arial" w:hAnsi="Arial"/>
                <w:sz w:val="17"/>
                <w:szCs w:val="17"/>
                <w:color w:val="auto"/>
              </w:rPr>
              <w:t>Managing Member</w:t>
            </w:r>
          </w:p>
        </w:tc>
        <w:tc>
          <w:tcPr>
            <w:tcW w:w="17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7"/>
                <w:szCs w:val="17"/>
                <w:color w:val="auto"/>
              </w:rPr>
              <w:t>Title:</w:t>
            </w:r>
          </w:p>
        </w:tc>
        <w:tc>
          <w:tcPr>
            <w:tcW w:w="3920" w:type="dxa"/>
            <w:vAlign w:val="bottom"/>
          </w:tcPr>
          <w:p>
            <w:pPr>
              <w:ind w:left="160"/>
              <w:spacing w:after="0"/>
              <w:rPr>
                <w:sz w:val="20"/>
                <w:szCs w:val="20"/>
                <w:color w:val="auto"/>
              </w:rPr>
            </w:pPr>
            <w:r>
              <w:rPr>
                <w:rFonts w:ascii="Arial" w:cs="Arial" w:eastAsia="Arial" w:hAnsi="Arial"/>
                <w:sz w:val="17"/>
                <w:szCs w:val="17"/>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/s/ Matthew Sirovich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6136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61360" cy="16510"/>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MATTHEW SIROVICH</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/S/ Jeremy Mindich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6136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61360" cy="16510"/>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JEREMY MINDICH</w:t>
      </w:r>
    </w:p>
    <w:sectPr>
      <w:pgSz w:w="11900" w:h="16838" w:orient="portrait"/>
      <w:cols w:equalWidth="0" w:num="1">
        <w:col w:w="11420"/>
      </w:cols>
      <w:pgMar w:left="240" w:top="73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bullet"/>
      <w:start w:val="1"/>
    </w:lvl>
  </w:abstractNum>
  <w:abstractNum w:abstractNumId="2">
    <w:nsid w:val="109CF92E"/>
    <w:multiLevelType w:val="hybridMultilevel"/>
    <w:lvl w:ilvl="0">
      <w:lvlJc w:val="left"/>
      <w:lvlText w:val="(%1)"/>
      <w:numFmt w:val="lowerLetter"/>
      <w:start w:val="1"/>
    </w:lvl>
    <w:lvl w:ilvl="1">
      <w:lvlJc w:val="left"/>
      <w:lvlText w:val="(%2)"/>
      <w:numFmt w:val="lowerRoman"/>
      <w:start w:val="1"/>
    </w:lvl>
  </w:abstractNum>
  <w:abstractNum w:abstractNumId="3">
    <w:nsid w:val="DED7263"/>
    <w:multiLevelType w:val="hybridMultilevel"/>
    <w:lvl w:ilvl="0">
      <w:lvlJc w:val="left"/>
      <w:lvlText w:val="(%1)"/>
      <w:numFmt w:val="lowerRoman"/>
      <w:start w:val="12"/>
    </w:lvl>
  </w:abstractNum>
  <w:abstractNum w:abstractNumId="4">
    <w:nsid w:val="7FDCC233"/>
    <w:multiLevelType w:val="hybridMultilevel"/>
    <w:lvl w:ilvl="0">
      <w:lvlJc w:val="left"/>
      <w:lvlText w:val="(%1)"/>
      <w:numFmt w:val="lowerLetter"/>
      <w:start w:val="2"/>
    </w:lvl>
  </w:abstractNum>
  <w:abstractNum w:abstractNumId="5">
    <w:nsid w:val="1BEFD79F"/>
    <w:multiLevelType w:val="hybridMultilevel"/>
    <w:lvl w:ilvl="0">
      <w:lvlJc w:val="left"/>
      <w:lvlText w:val="(%1)"/>
      <w:numFmt w:val="lowerLetter"/>
      <w:start w:val="3"/>
    </w:lvl>
  </w:abstractNum>
  <w:abstractNum w:abstractNumId="6">
    <w:nsid w:val="41A7C4C9"/>
    <w:multiLevelType w:val="hybridMultilevel"/>
    <w:lvl w:ilvl="0">
      <w:lvlJc w:val="left"/>
      <w:lvlText w:val="(%1)"/>
      <w:numFmt w:val="lowerLetter"/>
      <w:start w:val="4"/>
    </w:lvl>
  </w:abstractNum>
  <w:abstractNum w:abstractNumId="7">
    <w:nsid w:val="6B68079A"/>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8">
    <w:nsid w:val="4E6AFB66"/>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2"/>
    </w:lvl>
  </w:abstractNum>
  <w:abstractNum w:abstractNumId="9">
    <w:nsid w:val="25E45D32"/>
    <w:multiLevelType w:val="hybridMultilevel"/>
    <w:lvl w:ilvl="0">
      <w:lvlJc w:val="left"/>
      <w:lvlText w:val="%1."/>
      <w:numFmt w:val="upperLetter"/>
      <w:start w:val="9"/>
    </w:lvl>
    <w:lvl w:ilvl="1">
      <w:lvlJc w:val="left"/>
      <w:lvlText w:val="(%2)"/>
      <w:numFmt w:val="lowerLetter"/>
      <w:start w:val="1"/>
    </w:lvl>
    <w:lvl w:ilvl="2">
      <w:lvlJc w:val="left"/>
      <w:lvlText w:val="%3."/>
      <w:numFmt w:val="decimal"/>
      <w:start w:val="2"/>
    </w:lvl>
  </w:abstractNum>
  <w:abstractNum w:abstractNumId="10">
    <w:nsid w:val="519B500D"/>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1">
    <w:nsid w:val="431BD7B7"/>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12">
    <w:nsid w:val="3F2DBA31"/>
    <w:multiLevelType w:val="hybridMultilevel"/>
    <w:lvl w:ilvl="0">
      <w:lvlJc w:val="left"/>
      <w:lvlText w:val="%1."/>
      <w:numFmt w:val="upperLetter"/>
      <w:start w:val="15"/>
    </w:lvl>
    <w:lvl w:ilvl="1">
      <w:lvlJc w:val="left"/>
      <w:lvlText w:val="(%2)"/>
      <w:numFmt w:val="lowerLetter"/>
      <w:start w:val="1"/>
    </w:lvl>
    <w:lvl w:ilvl="2">
      <w:lvlJc w:val="left"/>
      <w:lvlText w:val="%3"/>
      <w:numFmt w:val="decimal"/>
      <w:start w:val="1"/>
    </w:lvl>
  </w:abstractNum>
  <w:abstractNum w:abstractNumId="13">
    <w:nsid w:val="7C83E458"/>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14">
    <w:nsid w:val="257130A3"/>
    <w:multiLevelType w:val="hybridMultilevel"/>
    <w:lvl w:ilvl="0">
      <w:lvlJc w:val="left"/>
      <w:lvlText w:val="%1."/>
      <w:numFmt w:val="upperLetter"/>
      <w:start w:val="16"/>
    </w:lvl>
    <w:lvl w:ilvl="1">
      <w:lvlJc w:val="left"/>
      <w:lvlText w:val="(%2)"/>
      <w:numFmt w:val="lowerLetter"/>
      <w:start w:val="1"/>
    </w:lvl>
    <w:lvl w:ilvl="2">
      <w:lvlJc w:val="left"/>
      <w:lvlText w:val="%3."/>
      <w:numFmt w:val="decimal"/>
      <w:start w:val="2"/>
    </w:lvl>
  </w:abstractNum>
  <w:abstractNum w:abstractNumId="15">
    <w:nsid w:val="62BBD95A"/>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16">
    <w:nsid w:val="436C6125"/>
    <w:multiLevelType w:val="hybridMultilevel"/>
    <w:lvl w:ilvl="0">
      <w:lvlJc w:val="left"/>
      <w:lvlText w:val="%1."/>
      <w:numFmt w:val="upperLetter"/>
      <w:start w:val="18"/>
    </w:lvl>
    <w:lvl w:ilvl="1">
      <w:lvlJc w:val="left"/>
      <w:lvlText w:val="(%2)"/>
      <w:numFmt w:val="lowerLetter"/>
      <w:start w:val="1"/>
    </w:lvl>
    <w:lvl w:ilvl="2">
      <w:lvlJc w:val="left"/>
      <w:lvlText w:val="%3."/>
      <w:numFmt w:val="decimal"/>
      <w:start w:val="2"/>
    </w:lvl>
  </w:abstractNum>
  <w:abstractNum w:abstractNumId="17">
    <w:nsid w:val="628C895D"/>
    <w:multiLevelType w:val="hybridMultilevel"/>
    <w:lvl w:ilvl="0">
      <w:lvlJc w:val="left"/>
      <w:lvlText w:val="(%1)"/>
      <w:numFmt w:val="lowerLetter"/>
      <w:start w:val="2"/>
    </w:lvl>
    <w:lvl w:ilvl="1">
      <w:lvlJc w:val="left"/>
      <w:lvlText w:val="%2."/>
      <w:numFmt w:val="decimal"/>
      <w:start w:val="2"/>
    </w:lvl>
  </w:abstractNum>
  <w:abstractNum w:abstractNumId="18">
    <w:nsid w:val="333AB105"/>
    <w:multiLevelType w:val="hybridMultilevel"/>
    <w:lvl w:ilvl="0">
      <w:lvlJc w:val="left"/>
      <w:lvlText w:val="(%1)"/>
      <w:numFmt w:val="lowerLetter"/>
      <w:start w:val="4"/>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3"/>
    </w:lvl>
  </w:abstractNum>
  <w:abstractNum w:abstractNumId="22">
    <w:nsid w:val="6763845E"/>
    <w:multiLevelType w:val="hybridMultilevel"/>
    <w:lvl w:ilvl="0">
      <w:lvlJc w:val="left"/>
      <w:lvlText w:val="%1."/>
      <w:numFmt w:val="decimal"/>
      <w:start w:val="7"/>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2019-12-16T10:01:45Z</dcterms:created>
  <dcterms:modified xsi:type="dcterms:W3CDTF">2019-12-16T10:01:45Z</dcterms:modified>
</cp:coreProperties>
</file>