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October 28, 2005</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Date of Report (Date of Earliest Event Reported)</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ITRON, INC.</w:t>
      </w:r>
    </w:p>
    <w:p>
      <w:pPr>
        <w:ind w:left="96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0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Washington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w:t>
      </w:r>
    </w:p>
    <w:p>
      <w:pPr>
        <w:ind w:left="540"/>
        <w:spacing w:after="0" w:line="238" w:lineRule="auto"/>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000-22418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w:t>
      </w:r>
    </w:p>
    <w:p>
      <w:pPr>
        <w:ind w:left="200"/>
        <w:spacing w:after="0" w:line="238" w:lineRule="auto"/>
        <w:rPr>
          <w:sz w:val="20"/>
          <w:szCs w:val="20"/>
          <w:color w:val="auto"/>
        </w:rPr>
      </w:pPr>
      <w:r>
        <w:rPr>
          <w:rFonts w:ascii="Courier New" w:cs="Courier New" w:eastAsia="Courier New" w:hAnsi="Courier New"/>
          <w:sz w:val="18"/>
          <w:szCs w:val="18"/>
          <w:color w:val="auto"/>
        </w:rPr>
        <w:t>File No.)</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91-1011792</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00"/>
        <w:spacing w:after="0"/>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sectPr>
          <w:pgSz w:w="11900" w:h="16838" w:orient="portrait"/>
          <w:cols w:equalWidth="0" w:num="3">
            <w:col w:w="3300" w:space="720"/>
            <w:col w:w="1700" w:space="720"/>
            <w:col w:w="3779"/>
          </w:cols>
          <w:pgMar w:left="240" w:top="447" w:right="1440" w:bottom="0" w:gutter="0" w:footer="0" w:header="0"/>
          <w:type w:val="continuous"/>
        </w:sect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2818 N. Sullivan Road, Spokane, WA 99216</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(Address of Principal Executive Offices, Zip Code)</w:t>
      </w:r>
    </w:p>
    <w:p>
      <w:pPr>
        <w:spacing w:after="0" w:line="201" w:lineRule="exact"/>
        <w:rPr>
          <w:rFonts w:ascii="Courier New" w:cs="Courier New" w:eastAsia="Courier New" w:hAnsi="Courier New"/>
          <w:sz w:val="16"/>
          <w:szCs w:val="16"/>
          <w:color w:val="auto"/>
        </w:rPr>
      </w:pPr>
    </w:p>
    <w:p>
      <w:pPr>
        <w:ind w:left="4120" w:hanging="636"/>
        <w:spacing w:after="0"/>
        <w:tabs>
          <w:tab w:leader="none" w:pos="412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924-9900</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(Registrant's Telephone Number, Including Area Code)</w:t>
      </w:r>
    </w:p>
    <w:p>
      <w:pPr>
        <w:spacing w:after="0" w:line="202"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10"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w:t>
      </w:r>
    </w:p>
    <w:p>
      <w:pPr>
        <w:spacing w:after="0" w:line="209" w:lineRule="exact"/>
        <w:rPr>
          <w:sz w:val="24"/>
          <w:szCs w:val="24"/>
          <w:color w:val="auto"/>
        </w:rPr>
      </w:pPr>
    </w:p>
    <w:p>
      <w:pPr>
        <w:ind w:left="420" w:right="3479" w:hanging="420"/>
        <w:spacing w:after="0" w:line="235" w:lineRule="auto"/>
        <w:rPr>
          <w:sz w:val="20"/>
          <w:szCs w:val="20"/>
          <w:color w:val="auto"/>
        </w:rPr>
      </w:pPr>
      <w:r>
        <w:rPr>
          <w:rFonts w:ascii="Courier New" w:cs="Courier New" w:eastAsia="Courier New" w:hAnsi="Courier New"/>
          <w:sz w:val="18"/>
          <w:szCs w:val="18"/>
          <w:color w:val="auto"/>
        </w:rPr>
        <w:t>[ ] Written communications pursuant to Rule 425 under Securities Act (17 CFR 230.425)</w:t>
      </w:r>
    </w:p>
    <w:p>
      <w:pPr>
        <w:spacing w:after="0" w:line="6" w:lineRule="exact"/>
        <w:rPr>
          <w:sz w:val="24"/>
          <w:szCs w:val="24"/>
          <w:color w:val="auto"/>
        </w:rPr>
      </w:pPr>
    </w:p>
    <w:p>
      <w:pPr>
        <w:ind w:left="420" w:right="3259" w:hanging="420"/>
        <w:spacing w:after="0" w:line="235" w:lineRule="auto"/>
        <w:rPr>
          <w:sz w:val="20"/>
          <w:szCs w:val="20"/>
          <w:color w:val="auto"/>
        </w:rPr>
      </w:pPr>
      <w:r>
        <w:rPr>
          <w:rFonts w:ascii="Courier New" w:cs="Courier New" w:eastAsia="Courier New" w:hAnsi="Courier New"/>
          <w:sz w:val="18"/>
          <w:szCs w:val="18"/>
          <w:color w:val="auto"/>
        </w:rPr>
        <w:t>[ ] Soliciting material pursuant to Rule 14a-12 under the Exchange Act (17 CFR 240.14a-12)</w:t>
      </w:r>
    </w:p>
    <w:p>
      <w:pPr>
        <w:spacing w:after="0" w:line="6" w:lineRule="exact"/>
        <w:rPr>
          <w:sz w:val="24"/>
          <w:szCs w:val="24"/>
          <w:color w:val="auto"/>
        </w:rPr>
      </w:pPr>
    </w:p>
    <w:p>
      <w:pPr>
        <w:ind w:left="420" w:right="2739" w:hanging="412"/>
        <w:spacing w:after="0" w:line="235" w:lineRule="auto"/>
        <w:tabs>
          <w:tab w:leader="none" w:pos="20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 (17 CFR 240.14d-2(b))</w:t>
      </w:r>
    </w:p>
    <w:p>
      <w:pPr>
        <w:spacing w:after="0" w:line="6" w:lineRule="exact"/>
        <w:rPr>
          <w:sz w:val="24"/>
          <w:szCs w:val="24"/>
          <w:color w:val="auto"/>
        </w:rPr>
      </w:pPr>
    </w:p>
    <w:p>
      <w:pPr>
        <w:ind w:left="420" w:right="2739" w:hanging="412"/>
        <w:spacing w:after="0" w:line="235" w:lineRule="auto"/>
        <w:tabs>
          <w:tab w:leader="none" w:pos="20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2.02</w:t>
      </w:r>
      <w:r>
        <w:rPr>
          <w:sz w:val="20"/>
          <w:szCs w:val="20"/>
          <w:color w:val="auto"/>
        </w:rPr>
        <w:tab/>
      </w:r>
      <w:r>
        <w:rPr>
          <w:rFonts w:ascii="Courier New" w:cs="Courier New" w:eastAsia="Courier New" w:hAnsi="Courier New"/>
          <w:sz w:val="16"/>
          <w:szCs w:val="16"/>
          <w:color w:val="auto"/>
        </w:rPr>
        <w:t>Results of Operations and Financial Condition.</w:t>
      </w:r>
    </w:p>
    <w:p>
      <w:pPr>
        <w:spacing w:after="0" w:line="207" w:lineRule="exact"/>
        <w:rPr>
          <w:sz w:val="24"/>
          <w:szCs w:val="24"/>
          <w:color w:val="auto"/>
        </w:rPr>
      </w:pPr>
    </w:p>
    <w:p>
      <w:pPr>
        <w:ind w:left="1160" w:right="2099"/>
        <w:spacing w:after="0" w:line="237" w:lineRule="auto"/>
        <w:rPr>
          <w:sz w:val="20"/>
          <w:szCs w:val="20"/>
          <w:color w:val="auto"/>
        </w:rPr>
      </w:pPr>
      <w:r>
        <w:rPr>
          <w:rFonts w:ascii="Courier New" w:cs="Courier New" w:eastAsia="Courier New" w:hAnsi="Courier New"/>
          <w:sz w:val="18"/>
          <w:szCs w:val="18"/>
          <w:color w:val="auto"/>
        </w:rPr>
        <w:t>On October 28, 2005, Itron, Inc. issued a press release announcing the financial results for the three and nine months ending September 30, 2005. A copy of this press release and accompanying financial statements are attached as Exhibit 99.1.</w:t>
      </w:r>
    </w:p>
    <w:p>
      <w:pPr>
        <w:spacing w:after="0" w:line="202"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(c) Exhibits.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following exhibit is filed as part of this report:</w:t>
      </w:r>
    </w:p>
    <w:p>
      <w:pPr>
        <w:sectPr>
          <w:pgSz w:w="11900" w:h="16838" w:orient="portrait"/>
          <w:cols w:equalWidth="0" w:num="1">
            <w:col w:w="10219"/>
          </w:cols>
          <w:pgMar w:left="240" w:top="447" w:right="1440" w:bottom="0" w:gutter="0" w:footer="0" w:header="0"/>
          <w:type w:val="continuous"/>
        </w:sectPr>
      </w:pP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1700" w:space="420"/>
            <w:col w:w="8099"/>
          </w:cols>
          <w:pgMar w:left="240" w:top="447"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Press Release dated October 28, 2005.</w:t>
      </w:r>
    </w:p>
    <w:p>
      <w:pPr>
        <w:spacing w:after="0" w:line="200" w:lineRule="exact"/>
        <w:rPr>
          <w:sz w:val="24"/>
          <w:szCs w:val="24"/>
          <w:color w:val="auto"/>
        </w:rPr>
      </w:pPr>
    </w:p>
    <w:p>
      <w:pPr>
        <w:sectPr>
          <w:pgSz w:w="11900" w:h="16838" w:orient="portrait"/>
          <w:cols w:equalWidth="0" w:num="2">
            <w:col w:w="1400" w:space="720"/>
            <w:col w:w="8099"/>
          </w:cols>
          <w:pgMar w:left="240" w:top="447" w:right="1440" w:bottom="0" w:gutter="0" w:footer="0" w:header="0"/>
          <w:type w:val="continuous"/>
        </w:sectPr>
      </w:pP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The information presented in this Current Report on Form 8-K may contain</w:t>
      </w:r>
    </w:p>
    <w:p>
      <w:pPr>
        <w:sectPr>
          <w:pgSz w:w="11900" w:h="16838" w:orient="portrait"/>
          <w:cols w:equalWidth="0" w:num="1">
            <w:col w:w="10219"/>
          </w:cols>
          <w:pgMar w:left="240" w:top="447" w:right="1440" w:bottom="0" w:gutter="0" w:footer="0" w:header="0"/>
          <w:type w:val="continuous"/>
        </w:sectPr>
      </w:pPr>
    </w:p>
    <w:bookmarkStart w:id="1" w:name="page2"/>
    <w:bookmarkEnd w:id="1"/>
    <w:p>
      <w:pPr>
        <w:ind w:right="1879"/>
        <w:spacing w:after="0" w:line="237" w:lineRule="auto"/>
        <w:rPr>
          <w:sz w:val="20"/>
          <w:szCs w:val="20"/>
          <w:color w:val="auto"/>
        </w:rPr>
      </w:pPr>
      <w:r>
        <w:rPr>
          <w:rFonts w:ascii="Courier New" w:cs="Courier New" w:eastAsia="Courier New" w:hAnsi="Courier New"/>
          <w:sz w:val="18"/>
          <w:szCs w:val="18"/>
          <w:color w:val="auto"/>
        </w:rPr>
        <w:t>forward-looking statements and certain assumptions upon which such forward-looking statements are in part based. Numerous important factors, including those factors identified in Itron, Inc.'s Annual Report on Form 10-K and other of the Company's filings with the Securities and Exchange Commission, and the fact that the assumptions set forth in this Current Report on Form 8-K could prove incorrect, could cause actual results to differ materially from those contained in such forward-looking statements.</w:t>
      </w:r>
    </w:p>
    <w:p>
      <w:pPr>
        <w:sectPr>
          <w:pgSz w:w="11900" w:h="16838" w:orient="portrait"/>
          <w:cols w:equalWidth="0" w:num="1">
            <w:col w:w="10219"/>
          </w:cols>
          <w:pgMar w:left="240" w:top="142" w:right="1440" w:bottom="1440" w:gutter="0" w:footer="0" w:header="0"/>
        </w:sectPr>
      </w:pPr>
    </w:p>
    <w:bookmarkStart w:id="2" w:name="page3"/>
    <w:bookmarkEnd w:id="2"/>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ITRON, INC.</w:t>
      </w:r>
    </w:p>
    <w:p>
      <w:pPr>
        <w:sectPr>
          <w:pgSz w:w="11900" w:h="16838" w:orient="portrait"/>
          <w:cols w:equalWidth="0" w:num="1">
            <w:col w:w="10219"/>
          </w:cols>
          <w:pgMar w:left="240" w:top="919"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28, 2005</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6"/>
          <w:szCs w:val="16"/>
          <w:color w:val="auto"/>
        </w:rPr>
        <w:t>By:</w:t>
        <w:tab/>
        <w:t>/s/ STEVEN M. HELMBRECHT</w:t>
      </w:r>
    </w:p>
    <w:p>
      <w:pPr>
        <w:spacing w:after="0" w:line="21"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Steven M. Helmbrecht</w:t>
      </w:r>
    </w:p>
    <w:p>
      <w:pPr>
        <w:spacing w:after="0" w:line="238" w:lineRule="auto"/>
        <w:rPr>
          <w:sz w:val="20"/>
          <w:szCs w:val="20"/>
          <w:color w:val="auto"/>
        </w:rPr>
      </w:pPr>
      <w:r>
        <w:rPr>
          <w:rFonts w:ascii="Courier New" w:cs="Courier New" w:eastAsia="Courier New" w:hAnsi="Courier New"/>
          <w:sz w:val="18"/>
          <w:szCs w:val="18"/>
          <w:color w:val="auto"/>
        </w:rPr>
        <w:t>Sr. Vice President and</w:t>
      </w:r>
    </w:p>
    <w:p>
      <w:pPr>
        <w:spacing w:after="0"/>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3">
            <w:col w:w="640" w:space="220"/>
            <w:col w:w="3800" w:space="720"/>
            <w:col w:w="4839"/>
          </w:cols>
          <w:pgMar w:left="240" w:top="919" w:right="1440" w:bottom="1440" w:gutter="0" w:footer="0" w:header="0"/>
          <w:type w:val="continuous"/>
        </w:sectPr>
      </w:pPr>
    </w:p>
    <w:bookmarkStart w:id="3" w:name="page4"/>
    <w:bookmarkEnd w:id="3"/>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925"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700" w:space="420"/>
            <w:col w:w="8099"/>
          </w:cols>
          <w:pgMar w:left="240" w:top="925"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Press release dated October 28, 2005.</w:t>
      </w:r>
    </w:p>
    <w:p>
      <w:pPr>
        <w:sectPr>
          <w:pgSz w:w="11900" w:h="16838" w:orient="portrait"/>
          <w:cols w:equalWidth="0" w:num="2">
            <w:col w:w="1400" w:space="720"/>
            <w:col w:w="8099"/>
          </w:cols>
          <w:pgMar w:left="240" w:top="925" w:right="1440" w:bottom="1440" w:gutter="0" w:footer="0" w:header="0"/>
          <w:type w:val="continuous"/>
        </w:sectPr>
      </w:pPr>
    </w:p>
    <w:bookmarkStart w:id="4" w:name="page5"/>
    <w:bookmarkEnd w:id="4"/>
    <w:tbl>
      <w:tblPr>
        <w:tblLayout w:type="fixed"/>
        <w:tblInd w:w="120" w:type="dxa"/>
        <w:tblCellMar>
          <w:top w:w="0" w:type="dxa"/>
          <w:left w:w="0" w:type="dxa"/>
          <w:bottom w:w="0" w:type="dxa"/>
          <w:right w:w="0" w:type="dxa"/>
        </w:tblCellMar>
      </w:tblPr>
      <w:tr>
        <w:trPr>
          <w:trHeight w:val="204"/>
        </w:trPr>
        <w:tc>
          <w:tcPr>
            <w:tcW w:w="4260" w:type="dxa"/>
            <w:vAlign w:val="bottom"/>
          </w:tcPr>
          <w:p>
            <w:pPr>
              <w:spacing w:after="0"/>
              <w:rPr>
                <w:sz w:val="17"/>
                <w:szCs w:val="17"/>
                <w:color w:val="auto"/>
              </w:rPr>
            </w:pPr>
          </w:p>
        </w:tc>
        <w:tc>
          <w:tcPr>
            <w:tcW w:w="4060" w:type="dxa"/>
            <w:vAlign w:val="bottom"/>
          </w:tcPr>
          <w:p>
            <w:pPr>
              <w:ind w:left="2800"/>
              <w:spacing w:after="0"/>
              <w:rPr>
                <w:sz w:val="20"/>
                <w:szCs w:val="20"/>
                <w:color w:val="auto"/>
              </w:rPr>
            </w:pPr>
            <w:r>
              <w:rPr>
                <w:rFonts w:ascii="Courier New" w:cs="Courier New" w:eastAsia="Courier New" w:hAnsi="Courier New"/>
                <w:sz w:val="18"/>
                <w:szCs w:val="18"/>
                <w:color w:val="auto"/>
                <w:w w:val="95"/>
              </w:rPr>
              <w:t>Exhibit 99.1</w:t>
            </w:r>
          </w:p>
        </w:tc>
      </w:tr>
      <w:tr>
        <w:trPr>
          <w:trHeight w:val="405"/>
        </w:trPr>
        <w:tc>
          <w:tcPr>
            <w:tcW w:w="4260" w:type="dxa"/>
            <w:vAlign w:val="bottom"/>
          </w:tcPr>
          <w:p>
            <w:pPr>
              <w:jc w:val="right"/>
              <w:spacing w:after="0"/>
              <w:rPr>
                <w:sz w:val="20"/>
                <w:szCs w:val="20"/>
                <w:color w:val="auto"/>
              </w:rPr>
            </w:pPr>
            <w:r>
              <w:rPr>
                <w:rFonts w:ascii="Courier New" w:cs="Courier New" w:eastAsia="Courier New" w:hAnsi="Courier New"/>
                <w:sz w:val="18"/>
                <w:szCs w:val="18"/>
                <w:color w:val="auto"/>
              </w:rPr>
              <w:t>Itron Reports Third Quarter</w:t>
            </w:r>
          </w:p>
        </w:tc>
        <w:tc>
          <w:tcPr>
            <w:tcW w:w="4060" w:type="dxa"/>
            <w:vAlign w:val="bottom"/>
          </w:tcPr>
          <w:p>
            <w:pPr>
              <w:ind w:left="60"/>
              <w:spacing w:after="0"/>
              <w:rPr>
                <w:sz w:val="20"/>
                <w:szCs w:val="20"/>
                <w:color w:val="auto"/>
              </w:rPr>
            </w:pPr>
            <w:r>
              <w:rPr>
                <w:rFonts w:ascii="Courier New" w:cs="Courier New" w:eastAsia="Courier New" w:hAnsi="Courier New"/>
                <w:sz w:val="18"/>
                <w:szCs w:val="18"/>
                <w:color w:val="auto"/>
              </w:rPr>
              <w:t>2005 Financial</w:t>
            </w:r>
          </w:p>
        </w:tc>
      </w:tr>
      <w:tr>
        <w:trPr>
          <w:trHeight w:val="203"/>
        </w:trPr>
        <w:tc>
          <w:tcPr>
            <w:tcW w:w="4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Results; Third Quarter Revenues Increase</w:t>
            </w: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15%; Third Quarter GAAP Net</w:t>
            </w:r>
          </w:p>
        </w:tc>
      </w:tr>
      <w:tr>
        <w:trPr>
          <w:trHeight w:val="203"/>
        </w:trPr>
        <w:tc>
          <w:tcPr>
            <w:tcW w:w="4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Income $6.0 Million verses $1.7</w:t>
            </w: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Million Last Year</w:t>
            </w:r>
          </w:p>
        </w:tc>
      </w:tr>
      <w:tr>
        <w:trPr>
          <w:trHeight w:val="405"/>
        </w:trPr>
        <w:tc>
          <w:tcPr>
            <w:tcW w:w="4260" w:type="dxa"/>
            <w:vAlign w:val="bottom"/>
          </w:tcPr>
          <w:p>
            <w:pPr>
              <w:jc w:val="right"/>
              <w:spacing w:after="0"/>
              <w:rPr>
                <w:sz w:val="20"/>
                <w:szCs w:val="20"/>
                <w:color w:val="auto"/>
              </w:rPr>
            </w:pPr>
            <w:r>
              <w:rPr>
                <w:rFonts w:ascii="Courier New" w:cs="Courier New" w:eastAsia="Courier New" w:hAnsi="Courier New"/>
                <w:sz w:val="18"/>
                <w:szCs w:val="18"/>
                <w:color w:val="auto"/>
              </w:rPr>
              <w:t>SPOKANE, Wash.--(BUSINESS WIRE)--Oct.</w:t>
            </w:r>
          </w:p>
        </w:tc>
        <w:tc>
          <w:tcPr>
            <w:tcW w:w="4060" w:type="dxa"/>
            <w:vAlign w:val="bottom"/>
          </w:tcPr>
          <w:p>
            <w:pPr>
              <w:ind w:left="60"/>
              <w:spacing w:after="0"/>
              <w:rPr>
                <w:sz w:val="20"/>
                <w:szCs w:val="20"/>
                <w:color w:val="auto"/>
              </w:rPr>
            </w:pPr>
            <w:r>
              <w:rPr>
                <w:rFonts w:ascii="Courier New" w:cs="Courier New" w:eastAsia="Courier New" w:hAnsi="Courier New"/>
                <w:sz w:val="18"/>
                <w:szCs w:val="18"/>
                <w:color w:val="auto"/>
              </w:rPr>
              <w:t>28, 2005--</w:t>
            </w:r>
          </w:p>
        </w:tc>
      </w:tr>
    </w:tbl>
    <w:p>
      <w:pPr>
        <w:spacing w:after="0" w:line="20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Third Quarter Pro Forma Net Income Increases 78% to $12.6 Million;</w:t>
      </w:r>
    </w:p>
    <w:p>
      <w:pPr>
        <w:jc w:val="center"/>
        <w:ind w:right="2739"/>
        <w:spacing w:after="0" w:line="238" w:lineRule="auto"/>
        <w:rPr>
          <w:sz w:val="20"/>
          <w:szCs w:val="20"/>
          <w:color w:val="auto"/>
        </w:rPr>
      </w:pPr>
      <w:r>
        <w:rPr>
          <w:rFonts w:ascii="Courier New" w:cs="Courier New" w:eastAsia="Courier New" w:hAnsi="Courier New"/>
          <w:sz w:val="18"/>
          <w:szCs w:val="18"/>
          <w:color w:val="auto"/>
        </w:rPr>
        <w:t>Record New Order Bookings of $212 Million</w:t>
      </w:r>
    </w:p>
    <w:p>
      <w:pPr>
        <w:spacing w:after="0" w:line="207" w:lineRule="exact"/>
        <w:rPr>
          <w:sz w:val="20"/>
          <w:szCs w:val="20"/>
          <w:color w:val="auto"/>
        </w:rPr>
      </w:pPr>
    </w:p>
    <w:p>
      <w:pPr>
        <w:ind w:right="2839" w:firstLine="421"/>
        <w:spacing w:after="0" w:line="237" w:lineRule="auto"/>
        <w:rPr>
          <w:sz w:val="20"/>
          <w:szCs w:val="20"/>
          <w:color w:val="auto"/>
        </w:rPr>
      </w:pPr>
      <w:r>
        <w:rPr>
          <w:rFonts w:ascii="Courier New" w:cs="Courier New" w:eastAsia="Courier New" w:hAnsi="Courier New"/>
          <w:sz w:val="18"/>
          <w:szCs w:val="18"/>
          <w:color w:val="auto"/>
        </w:rPr>
        <w:t>Itron, Inc. (Nasdaq:ITRI) today reported its financial results for the quarter and year-to-date periods ended September 30, 2005. Third quarter results for both 2005 and 2004 include our Electricity Metering business acquired July 1, 2004. Year-to-date results in 2005 include nine months of Electricity Metering operations compared with three months in 2004.</w:t>
      </w:r>
    </w:p>
    <w:p>
      <w:pPr>
        <w:spacing w:after="0" w:line="7" w:lineRule="exact"/>
        <w:rPr>
          <w:sz w:val="20"/>
          <w:szCs w:val="20"/>
          <w:color w:val="auto"/>
        </w:rPr>
      </w:pPr>
    </w:p>
    <w:p>
      <w:pPr>
        <w:ind w:right="2939" w:firstLine="421"/>
        <w:spacing w:after="0" w:line="237" w:lineRule="auto"/>
        <w:rPr>
          <w:sz w:val="20"/>
          <w:szCs w:val="20"/>
          <w:color w:val="auto"/>
        </w:rPr>
      </w:pPr>
      <w:r>
        <w:rPr>
          <w:rFonts w:ascii="Courier New" w:cs="Courier New" w:eastAsia="Courier New" w:hAnsi="Courier New"/>
          <w:sz w:val="18"/>
          <w:szCs w:val="18"/>
          <w:color w:val="auto"/>
        </w:rPr>
        <w:t>Third quarter revenues were $141.1 million, 15% higher than third quarter 2004 revenues of $122.5 million. Year-to-date, revenues were $392.7 million in 2005 compared with $267.7 million in 2004. Revenue highlights by segment for the quarter and year-to-date periods are as follows:</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Meter Data Collection (MDC)</w:t>
      </w:r>
    </w:p>
    <w:p>
      <w:pPr>
        <w:spacing w:after="0" w:line="207" w:lineRule="exact"/>
        <w:rPr>
          <w:sz w:val="20"/>
          <w:szCs w:val="20"/>
          <w:color w:val="auto"/>
        </w:rPr>
      </w:pPr>
    </w:p>
    <w:p>
      <w:pPr>
        <w:ind w:left="860" w:right="2839" w:hanging="431"/>
        <w:spacing w:after="0" w:line="271" w:lineRule="auto"/>
        <w:tabs>
          <w:tab w:leader="none" w:pos="8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MDC revenues were $70.6 million in the quarter, an increase of $13.8 million, or 24%, compared with the third quarter of 2004, due to increased shipments of gas AMR modules, increased handheld sales outside of North America and increased contract manufacturing services related to embedding our AMR technology into other electricity meter vendors' solid-state meters. Offsetting those increases were lower implementation revenues and sales of third-party hardware.</w:t>
      </w:r>
    </w:p>
    <w:p>
      <w:pPr>
        <w:spacing w:after="0" w:line="185" w:lineRule="exact"/>
        <w:rPr>
          <w:rFonts w:ascii="Courier New" w:cs="Courier New" w:eastAsia="Courier New" w:hAnsi="Courier New"/>
          <w:sz w:val="16"/>
          <w:szCs w:val="16"/>
          <w:color w:val="auto"/>
        </w:rPr>
      </w:pPr>
    </w:p>
    <w:p>
      <w:pPr>
        <w:ind w:left="860" w:right="2939" w:hanging="431"/>
        <w:spacing w:after="0" w:line="237"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Year-to-date, MDC revenues were $182.5 million compared with $178.7 million in 2004. Unit shipments of standalone AMR modules increased 8.5% year-to-date in 2005 compared with the same period in 2004, while related revenues for the same periods increased by approximately 4% due to lower average selling prices for standalone AMR modules, in particular electric. On a year-to-date basis in 2005, increased handheld sales and contract manufacturing services were partially offset by lower implementation revenues and sales of third-party hardware.</w:t>
      </w:r>
    </w:p>
    <w:p>
      <w:pPr>
        <w:spacing w:after="0" w:line="214" w:lineRule="exact"/>
        <w:rPr>
          <w:rFonts w:ascii="Courier New" w:cs="Courier New" w:eastAsia="Courier New" w:hAnsi="Courier New"/>
          <w:sz w:val="18"/>
          <w:szCs w:val="18"/>
          <w:color w:val="auto"/>
        </w:rPr>
      </w:pPr>
    </w:p>
    <w:p>
      <w:pPr>
        <w:ind w:left="860" w:right="2839" w:hanging="431"/>
        <w:spacing w:after="0" w:line="237"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Standalone AMR module shipments were approximately 1.2 million and 3.1 million during the quarter and year-to-date periods in 2005, compared with approximately 900,000 and 2.8 million for the same periods in 2004. In the third quarter and year-to-date periods in 2005, we produced approximately 250,000 and 550,000 Itron AMR products for other vendors' solid-state electricity meters compared with approximately 50,000 and 125,000 in the same periods in 2004.</w:t>
      </w: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Electricity Metering</w:t>
      </w:r>
    </w:p>
    <w:p>
      <w:pPr>
        <w:spacing w:after="0" w:line="207" w:lineRule="exact"/>
        <w:rPr>
          <w:sz w:val="20"/>
          <w:szCs w:val="20"/>
          <w:color w:val="auto"/>
        </w:rPr>
      </w:pPr>
    </w:p>
    <w:p>
      <w:pPr>
        <w:ind w:left="860" w:right="2839" w:hanging="431"/>
        <w:spacing w:after="0" w:line="23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Electricity Metering revenues in the quarter were $58.6 million compared with $54.2 million in 2004. Residential meter sales increased approximately $9.2 million in 2005 compared with 2004, offset by slightly lower commercial and industrial meter sales in the 2005 quarter. Also offsetting the increase in residential meter sales was the phasing out during the last half of 2004 of contract manufacturing services for a former affiliate, which were approximately $4.2 million in the third quarter of 2004. Year-to-date in 2005, Electricity Metering revenues were $173.3 million.</w:t>
      </w:r>
    </w:p>
    <w:p>
      <w:pPr>
        <w:spacing w:after="0" w:line="214" w:lineRule="exact"/>
        <w:rPr>
          <w:rFonts w:ascii="Courier New" w:cs="Courier New" w:eastAsia="Courier New" w:hAnsi="Courier New"/>
          <w:sz w:val="18"/>
          <w:szCs w:val="18"/>
          <w:color w:val="auto"/>
        </w:rPr>
      </w:pPr>
    </w:p>
    <w:p>
      <w:pPr>
        <w:ind w:left="860" w:right="2839" w:hanging="431"/>
        <w:spacing w:after="0" w:line="23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shipped approximately 1.2 million electricity meters in the quarter compared with approximately 850,000 in the third quarter of 2004. The growth in unit shipments of 39% is approximately twice the revenue growth due to the higher mix of residential meters as well as lower average selling prices in 2005. Year-to-date in 2005, electricity meter shipments were approximately 3.4 million.</w:t>
      </w:r>
    </w:p>
    <w:p>
      <w:pPr>
        <w:spacing w:after="0" w:line="211" w:lineRule="exact"/>
        <w:rPr>
          <w:rFonts w:ascii="Courier New" w:cs="Courier New" w:eastAsia="Courier New" w:hAnsi="Courier New"/>
          <w:sz w:val="18"/>
          <w:szCs w:val="18"/>
          <w:color w:val="auto"/>
        </w:rPr>
      </w:pPr>
    </w:p>
    <w:p>
      <w:pPr>
        <w:ind w:left="860" w:right="2839" w:hanging="431"/>
        <w:spacing w:after="0" w:line="272"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Approximately 48% of meters shipped during the quarter, and 40% for the year-to-date period in 2005, were equipped with Itron AMR technology compared with 32% in the third quarter of 2004. In addition, 13% of shipments in the third quarter and 17% in the first nine months of 2005 were equipped with other vendors' AMR technology compared with 25% in the third quarter</w:t>
      </w:r>
    </w:p>
    <w:p>
      <w:pPr>
        <w:sectPr>
          <w:pgSz w:w="11900" w:h="16838" w:orient="portrait"/>
          <w:cols w:equalWidth="0" w:num="1">
            <w:col w:w="10219"/>
          </w:cols>
          <w:pgMar w:left="240" w:top="136" w:right="1440" w:bottom="0" w:gutter="0" w:footer="0" w:header="0"/>
        </w:sectPr>
      </w:pPr>
    </w:p>
    <w:bookmarkStart w:id="5" w:name="page6"/>
    <w:bookmarkEnd w:id="5"/>
    <w:p>
      <w:pPr>
        <w:ind w:left="860"/>
        <w:spacing w:after="0"/>
        <w:rPr>
          <w:sz w:val="20"/>
          <w:szCs w:val="20"/>
          <w:color w:val="auto"/>
        </w:rPr>
      </w:pPr>
      <w:r>
        <w:rPr>
          <w:rFonts w:ascii="Courier New" w:cs="Courier New" w:eastAsia="Courier New" w:hAnsi="Courier New"/>
          <w:sz w:val="18"/>
          <w:szCs w:val="18"/>
          <w:color w:val="auto"/>
        </w:rPr>
        <w:t>of 2004.</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Software</w:t>
      </w:r>
    </w:p>
    <w:p>
      <w:pPr>
        <w:spacing w:after="0" w:line="207" w:lineRule="exact"/>
        <w:rPr>
          <w:sz w:val="20"/>
          <w:szCs w:val="20"/>
          <w:color w:val="auto"/>
        </w:rPr>
      </w:pPr>
    </w:p>
    <w:p>
      <w:pPr>
        <w:ind w:left="860" w:right="3039" w:hanging="431"/>
        <w:spacing w:after="0" w:line="237"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Software revenues increased $400,000 in the quarter and $2.1 million year-to-date in 2005, compared with the same periods in 2004, due to higher licenses and maintenance offset by lower professional services revenues.</w:t>
      </w:r>
    </w:p>
    <w:p>
      <w:pPr>
        <w:spacing w:after="0" w:line="207" w:lineRule="exact"/>
        <w:rPr>
          <w:sz w:val="20"/>
          <w:szCs w:val="20"/>
          <w:color w:val="auto"/>
        </w:rPr>
      </w:pPr>
    </w:p>
    <w:p>
      <w:pPr>
        <w:ind w:right="2939" w:firstLine="421"/>
        <w:spacing w:after="0" w:line="237" w:lineRule="auto"/>
        <w:rPr>
          <w:sz w:val="20"/>
          <w:szCs w:val="20"/>
          <w:color w:val="auto"/>
        </w:rPr>
      </w:pPr>
      <w:r>
        <w:rPr>
          <w:rFonts w:ascii="Courier New" w:cs="Courier New" w:eastAsia="Courier New" w:hAnsi="Courier New"/>
          <w:sz w:val="18"/>
          <w:szCs w:val="18"/>
          <w:color w:val="auto"/>
        </w:rPr>
        <w:t>GAAP net income was $6.0 million, or 23 cents per diluted share for the quarter, compared with $1.7 million, or 8 cents per diluted share in the third quarter of 2004. GAAP net income in the first nine months of 2005 was $16.1 million, or 66 cents per diluted share, compared with $1.8 million, or 8 cents per diluted share, in 2004. Year-to-date GAAP net income in 2005 includes a $5.9 million tax benefit for additional R&amp;D tax credits for the years 1997 through 2004, which was recognized in the second quarter of 2005.</w:t>
      </w:r>
    </w:p>
    <w:p>
      <w:pPr>
        <w:spacing w:after="0" w:line="10" w:lineRule="exact"/>
        <w:rPr>
          <w:sz w:val="20"/>
          <w:szCs w:val="20"/>
          <w:color w:val="auto"/>
        </w:rPr>
      </w:pPr>
    </w:p>
    <w:p>
      <w:pPr>
        <w:ind w:right="2839" w:firstLine="421"/>
        <w:spacing w:after="0" w:line="238" w:lineRule="auto"/>
        <w:rPr>
          <w:sz w:val="20"/>
          <w:szCs w:val="20"/>
          <w:color w:val="auto"/>
        </w:rPr>
      </w:pPr>
      <w:r>
        <w:rPr>
          <w:rFonts w:ascii="Courier New" w:cs="Courier New" w:eastAsia="Courier New" w:hAnsi="Courier New"/>
          <w:sz w:val="18"/>
          <w:szCs w:val="18"/>
          <w:color w:val="auto"/>
        </w:rPr>
        <w:t>Pro forma net income was $12.6 million, or 49 cents per diluted share for the quarter, compared with $7.1 million, or 32 cents per diluted share in the third quarter of 2004. Year-to-date pro forma net income was $30.3 million, or $1.24 per diluted share, compared with $11.4 million, or 52 cents per diluted share in 2004. Pro forma net income excludes the amortization of intangible assets and debt placement fees, restructurings and the benefit of the prior year R&amp;D tax credits. "By virtually every financial measure, Itron is having a remarkable year," commented LeRoy Nosbaum, chairman and CEO. "Our record revenue performance is the result of upward momentum across many fronts. Higher volumes and operating efficiencies are resulting in even stronger earnings growth. We are quite pleased with how this year is progressing and look forward to similar progress in 2006."</w:t>
      </w:r>
    </w:p>
    <w:p>
      <w:pPr>
        <w:spacing w:after="0" w:line="5" w:lineRule="exact"/>
        <w:rPr>
          <w:sz w:val="20"/>
          <w:szCs w:val="20"/>
          <w:color w:val="auto"/>
        </w:rPr>
      </w:pPr>
    </w:p>
    <w:p>
      <w:pPr>
        <w:ind w:right="3159" w:firstLine="421"/>
        <w:spacing w:after="0" w:line="235" w:lineRule="auto"/>
        <w:rPr>
          <w:sz w:val="20"/>
          <w:szCs w:val="20"/>
          <w:color w:val="auto"/>
        </w:rPr>
      </w:pPr>
      <w:r>
        <w:rPr>
          <w:rFonts w:ascii="Courier New" w:cs="Courier New" w:eastAsia="Courier New" w:hAnsi="Courier New"/>
          <w:sz w:val="18"/>
          <w:szCs w:val="18"/>
          <w:color w:val="auto"/>
        </w:rPr>
        <w:t>Gross margins were 43% for the quarter and first nine months of 2005, compared with 40% and 43% in the same periods in 2004.</w:t>
      </w:r>
    </w:p>
    <w:p>
      <w:pPr>
        <w:spacing w:after="0" w:line="208" w:lineRule="exact"/>
        <w:rPr>
          <w:sz w:val="20"/>
          <w:szCs w:val="20"/>
          <w:color w:val="auto"/>
        </w:rPr>
      </w:pPr>
    </w:p>
    <w:p>
      <w:pPr>
        <w:ind w:left="860" w:right="2839" w:hanging="431"/>
        <w:spacing w:after="0" w:line="237" w:lineRule="auto"/>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MDC gross margin improved to 45% in the quarter, compared with 42% in the third quarter of 2004 due primarily to the higher mix of gas AMR and higher handheld systems revenues. Year-to-date MDC gross margin was 44% compared with 46% in 2004, due to lower average selling prices for standalone AMR modules, in particular electric, and lower implementation margins offset by the higher mix of gas AMR.</w:t>
      </w:r>
    </w:p>
    <w:p>
      <w:pPr>
        <w:spacing w:after="0" w:line="211" w:lineRule="exact"/>
        <w:rPr>
          <w:rFonts w:ascii="Courier New" w:cs="Courier New" w:eastAsia="Courier New" w:hAnsi="Courier New"/>
          <w:sz w:val="18"/>
          <w:szCs w:val="18"/>
          <w:color w:val="auto"/>
        </w:rPr>
      </w:pPr>
    </w:p>
    <w:p>
      <w:pPr>
        <w:ind w:left="860" w:right="2939" w:hanging="431"/>
        <w:spacing w:after="0" w:line="238" w:lineRule="auto"/>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Electricity Metering gross margin was 41% during the quarter compared with 39% during the third quarter of 2004. Gross margin in the third quarter of 2004 was lower than normal due to a $2.2 million purchase accounting adjustment to write-up acquired finished goods inventory to the expected net sales price, and due to approximately $4.2 million of contract manufacturing services during the quarter to a former affiliate, which were very low margin. For the first nine-months of 2005, Electricity Metering gross margin was 42%. The impact of lower average selling prices for residential meters in 2005 has been partially offset by lower manufacturing costs.</w:t>
      </w:r>
    </w:p>
    <w:p>
      <w:pPr>
        <w:spacing w:after="0" w:line="207" w:lineRule="exact"/>
        <w:rPr>
          <w:rFonts w:ascii="Courier New" w:cs="Courier New" w:eastAsia="Courier New" w:hAnsi="Courier New"/>
          <w:sz w:val="18"/>
          <w:szCs w:val="18"/>
          <w:color w:val="auto"/>
        </w:rPr>
      </w:pPr>
    </w:p>
    <w:p>
      <w:pPr>
        <w:ind w:left="860" w:right="2939" w:hanging="431"/>
        <w:spacing w:after="0" w:line="237" w:lineRule="auto"/>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Software Solutions gross margins were 39% for the quarter and 41% year-to-date in 2005, compared with 36% and 35% for the same 2004 periods. The higher margins in 2005 reflect the higher mix of license and maintenance fees.</w:t>
      </w:r>
    </w:p>
    <w:p>
      <w:pPr>
        <w:spacing w:after="0" w:line="207" w:lineRule="exact"/>
        <w:rPr>
          <w:sz w:val="20"/>
          <w:szCs w:val="20"/>
          <w:color w:val="auto"/>
        </w:rPr>
      </w:pPr>
    </w:p>
    <w:p>
      <w:pPr>
        <w:ind w:right="2839" w:firstLine="421"/>
        <w:spacing w:after="0" w:line="237" w:lineRule="auto"/>
        <w:rPr>
          <w:sz w:val="20"/>
          <w:szCs w:val="20"/>
          <w:color w:val="auto"/>
        </w:rPr>
      </w:pPr>
      <w:r>
        <w:rPr>
          <w:rFonts w:ascii="Courier New" w:cs="Courier New" w:eastAsia="Courier New" w:hAnsi="Courier New"/>
          <w:sz w:val="18"/>
          <w:szCs w:val="18"/>
          <w:color w:val="auto"/>
        </w:rPr>
        <w:t>Intangible asset amortization expenses have increased in 2005 as a result of the Electricity Metering acquisition on July 1, 2004, and were $9.7 million and $29.1 million in the quarter and year-to-date periods in 2005, compared with $7.2 million and $11.3 million for the same 2004 periods.</w:t>
      </w:r>
    </w:p>
    <w:p>
      <w:pPr>
        <w:spacing w:after="0" w:line="6" w:lineRule="exact"/>
        <w:rPr>
          <w:sz w:val="20"/>
          <w:szCs w:val="20"/>
          <w:color w:val="auto"/>
        </w:rPr>
      </w:pPr>
    </w:p>
    <w:p>
      <w:pPr>
        <w:ind w:right="2839" w:firstLine="421"/>
        <w:spacing w:after="0" w:line="237" w:lineRule="auto"/>
        <w:rPr>
          <w:sz w:val="20"/>
          <w:szCs w:val="20"/>
          <w:color w:val="auto"/>
        </w:rPr>
      </w:pPr>
      <w:r>
        <w:rPr>
          <w:rFonts w:ascii="Courier New" w:cs="Courier New" w:eastAsia="Courier New" w:hAnsi="Courier New"/>
          <w:sz w:val="18"/>
          <w:szCs w:val="18"/>
          <w:color w:val="auto"/>
        </w:rPr>
        <w:t>Excluding intangible asset amortization expenses and restructurings, operating income was $23.9 million, or 16.9% of revenues for the quarter, compared with $16.3 million, or 13.3% in the third quarter of 2004, and $59.8 million, or 15.2% of revenues year-to-date in 2005, compared with $26.5 million, or 9.9% year-to-date in 2004. The improved operating margin in 2005 reflects the lower level of spending required for Electricity Metering marketing and product development, as well as operating efficiencies and cost savings from headcount reductions in 2004 and higher volumes of meters and AMR products in 2005.</w:t>
      </w:r>
    </w:p>
    <w:p>
      <w:pPr>
        <w:spacing w:after="0" w:line="215" w:lineRule="exact"/>
        <w:rPr>
          <w:sz w:val="20"/>
          <w:szCs w:val="20"/>
          <w:color w:val="auto"/>
        </w:rPr>
      </w:pPr>
    </w:p>
    <w:p>
      <w:pPr>
        <w:ind w:right="2939" w:firstLine="421"/>
        <w:spacing w:after="0" w:line="236" w:lineRule="auto"/>
        <w:rPr>
          <w:sz w:val="20"/>
          <w:szCs w:val="20"/>
          <w:color w:val="auto"/>
        </w:rPr>
      </w:pPr>
      <w:r>
        <w:rPr>
          <w:rFonts w:ascii="Courier New" w:cs="Courier New" w:eastAsia="Courier New" w:hAnsi="Courier New"/>
          <w:sz w:val="18"/>
          <w:szCs w:val="18"/>
          <w:color w:val="auto"/>
        </w:rPr>
        <w:t>We had another record quarter for new order bookings and backlog. Details for new order bookings and quarter-end backlog (neither of which includes maintenance revenues) are as follows:</w:t>
      </w:r>
    </w:p>
    <w:p>
      <w:pPr>
        <w:spacing w:after="0" w:line="209" w:lineRule="exact"/>
        <w:rPr>
          <w:sz w:val="20"/>
          <w:szCs w:val="20"/>
          <w:color w:val="auto"/>
        </w:rPr>
      </w:pPr>
    </w:p>
    <w:p>
      <w:pPr>
        <w:ind w:right="2839" w:firstLine="421"/>
        <w:spacing w:after="0" w:line="290" w:lineRule="auto"/>
        <w:rPr>
          <w:sz w:val="20"/>
          <w:szCs w:val="20"/>
          <w:color w:val="auto"/>
        </w:rPr>
      </w:pPr>
      <w:r>
        <w:rPr>
          <w:rFonts w:ascii="Courier New" w:cs="Courier New" w:eastAsia="Courier New" w:hAnsi="Courier New"/>
          <w:sz w:val="16"/>
          <w:szCs w:val="16"/>
          <w:color w:val="auto"/>
        </w:rPr>
        <w:t>New order bookings during the quarter were $212 million, compared with $98 million in the third quarter of last year. New order bookings</w:t>
      </w:r>
    </w:p>
    <w:p>
      <w:pPr>
        <w:sectPr>
          <w:pgSz w:w="11900" w:h="16838" w:orient="portrait"/>
          <w:cols w:equalWidth="0" w:num="1">
            <w:col w:w="10219"/>
          </w:cols>
          <w:pgMar w:left="240" w:top="136" w:right="1440" w:bottom="0" w:gutter="0" w:footer="0" w:header="0"/>
        </w:sectPr>
      </w:pPr>
    </w:p>
    <w:bookmarkStart w:id="6" w:name="page7"/>
    <w:bookmarkEnd w:id="6"/>
    <w:p>
      <w:pPr>
        <w:ind w:right="2839"/>
        <w:spacing w:after="0" w:line="236" w:lineRule="auto"/>
        <w:rPr>
          <w:sz w:val="20"/>
          <w:szCs w:val="20"/>
          <w:color w:val="auto"/>
        </w:rPr>
      </w:pPr>
      <w:r>
        <w:rPr>
          <w:rFonts w:ascii="Courier New" w:cs="Courier New" w:eastAsia="Courier New" w:hAnsi="Courier New"/>
          <w:sz w:val="18"/>
          <w:szCs w:val="18"/>
          <w:color w:val="auto"/>
        </w:rPr>
        <w:t>in the first nine months of 2005 were $506 million, compared with $230 million in the first nine months of 2004. Significant orders during the quarter included:</w:t>
      </w:r>
    </w:p>
    <w:p>
      <w:pPr>
        <w:spacing w:after="0" w:line="209" w:lineRule="exact"/>
        <w:rPr>
          <w:sz w:val="20"/>
          <w:szCs w:val="20"/>
          <w:color w:val="auto"/>
        </w:rPr>
      </w:pPr>
    </w:p>
    <w:p>
      <w:pPr>
        <w:ind w:left="860" w:right="3039" w:hanging="431"/>
        <w:spacing w:after="0" w:line="236"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order from Progress Energy for approximately 2.7 million solid-state electricity meters with AMR, worth approximately $120 million;</w:t>
      </w:r>
    </w:p>
    <w:p>
      <w:pPr>
        <w:spacing w:after="0" w:line="208" w:lineRule="exact"/>
        <w:rPr>
          <w:rFonts w:ascii="Courier New" w:cs="Courier New" w:eastAsia="Courier New" w:hAnsi="Courier New"/>
          <w:sz w:val="18"/>
          <w:szCs w:val="18"/>
          <w:color w:val="auto"/>
        </w:rPr>
      </w:pPr>
    </w:p>
    <w:p>
      <w:pPr>
        <w:ind w:left="860" w:right="3479" w:hanging="431"/>
        <w:spacing w:after="0" w:line="235"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order for approximately 500,000 gas AMR modules to be delivered over five years; and</w:t>
      </w:r>
    </w:p>
    <w:p>
      <w:pPr>
        <w:spacing w:after="0" w:line="208" w:lineRule="exact"/>
        <w:rPr>
          <w:rFonts w:ascii="Courier New" w:cs="Courier New" w:eastAsia="Courier New" w:hAnsi="Courier New"/>
          <w:sz w:val="18"/>
          <w:szCs w:val="18"/>
          <w:color w:val="auto"/>
        </w:rPr>
      </w:pPr>
    </w:p>
    <w:p>
      <w:pPr>
        <w:ind w:left="860" w:right="3039" w:hanging="431"/>
        <w:spacing w:after="0" w:line="235"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agreement to provide the U.S. Department of the Navy with enterprise energy management software and services.</w:t>
      </w:r>
    </w:p>
    <w:p>
      <w:pPr>
        <w:spacing w:after="0" w:line="208" w:lineRule="exact"/>
        <w:rPr>
          <w:sz w:val="20"/>
          <w:szCs w:val="20"/>
          <w:color w:val="auto"/>
        </w:rPr>
      </w:pPr>
    </w:p>
    <w:p>
      <w:pPr>
        <w:ind w:right="2939" w:firstLine="421"/>
        <w:spacing w:after="0" w:line="268" w:lineRule="auto"/>
        <w:rPr>
          <w:sz w:val="20"/>
          <w:szCs w:val="20"/>
          <w:color w:val="auto"/>
        </w:rPr>
      </w:pPr>
      <w:r>
        <w:rPr>
          <w:rFonts w:ascii="Courier New" w:cs="Courier New" w:eastAsia="Courier New" w:hAnsi="Courier New"/>
          <w:sz w:val="16"/>
          <w:szCs w:val="16"/>
          <w:color w:val="auto"/>
        </w:rPr>
        <w:t>Total backlog increased to $325 million at September 30, 2005. By comparison, total backlog was $243 million at June 30, 2005, and $177 million at September 30, 2004. Twelve-month backlog, which represents the estimated portion of backlog that will be earned over the next twelve months, was $198 million at September 30, 2005, compared with $151 million at June 30, 2005 and $104 million at September 30, 2004.</w:t>
      </w:r>
    </w:p>
    <w:p>
      <w:pPr>
        <w:spacing w:after="0" w:line="1" w:lineRule="exact"/>
        <w:rPr>
          <w:sz w:val="20"/>
          <w:szCs w:val="20"/>
          <w:color w:val="auto"/>
        </w:rPr>
      </w:pPr>
    </w:p>
    <w:p>
      <w:pPr>
        <w:ind w:right="2839" w:firstLine="421"/>
        <w:spacing w:after="0" w:line="237" w:lineRule="auto"/>
        <w:rPr>
          <w:sz w:val="20"/>
          <w:szCs w:val="20"/>
          <w:color w:val="auto"/>
        </w:rPr>
      </w:pPr>
      <w:r>
        <w:rPr>
          <w:rFonts w:ascii="Courier New" w:cs="Courier New" w:eastAsia="Courier New" w:hAnsi="Courier New"/>
          <w:sz w:val="18"/>
          <w:szCs w:val="18"/>
          <w:color w:val="auto"/>
        </w:rPr>
        <w:t>We generated $13.0 million of cash from operations during the quarter compared with $20.4 million during the third quarter of last year. We used cash during the quarter to begin building inventories for the Progress Energy order signed in July and expect to continue to build inventories for that order in the fourth quarter of this year as the installation rate increases throughout that quarter. Accounts receivable also increased during the quarter driven by higher revenues. Cash flow from operations was $49.6 million for the nine months ended September 30, 2005, compared with $27.5 million for the same period in 2004.</w:t>
      </w:r>
    </w:p>
    <w:p>
      <w:pPr>
        <w:spacing w:after="0" w:line="12" w:lineRule="exact"/>
        <w:rPr>
          <w:sz w:val="20"/>
          <w:szCs w:val="20"/>
          <w:color w:val="auto"/>
        </w:rPr>
      </w:pPr>
    </w:p>
    <w:p>
      <w:pPr>
        <w:ind w:right="2839" w:firstLine="421"/>
        <w:spacing w:after="0" w:line="237" w:lineRule="auto"/>
        <w:rPr>
          <w:sz w:val="20"/>
          <w:szCs w:val="20"/>
          <w:color w:val="auto"/>
        </w:rPr>
      </w:pPr>
      <w:r>
        <w:rPr>
          <w:rFonts w:ascii="Courier New" w:cs="Courier New" w:eastAsia="Courier New" w:hAnsi="Courier New"/>
          <w:sz w:val="18"/>
          <w:szCs w:val="18"/>
          <w:color w:val="auto"/>
        </w:rPr>
        <w:t>Net capital expenditures were approximately $5.0 million and $10.3 million for the quarter and year-to-date periods in 2005, compared with approximately $3.2 million and $10.0 million for the same periods in 2004.</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We made $14.0 million in optional repayments on our term bank debt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during the quarter, bringing the outstanding term-loan balance to</w:t>
      </w:r>
    </w:p>
    <w:p>
      <w:pPr>
        <w:spacing w:after="0" w:line="238" w:lineRule="auto"/>
        <w:rPr>
          <w:sz w:val="20"/>
          <w:szCs w:val="20"/>
          <w:color w:val="auto"/>
        </w:rPr>
      </w:pPr>
      <w:r>
        <w:rPr>
          <w:rFonts w:ascii="Courier New" w:cs="Courier New" w:eastAsia="Courier New" w:hAnsi="Courier New"/>
          <w:sz w:val="18"/>
          <w:szCs w:val="18"/>
          <w:color w:val="auto"/>
        </w:rPr>
        <w:t>$28.0 million at September 30, 2005. We made another $3.0 million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optional repayments subsequent to quarter-end, resulting in our having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repaid $160.0 million of the $185 million term bank debt borrowed 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1, 2004, in connection with the Electricity Metering acquisition.</w:t>
      </w:r>
    </w:p>
    <w:p>
      <w:pPr>
        <w:spacing w:after="0" w:line="21" w:lineRule="exact"/>
        <w:rPr>
          <w:sz w:val="20"/>
          <w:szCs w:val="20"/>
          <w:color w:val="auto"/>
        </w:rPr>
      </w:pPr>
    </w:p>
    <w:p>
      <w:pPr>
        <w:ind w:right="2839" w:firstLine="421"/>
        <w:spacing w:after="0" w:line="237" w:lineRule="auto"/>
        <w:rPr>
          <w:sz w:val="20"/>
          <w:szCs w:val="20"/>
          <w:color w:val="auto"/>
        </w:rPr>
      </w:pPr>
      <w:r>
        <w:rPr>
          <w:rFonts w:ascii="Courier New" w:cs="Courier New" w:eastAsia="Courier New" w:hAnsi="Courier New"/>
          <w:sz w:val="18"/>
          <w:szCs w:val="18"/>
          <w:color w:val="auto"/>
        </w:rPr>
        <w:t>On October 27, 2005, we signed an agreement with the owners of Telect, Inc., a privately-held telecommunications company, to purchase their 200,000 square foot headquarters building for approximately $20 million, which we expect to partially finance with a loan. Our existing 141,000 square foot headquarters facility will be listed for sale. Closing is expected to occur by December 31, 2005. We expect to take possession of the building in April 2006 and to begin moving operations in the third quarter of 2006.</w:t>
      </w:r>
    </w:p>
    <w:p>
      <w:pPr>
        <w:spacing w:after="0" w:line="10" w:lineRule="exact"/>
        <w:rPr>
          <w:sz w:val="20"/>
          <w:szCs w:val="20"/>
          <w:color w:val="auto"/>
        </w:rPr>
      </w:pPr>
    </w:p>
    <w:p>
      <w:pPr>
        <w:ind w:right="2939" w:firstLine="421"/>
        <w:spacing w:after="0" w:line="268" w:lineRule="auto"/>
        <w:rPr>
          <w:sz w:val="20"/>
          <w:szCs w:val="20"/>
          <w:color w:val="auto"/>
        </w:rPr>
      </w:pPr>
      <w:r>
        <w:rPr>
          <w:rFonts w:ascii="Courier New" w:cs="Courier New" w:eastAsia="Courier New" w:hAnsi="Courier New"/>
          <w:sz w:val="16"/>
          <w:szCs w:val="16"/>
          <w:color w:val="auto"/>
        </w:rPr>
        <w:t>Itron's headquarters operations include marketing, research and development, customer service, information technology and financial and corporate functions. Itron has experienced strong growth over the last few years, partially as a result of acquisitions. Total staffing in Spokane has increased by approximately 25% over the last four years. Itron's existing Spokane facility was built more than twenty years ago and was initially designed for manufacturing operations. Manufacturing operations previously performed in Spokane have since been moved to our Waseca, Minnesota, location or outsourced.</w:t>
      </w:r>
    </w:p>
    <w:p>
      <w:pPr>
        <w:spacing w:after="0" w:line="2" w:lineRule="exact"/>
        <w:rPr>
          <w:sz w:val="20"/>
          <w:szCs w:val="20"/>
          <w:color w:val="auto"/>
        </w:rPr>
      </w:pPr>
    </w:p>
    <w:p>
      <w:pPr>
        <w:ind w:right="2839" w:firstLine="421"/>
        <w:spacing w:after="0" w:line="237" w:lineRule="auto"/>
        <w:rPr>
          <w:sz w:val="20"/>
          <w:szCs w:val="20"/>
          <w:color w:val="auto"/>
        </w:rPr>
      </w:pPr>
      <w:r>
        <w:rPr>
          <w:rFonts w:ascii="Courier New" w:cs="Courier New" w:eastAsia="Courier New" w:hAnsi="Courier New"/>
          <w:sz w:val="18"/>
          <w:szCs w:val="18"/>
          <w:color w:val="auto"/>
        </w:rPr>
        <w:t>"Our existing facility requires significant investment in order to adapt to our current use of the building, accommodate our existing employee base and provide for future growth and expansion," said LeRoy Nosbaum, chairman and CEO. "Purchasing this building is a much better option than spending money to renovate our existing facility. We are very fortunate to have found a close-by facility in Liberty Lake that is in excellent condition and that meets our current and future space requirements."</w:t>
      </w: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Business Outlook:</w:t>
      </w:r>
    </w:p>
    <w:p>
      <w:pPr>
        <w:spacing w:after="0" w:line="207" w:lineRule="exact"/>
        <w:rPr>
          <w:sz w:val="20"/>
          <w:szCs w:val="20"/>
          <w:color w:val="auto"/>
        </w:rPr>
      </w:pPr>
    </w:p>
    <w:p>
      <w:pPr>
        <w:ind w:right="2839" w:firstLine="421"/>
        <w:spacing w:after="0" w:line="237" w:lineRule="auto"/>
        <w:rPr>
          <w:sz w:val="20"/>
          <w:szCs w:val="20"/>
          <w:color w:val="auto"/>
        </w:rPr>
      </w:pPr>
      <w:r>
        <w:rPr>
          <w:rFonts w:ascii="Courier New" w:cs="Courier New" w:eastAsia="Courier New" w:hAnsi="Courier New"/>
          <w:sz w:val="18"/>
          <w:szCs w:val="18"/>
          <w:color w:val="auto"/>
        </w:rPr>
        <w:t>Our outlook for 2005 and 2006 does not include any impact related to the expensing of stock options. We expect to implement FASB's Statement 123R, which requires the expensing of stock options and ESPP shares issued at a discount, in 2006. While we have not yet completed our analysis of the effects of the adoption of 123R, the expensing of stock options will decrease gross margin, increase operating expenses and influence our effective tax rate and could materially impact GAAP net income.</w:t>
      </w: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For the full year 2005, we expect:</w:t>
      </w:r>
    </w:p>
    <w:p>
      <w:pPr>
        <w:spacing w:after="0" w:line="207" w:lineRule="exact"/>
        <w:rPr>
          <w:sz w:val="20"/>
          <w:szCs w:val="20"/>
          <w:color w:val="auto"/>
        </w:rPr>
      </w:pPr>
    </w:p>
    <w:p>
      <w:pPr>
        <w:ind w:left="860" w:right="3679" w:hanging="431"/>
        <w:spacing w:after="0" w:line="235" w:lineRule="auto"/>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Revenues to be between $535 and $540 million (previous guidance was $535 to $545 million).</w:t>
      </w:r>
    </w:p>
    <w:p>
      <w:pPr>
        <w:sectPr>
          <w:pgSz w:w="11900" w:h="16838" w:orient="portrait"/>
          <w:cols w:equalWidth="0" w:num="1">
            <w:col w:w="10219"/>
          </w:cols>
          <w:pgMar w:left="240" w:top="142" w:right="1440" w:bottom="0" w:gutter="0" w:footer="0" w:header="0"/>
        </w:sectPr>
      </w:pPr>
    </w:p>
    <w:bookmarkStart w:id="7" w:name="page8"/>
    <w:bookmarkEnd w:id="7"/>
    <w:p>
      <w:pPr>
        <w:ind w:left="860" w:right="3039" w:hanging="431"/>
        <w:spacing w:after="0" w:line="235" w:lineRule="auto"/>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diluted earnings per share between $1.70 and $1.75 (previous guidance was $1.65 to $1.70).</w:t>
      </w:r>
    </w:p>
    <w:p>
      <w:pPr>
        <w:spacing w:after="0" w:line="208" w:lineRule="exact"/>
        <w:rPr>
          <w:sz w:val="20"/>
          <w:szCs w:val="20"/>
          <w:color w:val="auto"/>
        </w:rPr>
      </w:pPr>
    </w:p>
    <w:p>
      <w:pPr>
        <w:ind w:right="2939" w:firstLine="421"/>
        <w:spacing w:after="0" w:line="237" w:lineRule="auto"/>
        <w:rPr>
          <w:sz w:val="20"/>
          <w:szCs w:val="20"/>
          <w:color w:val="auto"/>
        </w:rPr>
      </w:pPr>
      <w:r>
        <w:rPr>
          <w:rFonts w:ascii="Courier New" w:cs="Courier New" w:eastAsia="Courier New" w:hAnsi="Courier New"/>
          <w:sz w:val="18"/>
          <w:szCs w:val="18"/>
          <w:color w:val="auto"/>
        </w:rPr>
        <w:t>While still preliminary, the Company issued an early outlook for 2006, based primarily on the strength of new order bookings so far in 2005. For the full year 2006, we expect revenue growth of approximately 10% over 2005, with pro forma earnings growth of almost twice that.</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Use of Non-GAAP Financial Information:</w:t>
      </w:r>
    </w:p>
    <w:p>
      <w:pPr>
        <w:spacing w:after="0" w:line="207" w:lineRule="exact"/>
        <w:rPr>
          <w:sz w:val="20"/>
          <w:szCs w:val="20"/>
          <w:color w:val="auto"/>
        </w:rPr>
      </w:pPr>
    </w:p>
    <w:p>
      <w:pPr>
        <w:ind w:right="2839" w:firstLine="421"/>
        <w:spacing w:after="0" w:line="238" w:lineRule="auto"/>
        <w:rPr>
          <w:sz w:val="20"/>
          <w:szCs w:val="20"/>
          <w:color w:val="auto"/>
        </w:rPr>
      </w:pPr>
      <w:r>
        <w:rPr>
          <w:rFonts w:ascii="Courier New" w:cs="Courier New" w:eastAsia="Courier New" w:hAnsi="Courier New"/>
          <w:sz w:val="18"/>
          <w:szCs w:val="18"/>
          <w:color w:val="auto"/>
        </w:rPr>
        <w:t>To supplement our consolidated financial statements presented in accordance with GAAP, we use certain non-GAAP measures, including pro forma earnings and EPS and EBITDA. Pro forma earnings and EPS are adjusted from GAAP-based results to exclude certain expenses or gains that we believe are not indicative of our core operating results. Pro forma results are one of the primary indicators management uses for evaluating historical results and for planning and forecasting future periods. We believe pro forma results provide consistency in our financial reporting which enhances our investor's understanding of our current financial performance as well as our future prospects. Pro forma results along with EBITDA measures should be viewed in addition to, and not in lieu of, GAAP results.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Earnings Conference Call:</w:t>
      </w:r>
    </w:p>
    <w:p>
      <w:pPr>
        <w:spacing w:after="0" w:line="207" w:lineRule="exact"/>
        <w:rPr>
          <w:sz w:val="20"/>
          <w:szCs w:val="20"/>
          <w:color w:val="auto"/>
        </w:rPr>
      </w:pPr>
    </w:p>
    <w:p>
      <w:pPr>
        <w:ind w:right="2839" w:firstLine="421"/>
        <w:spacing w:after="0" w:line="270" w:lineRule="auto"/>
        <w:rPr>
          <w:sz w:val="20"/>
          <w:szCs w:val="20"/>
          <w:color w:val="auto"/>
        </w:rPr>
      </w:pPr>
      <w:r>
        <w:rPr>
          <w:rFonts w:ascii="Courier New" w:cs="Courier New" w:eastAsia="Courier New" w:hAnsi="Courier New"/>
          <w:sz w:val="16"/>
          <w:szCs w:val="16"/>
          <w:color w:val="auto"/>
        </w:rPr>
        <w:t>Itron will host a conference call to discuss the financial results contained in this release at 6:00 a.m. PST on October 28, 2005. The call will be webcast in a listen-only mode and can be accessed online at www.itron.com, "About Itron -- Investor Events." The live webcast will begin at 6:00 a.m. (PST). The webcast replay will begin shortly after the conclusion of the live call and will be available for two weeks. A telephone replay of the call will also be available approximately one hour after the conclusion of the live call, for 48 hours, and is accessible by dialing 888-203-1112 (Domestic) or 719-457-0820 (International), entering passcode #5349308.</w:t>
      </w:r>
    </w:p>
    <w:p>
      <w:pPr>
        <w:spacing w:after="0" w:line="18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2839" w:firstLine="421"/>
        <w:spacing w:after="0" w:line="238" w:lineRule="auto"/>
        <w:rPr>
          <w:sz w:val="20"/>
          <w:szCs w:val="20"/>
          <w:color w:val="auto"/>
        </w:rPr>
      </w:pPr>
      <w:r>
        <w:rPr>
          <w:rFonts w:ascii="Courier New" w:cs="Courier New" w:eastAsia="Courier New" w:hAnsi="Courier New"/>
          <w:sz w:val="18"/>
          <w:szCs w:val="18"/>
          <w:color w:val="auto"/>
        </w:rPr>
        <w:t>This release contains forward-looking statements concerning Itron's operations, financial performance, sales, earnings and cash flow. These statements reflect our current plans and expectations and are based on information currently available. They rely on a number of assumptions and estimates, which could be inaccurate, and which are subject to risks and uncertainties that could cause our actual results to vary materially from those anticipated. Risks and uncertainties include the rate and timing of customer demand for the Company's products, rescheduling of current customer orders, changes in estimated liabilities for product warranties, changes in laws and regulations and other factors which are more fully described in our Annual Report on Form 10-K for the year ended December 31, 2004, and our Form 10-Qs for the quarters ended March 31, 2005, and June 30, 2005, on file with the Securities and Exchange Commission. Itron undertakes no obligation to update publicly or revise any forward-looking statements.</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About Itron:</w:t>
      </w:r>
    </w:p>
    <w:p>
      <w:pPr>
        <w:spacing w:after="0" w:line="207" w:lineRule="exact"/>
        <w:rPr>
          <w:sz w:val="20"/>
          <w:szCs w:val="20"/>
          <w:color w:val="auto"/>
        </w:rPr>
      </w:pPr>
    </w:p>
    <w:p>
      <w:pPr>
        <w:ind w:right="2939" w:firstLine="421"/>
        <w:spacing w:after="0" w:line="270" w:lineRule="auto"/>
        <w:rPr>
          <w:sz w:val="20"/>
          <w:szCs w:val="20"/>
          <w:color w:val="auto"/>
        </w:rPr>
      </w:pPr>
      <w:r>
        <w:rPr>
          <w:rFonts w:ascii="Courier New" w:cs="Courier New" w:eastAsia="Courier New" w:hAnsi="Courier New"/>
          <w:sz w:val="16"/>
          <w:szCs w:val="16"/>
          <w:color w:val="auto"/>
        </w:rPr>
        <w:t>Itron is a leading technology provider and critical source of knowledge to the global energy and water industries. Nearly 3,000 utilities worldwide rely on Itron technology to deliver the knowledge they require to optimize the delivery and use of energy and water. Itron delivers value to its clients by providing industry-leading solutions for electricity metering, meter data collection, energy information management, demand side management and response, load forecasting, analysis and consulting services, transmission and distribution system design and optimization, Web-based workforce automation, commercial and industrial customer care and residential energy management. To know more, start here: www.itron.com.</w:t>
      </w:r>
    </w:p>
    <w:p>
      <w:pPr>
        <w:spacing w:after="0" w:line="392" w:lineRule="exact"/>
        <w:rPr>
          <w:sz w:val="20"/>
          <w:szCs w:val="20"/>
          <w:color w:val="auto"/>
        </w:rPr>
      </w:pPr>
    </w:p>
    <w:p>
      <w:pPr>
        <w:ind w:right="3259" w:firstLine="421"/>
        <w:spacing w:after="0" w:line="236" w:lineRule="auto"/>
        <w:rPr>
          <w:sz w:val="20"/>
          <w:szCs w:val="20"/>
          <w:color w:val="auto"/>
        </w:rPr>
      </w:pPr>
      <w:r>
        <w:rPr>
          <w:rFonts w:ascii="Courier New" w:cs="Courier New" w:eastAsia="Courier New" w:hAnsi="Courier New"/>
          <w:sz w:val="18"/>
          <w:szCs w:val="18"/>
          <w:color w:val="auto"/>
        </w:rPr>
        <w:t>Statements of operations, reconciliations between GAAP and pro forma results, segment information, balance sheets and cash flows follow.</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8"/>
          <w:szCs w:val="18"/>
          <w:color w:val="auto"/>
        </w:rPr>
        <w:t>ITRON, INC.</w:t>
      </w:r>
    </w:p>
    <w:p>
      <w:pPr>
        <w:jc w:val="center"/>
        <w:ind w:right="2939"/>
        <w:spacing w:after="0" w:line="238" w:lineRule="auto"/>
        <w:rPr>
          <w:sz w:val="20"/>
          <w:szCs w:val="20"/>
          <w:color w:val="auto"/>
        </w:rPr>
      </w:pPr>
      <w:r>
        <w:rPr>
          <w:rFonts w:ascii="Courier New" w:cs="Courier New" w:eastAsia="Courier New" w:hAnsi="Courier New"/>
          <w:sz w:val="18"/>
          <w:szCs w:val="18"/>
          <w:color w:val="auto"/>
        </w:rPr>
        <w:t>CONSOLIDATED STATEMENTS OF OPERATIONS</w:t>
      </w:r>
    </w:p>
    <w:p>
      <w:pPr>
        <w:sectPr>
          <w:pgSz w:w="11900" w:h="16838" w:orient="portrait"/>
          <w:cols w:equalWidth="0" w:num="1">
            <w:col w:w="10219"/>
          </w:cols>
          <w:pgMar w:left="240" w:top="344" w:right="1440" w:bottom="133"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5120" w:type="dxa"/>
            <w:vAlign w:val="bottom"/>
            <w:gridSpan w:val="5"/>
          </w:tcPr>
          <w:p>
            <w:pPr>
              <w:spacing w:after="0"/>
              <w:rPr>
                <w:sz w:val="20"/>
                <w:szCs w:val="20"/>
                <w:color w:val="auto"/>
              </w:rPr>
            </w:pPr>
            <w:r>
              <w:rPr>
                <w:rFonts w:ascii="Courier New" w:cs="Courier New" w:eastAsia="Courier New" w:hAnsi="Courier New"/>
                <w:sz w:val="18"/>
                <w:szCs w:val="18"/>
                <w:color w:val="auto"/>
                <w:w w:val="98"/>
              </w:rPr>
              <w:t>(Unaudited, in thousands, except per share data)</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05"/>
        </w:trPr>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gridSpan w:val="3"/>
          </w:tcPr>
          <w:p>
            <w:pPr>
              <w:jc w:val="right"/>
              <w:ind w:right="172"/>
              <w:spacing w:after="0"/>
              <w:rPr>
                <w:sz w:val="20"/>
                <w:szCs w:val="20"/>
                <w:color w:val="auto"/>
              </w:rPr>
            </w:pPr>
            <w:r>
              <w:rPr>
                <w:rFonts w:ascii="Courier New" w:cs="Courier New" w:eastAsia="Courier New" w:hAnsi="Courier New"/>
                <w:sz w:val="18"/>
                <w:szCs w:val="18"/>
                <w:color w:val="auto"/>
                <w:w w:val="96"/>
              </w:rPr>
              <w:t>Three Months Ended</w:t>
            </w:r>
          </w:p>
        </w:tc>
        <w:tc>
          <w:tcPr>
            <w:tcW w:w="2260" w:type="dxa"/>
            <w:vAlign w:val="bottom"/>
            <w:gridSpan w:val="4"/>
          </w:tcPr>
          <w:p>
            <w:pPr>
              <w:jc w:val="right"/>
              <w:ind w:right="23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gridSpan w:val="3"/>
          </w:tcPr>
          <w:p>
            <w:pPr>
              <w:jc w:val="right"/>
              <w:ind w:right="392"/>
              <w:spacing w:after="0" w:line="203" w:lineRule="exact"/>
              <w:rPr>
                <w:sz w:val="20"/>
                <w:szCs w:val="20"/>
                <w:color w:val="auto"/>
              </w:rPr>
            </w:pPr>
            <w:r>
              <w:rPr>
                <w:rFonts w:ascii="Courier New" w:cs="Courier New" w:eastAsia="Courier New" w:hAnsi="Courier New"/>
                <w:sz w:val="18"/>
                <w:szCs w:val="18"/>
                <w:color w:val="auto"/>
              </w:rPr>
              <w:t>September 30,</w:t>
            </w:r>
          </w:p>
        </w:tc>
        <w:tc>
          <w:tcPr>
            <w:tcW w:w="260" w:type="dxa"/>
            <w:vAlign w:val="bottom"/>
          </w:tcPr>
          <w:p>
            <w:pPr>
              <w:spacing w:after="0"/>
              <w:rPr>
                <w:sz w:val="17"/>
                <w:szCs w:val="17"/>
                <w:color w:val="auto"/>
              </w:rPr>
            </w:pPr>
          </w:p>
        </w:tc>
        <w:tc>
          <w:tcPr>
            <w:tcW w:w="200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rPr>
              <w:t>September 30,</w:t>
            </w:r>
          </w:p>
        </w:tc>
      </w:tr>
      <w:tr>
        <w:trPr>
          <w:trHeight w:val="203"/>
        </w:trPr>
        <w:tc>
          <w:tcPr>
            <w:tcW w:w="2860" w:type="dxa"/>
            <w:vAlign w:val="bottom"/>
          </w:tcPr>
          <w:p>
            <w:pPr>
              <w:spacing w:after="0"/>
              <w:rPr>
                <w:sz w:val="17"/>
                <w:szCs w:val="17"/>
                <w:color w:val="auto"/>
              </w:rPr>
            </w:pPr>
          </w:p>
        </w:tc>
        <w:tc>
          <w:tcPr>
            <w:tcW w:w="452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2005</w:t>
            </w:r>
          </w:p>
        </w:tc>
        <w:tc>
          <w:tcPr>
            <w:tcW w:w="300" w:type="dxa"/>
            <w:vAlign w:val="bottom"/>
          </w:tcPr>
          <w:p>
            <w:pPr>
              <w:spacing w:after="0"/>
              <w:rPr>
                <w:sz w:val="17"/>
                <w:szCs w:val="17"/>
                <w:color w:val="auto"/>
              </w:rPr>
            </w:pP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2"/>
              </w:rPr>
              <w:t>2004</w:t>
            </w:r>
          </w:p>
        </w:tc>
        <w:tc>
          <w:tcPr>
            <w:tcW w:w="26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2005</w:t>
            </w:r>
          </w:p>
        </w:tc>
        <w:tc>
          <w:tcPr>
            <w:tcW w:w="1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2004</w:t>
            </w:r>
          </w:p>
        </w:tc>
      </w:tr>
      <w:tr>
        <w:trPr>
          <w:trHeight w:val="203"/>
        </w:trPr>
        <w:tc>
          <w:tcPr>
            <w:tcW w:w="2860" w:type="dxa"/>
            <w:vAlign w:val="bottom"/>
          </w:tcPr>
          <w:p>
            <w:pPr>
              <w:spacing w:after="0"/>
              <w:rPr>
                <w:sz w:val="17"/>
                <w:szCs w:val="17"/>
                <w:color w:val="auto"/>
              </w:rPr>
            </w:pPr>
          </w:p>
        </w:tc>
        <w:tc>
          <w:tcPr>
            <w:tcW w:w="452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w w:val="96"/>
              </w:rPr>
              <w:t>---------- ---------- ---------- ----------</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Sales</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$ 128,683</w:t>
            </w: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$ 107,327</w:t>
            </w:r>
          </w:p>
        </w:tc>
        <w:tc>
          <w:tcPr>
            <w:tcW w:w="12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$ 355,696</w:t>
            </w: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$ 230,358</w:t>
            </w: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Service</w:t>
            </w:r>
          </w:p>
        </w:tc>
        <w:tc>
          <w:tcPr>
            <w:tcW w:w="1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12,462</w:t>
            </w:r>
          </w:p>
        </w:tc>
        <w:tc>
          <w:tcPr>
            <w:tcW w:w="30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15,177</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37,042</w:t>
            </w:r>
          </w:p>
        </w:tc>
        <w:tc>
          <w:tcPr>
            <w:tcW w:w="1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37,390</w:t>
            </w:r>
          </w:p>
        </w:tc>
      </w:tr>
      <w:tr>
        <w:trPr>
          <w:trHeight w:val="203"/>
        </w:trPr>
        <w:tc>
          <w:tcPr>
            <w:tcW w:w="2860" w:type="dxa"/>
            <w:vAlign w:val="bottom"/>
          </w:tcPr>
          <w:p>
            <w:pPr>
              <w:spacing w:after="0"/>
              <w:rPr>
                <w:sz w:val="17"/>
                <w:szCs w:val="17"/>
                <w:color w:val="auto"/>
              </w:rPr>
            </w:pPr>
          </w:p>
        </w:tc>
        <w:tc>
          <w:tcPr>
            <w:tcW w:w="452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w w:val="96"/>
              </w:rPr>
              <w:t>---------- ---------- ---------- ----------</w:t>
            </w: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revenues</w:t>
            </w:r>
          </w:p>
        </w:tc>
        <w:tc>
          <w:tcPr>
            <w:tcW w:w="1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141,145</w:t>
            </w: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122,504</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392,738</w:t>
            </w:r>
          </w:p>
        </w:tc>
        <w:tc>
          <w:tcPr>
            <w:tcW w:w="1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267,748</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Cost of revenues</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Sales</w:t>
            </w:r>
          </w:p>
        </w:tc>
        <w:tc>
          <w:tcPr>
            <w:tcW w:w="1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73,179</w:t>
            </w:r>
          </w:p>
        </w:tc>
        <w:tc>
          <w:tcPr>
            <w:tcW w:w="30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63,534</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203,188</w:t>
            </w:r>
          </w:p>
        </w:tc>
        <w:tc>
          <w:tcPr>
            <w:tcW w:w="1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130,993</w:t>
            </w: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Service</w:t>
            </w:r>
          </w:p>
        </w:tc>
        <w:tc>
          <w:tcPr>
            <w:tcW w:w="1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6,936</w:t>
            </w:r>
          </w:p>
        </w:tc>
        <w:tc>
          <w:tcPr>
            <w:tcW w:w="30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9,485</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20,783</w:t>
            </w:r>
          </w:p>
        </w:tc>
        <w:tc>
          <w:tcPr>
            <w:tcW w:w="1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21,140</w:t>
            </w:r>
          </w:p>
        </w:tc>
      </w:tr>
      <w:tr>
        <w:trPr>
          <w:trHeight w:val="203"/>
        </w:trPr>
        <w:tc>
          <w:tcPr>
            <w:tcW w:w="2860" w:type="dxa"/>
            <w:vAlign w:val="bottom"/>
          </w:tcPr>
          <w:p>
            <w:pPr>
              <w:spacing w:after="0"/>
              <w:rPr>
                <w:sz w:val="17"/>
                <w:szCs w:val="17"/>
                <w:color w:val="auto"/>
              </w:rPr>
            </w:pPr>
          </w:p>
        </w:tc>
        <w:tc>
          <w:tcPr>
            <w:tcW w:w="452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w w:val="96"/>
              </w:rPr>
              <w:t>---------- ---------- ---------- ----------</w:t>
            </w: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cost of revenues</w:t>
            </w:r>
          </w:p>
        </w:tc>
        <w:tc>
          <w:tcPr>
            <w:tcW w:w="1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80,115</w:t>
            </w:r>
          </w:p>
        </w:tc>
        <w:tc>
          <w:tcPr>
            <w:tcW w:w="30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73,019</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223,971</w:t>
            </w:r>
          </w:p>
        </w:tc>
        <w:tc>
          <w:tcPr>
            <w:tcW w:w="1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152,133</w:t>
            </w:r>
          </w:p>
        </w:tc>
      </w:tr>
      <w:tr>
        <w:trPr>
          <w:trHeight w:val="203"/>
        </w:trPr>
        <w:tc>
          <w:tcPr>
            <w:tcW w:w="2860" w:type="dxa"/>
            <w:vAlign w:val="bottom"/>
          </w:tcPr>
          <w:p>
            <w:pPr>
              <w:spacing w:after="0"/>
              <w:rPr>
                <w:sz w:val="17"/>
                <w:szCs w:val="17"/>
                <w:color w:val="auto"/>
              </w:rPr>
            </w:pPr>
          </w:p>
        </w:tc>
        <w:tc>
          <w:tcPr>
            <w:tcW w:w="452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w w:val="96"/>
              </w:rPr>
              <w:t>---------- ---------- ---------- ----------</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Gross profit</w:t>
            </w:r>
          </w:p>
        </w:tc>
        <w:tc>
          <w:tcPr>
            <w:tcW w:w="100" w:type="dxa"/>
            <w:vAlign w:val="bottom"/>
          </w:tcPr>
          <w:p>
            <w:pPr>
              <w:spacing w:after="0"/>
              <w:rPr>
                <w:sz w:val="24"/>
                <w:szCs w:val="24"/>
                <w:color w:val="auto"/>
              </w:rPr>
            </w:pP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61,030</w:t>
            </w:r>
          </w:p>
        </w:tc>
        <w:tc>
          <w:tcPr>
            <w:tcW w:w="300" w:type="dxa"/>
            <w:vAlign w:val="bottom"/>
          </w:tcPr>
          <w:p>
            <w:pPr>
              <w:spacing w:after="0"/>
              <w:rPr>
                <w:sz w:val="24"/>
                <w:szCs w:val="24"/>
                <w:color w:val="auto"/>
              </w:rPr>
            </w:pPr>
          </w:p>
        </w:tc>
        <w:tc>
          <w:tcPr>
            <w:tcW w:w="8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49,485</w:t>
            </w:r>
          </w:p>
        </w:tc>
        <w:tc>
          <w:tcPr>
            <w:tcW w:w="26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5"/>
              </w:rPr>
              <w:t>168,767</w:t>
            </w:r>
          </w:p>
        </w:tc>
        <w:tc>
          <w:tcPr>
            <w:tcW w:w="12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115,615</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Sales and marketing</w:t>
            </w:r>
          </w:p>
        </w:tc>
        <w:tc>
          <w:tcPr>
            <w:tcW w:w="1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13,688</w:t>
            </w:r>
          </w:p>
        </w:tc>
        <w:tc>
          <w:tcPr>
            <w:tcW w:w="30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12,045</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40,456</w:t>
            </w:r>
          </w:p>
        </w:tc>
        <w:tc>
          <w:tcPr>
            <w:tcW w:w="1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31,971</w:t>
            </w: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Product development</w:t>
            </w:r>
          </w:p>
        </w:tc>
        <w:tc>
          <w:tcPr>
            <w:tcW w:w="1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11,807</w:t>
            </w:r>
          </w:p>
        </w:tc>
        <w:tc>
          <w:tcPr>
            <w:tcW w:w="30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11,893</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35,135</w:t>
            </w:r>
          </w:p>
        </w:tc>
        <w:tc>
          <w:tcPr>
            <w:tcW w:w="1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32,669</w:t>
            </w: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General and</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w:t>
            </w:r>
          </w:p>
        </w:tc>
        <w:tc>
          <w:tcPr>
            <w:tcW w:w="1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11,645</w:t>
            </w:r>
          </w:p>
        </w:tc>
        <w:tc>
          <w:tcPr>
            <w:tcW w:w="30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9,201</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33,381</w:t>
            </w:r>
          </w:p>
        </w:tc>
        <w:tc>
          <w:tcPr>
            <w:tcW w:w="1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24,479</w:t>
            </w: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Amortization of</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intangible assets</w:t>
            </w:r>
          </w:p>
        </w:tc>
        <w:tc>
          <w:tcPr>
            <w:tcW w:w="1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9,712</w:t>
            </w:r>
          </w:p>
        </w:tc>
        <w:tc>
          <w:tcPr>
            <w:tcW w:w="30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7,217</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29,143</w:t>
            </w:r>
          </w:p>
        </w:tc>
        <w:tc>
          <w:tcPr>
            <w:tcW w:w="1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11,271</w:t>
            </w: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Restructurings</w:t>
            </w:r>
          </w:p>
        </w:tc>
        <w:tc>
          <w:tcPr>
            <w:tcW w:w="1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30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1,571</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390</w:t>
            </w:r>
          </w:p>
        </w:tc>
        <w:tc>
          <w:tcPr>
            <w:tcW w:w="1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4,005</w:t>
            </w:r>
          </w:p>
        </w:tc>
      </w:tr>
      <w:tr>
        <w:trPr>
          <w:trHeight w:val="203"/>
        </w:trPr>
        <w:tc>
          <w:tcPr>
            <w:tcW w:w="2860" w:type="dxa"/>
            <w:vAlign w:val="bottom"/>
          </w:tcPr>
          <w:p>
            <w:pPr>
              <w:spacing w:after="0"/>
              <w:rPr>
                <w:sz w:val="17"/>
                <w:szCs w:val="17"/>
                <w:color w:val="auto"/>
              </w:rPr>
            </w:pPr>
          </w:p>
        </w:tc>
        <w:tc>
          <w:tcPr>
            <w:tcW w:w="452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w w:val="96"/>
              </w:rPr>
              <w:t>---------- ---------- ---------- ----------</w:t>
            </w: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1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46,852</w:t>
            </w:r>
          </w:p>
        </w:tc>
        <w:tc>
          <w:tcPr>
            <w:tcW w:w="30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41,927</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138,505</w:t>
            </w:r>
          </w:p>
        </w:tc>
        <w:tc>
          <w:tcPr>
            <w:tcW w:w="1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104,395</w:t>
            </w:r>
          </w:p>
        </w:tc>
      </w:tr>
      <w:tr>
        <w:trPr>
          <w:trHeight w:val="203"/>
        </w:trPr>
        <w:tc>
          <w:tcPr>
            <w:tcW w:w="2860" w:type="dxa"/>
            <w:vAlign w:val="bottom"/>
          </w:tcPr>
          <w:p>
            <w:pPr>
              <w:spacing w:after="0"/>
              <w:rPr>
                <w:sz w:val="17"/>
                <w:szCs w:val="17"/>
                <w:color w:val="auto"/>
              </w:rPr>
            </w:pPr>
          </w:p>
        </w:tc>
        <w:tc>
          <w:tcPr>
            <w:tcW w:w="452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w w:val="96"/>
              </w:rPr>
              <w:t>---------- ---------- ---------- ----------</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1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14,178</w:t>
            </w:r>
          </w:p>
        </w:tc>
        <w:tc>
          <w:tcPr>
            <w:tcW w:w="30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7,558</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30,262</w:t>
            </w:r>
          </w:p>
        </w:tc>
        <w:tc>
          <w:tcPr>
            <w:tcW w:w="1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11,220</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 income</w:t>
            </w:r>
          </w:p>
        </w:tc>
        <w:tc>
          <w:tcPr>
            <w:tcW w:w="1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69</w:t>
            </w:r>
          </w:p>
        </w:tc>
        <w:tc>
          <w:tcPr>
            <w:tcW w:w="30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167</w:t>
            </w:r>
          </w:p>
        </w:tc>
        <w:tc>
          <w:tcPr>
            <w:tcW w:w="1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152</w:t>
            </w: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10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(4,328)</w:t>
            </w:r>
          </w:p>
        </w:tc>
        <w:tc>
          <w:tcPr>
            <w:tcW w:w="3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(5,147)</w:t>
            </w:r>
          </w:p>
        </w:tc>
        <w:tc>
          <w:tcPr>
            <w:tcW w:w="2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(15,280)</w:t>
            </w:r>
          </w:p>
        </w:tc>
        <w:tc>
          <w:tcPr>
            <w:tcW w:w="1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(8,162)</w:t>
            </w: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w:t>
            </w:r>
          </w:p>
        </w:tc>
        <w:tc>
          <w:tcPr>
            <w:tcW w:w="10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(535)</w:t>
            </w:r>
          </w:p>
        </w:tc>
        <w:tc>
          <w:tcPr>
            <w:tcW w:w="30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261</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w:t>
            </w:r>
          </w:p>
        </w:tc>
        <w:tc>
          <w:tcPr>
            <w:tcW w:w="1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(474)</w:t>
            </w:r>
          </w:p>
        </w:tc>
      </w:tr>
      <w:tr>
        <w:trPr>
          <w:trHeight w:val="203"/>
        </w:trPr>
        <w:tc>
          <w:tcPr>
            <w:tcW w:w="2860" w:type="dxa"/>
            <w:vAlign w:val="bottom"/>
          </w:tcPr>
          <w:p>
            <w:pPr>
              <w:spacing w:after="0"/>
              <w:rPr>
                <w:sz w:val="17"/>
                <w:szCs w:val="17"/>
                <w:color w:val="auto"/>
              </w:rPr>
            </w:pPr>
          </w:p>
        </w:tc>
        <w:tc>
          <w:tcPr>
            <w:tcW w:w="452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w w:val="96"/>
              </w:rPr>
              <w:t>---------- ---------- ---------- ----------</w:t>
            </w: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other income</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(expense)</w:t>
            </w:r>
          </w:p>
        </w:tc>
        <w:tc>
          <w:tcPr>
            <w:tcW w:w="10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(4,794)</w:t>
            </w:r>
          </w:p>
        </w:tc>
        <w:tc>
          <w:tcPr>
            <w:tcW w:w="3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(4,862)</w:t>
            </w:r>
          </w:p>
        </w:tc>
        <w:tc>
          <w:tcPr>
            <w:tcW w:w="2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(15,093)</w:t>
            </w:r>
          </w:p>
        </w:tc>
        <w:tc>
          <w:tcPr>
            <w:tcW w:w="1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(8,484)</w:t>
            </w:r>
          </w:p>
        </w:tc>
      </w:tr>
      <w:tr>
        <w:trPr>
          <w:trHeight w:val="203"/>
        </w:trPr>
        <w:tc>
          <w:tcPr>
            <w:tcW w:w="2860" w:type="dxa"/>
            <w:vAlign w:val="bottom"/>
          </w:tcPr>
          <w:p>
            <w:pPr>
              <w:spacing w:after="0"/>
              <w:rPr>
                <w:sz w:val="17"/>
                <w:szCs w:val="17"/>
                <w:color w:val="auto"/>
              </w:rPr>
            </w:pPr>
          </w:p>
        </w:tc>
        <w:tc>
          <w:tcPr>
            <w:tcW w:w="452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w w:val="96"/>
              </w:rPr>
              <w:t>---------- ---------- ---------- ----------</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Income before income taxes</w:t>
            </w:r>
          </w:p>
        </w:tc>
        <w:tc>
          <w:tcPr>
            <w:tcW w:w="100" w:type="dxa"/>
            <w:vAlign w:val="bottom"/>
          </w:tcPr>
          <w:p>
            <w:pPr>
              <w:spacing w:after="0"/>
              <w:rPr>
                <w:sz w:val="24"/>
                <w:szCs w:val="24"/>
                <w:color w:val="auto"/>
              </w:rPr>
            </w:pP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9,384</w:t>
            </w:r>
          </w:p>
        </w:tc>
        <w:tc>
          <w:tcPr>
            <w:tcW w:w="300" w:type="dxa"/>
            <w:vAlign w:val="bottom"/>
          </w:tcPr>
          <w:p>
            <w:pPr>
              <w:spacing w:after="0"/>
              <w:rPr>
                <w:sz w:val="24"/>
                <w:szCs w:val="24"/>
                <w:color w:val="auto"/>
              </w:rPr>
            </w:pPr>
          </w:p>
        </w:tc>
        <w:tc>
          <w:tcPr>
            <w:tcW w:w="8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2,696</w:t>
            </w:r>
          </w:p>
        </w:tc>
        <w:tc>
          <w:tcPr>
            <w:tcW w:w="26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15,169</w:t>
            </w:r>
          </w:p>
        </w:tc>
        <w:tc>
          <w:tcPr>
            <w:tcW w:w="12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2,736</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(provision)</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benefit</w:t>
            </w:r>
          </w:p>
        </w:tc>
        <w:tc>
          <w:tcPr>
            <w:tcW w:w="10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(3,382)</w:t>
            </w:r>
          </w:p>
        </w:tc>
        <w:tc>
          <w:tcPr>
            <w:tcW w:w="3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(1,026)</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963</w:t>
            </w:r>
          </w:p>
        </w:tc>
        <w:tc>
          <w:tcPr>
            <w:tcW w:w="1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(986)</w:t>
            </w:r>
          </w:p>
        </w:tc>
      </w:tr>
      <w:tr>
        <w:trPr>
          <w:trHeight w:val="203"/>
        </w:trPr>
        <w:tc>
          <w:tcPr>
            <w:tcW w:w="2860" w:type="dxa"/>
            <w:vAlign w:val="bottom"/>
          </w:tcPr>
          <w:p>
            <w:pPr>
              <w:spacing w:after="0"/>
              <w:rPr>
                <w:sz w:val="17"/>
                <w:szCs w:val="17"/>
                <w:color w:val="auto"/>
              </w:rPr>
            </w:pPr>
          </w:p>
        </w:tc>
        <w:tc>
          <w:tcPr>
            <w:tcW w:w="1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w:t>
            </w:r>
          </w:p>
        </w:tc>
        <w:tc>
          <w:tcPr>
            <w:tcW w:w="226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6,002</w:t>
            </w:r>
          </w:p>
        </w:tc>
        <w:tc>
          <w:tcPr>
            <w:tcW w:w="3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1,670</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16,132</w:t>
            </w:r>
          </w:p>
        </w:tc>
        <w:tc>
          <w:tcPr>
            <w:tcW w:w="1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1,750</w:t>
            </w:r>
          </w:p>
        </w:tc>
      </w:tr>
      <w:tr>
        <w:trPr>
          <w:trHeight w:val="203"/>
        </w:trPr>
        <w:tc>
          <w:tcPr>
            <w:tcW w:w="2860" w:type="dxa"/>
            <w:vAlign w:val="bottom"/>
          </w:tcPr>
          <w:p>
            <w:pPr>
              <w:spacing w:after="0"/>
              <w:rPr>
                <w:sz w:val="17"/>
                <w:szCs w:val="17"/>
                <w:color w:val="auto"/>
              </w:rPr>
            </w:pPr>
          </w:p>
        </w:tc>
        <w:tc>
          <w:tcPr>
            <w:tcW w:w="452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w w:val="96"/>
              </w:rPr>
              <w:t>========== ========== ========== ==========</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Earnings per share</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Basic net income per</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w:t>
            </w: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0.25</w:t>
            </w:r>
          </w:p>
        </w:tc>
        <w:tc>
          <w:tcPr>
            <w:tcW w:w="3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0.08</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0.70</w:t>
            </w:r>
          </w:p>
        </w:tc>
        <w:tc>
          <w:tcPr>
            <w:tcW w:w="1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0.08</w:t>
            </w:r>
          </w:p>
        </w:tc>
      </w:tr>
      <w:tr>
        <w:trPr>
          <w:trHeight w:val="203"/>
        </w:trPr>
        <w:tc>
          <w:tcPr>
            <w:tcW w:w="2860" w:type="dxa"/>
            <w:vAlign w:val="bottom"/>
          </w:tcPr>
          <w:p>
            <w:pPr>
              <w:spacing w:after="0"/>
              <w:rPr>
                <w:sz w:val="17"/>
                <w:szCs w:val="17"/>
                <w:color w:val="auto"/>
              </w:rPr>
            </w:pPr>
          </w:p>
        </w:tc>
        <w:tc>
          <w:tcPr>
            <w:tcW w:w="452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w w:val="96"/>
              </w:rPr>
              <w:t>========== ========== ========== ==========</w:t>
            </w:r>
          </w:p>
        </w:tc>
      </w:tr>
      <w:tr>
        <w:trPr>
          <w:trHeight w:val="405"/>
        </w:trPr>
        <w:tc>
          <w:tcPr>
            <w:tcW w:w="2860" w:type="dxa"/>
            <w:vAlign w:val="bottom"/>
          </w:tcPr>
          <w:p>
            <w:pPr>
              <w:ind w:left="120"/>
              <w:spacing w:after="0"/>
              <w:rPr>
                <w:sz w:val="20"/>
                <w:szCs w:val="20"/>
                <w:color w:val="auto"/>
              </w:rPr>
            </w:pPr>
            <w:r>
              <w:rPr>
                <w:rFonts w:ascii="Courier New" w:cs="Courier New" w:eastAsia="Courier New" w:hAnsi="Courier New"/>
                <w:sz w:val="18"/>
                <w:szCs w:val="18"/>
                <w:color w:val="auto"/>
              </w:rPr>
              <w:t>Diluted net income per</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w:t>
            </w: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0.23</w:t>
            </w:r>
          </w:p>
        </w:tc>
        <w:tc>
          <w:tcPr>
            <w:tcW w:w="3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0.08</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0.66</w:t>
            </w:r>
          </w:p>
        </w:tc>
        <w:tc>
          <w:tcPr>
            <w:tcW w:w="1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0.08</w:t>
            </w:r>
          </w:p>
        </w:tc>
      </w:tr>
      <w:tr>
        <w:trPr>
          <w:trHeight w:val="203"/>
        </w:trPr>
        <w:tc>
          <w:tcPr>
            <w:tcW w:w="2860" w:type="dxa"/>
            <w:vAlign w:val="bottom"/>
          </w:tcPr>
          <w:p>
            <w:pPr>
              <w:spacing w:after="0"/>
              <w:rPr>
                <w:sz w:val="17"/>
                <w:szCs w:val="17"/>
                <w:color w:val="auto"/>
              </w:rPr>
            </w:pPr>
          </w:p>
        </w:tc>
        <w:tc>
          <w:tcPr>
            <w:tcW w:w="452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w w:val="96"/>
              </w:rPr>
              <w:t>========== ========== ========== ==========</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Weighted average number of</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 outstanding</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Basic</w:t>
            </w:r>
          </w:p>
        </w:tc>
        <w:tc>
          <w:tcPr>
            <w:tcW w:w="1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24,441</w:t>
            </w:r>
          </w:p>
        </w:tc>
        <w:tc>
          <w:tcPr>
            <w:tcW w:w="30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20,978</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22,912</w:t>
            </w:r>
          </w:p>
        </w:tc>
        <w:tc>
          <w:tcPr>
            <w:tcW w:w="1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20,827</w:t>
            </w: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Diluted</w:t>
            </w:r>
          </w:p>
        </w:tc>
        <w:tc>
          <w:tcPr>
            <w:tcW w:w="1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25,919</w:t>
            </w:r>
          </w:p>
        </w:tc>
        <w:tc>
          <w:tcPr>
            <w:tcW w:w="30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22,050</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24,471</w:t>
            </w:r>
          </w:p>
        </w:tc>
        <w:tc>
          <w:tcPr>
            <w:tcW w:w="1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22,005</w:t>
            </w:r>
          </w:p>
        </w:tc>
      </w:tr>
      <w:tr>
        <w:trPr>
          <w:trHeight w:val="810"/>
        </w:trPr>
        <w:tc>
          <w:tcPr>
            <w:tcW w:w="286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5"/>
              </w:rPr>
              <w:t>ITRON, INC.</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6320" w:type="dxa"/>
            <w:vAlign w:val="bottom"/>
            <w:gridSpan w:val="7"/>
          </w:tcPr>
          <w:p>
            <w:pPr>
              <w:ind w:left="1280"/>
              <w:spacing w:after="0" w:line="203" w:lineRule="exact"/>
              <w:rPr>
                <w:sz w:val="20"/>
                <w:szCs w:val="20"/>
                <w:color w:val="auto"/>
              </w:rPr>
            </w:pPr>
            <w:r>
              <w:rPr>
                <w:rFonts w:ascii="Courier New" w:cs="Courier New" w:eastAsia="Courier New" w:hAnsi="Courier New"/>
                <w:sz w:val="18"/>
                <w:szCs w:val="18"/>
                <w:color w:val="auto"/>
              </w:rPr>
              <w:t>RECONCILIATIONS BETWEEN GAAP AND PRO FORMA</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608"/>
        </w:trPr>
        <w:tc>
          <w:tcPr>
            <w:tcW w:w="5120" w:type="dxa"/>
            <w:vAlign w:val="bottom"/>
            <w:gridSpan w:val="5"/>
          </w:tcPr>
          <w:p>
            <w:pPr>
              <w:spacing w:after="0"/>
              <w:rPr>
                <w:sz w:val="20"/>
                <w:szCs w:val="20"/>
                <w:color w:val="auto"/>
              </w:rPr>
            </w:pPr>
            <w:r>
              <w:rPr>
                <w:rFonts w:ascii="Courier New" w:cs="Courier New" w:eastAsia="Courier New" w:hAnsi="Courier New"/>
                <w:sz w:val="18"/>
                <w:szCs w:val="18"/>
                <w:color w:val="auto"/>
                <w:w w:val="98"/>
              </w:rPr>
              <w:t>(Unaudited, in thousands, except per share data)</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05"/>
        </w:trPr>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Three Months Ended</w:t>
            </w:r>
          </w:p>
        </w:tc>
        <w:tc>
          <w:tcPr>
            <w:tcW w:w="260" w:type="dxa"/>
            <w:vAlign w:val="bottom"/>
          </w:tcPr>
          <w:p>
            <w:pPr>
              <w:spacing w:after="0"/>
              <w:rPr>
                <w:sz w:val="24"/>
                <w:szCs w:val="24"/>
                <w:color w:val="auto"/>
              </w:rPr>
            </w:pPr>
          </w:p>
        </w:tc>
        <w:tc>
          <w:tcPr>
            <w:tcW w:w="2000" w:type="dxa"/>
            <w:vAlign w:val="bottom"/>
            <w:gridSpan w:val="3"/>
          </w:tcPr>
          <w:p>
            <w:pPr>
              <w:jc w:val="right"/>
              <w:ind w:right="112"/>
              <w:spacing w:after="0"/>
              <w:rPr>
                <w:sz w:val="20"/>
                <w:szCs w:val="20"/>
                <w:color w:val="auto"/>
              </w:rPr>
            </w:pPr>
            <w:r>
              <w:rPr>
                <w:rFonts w:ascii="Courier New" w:cs="Courier New" w:eastAsia="Courier New" w:hAnsi="Courier New"/>
                <w:sz w:val="18"/>
                <w:szCs w:val="18"/>
                <w:color w:val="auto"/>
                <w:w w:val="96"/>
              </w:rPr>
              <w:t>Nine Months Ended</w:t>
            </w:r>
          </w:p>
        </w:tc>
      </w:tr>
      <w:tr>
        <w:trPr>
          <w:trHeight w:val="203"/>
        </w:trPr>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gridSpan w:val="3"/>
          </w:tcPr>
          <w:p>
            <w:pPr>
              <w:jc w:val="right"/>
              <w:ind w:right="172"/>
              <w:spacing w:after="0" w:line="203" w:lineRule="exact"/>
              <w:rPr>
                <w:sz w:val="20"/>
                <w:szCs w:val="20"/>
                <w:color w:val="auto"/>
              </w:rPr>
            </w:pPr>
            <w:r>
              <w:rPr>
                <w:rFonts w:ascii="Courier New" w:cs="Courier New" w:eastAsia="Courier New" w:hAnsi="Courier New"/>
                <w:sz w:val="18"/>
                <w:szCs w:val="18"/>
                <w:color w:val="auto"/>
              </w:rPr>
              <w:t>September 30,</w:t>
            </w:r>
          </w:p>
        </w:tc>
        <w:tc>
          <w:tcPr>
            <w:tcW w:w="260" w:type="dxa"/>
            <w:vAlign w:val="bottom"/>
          </w:tcPr>
          <w:p>
            <w:pPr>
              <w:spacing w:after="0"/>
              <w:rPr>
                <w:sz w:val="17"/>
                <w:szCs w:val="17"/>
                <w:color w:val="auto"/>
              </w:rPr>
            </w:pPr>
          </w:p>
        </w:tc>
        <w:tc>
          <w:tcPr>
            <w:tcW w:w="20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6"/>
              </w:rPr>
              <w:t>September 30,</w:t>
            </w:r>
          </w:p>
        </w:tc>
      </w:tr>
      <w:tr>
        <w:trPr>
          <w:trHeight w:val="203"/>
        </w:trPr>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20" w:type="dxa"/>
            <w:vAlign w:val="bottom"/>
            <w:gridSpan w:val="7"/>
          </w:tcPr>
          <w:p>
            <w:pPr>
              <w:ind w:left="200"/>
              <w:spacing w:after="0" w:line="203" w:lineRule="exact"/>
              <w:rPr>
                <w:sz w:val="20"/>
                <w:szCs w:val="20"/>
                <w:color w:val="auto"/>
              </w:rPr>
            </w:pPr>
            <w:r>
              <w:rPr>
                <w:rFonts w:ascii="Courier New" w:cs="Courier New" w:eastAsia="Courier New" w:hAnsi="Courier New"/>
                <w:sz w:val="18"/>
                <w:szCs w:val="18"/>
                <w:color w:val="auto"/>
                <w:w w:val="97"/>
              </w:rPr>
              <w:t>------------------- --------------------</w:t>
            </w:r>
          </w:p>
        </w:tc>
      </w:tr>
      <w:tr>
        <w:trPr>
          <w:trHeight w:val="203"/>
        </w:trPr>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2005</w:t>
            </w:r>
          </w:p>
        </w:tc>
        <w:tc>
          <w:tcPr>
            <w:tcW w:w="30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2004</w:t>
            </w:r>
          </w:p>
        </w:tc>
        <w:tc>
          <w:tcPr>
            <w:tcW w:w="260" w:type="dxa"/>
            <w:vAlign w:val="bottom"/>
          </w:tcPr>
          <w:p>
            <w:pPr>
              <w:spacing w:after="0"/>
              <w:rPr>
                <w:sz w:val="17"/>
                <w:szCs w:val="17"/>
                <w:color w:val="auto"/>
              </w:rPr>
            </w:pPr>
          </w:p>
        </w:tc>
        <w:tc>
          <w:tcPr>
            <w:tcW w:w="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2005</w:t>
            </w:r>
          </w:p>
        </w:tc>
        <w:tc>
          <w:tcPr>
            <w:tcW w:w="1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2004</w:t>
            </w:r>
          </w:p>
        </w:tc>
      </w:tr>
      <w:tr>
        <w:trPr>
          <w:trHeight w:val="203"/>
        </w:trPr>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60" w:type="dxa"/>
            <w:vAlign w:val="bottom"/>
            <w:gridSpan w:val="5"/>
          </w:tcPr>
          <w:p>
            <w:pPr>
              <w:ind w:left="200"/>
              <w:spacing w:after="0" w:line="203" w:lineRule="exact"/>
              <w:rPr>
                <w:sz w:val="20"/>
                <w:szCs w:val="20"/>
                <w:color w:val="auto"/>
              </w:rPr>
            </w:pPr>
            <w:r>
              <w:rPr>
                <w:rFonts w:ascii="Courier New" w:cs="Courier New" w:eastAsia="Courier New" w:hAnsi="Courier New"/>
                <w:sz w:val="18"/>
                <w:szCs w:val="18"/>
                <w:color w:val="auto"/>
                <w:w w:val="96"/>
              </w:rPr>
              <w:t>--------- --------- ----------</w:t>
            </w:r>
          </w:p>
        </w:tc>
        <w:tc>
          <w:tcPr>
            <w:tcW w:w="1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PRO FORMA OPERATING INCOME</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GAAP basis operating income</w:t>
            </w:r>
          </w:p>
        </w:tc>
        <w:tc>
          <w:tcPr>
            <w:tcW w:w="100" w:type="dxa"/>
            <w:vAlign w:val="bottom"/>
          </w:tcPr>
          <w:p>
            <w:pPr>
              <w:spacing w:after="0"/>
              <w:rPr>
                <w:sz w:val="17"/>
                <w:szCs w:val="17"/>
                <w:color w:val="auto"/>
              </w:rPr>
            </w:pPr>
          </w:p>
        </w:tc>
        <w:tc>
          <w:tcPr>
            <w:tcW w:w="10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$ 14,178</w:t>
            </w:r>
          </w:p>
        </w:tc>
        <w:tc>
          <w:tcPr>
            <w:tcW w:w="3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7,558</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30,262</w:t>
            </w:r>
          </w:p>
        </w:tc>
        <w:tc>
          <w:tcPr>
            <w:tcW w:w="1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$ 11,220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Adjustments to GAAP basis</w:t>
      </w:r>
    </w:p>
    <w:p>
      <w:pPr>
        <w:sectPr>
          <w:pgSz w:w="11900" w:h="16838" w:orient="portrait"/>
          <w:cols w:equalWidth="0" w:num="1">
            <w:col w:w="10219"/>
          </w:cols>
          <w:pgMar w:left="240" w:top="136" w:right="1440" w:bottom="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4"/>
        </w:trPr>
        <w:tc>
          <w:tcPr>
            <w:tcW w:w="3120" w:type="dxa"/>
            <w:vAlign w:val="bottom"/>
          </w:tcPr>
          <w:p>
            <w:pPr>
              <w:ind w:left="120"/>
              <w:spacing w:after="0"/>
              <w:rPr>
                <w:sz w:val="20"/>
                <w:szCs w:val="20"/>
                <w:color w:val="auto"/>
              </w:rPr>
            </w:pPr>
            <w:r>
              <w:rPr>
                <w:rFonts w:ascii="Courier New" w:cs="Courier New" w:eastAsia="Courier New" w:hAnsi="Courier New"/>
                <w:sz w:val="18"/>
                <w:szCs w:val="18"/>
                <w:color w:val="auto"/>
              </w:rPr>
              <w:t>operating income before</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taxes</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Amortization of intangible</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assets</w:t>
            </w:r>
          </w:p>
        </w:tc>
        <w:tc>
          <w:tcPr>
            <w:tcW w:w="200" w:type="dxa"/>
            <w:vAlign w:val="bottom"/>
          </w:tcPr>
          <w:p>
            <w:pPr>
              <w:spacing w:after="0"/>
              <w:rPr>
                <w:sz w:val="17"/>
                <w:szCs w:val="17"/>
                <w:color w:val="auto"/>
              </w:rPr>
            </w:pPr>
          </w:p>
        </w:tc>
        <w:tc>
          <w:tcPr>
            <w:tcW w:w="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9,712</w:t>
            </w:r>
          </w:p>
        </w:tc>
        <w:tc>
          <w:tcPr>
            <w:tcW w:w="22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7,217</w:t>
            </w:r>
          </w:p>
        </w:tc>
        <w:tc>
          <w:tcPr>
            <w:tcW w:w="22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29,143</w:t>
            </w:r>
          </w:p>
        </w:tc>
        <w:tc>
          <w:tcPr>
            <w:tcW w:w="2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11,271</w:t>
            </w: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Restructurings</w:t>
            </w:r>
          </w:p>
        </w:tc>
        <w:tc>
          <w:tcPr>
            <w:tcW w:w="200" w:type="dxa"/>
            <w:vAlign w:val="bottom"/>
          </w:tcPr>
          <w:p>
            <w:pPr>
              <w:spacing w:after="0"/>
              <w:rPr>
                <w:sz w:val="17"/>
                <w:szCs w:val="17"/>
                <w:color w:val="auto"/>
              </w:rPr>
            </w:pPr>
          </w:p>
        </w:tc>
        <w:tc>
          <w:tcPr>
            <w:tcW w:w="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1,571</w:t>
            </w:r>
          </w:p>
        </w:tc>
        <w:tc>
          <w:tcPr>
            <w:tcW w:w="22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390</w:t>
            </w:r>
          </w:p>
        </w:tc>
        <w:tc>
          <w:tcPr>
            <w:tcW w:w="2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4,005</w:t>
            </w:r>
          </w:p>
        </w:tc>
      </w:tr>
      <w:tr>
        <w:trPr>
          <w:trHeight w:val="203"/>
        </w:trPr>
        <w:tc>
          <w:tcPr>
            <w:tcW w:w="3120" w:type="dxa"/>
            <w:vAlign w:val="bottom"/>
          </w:tcPr>
          <w:p>
            <w:pPr>
              <w:spacing w:after="0"/>
              <w:rPr>
                <w:sz w:val="17"/>
                <w:szCs w:val="17"/>
                <w:color w:val="auto"/>
              </w:rPr>
            </w:pPr>
          </w:p>
        </w:tc>
        <w:tc>
          <w:tcPr>
            <w:tcW w:w="4260" w:type="dxa"/>
            <w:vAlign w:val="bottom"/>
            <w:gridSpan w:val="8"/>
          </w:tcPr>
          <w:p>
            <w:pPr>
              <w:ind w:left="40"/>
              <w:spacing w:after="0" w:line="203" w:lineRule="exact"/>
              <w:rPr>
                <w:sz w:val="20"/>
                <w:szCs w:val="20"/>
                <w:color w:val="auto"/>
              </w:rPr>
            </w:pPr>
            <w:r>
              <w:rPr>
                <w:rFonts w:ascii="Courier New" w:cs="Courier New" w:eastAsia="Courier New" w:hAnsi="Courier New"/>
                <w:sz w:val="18"/>
                <w:szCs w:val="18"/>
                <w:color w:val="auto"/>
                <w:w w:val="97"/>
              </w:rPr>
              <w:t>--------- --------- ---------- ---------</w:t>
            </w: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adjustments</w:t>
            </w:r>
          </w:p>
        </w:tc>
        <w:tc>
          <w:tcPr>
            <w:tcW w:w="200" w:type="dxa"/>
            <w:vAlign w:val="bottom"/>
          </w:tcPr>
          <w:p>
            <w:pPr>
              <w:spacing w:after="0"/>
              <w:rPr>
                <w:sz w:val="17"/>
                <w:szCs w:val="17"/>
                <w:color w:val="auto"/>
              </w:rPr>
            </w:pPr>
          </w:p>
        </w:tc>
        <w:tc>
          <w:tcPr>
            <w:tcW w:w="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9,712</w:t>
            </w:r>
          </w:p>
        </w:tc>
        <w:tc>
          <w:tcPr>
            <w:tcW w:w="22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8,788</w:t>
            </w:r>
          </w:p>
        </w:tc>
        <w:tc>
          <w:tcPr>
            <w:tcW w:w="22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29,533</w:t>
            </w:r>
          </w:p>
        </w:tc>
        <w:tc>
          <w:tcPr>
            <w:tcW w:w="2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15,276</w:t>
            </w:r>
          </w:p>
        </w:tc>
      </w:tr>
      <w:tr>
        <w:trPr>
          <w:trHeight w:val="405"/>
        </w:trPr>
        <w:tc>
          <w:tcPr>
            <w:tcW w:w="3120" w:type="dxa"/>
            <w:vAlign w:val="bottom"/>
          </w:tcPr>
          <w:p>
            <w:pPr>
              <w:spacing w:after="0"/>
              <w:rPr>
                <w:sz w:val="24"/>
                <w:szCs w:val="24"/>
                <w:color w:val="auto"/>
              </w:rPr>
            </w:pPr>
          </w:p>
        </w:tc>
        <w:tc>
          <w:tcPr>
            <w:tcW w:w="4260" w:type="dxa"/>
            <w:vAlign w:val="bottom"/>
            <w:gridSpan w:val="8"/>
          </w:tcPr>
          <w:p>
            <w:pPr>
              <w:ind w:left="40"/>
              <w:spacing w:after="0"/>
              <w:rPr>
                <w:sz w:val="20"/>
                <w:szCs w:val="20"/>
                <w:color w:val="auto"/>
              </w:rPr>
            </w:pPr>
            <w:r>
              <w:rPr>
                <w:rFonts w:ascii="Courier New" w:cs="Courier New" w:eastAsia="Courier New" w:hAnsi="Courier New"/>
                <w:sz w:val="18"/>
                <w:szCs w:val="18"/>
                <w:color w:val="auto"/>
              </w:rPr>
              <w:t>-------- -------- --------- --------</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Pro forma operating income</w:t>
            </w:r>
          </w:p>
        </w:tc>
        <w:tc>
          <w:tcPr>
            <w:tcW w:w="10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$ 23,890</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16,346</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59,795</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$ 26,496</w:t>
            </w:r>
          </w:p>
        </w:tc>
      </w:tr>
      <w:tr>
        <w:trPr>
          <w:trHeight w:val="203"/>
        </w:trPr>
        <w:tc>
          <w:tcPr>
            <w:tcW w:w="3120" w:type="dxa"/>
            <w:vAlign w:val="bottom"/>
          </w:tcPr>
          <w:p>
            <w:pPr>
              <w:spacing w:after="0"/>
              <w:rPr>
                <w:sz w:val="17"/>
                <w:szCs w:val="17"/>
                <w:color w:val="auto"/>
              </w:rPr>
            </w:pPr>
          </w:p>
        </w:tc>
        <w:tc>
          <w:tcPr>
            <w:tcW w:w="4260" w:type="dxa"/>
            <w:vAlign w:val="bottom"/>
            <w:gridSpan w:val="8"/>
          </w:tcPr>
          <w:p>
            <w:pPr>
              <w:ind w:left="40"/>
              <w:spacing w:after="0" w:line="203" w:lineRule="exact"/>
              <w:rPr>
                <w:sz w:val="20"/>
                <w:szCs w:val="20"/>
                <w:color w:val="auto"/>
              </w:rPr>
            </w:pPr>
            <w:r>
              <w:rPr>
                <w:rFonts w:ascii="Courier New" w:cs="Courier New" w:eastAsia="Courier New" w:hAnsi="Courier New"/>
                <w:sz w:val="18"/>
                <w:szCs w:val="18"/>
                <w:color w:val="auto"/>
                <w:w w:val="97"/>
              </w:rPr>
              <w:t>========= ========= ========== =========</w:t>
            </w: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PRO FORMA NET INCOME</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GAAP basis income before</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taxes</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9,384</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2,696</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15,169</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2,736</w:t>
            </w: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Adjustments to GAAP basis</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Amortization of intangible</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assets</w:t>
            </w:r>
          </w:p>
        </w:tc>
        <w:tc>
          <w:tcPr>
            <w:tcW w:w="200" w:type="dxa"/>
            <w:vAlign w:val="bottom"/>
          </w:tcPr>
          <w:p>
            <w:pPr>
              <w:spacing w:after="0"/>
              <w:rPr>
                <w:sz w:val="17"/>
                <w:szCs w:val="17"/>
                <w:color w:val="auto"/>
              </w:rPr>
            </w:pPr>
          </w:p>
        </w:tc>
        <w:tc>
          <w:tcPr>
            <w:tcW w:w="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9,712</w:t>
            </w:r>
          </w:p>
        </w:tc>
        <w:tc>
          <w:tcPr>
            <w:tcW w:w="22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7,217</w:t>
            </w:r>
          </w:p>
        </w:tc>
        <w:tc>
          <w:tcPr>
            <w:tcW w:w="22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29,143</w:t>
            </w:r>
          </w:p>
        </w:tc>
        <w:tc>
          <w:tcPr>
            <w:tcW w:w="2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11,271</w:t>
            </w: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Amortization of debt</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placement fees</w:t>
            </w:r>
          </w:p>
        </w:tc>
        <w:tc>
          <w:tcPr>
            <w:tcW w:w="200" w:type="dxa"/>
            <w:vAlign w:val="bottom"/>
          </w:tcPr>
          <w:p>
            <w:pPr>
              <w:spacing w:after="0"/>
              <w:rPr>
                <w:sz w:val="17"/>
                <w:szCs w:val="17"/>
                <w:color w:val="auto"/>
              </w:rPr>
            </w:pPr>
          </w:p>
        </w:tc>
        <w:tc>
          <w:tcPr>
            <w:tcW w:w="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1,245</w:t>
            </w:r>
          </w:p>
        </w:tc>
        <w:tc>
          <w:tcPr>
            <w:tcW w:w="22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714</w:t>
            </w:r>
          </w:p>
        </w:tc>
        <w:tc>
          <w:tcPr>
            <w:tcW w:w="22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4,223</w:t>
            </w:r>
          </w:p>
        </w:tc>
        <w:tc>
          <w:tcPr>
            <w:tcW w:w="2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1,112</w:t>
            </w: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Restructurings</w:t>
            </w:r>
          </w:p>
        </w:tc>
        <w:tc>
          <w:tcPr>
            <w:tcW w:w="200" w:type="dxa"/>
            <w:vAlign w:val="bottom"/>
          </w:tcPr>
          <w:p>
            <w:pPr>
              <w:spacing w:after="0"/>
              <w:rPr>
                <w:sz w:val="17"/>
                <w:szCs w:val="17"/>
                <w:color w:val="auto"/>
              </w:rPr>
            </w:pPr>
          </w:p>
        </w:tc>
        <w:tc>
          <w:tcPr>
            <w:tcW w:w="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1,571</w:t>
            </w:r>
          </w:p>
        </w:tc>
        <w:tc>
          <w:tcPr>
            <w:tcW w:w="22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390</w:t>
            </w:r>
          </w:p>
        </w:tc>
        <w:tc>
          <w:tcPr>
            <w:tcW w:w="2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4,005</w:t>
            </w: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Non-cash stock compensation</w:t>
            </w:r>
          </w:p>
        </w:tc>
        <w:tc>
          <w:tcPr>
            <w:tcW w:w="200" w:type="dxa"/>
            <w:vAlign w:val="bottom"/>
          </w:tcPr>
          <w:p>
            <w:pPr>
              <w:spacing w:after="0"/>
              <w:rPr>
                <w:sz w:val="17"/>
                <w:szCs w:val="17"/>
                <w:color w:val="auto"/>
              </w:rPr>
            </w:pPr>
          </w:p>
        </w:tc>
        <w:tc>
          <w:tcPr>
            <w:tcW w:w="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73</w:t>
            </w:r>
          </w:p>
        </w:tc>
        <w:tc>
          <w:tcPr>
            <w:tcW w:w="2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spacing w:after="0"/>
              <w:rPr>
                <w:sz w:val="17"/>
                <w:szCs w:val="17"/>
                <w:color w:val="auto"/>
              </w:rPr>
            </w:pPr>
          </w:p>
        </w:tc>
        <w:tc>
          <w:tcPr>
            <w:tcW w:w="4260" w:type="dxa"/>
            <w:vAlign w:val="bottom"/>
            <w:gridSpan w:val="8"/>
          </w:tcPr>
          <w:p>
            <w:pPr>
              <w:ind w:left="40"/>
              <w:spacing w:after="0" w:line="203" w:lineRule="exact"/>
              <w:rPr>
                <w:sz w:val="20"/>
                <w:szCs w:val="20"/>
                <w:color w:val="auto"/>
              </w:rPr>
            </w:pPr>
            <w:r>
              <w:rPr>
                <w:rFonts w:ascii="Courier New" w:cs="Courier New" w:eastAsia="Courier New" w:hAnsi="Courier New"/>
                <w:sz w:val="18"/>
                <w:szCs w:val="18"/>
                <w:color w:val="auto"/>
                <w:w w:val="97"/>
              </w:rPr>
              <w:t>--------- --------- ---------- ---------</w:t>
            </w: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adjustments</w:t>
            </w:r>
          </w:p>
        </w:tc>
        <w:tc>
          <w:tcPr>
            <w:tcW w:w="200" w:type="dxa"/>
            <w:vAlign w:val="bottom"/>
          </w:tcPr>
          <w:p>
            <w:pPr>
              <w:spacing w:after="0"/>
              <w:rPr>
                <w:sz w:val="17"/>
                <w:szCs w:val="17"/>
                <w:color w:val="auto"/>
              </w:rPr>
            </w:pPr>
          </w:p>
        </w:tc>
        <w:tc>
          <w:tcPr>
            <w:tcW w:w="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10,957</w:t>
            </w:r>
          </w:p>
        </w:tc>
        <w:tc>
          <w:tcPr>
            <w:tcW w:w="22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9,502</w:t>
            </w:r>
          </w:p>
        </w:tc>
        <w:tc>
          <w:tcPr>
            <w:tcW w:w="22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33,829</w:t>
            </w:r>
          </w:p>
        </w:tc>
        <w:tc>
          <w:tcPr>
            <w:tcW w:w="2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16,388</w:t>
            </w: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w w:val="98"/>
              </w:rPr>
              <w:t>Adjusted income before income</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taxes</w:t>
            </w:r>
          </w:p>
        </w:tc>
        <w:tc>
          <w:tcPr>
            <w:tcW w:w="200" w:type="dxa"/>
            <w:vAlign w:val="bottom"/>
          </w:tcPr>
          <w:p>
            <w:pPr>
              <w:spacing w:after="0"/>
              <w:rPr>
                <w:sz w:val="17"/>
                <w:szCs w:val="17"/>
                <w:color w:val="auto"/>
              </w:rPr>
            </w:pPr>
          </w:p>
        </w:tc>
        <w:tc>
          <w:tcPr>
            <w:tcW w:w="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20,341</w:t>
            </w:r>
          </w:p>
        </w:tc>
        <w:tc>
          <w:tcPr>
            <w:tcW w:w="22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12,198</w:t>
            </w:r>
          </w:p>
        </w:tc>
        <w:tc>
          <w:tcPr>
            <w:tcW w:w="22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48,998</w:t>
            </w:r>
          </w:p>
        </w:tc>
        <w:tc>
          <w:tcPr>
            <w:tcW w:w="2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19,124</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provision(a)</w:t>
            </w:r>
          </w:p>
        </w:tc>
        <w:tc>
          <w:tcPr>
            <w:tcW w:w="2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(7,721)</w:t>
            </w:r>
          </w:p>
        </w:tc>
        <w:tc>
          <w:tcPr>
            <w:tcW w:w="2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(5,099)</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(18,688)</w:t>
            </w:r>
          </w:p>
        </w:tc>
        <w:tc>
          <w:tcPr>
            <w:tcW w:w="2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(7,688)</w:t>
            </w:r>
          </w:p>
        </w:tc>
      </w:tr>
      <w:tr>
        <w:trPr>
          <w:trHeight w:val="203"/>
        </w:trPr>
        <w:tc>
          <w:tcPr>
            <w:tcW w:w="3120" w:type="dxa"/>
            <w:vAlign w:val="bottom"/>
          </w:tcPr>
          <w:p>
            <w:pPr>
              <w:spacing w:after="0"/>
              <w:rPr>
                <w:sz w:val="17"/>
                <w:szCs w:val="17"/>
                <w:color w:val="auto"/>
              </w:rPr>
            </w:pPr>
          </w:p>
        </w:tc>
        <w:tc>
          <w:tcPr>
            <w:tcW w:w="3260" w:type="dxa"/>
            <w:vAlign w:val="bottom"/>
            <w:gridSpan w:val="6"/>
          </w:tcPr>
          <w:p>
            <w:pPr>
              <w:ind w:left="40"/>
              <w:spacing w:after="0" w:line="203" w:lineRule="exact"/>
              <w:rPr>
                <w:sz w:val="20"/>
                <w:szCs w:val="20"/>
                <w:color w:val="auto"/>
              </w:rPr>
            </w:pPr>
            <w:r>
              <w:rPr>
                <w:rFonts w:ascii="Courier New" w:cs="Courier New" w:eastAsia="Courier New" w:hAnsi="Courier New"/>
                <w:sz w:val="18"/>
                <w:szCs w:val="18"/>
                <w:color w:val="auto"/>
                <w:w w:val="98"/>
              </w:rPr>
              <w:t>--------- --------- ----------</w:t>
            </w:r>
          </w:p>
        </w:tc>
        <w:tc>
          <w:tcPr>
            <w:tcW w:w="1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Pro forma net income</w:t>
            </w:r>
          </w:p>
        </w:tc>
        <w:tc>
          <w:tcPr>
            <w:tcW w:w="10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$ 12,620</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7,099</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30,310</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$ 11,436</w:t>
            </w:r>
          </w:p>
        </w:tc>
      </w:tr>
      <w:tr>
        <w:trPr>
          <w:trHeight w:val="203"/>
        </w:trPr>
        <w:tc>
          <w:tcPr>
            <w:tcW w:w="3120" w:type="dxa"/>
            <w:vAlign w:val="bottom"/>
          </w:tcPr>
          <w:p>
            <w:pPr>
              <w:spacing w:after="0"/>
              <w:rPr>
                <w:sz w:val="17"/>
                <w:szCs w:val="17"/>
                <w:color w:val="auto"/>
              </w:rPr>
            </w:pPr>
          </w:p>
        </w:tc>
        <w:tc>
          <w:tcPr>
            <w:tcW w:w="4260" w:type="dxa"/>
            <w:vAlign w:val="bottom"/>
            <w:gridSpan w:val="8"/>
          </w:tcPr>
          <w:p>
            <w:pPr>
              <w:ind w:left="40"/>
              <w:spacing w:after="0" w:line="203" w:lineRule="exact"/>
              <w:rPr>
                <w:sz w:val="20"/>
                <w:szCs w:val="20"/>
                <w:color w:val="auto"/>
              </w:rPr>
            </w:pPr>
            <w:r>
              <w:rPr>
                <w:rFonts w:ascii="Courier New" w:cs="Courier New" w:eastAsia="Courier New" w:hAnsi="Courier New"/>
                <w:sz w:val="18"/>
                <w:szCs w:val="18"/>
                <w:color w:val="auto"/>
                <w:w w:val="97"/>
              </w:rPr>
              <w:t>========= ========= ========== =========</w:t>
            </w: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PRO FORMA EARNINGS PER SHARE</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number of</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basic shares outstanding</w:t>
            </w:r>
          </w:p>
        </w:tc>
        <w:tc>
          <w:tcPr>
            <w:tcW w:w="200" w:type="dxa"/>
            <w:vAlign w:val="bottom"/>
          </w:tcPr>
          <w:p>
            <w:pPr>
              <w:spacing w:after="0"/>
              <w:rPr>
                <w:sz w:val="17"/>
                <w:szCs w:val="17"/>
                <w:color w:val="auto"/>
              </w:rPr>
            </w:pPr>
          </w:p>
        </w:tc>
        <w:tc>
          <w:tcPr>
            <w:tcW w:w="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24,441</w:t>
            </w:r>
          </w:p>
        </w:tc>
        <w:tc>
          <w:tcPr>
            <w:tcW w:w="22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20,978</w:t>
            </w:r>
          </w:p>
        </w:tc>
        <w:tc>
          <w:tcPr>
            <w:tcW w:w="22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22,912</w:t>
            </w:r>
          </w:p>
        </w:tc>
        <w:tc>
          <w:tcPr>
            <w:tcW w:w="2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20,827</w:t>
            </w: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Basic pro forma net income</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 share</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0.52</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0.34</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1.32</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0.55</w:t>
            </w:r>
          </w:p>
        </w:tc>
      </w:tr>
      <w:tr>
        <w:trPr>
          <w:trHeight w:val="203"/>
        </w:trPr>
        <w:tc>
          <w:tcPr>
            <w:tcW w:w="3120" w:type="dxa"/>
            <w:vAlign w:val="bottom"/>
          </w:tcPr>
          <w:p>
            <w:pPr>
              <w:spacing w:after="0"/>
              <w:rPr>
                <w:sz w:val="17"/>
                <w:szCs w:val="17"/>
                <w:color w:val="auto"/>
              </w:rPr>
            </w:pPr>
          </w:p>
        </w:tc>
        <w:tc>
          <w:tcPr>
            <w:tcW w:w="4260" w:type="dxa"/>
            <w:vAlign w:val="bottom"/>
            <w:gridSpan w:val="8"/>
          </w:tcPr>
          <w:p>
            <w:pPr>
              <w:ind w:left="40"/>
              <w:spacing w:after="0" w:line="203" w:lineRule="exact"/>
              <w:rPr>
                <w:sz w:val="20"/>
                <w:szCs w:val="20"/>
                <w:color w:val="auto"/>
              </w:rPr>
            </w:pPr>
            <w:r>
              <w:rPr>
                <w:rFonts w:ascii="Courier New" w:cs="Courier New" w:eastAsia="Courier New" w:hAnsi="Courier New"/>
                <w:sz w:val="18"/>
                <w:szCs w:val="18"/>
                <w:color w:val="auto"/>
                <w:w w:val="97"/>
              </w:rPr>
              <w:t>========= ========= ========== =========</w:t>
            </w: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Diluted</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number of</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basic shares outstanding</w:t>
            </w:r>
          </w:p>
        </w:tc>
        <w:tc>
          <w:tcPr>
            <w:tcW w:w="200" w:type="dxa"/>
            <w:vAlign w:val="bottom"/>
          </w:tcPr>
          <w:p>
            <w:pPr>
              <w:spacing w:after="0"/>
              <w:rPr>
                <w:sz w:val="17"/>
                <w:szCs w:val="17"/>
                <w:color w:val="auto"/>
              </w:rPr>
            </w:pPr>
          </w:p>
        </w:tc>
        <w:tc>
          <w:tcPr>
            <w:tcW w:w="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24,441</w:t>
            </w:r>
          </w:p>
        </w:tc>
        <w:tc>
          <w:tcPr>
            <w:tcW w:w="22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20,978</w:t>
            </w:r>
          </w:p>
        </w:tc>
        <w:tc>
          <w:tcPr>
            <w:tcW w:w="22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22,912</w:t>
            </w:r>
          </w:p>
        </w:tc>
        <w:tc>
          <w:tcPr>
            <w:tcW w:w="2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20,827</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Employee stock option shares</w:t>
            </w:r>
          </w:p>
        </w:tc>
        <w:tc>
          <w:tcPr>
            <w:tcW w:w="200" w:type="dxa"/>
            <w:vAlign w:val="bottom"/>
          </w:tcPr>
          <w:p>
            <w:pPr>
              <w:spacing w:after="0"/>
              <w:rPr>
                <w:sz w:val="17"/>
                <w:szCs w:val="17"/>
                <w:color w:val="auto"/>
              </w:rPr>
            </w:pPr>
          </w:p>
        </w:tc>
        <w:tc>
          <w:tcPr>
            <w:tcW w:w="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1,478</w:t>
            </w:r>
          </w:p>
        </w:tc>
        <w:tc>
          <w:tcPr>
            <w:tcW w:w="22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1,072</w:t>
            </w:r>
          </w:p>
        </w:tc>
        <w:tc>
          <w:tcPr>
            <w:tcW w:w="22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1,559</w:t>
            </w:r>
          </w:p>
        </w:tc>
        <w:tc>
          <w:tcPr>
            <w:tcW w:w="2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1,178</w:t>
            </w:r>
          </w:p>
        </w:tc>
      </w:tr>
      <w:tr>
        <w:trPr>
          <w:trHeight w:val="203"/>
        </w:trPr>
        <w:tc>
          <w:tcPr>
            <w:tcW w:w="3120" w:type="dxa"/>
            <w:vAlign w:val="bottom"/>
          </w:tcPr>
          <w:p>
            <w:pPr>
              <w:spacing w:after="0"/>
              <w:rPr>
                <w:sz w:val="17"/>
                <w:szCs w:val="17"/>
                <w:color w:val="auto"/>
              </w:rPr>
            </w:pPr>
          </w:p>
        </w:tc>
        <w:tc>
          <w:tcPr>
            <w:tcW w:w="4260" w:type="dxa"/>
            <w:vAlign w:val="bottom"/>
            <w:gridSpan w:val="8"/>
          </w:tcPr>
          <w:p>
            <w:pPr>
              <w:ind w:left="40"/>
              <w:spacing w:after="0" w:line="203" w:lineRule="exact"/>
              <w:rPr>
                <w:sz w:val="20"/>
                <w:szCs w:val="20"/>
                <w:color w:val="auto"/>
              </w:rPr>
            </w:pPr>
            <w:r>
              <w:rPr>
                <w:rFonts w:ascii="Courier New" w:cs="Courier New" w:eastAsia="Courier New" w:hAnsi="Courier New"/>
                <w:sz w:val="18"/>
                <w:szCs w:val="18"/>
                <w:color w:val="auto"/>
                <w:w w:val="97"/>
              </w:rPr>
              <w:t>--------- --------- ---------- ---------</w:t>
            </w: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Weighted average number of</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diluted shares outstanding</w:t>
            </w:r>
          </w:p>
        </w:tc>
        <w:tc>
          <w:tcPr>
            <w:tcW w:w="200" w:type="dxa"/>
            <w:vAlign w:val="bottom"/>
          </w:tcPr>
          <w:p>
            <w:pPr>
              <w:spacing w:after="0"/>
              <w:rPr>
                <w:sz w:val="17"/>
                <w:szCs w:val="17"/>
                <w:color w:val="auto"/>
              </w:rPr>
            </w:pPr>
          </w:p>
        </w:tc>
        <w:tc>
          <w:tcPr>
            <w:tcW w:w="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25,919</w:t>
            </w:r>
          </w:p>
        </w:tc>
        <w:tc>
          <w:tcPr>
            <w:tcW w:w="22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22,050</w:t>
            </w:r>
          </w:p>
        </w:tc>
        <w:tc>
          <w:tcPr>
            <w:tcW w:w="22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24,471</w:t>
            </w:r>
          </w:p>
        </w:tc>
        <w:tc>
          <w:tcPr>
            <w:tcW w:w="2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22,005</w:t>
            </w: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Diluted pro forma net income</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 share</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0.49</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0.32</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1.24</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0.52</w:t>
            </w:r>
          </w:p>
        </w:tc>
      </w:tr>
      <w:tr>
        <w:trPr>
          <w:trHeight w:val="203"/>
        </w:trPr>
        <w:tc>
          <w:tcPr>
            <w:tcW w:w="3120" w:type="dxa"/>
            <w:vAlign w:val="bottom"/>
          </w:tcPr>
          <w:p>
            <w:pPr>
              <w:spacing w:after="0"/>
              <w:rPr>
                <w:sz w:val="17"/>
                <w:szCs w:val="17"/>
                <w:color w:val="auto"/>
              </w:rPr>
            </w:pPr>
          </w:p>
        </w:tc>
        <w:tc>
          <w:tcPr>
            <w:tcW w:w="4260" w:type="dxa"/>
            <w:vAlign w:val="bottom"/>
            <w:gridSpan w:val="8"/>
          </w:tcPr>
          <w:p>
            <w:pPr>
              <w:ind w:left="40"/>
              <w:spacing w:after="0" w:line="203" w:lineRule="exact"/>
              <w:rPr>
                <w:sz w:val="20"/>
                <w:szCs w:val="20"/>
                <w:color w:val="auto"/>
              </w:rPr>
            </w:pPr>
            <w:r>
              <w:rPr>
                <w:rFonts w:ascii="Courier New" w:cs="Courier New" w:eastAsia="Courier New" w:hAnsi="Courier New"/>
                <w:sz w:val="18"/>
                <w:szCs w:val="18"/>
                <w:color w:val="auto"/>
                <w:w w:val="97"/>
              </w:rPr>
              <w:t>========= ========= ========== =========</w:t>
            </w:r>
          </w:p>
        </w:tc>
      </w:tr>
    </w:tbl>
    <w:p>
      <w:pPr>
        <w:spacing w:after="0" w:line="207" w:lineRule="exact"/>
        <w:rPr>
          <w:sz w:val="20"/>
          <w:szCs w:val="20"/>
          <w:color w:val="auto"/>
        </w:rPr>
      </w:pPr>
    </w:p>
    <w:p>
      <w:pPr>
        <w:jc w:val="both"/>
        <w:ind w:left="420" w:right="2839" w:hanging="412"/>
        <w:spacing w:after="0" w:line="236"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 forma tax provision excludes the $5.9 million research and development tax credit reported for GAAP during the second quarter of 2005.</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6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5"/>
              </w:rPr>
              <w:t>ITRON, INC.</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48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w w:val="96"/>
              </w:rPr>
              <w:t>RECONCILIATIONS BETWEEN</w:t>
            </w:r>
          </w:p>
        </w:tc>
        <w:tc>
          <w:tcPr>
            <w:tcW w:w="290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8"/>
              </w:rPr>
              <w:t>GAAP NET INCOME AND EBITDA</w:t>
            </w:r>
          </w:p>
        </w:tc>
        <w:tc>
          <w:tcPr>
            <w:tcW w:w="1000" w:type="dxa"/>
            <w:vAlign w:val="bottom"/>
          </w:tcPr>
          <w:p>
            <w:pPr>
              <w:spacing w:after="0"/>
              <w:rPr>
                <w:sz w:val="17"/>
                <w:szCs w:val="17"/>
                <w:color w:val="auto"/>
              </w:rPr>
            </w:pPr>
          </w:p>
        </w:tc>
      </w:tr>
      <w:tr>
        <w:trPr>
          <w:trHeight w:val="608"/>
        </w:trPr>
        <w:tc>
          <w:tcPr>
            <w:tcW w:w="3060" w:type="dxa"/>
            <w:vAlign w:val="bottom"/>
          </w:tcPr>
          <w:p>
            <w:pPr>
              <w:spacing w:after="0"/>
              <w:rPr>
                <w:sz w:val="20"/>
                <w:szCs w:val="20"/>
                <w:color w:val="auto"/>
              </w:rPr>
            </w:pPr>
            <w:r>
              <w:rPr>
                <w:rFonts w:ascii="Courier New" w:cs="Courier New" w:eastAsia="Courier New" w:hAnsi="Courier New"/>
                <w:sz w:val="18"/>
                <w:szCs w:val="18"/>
                <w:color w:val="auto"/>
              </w:rPr>
              <w:t>(Unaudited, in thousands)</w:t>
            </w: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3060" w:type="dxa"/>
            <w:vAlign w:val="bottom"/>
          </w:tcPr>
          <w:p>
            <w:pPr>
              <w:spacing w:after="0"/>
              <w:rPr>
                <w:sz w:val="17"/>
                <w:szCs w:val="17"/>
                <w:color w:val="auto"/>
              </w:rPr>
            </w:pPr>
          </w:p>
        </w:tc>
        <w:tc>
          <w:tcPr>
            <w:tcW w:w="148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5"/>
              </w:rPr>
              <w:t>Three Months</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Ended</w:t>
            </w:r>
          </w:p>
        </w:tc>
        <w:tc>
          <w:tcPr>
            <w:tcW w:w="20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Nine Months Ended</w:t>
            </w:r>
          </w:p>
        </w:tc>
      </w:tr>
      <w:tr>
        <w:trPr>
          <w:trHeight w:val="203"/>
        </w:trPr>
        <w:tc>
          <w:tcPr>
            <w:tcW w:w="3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6"/>
              </w:rPr>
              <w:t>September</w:t>
            </w:r>
          </w:p>
        </w:tc>
        <w:tc>
          <w:tcPr>
            <w:tcW w:w="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30,</w:t>
            </w:r>
          </w:p>
        </w:tc>
        <w:tc>
          <w:tcPr>
            <w:tcW w:w="2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September 30,</w:t>
            </w:r>
          </w:p>
        </w:tc>
      </w:tr>
      <w:tr>
        <w:trPr>
          <w:trHeight w:val="203"/>
        </w:trPr>
        <w:tc>
          <w:tcPr>
            <w:tcW w:w="3060" w:type="dxa"/>
            <w:vAlign w:val="bottom"/>
          </w:tcPr>
          <w:p>
            <w:pPr>
              <w:spacing w:after="0"/>
              <w:rPr>
                <w:sz w:val="17"/>
                <w:szCs w:val="17"/>
                <w:color w:val="auto"/>
              </w:rPr>
            </w:pPr>
          </w:p>
        </w:tc>
        <w:tc>
          <w:tcPr>
            <w:tcW w:w="4320" w:type="dxa"/>
            <w:vAlign w:val="bottom"/>
            <w:gridSpan w:val="6"/>
          </w:tcPr>
          <w:p>
            <w:pPr>
              <w:ind w:left="22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3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2005</w:t>
            </w:r>
          </w:p>
        </w:tc>
        <w:tc>
          <w:tcPr>
            <w:tcW w:w="260" w:type="dxa"/>
            <w:vAlign w:val="bottom"/>
          </w:tcPr>
          <w:p>
            <w:pPr>
              <w:spacing w:after="0"/>
              <w:rPr>
                <w:sz w:val="17"/>
                <w:szCs w:val="17"/>
                <w:color w:val="auto"/>
              </w:rPr>
            </w:pPr>
          </w:p>
        </w:tc>
        <w:tc>
          <w:tcPr>
            <w:tcW w:w="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2004</w:t>
            </w:r>
          </w:p>
        </w:tc>
        <w:tc>
          <w:tcPr>
            <w:tcW w:w="1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2005</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2004</w:t>
            </w:r>
          </w:p>
        </w:tc>
      </w:tr>
      <w:tr>
        <w:trPr>
          <w:trHeight w:val="203"/>
        </w:trPr>
        <w:tc>
          <w:tcPr>
            <w:tcW w:w="3060" w:type="dxa"/>
            <w:vAlign w:val="bottom"/>
          </w:tcPr>
          <w:p>
            <w:pPr>
              <w:spacing w:after="0"/>
              <w:rPr>
                <w:sz w:val="17"/>
                <w:szCs w:val="17"/>
                <w:color w:val="auto"/>
              </w:rPr>
            </w:pPr>
          </w:p>
        </w:tc>
        <w:tc>
          <w:tcPr>
            <w:tcW w:w="1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rPr>
              <w:t>GAAP basis net income</w:t>
            </w:r>
          </w:p>
        </w:tc>
        <w:tc>
          <w:tcPr>
            <w:tcW w:w="420" w:type="dxa"/>
            <w:vAlign w:val="bottom"/>
          </w:tcPr>
          <w:p>
            <w:pPr>
              <w:ind w:left="220"/>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6,002</w:t>
            </w:r>
          </w:p>
        </w:tc>
        <w:tc>
          <w:tcPr>
            <w:tcW w:w="260" w:type="dxa"/>
            <w:vAlign w:val="bottom"/>
          </w:tcPr>
          <w:p>
            <w:pPr>
              <w:ind w:left="40"/>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1,670</w:t>
            </w: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$ 16,132</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1,750</w:t>
            </w: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w w:val="97"/>
              </w:rPr>
              <w:t>Adjustments to GAAP basis net</w:t>
            </w: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 income</w:t>
            </w:r>
          </w:p>
        </w:tc>
        <w:tc>
          <w:tcPr>
            <w:tcW w:w="4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w:t>
            </w:r>
          </w:p>
        </w:tc>
        <w:tc>
          <w:tcPr>
            <w:tcW w:w="2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(167)</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(152)</w:t>
            </w: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42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4,328</w:t>
            </w:r>
          </w:p>
        </w:tc>
        <w:tc>
          <w:tcPr>
            <w:tcW w:w="2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5,147</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15,280</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8,162</w:t>
            </w: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tax provision</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(benefit)</w:t>
            </w:r>
          </w:p>
        </w:tc>
        <w:tc>
          <w:tcPr>
            <w:tcW w:w="42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3,382</w:t>
            </w:r>
          </w:p>
        </w:tc>
        <w:tc>
          <w:tcPr>
            <w:tcW w:w="2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1,026</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(963)</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986</w:t>
            </w:r>
          </w:p>
        </w:tc>
      </w:tr>
      <w:tr>
        <w:trPr>
          <w:trHeight w:val="203"/>
        </w:trPr>
        <w:tc>
          <w:tcPr>
            <w:tcW w:w="34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12,661</w:t>
            </w:r>
          </w:p>
        </w:tc>
        <w:tc>
          <w:tcPr>
            <w:tcW w:w="2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10,430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38,785</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19,260</w:t>
            </w:r>
          </w:p>
        </w:tc>
      </w:tr>
    </w:tbl>
    <w:p>
      <w:pPr>
        <w:sectPr>
          <w:pgSz w:w="11900" w:h="16838" w:orient="portrait"/>
          <w:cols w:equalWidth="0" w:num="1">
            <w:col w:w="10219"/>
          </w:cols>
          <w:pgMar w:left="240" w:top="136" w:right="1440"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20" w:type="dxa"/>
            <w:vAlign w:val="bottom"/>
            <w:gridSpan w:val="8"/>
          </w:tcPr>
          <w:p>
            <w:pPr>
              <w:jc w:val="right"/>
              <w:spacing w:after="0"/>
              <w:rPr>
                <w:sz w:val="20"/>
                <w:szCs w:val="20"/>
                <w:color w:val="auto"/>
              </w:rPr>
            </w:pPr>
            <w:r>
              <w:rPr>
                <w:rFonts w:ascii="Courier New" w:cs="Courier New" w:eastAsia="Courier New" w:hAnsi="Courier New"/>
                <w:sz w:val="18"/>
                <w:szCs w:val="18"/>
                <w:color w:val="auto"/>
              </w:rPr>
              <w:t>--------- --------- --------- ---------</w:t>
            </w:r>
          </w:p>
        </w:tc>
      </w:tr>
      <w:tr>
        <w:trPr>
          <w:trHeight w:val="203"/>
        </w:trPr>
        <w:tc>
          <w:tcPr>
            <w:tcW w:w="2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adjustments</w:t>
            </w:r>
          </w:p>
        </w:tc>
        <w:tc>
          <w:tcPr>
            <w:tcW w:w="100" w:type="dxa"/>
            <w:vAlign w:val="bottom"/>
          </w:tcPr>
          <w:p>
            <w:pPr>
              <w:spacing w:after="0"/>
              <w:rPr>
                <w:sz w:val="17"/>
                <w:szCs w:val="17"/>
                <w:color w:val="auto"/>
              </w:rPr>
            </w:pP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20,302</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16,579</w:t>
            </w:r>
          </w:p>
        </w:tc>
        <w:tc>
          <w:tcPr>
            <w:tcW w:w="120" w:type="dxa"/>
            <w:vAlign w:val="bottom"/>
          </w:tcPr>
          <w:p>
            <w:pPr>
              <w:spacing w:after="0"/>
              <w:rPr>
                <w:sz w:val="17"/>
                <w:szCs w:val="17"/>
                <w:color w:val="auto"/>
              </w:rPr>
            </w:pP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52,935</w:t>
            </w: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28,256</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EBITDA</w:t>
            </w:r>
          </w:p>
        </w:tc>
        <w:tc>
          <w:tcPr>
            <w:tcW w:w="10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$ 26,304</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$ 18,249</w:t>
            </w:r>
          </w:p>
        </w:tc>
        <w:tc>
          <w:tcPr>
            <w:tcW w:w="1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$ 69,067</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30,006</w:t>
            </w:r>
          </w:p>
        </w:tc>
      </w:tr>
      <w:tr>
        <w:trPr>
          <w:trHeight w:val="203"/>
        </w:trPr>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2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rPr>
              <w:t>========= ========= ========= =========</w:t>
            </w:r>
          </w:p>
        </w:tc>
      </w:tr>
      <w:tr>
        <w:trPr>
          <w:trHeight w:val="810"/>
        </w:trPr>
        <w:tc>
          <w:tcPr>
            <w:tcW w:w="286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5"/>
              </w:rPr>
              <w:t>ITRON, INC.</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160" w:type="dxa"/>
            <w:vAlign w:val="bottom"/>
            <w:gridSpan w:val="5"/>
          </w:tcPr>
          <w:p>
            <w:pPr>
              <w:ind w:left="2440"/>
              <w:spacing w:after="0" w:line="203" w:lineRule="exact"/>
              <w:rPr>
                <w:sz w:val="20"/>
                <w:szCs w:val="20"/>
                <w:color w:val="auto"/>
              </w:rPr>
            </w:pPr>
            <w:r>
              <w:rPr>
                <w:rFonts w:ascii="Courier New" w:cs="Courier New" w:eastAsia="Courier New" w:hAnsi="Courier New"/>
                <w:sz w:val="18"/>
                <w:szCs w:val="18"/>
                <w:color w:val="auto"/>
              </w:rPr>
              <w:t>SEGMENT INFORMATION</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608"/>
        </w:trPr>
        <w:tc>
          <w:tcPr>
            <w:tcW w:w="2860" w:type="dxa"/>
            <w:vAlign w:val="bottom"/>
          </w:tcPr>
          <w:p>
            <w:pPr>
              <w:spacing w:after="0"/>
              <w:rPr>
                <w:sz w:val="20"/>
                <w:szCs w:val="20"/>
                <w:color w:val="auto"/>
              </w:rPr>
            </w:pPr>
            <w:r>
              <w:rPr>
                <w:rFonts w:ascii="Courier New" w:cs="Courier New" w:eastAsia="Courier New" w:hAnsi="Courier New"/>
                <w:sz w:val="18"/>
                <w:szCs w:val="18"/>
                <w:color w:val="auto"/>
              </w:rPr>
              <w:t>(Unaudited, in thousands)</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05"/>
        </w:trPr>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gridSpan w:val="3"/>
          </w:tcPr>
          <w:p>
            <w:pPr>
              <w:spacing w:after="0"/>
              <w:rPr>
                <w:sz w:val="20"/>
                <w:szCs w:val="20"/>
                <w:color w:val="auto"/>
              </w:rPr>
            </w:pPr>
            <w:r>
              <w:rPr>
                <w:rFonts w:ascii="Courier New" w:cs="Courier New" w:eastAsia="Courier New" w:hAnsi="Courier New"/>
                <w:sz w:val="18"/>
                <w:szCs w:val="18"/>
                <w:color w:val="auto"/>
              </w:rPr>
              <w:t>Three Months Ended</w:t>
            </w:r>
          </w:p>
        </w:tc>
        <w:tc>
          <w:tcPr>
            <w:tcW w:w="120" w:type="dxa"/>
            <w:vAlign w:val="bottom"/>
          </w:tcPr>
          <w:p>
            <w:pPr>
              <w:spacing w:after="0"/>
              <w:rPr>
                <w:sz w:val="24"/>
                <w:szCs w:val="24"/>
                <w:color w:val="auto"/>
              </w:rPr>
            </w:pPr>
          </w:p>
        </w:tc>
        <w:tc>
          <w:tcPr>
            <w:tcW w:w="2100" w:type="dxa"/>
            <w:vAlign w:val="bottom"/>
            <w:gridSpan w:val="4"/>
          </w:tcPr>
          <w:p>
            <w:pPr>
              <w:jc w:val="right"/>
              <w:ind w:right="232"/>
              <w:spacing w:after="0"/>
              <w:rPr>
                <w:sz w:val="20"/>
                <w:szCs w:val="20"/>
                <w:color w:val="auto"/>
              </w:rPr>
            </w:pPr>
            <w:r>
              <w:rPr>
                <w:rFonts w:ascii="Courier New" w:cs="Courier New" w:eastAsia="Courier New" w:hAnsi="Courier New"/>
                <w:sz w:val="18"/>
                <w:szCs w:val="18"/>
                <w:color w:val="auto"/>
                <w:w w:val="95"/>
              </w:rPr>
              <w:t>Nine Months Ended</w:t>
            </w:r>
          </w:p>
        </w:tc>
      </w:tr>
      <w:tr>
        <w:trPr>
          <w:trHeight w:val="203"/>
        </w:trPr>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gridSpan w:val="3"/>
          </w:tcPr>
          <w:p>
            <w:pPr>
              <w:jc w:val="right"/>
              <w:ind w:right="432"/>
              <w:spacing w:after="0" w:line="203" w:lineRule="exact"/>
              <w:rPr>
                <w:sz w:val="20"/>
                <w:szCs w:val="20"/>
                <w:color w:val="auto"/>
              </w:rPr>
            </w:pPr>
            <w:r>
              <w:rPr>
                <w:rFonts w:ascii="Courier New" w:cs="Courier New" w:eastAsia="Courier New" w:hAnsi="Courier New"/>
                <w:sz w:val="18"/>
                <w:szCs w:val="18"/>
                <w:color w:val="auto"/>
              </w:rPr>
              <w:t>September 30,</w:t>
            </w:r>
          </w:p>
        </w:tc>
        <w:tc>
          <w:tcPr>
            <w:tcW w:w="120" w:type="dxa"/>
            <w:vAlign w:val="bottom"/>
          </w:tcPr>
          <w:p>
            <w:pPr>
              <w:spacing w:after="0"/>
              <w:rPr>
                <w:sz w:val="17"/>
                <w:szCs w:val="17"/>
                <w:color w:val="auto"/>
              </w:rPr>
            </w:pPr>
          </w:p>
        </w:tc>
        <w:tc>
          <w:tcPr>
            <w:tcW w:w="2100" w:type="dxa"/>
            <w:vAlign w:val="bottom"/>
            <w:gridSpan w:val="4"/>
          </w:tcPr>
          <w:p>
            <w:pPr>
              <w:jc w:val="right"/>
              <w:ind w:right="332"/>
              <w:spacing w:after="0" w:line="203" w:lineRule="exact"/>
              <w:rPr>
                <w:sz w:val="20"/>
                <w:szCs w:val="20"/>
                <w:color w:val="auto"/>
              </w:rPr>
            </w:pPr>
            <w:r>
              <w:rPr>
                <w:rFonts w:ascii="Courier New" w:cs="Courier New" w:eastAsia="Courier New" w:hAnsi="Courier New"/>
                <w:sz w:val="18"/>
                <w:szCs w:val="18"/>
                <w:color w:val="auto"/>
              </w:rPr>
              <w:t>September 30,</w:t>
            </w:r>
          </w:p>
        </w:tc>
      </w:tr>
      <w:tr>
        <w:trPr>
          <w:trHeight w:val="203"/>
        </w:trPr>
        <w:tc>
          <w:tcPr>
            <w:tcW w:w="2860" w:type="dxa"/>
            <w:vAlign w:val="bottom"/>
          </w:tcPr>
          <w:p>
            <w:pPr>
              <w:spacing w:after="0"/>
              <w:rPr>
                <w:sz w:val="17"/>
                <w:szCs w:val="17"/>
                <w:color w:val="auto"/>
              </w:rPr>
            </w:pPr>
          </w:p>
        </w:tc>
        <w:tc>
          <w:tcPr>
            <w:tcW w:w="4520" w:type="dxa"/>
            <w:vAlign w:val="bottom"/>
            <w:gridSpan w:val="9"/>
          </w:tcPr>
          <w:p>
            <w:pPr>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2005</w:t>
            </w:r>
          </w:p>
        </w:tc>
        <w:tc>
          <w:tcPr>
            <w:tcW w:w="140" w:type="dxa"/>
            <w:vAlign w:val="bottom"/>
          </w:tcPr>
          <w:p>
            <w:pPr>
              <w:spacing w:after="0"/>
              <w:rPr>
                <w:sz w:val="17"/>
                <w:szCs w:val="17"/>
                <w:color w:val="auto"/>
              </w:rPr>
            </w:pP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2004</w:t>
            </w:r>
          </w:p>
        </w:tc>
        <w:tc>
          <w:tcPr>
            <w:tcW w:w="1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2005</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2004</w:t>
            </w:r>
          </w:p>
        </w:tc>
      </w:tr>
      <w:tr>
        <w:trPr>
          <w:trHeight w:val="203"/>
        </w:trPr>
        <w:tc>
          <w:tcPr>
            <w:tcW w:w="2860" w:type="dxa"/>
            <w:vAlign w:val="bottom"/>
          </w:tcPr>
          <w:p>
            <w:pPr>
              <w:spacing w:after="0"/>
              <w:rPr>
                <w:sz w:val="17"/>
                <w:szCs w:val="17"/>
                <w:color w:val="auto"/>
              </w:rPr>
            </w:pPr>
          </w:p>
        </w:tc>
        <w:tc>
          <w:tcPr>
            <w:tcW w:w="4520" w:type="dxa"/>
            <w:vAlign w:val="bottom"/>
            <w:gridSpan w:val="9"/>
          </w:tcPr>
          <w:p>
            <w:pPr>
              <w:spacing w:after="0" w:line="203" w:lineRule="exact"/>
              <w:rPr>
                <w:sz w:val="20"/>
                <w:szCs w:val="20"/>
                <w:color w:val="auto"/>
              </w:rPr>
            </w:pPr>
            <w:r>
              <w:rPr>
                <w:rFonts w:ascii="Courier New" w:cs="Courier New" w:eastAsia="Courier New" w:hAnsi="Courier New"/>
                <w:sz w:val="18"/>
                <w:szCs w:val="18"/>
                <w:color w:val="auto"/>
                <w:w w:val="96"/>
              </w:rPr>
              <w:t>---------- ---------- ---------- ----------</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Hardware Solutions</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8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Meter Data</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8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Collection</w:t>
            </w: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70,638</w:t>
            </w:r>
          </w:p>
        </w:tc>
        <w:tc>
          <w:tcPr>
            <w:tcW w:w="1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56,798</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$ 182,506</w:t>
            </w:r>
          </w:p>
        </w:tc>
        <w:tc>
          <w:tcPr>
            <w:tcW w:w="160" w:type="dxa"/>
            <w:vAlign w:val="bottom"/>
          </w:tcPr>
          <w:p>
            <w:pPr>
              <w:spacing w:after="0"/>
              <w:rPr>
                <w:sz w:val="17"/>
                <w:szCs w:val="17"/>
                <w:color w:val="auto"/>
              </w:rPr>
            </w:pP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178,714</w:t>
            </w:r>
          </w:p>
        </w:tc>
      </w:tr>
      <w:tr>
        <w:trPr>
          <w:trHeight w:val="203"/>
        </w:trPr>
        <w:tc>
          <w:tcPr>
            <w:tcW w:w="28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Electricity Metering</w:t>
            </w:r>
          </w:p>
        </w:tc>
        <w:tc>
          <w:tcPr>
            <w:tcW w:w="1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58,598</w:t>
            </w:r>
          </w:p>
        </w:tc>
        <w:tc>
          <w:tcPr>
            <w:tcW w:w="14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54,195</w:t>
            </w:r>
          </w:p>
        </w:tc>
        <w:tc>
          <w:tcPr>
            <w:tcW w:w="1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173,326</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54,195</w:t>
            </w:r>
          </w:p>
        </w:tc>
      </w:tr>
      <w:tr>
        <w:trPr>
          <w:trHeight w:val="203"/>
        </w:trPr>
        <w:tc>
          <w:tcPr>
            <w:tcW w:w="2860" w:type="dxa"/>
            <w:vAlign w:val="bottom"/>
          </w:tcPr>
          <w:p>
            <w:pPr>
              <w:spacing w:after="0"/>
              <w:rPr>
                <w:sz w:val="17"/>
                <w:szCs w:val="17"/>
                <w:color w:val="auto"/>
              </w:rPr>
            </w:pPr>
          </w:p>
        </w:tc>
        <w:tc>
          <w:tcPr>
            <w:tcW w:w="4520" w:type="dxa"/>
            <w:vAlign w:val="bottom"/>
            <w:gridSpan w:val="9"/>
          </w:tcPr>
          <w:p>
            <w:pPr>
              <w:spacing w:after="0" w:line="203" w:lineRule="exact"/>
              <w:rPr>
                <w:sz w:val="20"/>
                <w:szCs w:val="20"/>
                <w:color w:val="auto"/>
              </w:rPr>
            </w:pPr>
            <w:r>
              <w:rPr>
                <w:rFonts w:ascii="Courier New" w:cs="Courier New" w:eastAsia="Courier New" w:hAnsi="Courier New"/>
                <w:sz w:val="18"/>
                <w:szCs w:val="18"/>
                <w:color w:val="auto"/>
                <w:w w:val="96"/>
              </w:rPr>
              <w:t>---------- ---------- ---------- ----------</w:t>
            </w:r>
          </w:p>
        </w:tc>
      </w:tr>
      <w:tr>
        <w:trPr>
          <w:trHeight w:val="203"/>
        </w:trPr>
        <w:tc>
          <w:tcPr>
            <w:tcW w:w="2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Hardware</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Solutions</w:t>
            </w:r>
          </w:p>
        </w:tc>
        <w:tc>
          <w:tcPr>
            <w:tcW w:w="1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129,236</w:t>
            </w:r>
          </w:p>
        </w:tc>
        <w:tc>
          <w:tcPr>
            <w:tcW w:w="14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110,993</w:t>
            </w:r>
          </w:p>
        </w:tc>
        <w:tc>
          <w:tcPr>
            <w:tcW w:w="1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355,832</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232,909</w:t>
            </w:r>
          </w:p>
        </w:tc>
      </w:tr>
      <w:tr>
        <w:trPr>
          <w:trHeight w:val="203"/>
        </w:trPr>
        <w:tc>
          <w:tcPr>
            <w:tcW w:w="2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Software Solutions</w:t>
            </w:r>
          </w:p>
        </w:tc>
        <w:tc>
          <w:tcPr>
            <w:tcW w:w="1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11,909</w:t>
            </w:r>
          </w:p>
        </w:tc>
        <w:tc>
          <w:tcPr>
            <w:tcW w:w="14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11,511</w:t>
            </w:r>
          </w:p>
        </w:tc>
        <w:tc>
          <w:tcPr>
            <w:tcW w:w="1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36,906</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34,839</w:t>
            </w:r>
          </w:p>
        </w:tc>
      </w:tr>
      <w:tr>
        <w:trPr>
          <w:trHeight w:val="203"/>
        </w:trPr>
        <w:tc>
          <w:tcPr>
            <w:tcW w:w="2860" w:type="dxa"/>
            <w:vAlign w:val="bottom"/>
          </w:tcPr>
          <w:p>
            <w:pPr>
              <w:spacing w:after="0"/>
              <w:rPr>
                <w:sz w:val="17"/>
                <w:szCs w:val="17"/>
                <w:color w:val="auto"/>
              </w:rPr>
            </w:pPr>
          </w:p>
        </w:tc>
        <w:tc>
          <w:tcPr>
            <w:tcW w:w="1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222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28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Company</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$ 141,145</w:t>
            </w:r>
          </w:p>
        </w:tc>
        <w:tc>
          <w:tcPr>
            <w:tcW w:w="11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4"/>
              </w:rPr>
              <w:t>$ 122,504</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$ 392,738</w:t>
            </w:r>
          </w:p>
        </w:tc>
        <w:tc>
          <w:tcPr>
            <w:tcW w:w="160" w:type="dxa"/>
            <w:vAlign w:val="bottom"/>
          </w:tcPr>
          <w:p>
            <w:pPr>
              <w:spacing w:after="0"/>
              <w:rPr>
                <w:sz w:val="17"/>
                <w:szCs w:val="17"/>
                <w:color w:val="auto"/>
              </w:rPr>
            </w:pP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267,748</w:t>
            </w:r>
          </w:p>
        </w:tc>
      </w:tr>
      <w:tr>
        <w:trPr>
          <w:trHeight w:val="203"/>
        </w:trPr>
        <w:tc>
          <w:tcPr>
            <w:tcW w:w="2860" w:type="dxa"/>
            <w:vAlign w:val="bottom"/>
          </w:tcPr>
          <w:p>
            <w:pPr>
              <w:spacing w:after="0"/>
              <w:rPr>
                <w:sz w:val="17"/>
                <w:szCs w:val="17"/>
                <w:color w:val="auto"/>
              </w:rPr>
            </w:pPr>
          </w:p>
        </w:tc>
        <w:tc>
          <w:tcPr>
            <w:tcW w:w="4520" w:type="dxa"/>
            <w:vAlign w:val="bottom"/>
            <w:gridSpan w:val="9"/>
          </w:tcPr>
          <w:p>
            <w:pPr>
              <w:spacing w:after="0" w:line="203" w:lineRule="exact"/>
              <w:rPr>
                <w:sz w:val="20"/>
                <w:szCs w:val="20"/>
                <w:color w:val="auto"/>
              </w:rPr>
            </w:pPr>
            <w:r>
              <w:rPr>
                <w:rFonts w:ascii="Courier New" w:cs="Courier New" w:eastAsia="Courier New" w:hAnsi="Courier New"/>
                <w:sz w:val="18"/>
                <w:szCs w:val="18"/>
                <w:color w:val="auto"/>
                <w:w w:val="96"/>
              </w:rPr>
              <w:t>========== ========== ========== ==========</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Gross profit</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2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Hardware Solutions</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8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Meter Data</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8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Collection</w:t>
            </w: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32,091</w:t>
            </w:r>
          </w:p>
        </w:tc>
        <w:tc>
          <w:tcPr>
            <w:tcW w:w="1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24,129</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80,418</w:t>
            </w:r>
          </w:p>
        </w:tc>
        <w:tc>
          <w:tcPr>
            <w:tcW w:w="160" w:type="dxa"/>
            <w:vAlign w:val="bottom"/>
          </w:tcPr>
          <w:p>
            <w:pPr>
              <w:spacing w:after="0"/>
              <w:rPr>
                <w:sz w:val="17"/>
                <w:szCs w:val="17"/>
                <w:color w:val="auto"/>
              </w:rPr>
            </w:pP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82,215</w:t>
            </w:r>
          </w:p>
        </w:tc>
      </w:tr>
      <w:tr>
        <w:trPr>
          <w:trHeight w:val="203"/>
        </w:trPr>
        <w:tc>
          <w:tcPr>
            <w:tcW w:w="28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Electricity Metering</w:t>
            </w:r>
          </w:p>
        </w:tc>
        <w:tc>
          <w:tcPr>
            <w:tcW w:w="1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24,236</w:t>
            </w:r>
          </w:p>
        </w:tc>
        <w:tc>
          <w:tcPr>
            <w:tcW w:w="14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21,183</w:t>
            </w:r>
          </w:p>
        </w:tc>
        <w:tc>
          <w:tcPr>
            <w:tcW w:w="1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73,223</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21,183</w:t>
            </w:r>
          </w:p>
        </w:tc>
      </w:tr>
      <w:tr>
        <w:trPr>
          <w:trHeight w:val="203"/>
        </w:trPr>
        <w:tc>
          <w:tcPr>
            <w:tcW w:w="2860" w:type="dxa"/>
            <w:vAlign w:val="bottom"/>
          </w:tcPr>
          <w:p>
            <w:pPr>
              <w:spacing w:after="0"/>
              <w:rPr>
                <w:sz w:val="17"/>
                <w:szCs w:val="17"/>
                <w:color w:val="auto"/>
              </w:rPr>
            </w:pPr>
          </w:p>
        </w:tc>
        <w:tc>
          <w:tcPr>
            <w:tcW w:w="4520" w:type="dxa"/>
            <w:vAlign w:val="bottom"/>
            <w:gridSpan w:val="9"/>
          </w:tcPr>
          <w:p>
            <w:pPr>
              <w:spacing w:after="0" w:line="203" w:lineRule="exact"/>
              <w:rPr>
                <w:sz w:val="20"/>
                <w:szCs w:val="20"/>
                <w:color w:val="auto"/>
              </w:rPr>
            </w:pPr>
            <w:r>
              <w:rPr>
                <w:rFonts w:ascii="Courier New" w:cs="Courier New" w:eastAsia="Courier New" w:hAnsi="Courier New"/>
                <w:sz w:val="18"/>
                <w:szCs w:val="18"/>
                <w:color w:val="auto"/>
                <w:w w:val="96"/>
              </w:rPr>
              <w:t>---------- ---------- ---------- ----------</w:t>
            </w:r>
          </w:p>
        </w:tc>
      </w:tr>
      <w:tr>
        <w:trPr>
          <w:trHeight w:val="203"/>
        </w:trPr>
        <w:tc>
          <w:tcPr>
            <w:tcW w:w="2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Hardware</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Solutions</w:t>
            </w:r>
          </w:p>
        </w:tc>
        <w:tc>
          <w:tcPr>
            <w:tcW w:w="1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56,327</w:t>
            </w:r>
          </w:p>
        </w:tc>
        <w:tc>
          <w:tcPr>
            <w:tcW w:w="14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45,312</w:t>
            </w:r>
          </w:p>
        </w:tc>
        <w:tc>
          <w:tcPr>
            <w:tcW w:w="1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153,641</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103,398</w:t>
            </w:r>
          </w:p>
        </w:tc>
      </w:tr>
      <w:tr>
        <w:trPr>
          <w:trHeight w:val="203"/>
        </w:trPr>
        <w:tc>
          <w:tcPr>
            <w:tcW w:w="2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Software Solutions</w:t>
            </w:r>
          </w:p>
        </w:tc>
        <w:tc>
          <w:tcPr>
            <w:tcW w:w="1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4,703</w:t>
            </w:r>
          </w:p>
        </w:tc>
        <w:tc>
          <w:tcPr>
            <w:tcW w:w="14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4,173</w:t>
            </w:r>
          </w:p>
        </w:tc>
        <w:tc>
          <w:tcPr>
            <w:tcW w:w="1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15,126</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12,217</w:t>
            </w:r>
          </w:p>
        </w:tc>
      </w:tr>
      <w:tr>
        <w:trPr>
          <w:trHeight w:val="203"/>
        </w:trPr>
        <w:tc>
          <w:tcPr>
            <w:tcW w:w="2860" w:type="dxa"/>
            <w:vAlign w:val="bottom"/>
          </w:tcPr>
          <w:p>
            <w:pPr>
              <w:spacing w:after="0"/>
              <w:rPr>
                <w:sz w:val="17"/>
                <w:szCs w:val="17"/>
                <w:color w:val="auto"/>
              </w:rPr>
            </w:pPr>
          </w:p>
        </w:tc>
        <w:tc>
          <w:tcPr>
            <w:tcW w:w="1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222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28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Company</w:t>
            </w: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61,030</w:t>
            </w:r>
          </w:p>
        </w:tc>
        <w:tc>
          <w:tcPr>
            <w:tcW w:w="1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49,485</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$ 168,767</w:t>
            </w:r>
          </w:p>
        </w:tc>
        <w:tc>
          <w:tcPr>
            <w:tcW w:w="160" w:type="dxa"/>
            <w:vAlign w:val="bottom"/>
          </w:tcPr>
          <w:p>
            <w:pPr>
              <w:spacing w:after="0"/>
              <w:rPr>
                <w:sz w:val="17"/>
                <w:szCs w:val="17"/>
                <w:color w:val="auto"/>
              </w:rPr>
            </w:pP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115,615</w:t>
            </w:r>
          </w:p>
        </w:tc>
      </w:tr>
      <w:tr>
        <w:trPr>
          <w:trHeight w:val="203"/>
        </w:trPr>
        <w:tc>
          <w:tcPr>
            <w:tcW w:w="2860" w:type="dxa"/>
            <w:vAlign w:val="bottom"/>
          </w:tcPr>
          <w:p>
            <w:pPr>
              <w:spacing w:after="0"/>
              <w:rPr>
                <w:sz w:val="17"/>
                <w:szCs w:val="17"/>
                <w:color w:val="auto"/>
              </w:rPr>
            </w:pPr>
          </w:p>
        </w:tc>
        <w:tc>
          <w:tcPr>
            <w:tcW w:w="4520" w:type="dxa"/>
            <w:vAlign w:val="bottom"/>
            <w:gridSpan w:val="9"/>
          </w:tcPr>
          <w:p>
            <w:pPr>
              <w:spacing w:after="0" w:line="203" w:lineRule="exact"/>
              <w:rPr>
                <w:sz w:val="20"/>
                <w:szCs w:val="20"/>
                <w:color w:val="auto"/>
              </w:rPr>
            </w:pPr>
            <w:r>
              <w:rPr>
                <w:rFonts w:ascii="Courier New" w:cs="Courier New" w:eastAsia="Courier New" w:hAnsi="Courier New"/>
                <w:sz w:val="18"/>
                <w:szCs w:val="18"/>
                <w:color w:val="auto"/>
                <w:w w:val="96"/>
              </w:rPr>
              <w:t>========== ========== ========== ==========</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Operating income (loss)</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2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Hardware Solutions</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8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Meter Data</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8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Collection</w:t>
            </w: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26,667</w:t>
            </w:r>
          </w:p>
        </w:tc>
        <w:tc>
          <w:tcPr>
            <w:tcW w:w="1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18,878</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64,607</w:t>
            </w:r>
          </w:p>
        </w:tc>
        <w:tc>
          <w:tcPr>
            <w:tcW w:w="160" w:type="dxa"/>
            <w:vAlign w:val="bottom"/>
          </w:tcPr>
          <w:p>
            <w:pPr>
              <w:spacing w:after="0"/>
              <w:rPr>
                <w:sz w:val="17"/>
                <w:szCs w:val="17"/>
                <w:color w:val="auto"/>
              </w:rPr>
            </w:pP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66,605</w:t>
            </w:r>
          </w:p>
        </w:tc>
      </w:tr>
      <w:tr>
        <w:trPr>
          <w:trHeight w:val="203"/>
        </w:trPr>
        <w:tc>
          <w:tcPr>
            <w:tcW w:w="28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Electricity Metering</w:t>
            </w:r>
          </w:p>
        </w:tc>
        <w:tc>
          <w:tcPr>
            <w:tcW w:w="1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20,178</w:t>
            </w:r>
          </w:p>
        </w:tc>
        <w:tc>
          <w:tcPr>
            <w:tcW w:w="14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17,322</w:t>
            </w:r>
          </w:p>
        </w:tc>
        <w:tc>
          <w:tcPr>
            <w:tcW w:w="1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60,504</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17,322</w:t>
            </w:r>
          </w:p>
        </w:tc>
      </w:tr>
      <w:tr>
        <w:trPr>
          <w:trHeight w:val="203"/>
        </w:trPr>
        <w:tc>
          <w:tcPr>
            <w:tcW w:w="28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Other unallocated</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8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costs</w:t>
            </w:r>
          </w:p>
        </w:tc>
        <w:tc>
          <w:tcPr>
            <w:tcW w:w="10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(5,938)</w:t>
            </w:r>
          </w:p>
        </w:tc>
        <w:tc>
          <w:tcPr>
            <w:tcW w:w="14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(5,291)</w:t>
            </w:r>
          </w:p>
        </w:tc>
        <w:tc>
          <w:tcPr>
            <w:tcW w:w="120" w:type="dxa"/>
            <w:vAlign w:val="bottom"/>
          </w:tcPr>
          <w:p>
            <w:pPr>
              <w:spacing w:after="0"/>
              <w:rPr>
                <w:sz w:val="17"/>
                <w:szCs w:val="17"/>
                <w:color w:val="auto"/>
              </w:rPr>
            </w:pP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(18,143)</w:t>
            </w: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(12,696)</w:t>
            </w:r>
          </w:p>
        </w:tc>
      </w:tr>
      <w:tr>
        <w:trPr>
          <w:trHeight w:val="203"/>
        </w:trPr>
        <w:tc>
          <w:tcPr>
            <w:tcW w:w="2860" w:type="dxa"/>
            <w:vAlign w:val="bottom"/>
          </w:tcPr>
          <w:p>
            <w:pPr>
              <w:spacing w:after="0"/>
              <w:rPr>
                <w:sz w:val="17"/>
                <w:szCs w:val="17"/>
                <w:color w:val="auto"/>
              </w:rPr>
            </w:pPr>
          </w:p>
        </w:tc>
        <w:tc>
          <w:tcPr>
            <w:tcW w:w="4520" w:type="dxa"/>
            <w:vAlign w:val="bottom"/>
            <w:gridSpan w:val="9"/>
          </w:tcPr>
          <w:p>
            <w:pPr>
              <w:spacing w:after="0" w:line="203" w:lineRule="exact"/>
              <w:rPr>
                <w:sz w:val="20"/>
                <w:szCs w:val="20"/>
                <w:color w:val="auto"/>
              </w:rPr>
            </w:pPr>
            <w:r>
              <w:rPr>
                <w:rFonts w:ascii="Courier New" w:cs="Courier New" w:eastAsia="Courier New" w:hAnsi="Courier New"/>
                <w:sz w:val="18"/>
                <w:szCs w:val="18"/>
                <w:color w:val="auto"/>
                <w:w w:val="96"/>
              </w:rPr>
              <w:t>---------- ---------- ---------- ----------</w:t>
            </w:r>
          </w:p>
        </w:tc>
      </w:tr>
      <w:tr>
        <w:trPr>
          <w:trHeight w:val="203"/>
        </w:trPr>
        <w:tc>
          <w:tcPr>
            <w:tcW w:w="2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Hardware</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Solutions</w:t>
            </w:r>
          </w:p>
        </w:tc>
        <w:tc>
          <w:tcPr>
            <w:tcW w:w="1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40,907</w:t>
            </w:r>
          </w:p>
        </w:tc>
        <w:tc>
          <w:tcPr>
            <w:tcW w:w="14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30,909</w:t>
            </w:r>
          </w:p>
        </w:tc>
        <w:tc>
          <w:tcPr>
            <w:tcW w:w="1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106,968</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71,231</w:t>
            </w:r>
          </w:p>
        </w:tc>
      </w:tr>
      <w:tr>
        <w:trPr>
          <w:trHeight w:val="203"/>
        </w:trPr>
        <w:tc>
          <w:tcPr>
            <w:tcW w:w="2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Software Solutions</w:t>
            </w:r>
          </w:p>
        </w:tc>
        <w:tc>
          <w:tcPr>
            <w:tcW w:w="10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(3,007)</w:t>
            </w:r>
          </w:p>
        </w:tc>
        <w:tc>
          <w:tcPr>
            <w:tcW w:w="14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(5,119)</w:t>
            </w:r>
          </w:p>
        </w:tc>
        <w:tc>
          <w:tcPr>
            <w:tcW w:w="120" w:type="dxa"/>
            <w:vAlign w:val="bottom"/>
          </w:tcPr>
          <w:p>
            <w:pPr>
              <w:spacing w:after="0"/>
              <w:rPr>
                <w:sz w:val="17"/>
                <w:szCs w:val="17"/>
                <w:color w:val="auto"/>
              </w:rPr>
            </w:pP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(8,576)</w:t>
            </w: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(17,011)</w:t>
            </w:r>
          </w:p>
        </w:tc>
      </w:tr>
      <w:tr>
        <w:trPr>
          <w:trHeight w:val="203"/>
        </w:trPr>
        <w:tc>
          <w:tcPr>
            <w:tcW w:w="2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Corporate unallocated</w:t>
            </w:r>
          </w:p>
        </w:tc>
        <w:tc>
          <w:tcPr>
            <w:tcW w:w="10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(23,722)</w:t>
            </w:r>
          </w:p>
        </w:tc>
        <w:tc>
          <w:tcPr>
            <w:tcW w:w="14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(18,232)</w:t>
            </w:r>
          </w:p>
        </w:tc>
        <w:tc>
          <w:tcPr>
            <w:tcW w:w="120" w:type="dxa"/>
            <w:vAlign w:val="bottom"/>
          </w:tcPr>
          <w:p>
            <w:pPr>
              <w:spacing w:after="0"/>
              <w:rPr>
                <w:sz w:val="17"/>
                <w:szCs w:val="17"/>
                <w:color w:val="auto"/>
              </w:rPr>
            </w:pP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(68,130)</w:t>
            </w: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(43,000)</w:t>
            </w:r>
          </w:p>
        </w:tc>
      </w:tr>
      <w:tr>
        <w:trPr>
          <w:trHeight w:val="203"/>
        </w:trPr>
        <w:tc>
          <w:tcPr>
            <w:tcW w:w="2860" w:type="dxa"/>
            <w:vAlign w:val="bottom"/>
          </w:tcPr>
          <w:p>
            <w:pPr>
              <w:spacing w:after="0"/>
              <w:rPr>
                <w:sz w:val="17"/>
                <w:szCs w:val="17"/>
                <w:color w:val="auto"/>
              </w:rPr>
            </w:pPr>
          </w:p>
        </w:tc>
        <w:tc>
          <w:tcPr>
            <w:tcW w:w="1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222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28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Company</w:t>
            </w: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14,178</w:t>
            </w:r>
          </w:p>
        </w:tc>
        <w:tc>
          <w:tcPr>
            <w:tcW w:w="1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7,558</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30,262</w:t>
            </w:r>
          </w:p>
        </w:tc>
        <w:tc>
          <w:tcPr>
            <w:tcW w:w="160" w:type="dxa"/>
            <w:vAlign w:val="bottom"/>
          </w:tcPr>
          <w:p>
            <w:pPr>
              <w:spacing w:after="0"/>
              <w:rPr>
                <w:sz w:val="17"/>
                <w:szCs w:val="17"/>
                <w:color w:val="auto"/>
              </w:rPr>
            </w:pP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11,220</w:t>
            </w:r>
          </w:p>
        </w:tc>
      </w:tr>
      <w:tr>
        <w:trPr>
          <w:trHeight w:val="203"/>
        </w:trPr>
        <w:tc>
          <w:tcPr>
            <w:tcW w:w="2860" w:type="dxa"/>
            <w:vAlign w:val="bottom"/>
          </w:tcPr>
          <w:p>
            <w:pPr>
              <w:spacing w:after="0"/>
              <w:rPr>
                <w:sz w:val="17"/>
                <w:szCs w:val="17"/>
                <w:color w:val="auto"/>
              </w:rPr>
            </w:pPr>
          </w:p>
        </w:tc>
        <w:tc>
          <w:tcPr>
            <w:tcW w:w="4520" w:type="dxa"/>
            <w:vAlign w:val="bottom"/>
            <w:gridSpan w:val="9"/>
          </w:tcPr>
          <w:p>
            <w:pPr>
              <w:spacing w:after="0" w:line="203" w:lineRule="exact"/>
              <w:rPr>
                <w:sz w:val="20"/>
                <w:szCs w:val="20"/>
                <w:color w:val="auto"/>
              </w:rPr>
            </w:pPr>
            <w:r>
              <w:rPr>
                <w:rFonts w:ascii="Courier New" w:cs="Courier New" w:eastAsia="Courier New" w:hAnsi="Courier New"/>
                <w:sz w:val="18"/>
                <w:szCs w:val="18"/>
                <w:color w:val="auto"/>
                <w:w w:val="96"/>
              </w:rPr>
              <w:t>========== ========== ========== ==========</w:t>
            </w:r>
          </w:p>
        </w:tc>
      </w:tr>
      <w:tr>
        <w:trPr>
          <w:trHeight w:val="810"/>
        </w:trPr>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Courier New" w:cs="Courier New" w:eastAsia="Courier New" w:hAnsi="Courier New"/>
                <w:sz w:val="18"/>
                <w:szCs w:val="18"/>
                <w:color w:val="auto"/>
                <w:w w:val="99"/>
              </w:rPr>
              <w:t>ITRON, INC.</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160" w:type="dxa"/>
            <w:vAlign w:val="bottom"/>
            <w:gridSpan w:val="5"/>
          </w:tcPr>
          <w:p>
            <w:pPr>
              <w:ind w:left="2120"/>
              <w:spacing w:after="0" w:line="203" w:lineRule="exact"/>
              <w:rPr>
                <w:sz w:val="20"/>
                <w:szCs w:val="20"/>
                <w:color w:val="auto"/>
              </w:rPr>
            </w:pPr>
            <w:r>
              <w:rPr>
                <w:rFonts w:ascii="Courier New" w:cs="Courier New" w:eastAsia="Courier New" w:hAnsi="Courier New"/>
                <w:sz w:val="18"/>
                <w:szCs w:val="18"/>
                <w:color w:val="auto"/>
              </w:rPr>
              <w:t>CONSOLIDATED BALANCE SHEETS</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608"/>
        </w:trPr>
        <w:tc>
          <w:tcPr>
            <w:tcW w:w="2860" w:type="dxa"/>
            <w:vAlign w:val="bottom"/>
          </w:tcPr>
          <w:p>
            <w:pPr>
              <w:spacing w:after="0"/>
              <w:rPr>
                <w:sz w:val="20"/>
                <w:szCs w:val="20"/>
                <w:color w:val="auto"/>
              </w:rPr>
            </w:pPr>
            <w:r>
              <w:rPr>
                <w:rFonts w:ascii="Courier New" w:cs="Courier New" w:eastAsia="Courier New" w:hAnsi="Courier New"/>
                <w:sz w:val="18"/>
                <w:szCs w:val="18"/>
                <w:color w:val="auto"/>
              </w:rPr>
              <w:t>(Unaudited, in thousands)</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20" w:type="dxa"/>
            <w:vAlign w:val="bottom"/>
            <w:gridSpan w:val="6"/>
          </w:tcPr>
          <w:p>
            <w:pPr>
              <w:jc w:val="right"/>
              <w:spacing w:after="0"/>
              <w:rPr>
                <w:sz w:val="20"/>
                <w:szCs w:val="20"/>
                <w:color w:val="auto"/>
              </w:rPr>
            </w:pPr>
            <w:r>
              <w:rPr>
                <w:rFonts w:ascii="Courier New" w:cs="Courier New" w:eastAsia="Courier New" w:hAnsi="Courier New"/>
                <w:sz w:val="18"/>
                <w:szCs w:val="18"/>
                <w:color w:val="auto"/>
              </w:rPr>
              <w:t>September 30, December 31,</w:t>
            </w:r>
          </w:p>
        </w:tc>
      </w:tr>
      <w:tr>
        <w:trPr>
          <w:trHeight w:val="203"/>
        </w:trPr>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60" w:type="dxa"/>
            <w:vAlign w:val="bottom"/>
            <w:gridSpan w:val="3"/>
          </w:tcPr>
          <w:p>
            <w:pPr>
              <w:jc w:val="right"/>
              <w:ind w:right="552"/>
              <w:spacing w:after="0" w:line="203" w:lineRule="exact"/>
              <w:rPr>
                <w:sz w:val="20"/>
                <w:szCs w:val="20"/>
                <w:color w:val="auto"/>
              </w:rPr>
            </w:pPr>
            <w:r>
              <w:rPr>
                <w:rFonts w:ascii="Courier New" w:cs="Courier New" w:eastAsia="Courier New" w:hAnsi="Courier New"/>
                <w:sz w:val="18"/>
                <w:szCs w:val="18"/>
                <w:color w:val="auto"/>
              </w:rPr>
              <w:t>2005</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2004</w:t>
            </w:r>
          </w:p>
        </w:tc>
      </w:tr>
      <w:tr>
        <w:trPr>
          <w:trHeight w:val="203"/>
        </w:trPr>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6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2960" w:type="dxa"/>
            <w:vAlign w:val="bottom"/>
            <w:gridSpan w:val="2"/>
          </w:tcPr>
          <w:p>
            <w:pPr>
              <w:ind w:left="2320"/>
              <w:spacing w:after="0" w:line="203" w:lineRule="exact"/>
              <w:rPr>
                <w:sz w:val="20"/>
                <w:szCs w:val="20"/>
                <w:color w:val="auto"/>
              </w:rPr>
            </w:pPr>
            <w:r>
              <w:rPr>
                <w:rFonts w:ascii="Courier New" w:cs="Courier New" w:eastAsia="Courier New" w:hAnsi="Courier New"/>
                <w:sz w:val="18"/>
                <w:szCs w:val="18"/>
                <w:color w:val="auto"/>
                <w:w w:val="95"/>
              </w:rPr>
              <w:t>ASSETS</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11,896</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11,624</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94,983</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90,097</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50,658</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45,459</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 net</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8,018</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22,733</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9,530</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5,477</w:t>
            </w:r>
          </w:p>
        </w:tc>
      </w:tr>
      <w:tr>
        <w:trPr>
          <w:trHeight w:val="203"/>
        </w:trPr>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2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8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7"/>
              </w:rPr>
              <w:t>Total current assets</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175,085</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175,390</w:t>
            </w:r>
          </w:p>
        </w:tc>
      </w:tr>
      <w:tr>
        <w:trPr>
          <w:trHeight w:val="405"/>
        </w:trPr>
        <w:tc>
          <w:tcPr>
            <w:tcW w:w="4020" w:type="dxa"/>
            <w:vAlign w:val="bottom"/>
            <w:gridSpan w:val="3"/>
          </w:tcPr>
          <w:p>
            <w:pPr>
              <w:spacing w:after="0"/>
              <w:rPr>
                <w:sz w:val="20"/>
                <w:szCs w:val="20"/>
                <w:color w:val="auto"/>
              </w:rPr>
            </w:pPr>
            <w:r>
              <w:rPr>
                <w:rFonts w:ascii="Courier New" w:cs="Courier New" w:eastAsia="Courier New" w:hAnsi="Courier New"/>
                <w:sz w:val="18"/>
                <w:szCs w:val="18"/>
                <w:color w:val="auto"/>
              </w:rPr>
              <w:t>Property, plant and equipment, net</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2"/>
              </w:rPr>
              <w:t>55,411</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59,690</w:t>
            </w:r>
          </w:p>
        </w:tc>
      </w:tr>
    </w:tbl>
    <w:p>
      <w:pPr>
        <w:sectPr>
          <w:pgSz w:w="11900" w:h="16838" w:orient="portrait"/>
          <w:cols w:equalWidth="0" w:num="1">
            <w:col w:w="10219"/>
          </w:cols>
          <w:pgMar w:left="240" w:top="136" w:right="1440"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40" w:type="dxa"/>
            <w:vAlign w:val="bottom"/>
          </w:tcPr>
          <w:p>
            <w:pPr>
              <w:spacing w:after="0"/>
              <w:rPr>
                <w:sz w:val="20"/>
                <w:szCs w:val="20"/>
                <w:color w:val="auto"/>
              </w:rPr>
            </w:pPr>
            <w:r>
              <w:rPr>
                <w:rFonts w:ascii="Courier New" w:cs="Courier New" w:eastAsia="Courier New" w:hAnsi="Courier New"/>
                <w:sz w:val="18"/>
                <w:szCs w:val="18"/>
                <w:color w:val="auto"/>
              </w:rPr>
              <w:t>Intangible assets, net</w:t>
            </w:r>
          </w:p>
        </w:tc>
        <w:tc>
          <w:tcPr>
            <w:tcW w:w="380" w:type="dxa"/>
            <w:vAlign w:val="bottom"/>
          </w:tcPr>
          <w:p>
            <w:pPr>
              <w:spacing w:after="0"/>
              <w:rPr>
                <w:sz w:val="17"/>
                <w:szCs w:val="17"/>
                <w:color w:val="auto"/>
              </w:rPr>
            </w:pPr>
          </w:p>
        </w:tc>
        <w:tc>
          <w:tcPr>
            <w:tcW w:w="10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132,996</w:t>
            </w:r>
          </w:p>
        </w:tc>
        <w:tc>
          <w:tcPr>
            <w:tcW w:w="260" w:type="dxa"/>
            <w:vAlign w:val="bottom"/>
          </w:tcPr>
          <w:p>
            <w:pPr>
              <w:spacing w:after="0"/>
              <w:rPr>
                <w:sz w:val="17"/>
                <w:szCs w:val="17"/>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162,137</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w:t>
            </w:r>
          </w:p>
        </w:tc>
        <w:tc>
          <w:tcPr>
            <w:tcW w:w="3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116,079</w:t>
            </w:r>
          </w:p>
        </w:tc>
        <w:tc>
          <w:tcPr>
            <w:tcW w:w="26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117,471</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 net</w:t>
            </w:r>
          </w:p>
        </w:tc>
        <w:tc>
          <w:tcPr>
            <w:tcW w:w="3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58,426</w:t>
            </w:r>
          </w:p>
        </w:tc>
        <w:tc>
          <w:tcPr>
            <w:tcW w:w="26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27,252</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3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11,963</w:t>
            </w:r>
          </w:p>
        </w:tc>
        <w:tc>
          <w:tcPr>
            <w:tcW w:w="26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15,211</w:t>
            </w:r>
          </w:p>
        </w:tc>
      </w:tr>
      <w:tr>
        <w:trPr>
          <w:trHeight w:val="203"/>
        </w:trPr>
        <w:tc>
          <w:tcPr>
            <w:tcW w:w="4740" w:type="dxa"/>
            <w:vAlign w:val="bottom"/>
          </w:tcPr>
          <w:p>
            <w:pPr>
              <w:spacing w:after="0"/>
              <w:rPr>
                <w:sz w:val="17"/>
                <w:szCs w:val="17"/>
                <w:color w:val="auto"/>
              </w:rPr>
            </w:pP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Total assets</w:t>
            </w:r>
          </w:p>
        </w:tc>
        <w:tc>
          <w:tcPr>
            <w:tcW w:w="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549,960</w:t>
            </w:r>
          </w:p>
        </w:tc>
        <w:tc>
          <w:tcPr>
            <w:tcW w:w="26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557,151</w:t>
            </w:r>
          </w:p>
        </w:tc>
      </w:tr>
      <w:tr>
        <w:trPr>
          <w:trHeight w:val="203"/>
        </w:trPr>
        <w:tc>
          <w:tcPr>
            <w:tcW w:w="4740" w:type="dxa"/>
            <w:vAlign w:val="bottom"/>
          </w:tcPr>
          <w:p>
            <w:pPr>
              <w:spacing w:after="0"/>
              <w:rPr>
                <w:sz w:val="17"/>
                <w:szCs w:val="17"/>
                <w:color w:val="auto"/>
              </w:rPr>
            </w:pPr>
          </w:p>
        </w:tc>
        <w:tc>
          <w:tcPr>
            <w:tcW w:w="26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r>
      <w:tr>
        <w:trPr>
          <w:trHeight w:val="405"/>
        </w:trPr>
        <w:tc>
          <w:tcPr>
            <w:tcW w:w="4740" w:type="dxa"/>
            <w:vAlign w:val="bottom"/>
          </w:tcPr>
          <w:p>
            <w:pPr>
              <w:ind w:left="640"/>
              <w:spacing w:after="0"/>
              <w:rPr>
                <w:sz w:val="20"/>
                <w:szCs w:val="20"/>
                <w:color w:val="auto"/>
              </w:rPr>
            </w:pPr>
            <w:r>
              <w:rPr>
                <w:rFonts w:ascii="Courier New" w:cs="Courier New" w:eastAsia="Courier New" w:hAnsi="Courier New"/>
                <w:sz w:val="18"/>
                <w:szCs w:val="18"/>
                <w:color w:val="auto"/>
              </w:rPr>
              <w:t>LIABILITIES AND SHAREHOLDERS' EQUITY</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 and accrued expenses</w:t>
            </w:r>
          </w:p>
        </w:tc>
        <w:tc>
          <w:tcPr>
            <w:tcW w:w="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38,000</w:t>
            </w:r>
          </w:p>
        </w:tc>
        <w:tc>
          <w:tcPr>
            <w:tcW w:w="26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37,439</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Wages and benefits payable</w:t>
            </w:r>
          </w:p>
        </w:tc>
        <w:tc>
          <w:tcPr>
            <w:tcW w:w="3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21,569</w:t>
            </w:r>
          </w:p>
        </w:tc>
        <w:tc>
          <w:tcPr>
            <w:tcW w:w="26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13,947</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portion of debt</w:t>
            </w:r>
          </w:p>
        </w:tc>
        <w:tc>
          <w:tcPr>
            <w:tcW w:w="3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2,139</w:t>
            </w:r>
          </w:p>
        </w:tc>
        <w:tc>
          <w:tcPr>
            <w:tcW w:w="26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35,647</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portion of warranty</w:t>
            </w:r>
          </w:p>
        </w:tc>
        <w:tc>
          <w:tcPr>
            <w:tcW w:w="3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5,323</w:t>
            </w:r>
          </w:p>
        </w:tc>
        <w:tc>
          <w:tcPr>
            <w:tcW w:w="26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7,243</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Unearned revenue</w:t>
            </w:r>
          </w:p>
        </w:tc>
        <w:tc>
          <w:tcPr>
            <w:tcW w:w="3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20,256</w:t>
            </w:r>
          </w:p>
        </w:tc>
        <w:tc>
          <w:tcPr>
            <w:tcW w:w="26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22,991</w:t>
            </w:r>
          </w:p>
        </w:tc>
      </w:tr>
      <w:tr>
        <w:trPr>
          <w:trHeight w:val="203"/>
        </w:trPr>
        <w:tc>
          <w:tcPr>
            <w:tcW w:w="4740" w:type="dxa"/>
            <w:vAlign w:val="bottom"/>
          </w:tcPr>
          <w:p>
            <w:pPr>
              <w:spacing w:after="0"/>
              <w:rPr>
                <w:sz w:val="17"/>
                <w:szCs w:val="17"/>
                <w:color w:val="auto"/>
              </w:rPr>
            </w:pPr>
          </w:p>
        </w:tc>
        <w:tc>
          <w:tcPr>
            <w:tcW w:w="26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r>
      <w:tr>
        <w:trPr>
          <w:trHeight w:val="203"/>
        </w:trPr>
        <w:tc>
          <w:tcPr>
            <w:tcW w:w="4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3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87,287</w:t>
            </w:r>
          </w:p>
        </w:tc>
        <w:tc>
          <w:tcPr>
            <w:tcW w:w="26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117,267</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Long-term debt</w:t>
            </w:r>
          </w:p>
        </w:tc>
        <w:tc>
          <w:tcPr>
            <w:tcW w:w="380" w:type="dxa"/>
            <w:vAlign w:val="bottom"/>
          </w:tcPr>
          <w:p>
            <w:pPr>
              <w:spacing w:after="0"/>
              <w:rPr>
                <w:sz w:val="24"/>
                <w:szCs w:val="24"/>
                <w:color w:val="auto"/>
              </w:rPr>
            </w:pPr>
          </w:p>
        </w:tc>
        <w:tc>
          <w:tcPr>
            <w:tcW w:w="10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150,871</w:t>
            </w:r>
          </w:p>
        </w:tc>
        <w:tc>
          <w:tcPr>
            <w:tcW w:w="26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239,361</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Project financing debt</w:t>
            </w:r>
          </w:p>
        </w:tc>
        <w:tc>
          <w:tcPr>
            <w:tcW w:w="3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2,588</w:t>
            </w:r>
          </w:p>
        </w:tc>
        <w:tc>
          <w:tcPr>
            <w:tcW w:w="26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3,227</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Warranty</w:t>
            </w:r>
          </w:p>
        </w:tc>
        <w:tc>
          <w:tcPr>
            <w:tcW w:w="3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5,928</w:t>
            </w:r>
          </w:p>
        </w:tc>
        <w:tc>
          <w:tcPr>
            <w:tcW w:w="26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6,331</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obligations</w:t>
            </w:r>
          </w:p>
        </w:tc>
        <w:tc>
          <w:tcPr>
            <w:tcW w:w="3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5,706</w:t>
            </w:r>
          </w:p>
        </w:tc>
        <w:tc>
          <w:tcPr>
            <w:tcW w:w="26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6,535</w:t>
            </w:r>
          </w:p>
        </w:tc>
      </w:tr>
      <w:tr>
        <w:trPr>
          <w:trHeight w:val="203"/>
        </w:trPr>
        <w:tc>
          <w:tcPr>
            <w:tcW w:w="4740" w:type="dxa"/>
            <w:vAlign w:val="bottom"/>
          </w:tcPr>
          <w:p>
            <w:pPr>
              <w:spacing w:after="0"/>
              <w:rPr>
                <w:sz w:val="17"/>
                <w:szCs w:val="17"/>
                <w:color w:val="auto"/>
              </w:rPr>
            </w:pPr>
          </w:p>
        </w:tc>
        <w:tc>
          <w:tcPr>
            <w:tcW w:w="26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r>
      <w:tr>
        <w:trPr>
          <w:trHeight w:val="203"/>
        </w:trPr>
        <w:tc>
          <w:tcPr>
            <w:tcW w:w="4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3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252,380</w:t>
            </w:r>
          </w:p>
        </w:tc>
        <w:tc>
          <w:tcPr>
            <w:tcW w:w="26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372,721</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Preferred stock</w:t>
            </w:r>
          </w:p>
        </w:tc>
        <w:tc>
          <w:tcPr>
            <w:tcW w:w="3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w:t>
            </w:r>
          </w:p>
        </w:tc>
        <w:tc>
          <w:tcPr>
            <w:tcW w:w="3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308,841</w:t>
            </w:r>
          </w:p>
        </w:tc>
        <w:tc>
          <w:tcPr>
            <w:tcW w:w="26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211,920</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other comprehensive income, net</w:t>
            </w:r>
          </w:p>
        </w:tc>
        <w:tc>
          <w:tcPr>
            <w:tcW w:w="3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1,051</w:t>
            </w:r>
          </w:p>
        </w:tc>
        <w:tc>
          <w:tcPr>
            <w:tcW w:w="26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954</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deficit</w:t>
            </w:r>
          </w:p>
        </w:tc>
        <w:tc>
          <w:tcPr>
            <w:tcW w:w="38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(12,312)</w:t>
            </w:r>
          </w:p>
        </w:tc>
        <w:tc>
          <w:tcPr>
            <w:tcW w:w="2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(28,444)</w:t>
            </w:r>
          </w:p>
        </w:tc>
      </w:tr>
      <w:tr>
        <w:trPr>
          <w:trHeight w:val="203"/>
        </w:trPr>
        <w:tc>
          <w:tcPr>
            <w:tcW w:w="4740" w:type="dxa"/>
            <w:vAlign w:val="bottom"/>
          </w:tcPr>
          <w:p>
            <w:pPr>
              <w:spacing w:after="0"/>
              <w:rPr>
                <w:sz w:val="17"/>
                <w:szCs w:val="17"/>
                <w:color w:val="auto"/>
              </w:rPr>
            </w:pPr>
          </w:p>
        </w:tc>
        <w:tc>
          <w:tcPr>
            <w:tcW w:w="26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r>
      <w:tr>
        <w:trPr>
          <w:trHeight w:val="203"/>
        </w:trPr>
        <w:tc>
          <w:tcPr>
            <w:tcW w:w="4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Total shareholders' equity</w:t>
            </w:r>
          </w:p>
        </w:tc>
        <w:tc>
          <w:tcPr>
            <w:tcW w:w="3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297,580</w:t>
            </w:r>
          </w:p>
        </w:tc>
        <w:tc>
          <w:tcPr>
            <w:tcW w:w="26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184,430</w:t>
            </w:r>
          </w:p>
        </w:tc>
      </w:tr>
      <w:tr>
        <w:trPr>
          <w:trHeight w:val="203"/>
        </w:trPr>
        <w:tc>
          <w:tcPr>
            <w:tcW w:w="4740" w:type="dxa"/>
            <w:vAlign w:val="bottom"/>
          </w:tcPr>
          <w:p>
            <w:pPr>
              <w:spacing w:after="0"/>
              <w:rPr>
                <w:sz w:val="17"/>
                <w:szCs w:val="17"/>
                <w:color w:val="auto"/>
              </w:rPr>
            </w:pPr>
          </w:p>
        </w:tc>
        <w:tc>
          <w:tcPr>
            <w:tcW w:w="26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r>
      <w:tr>
        <w:trPr>
          <w:trHeight w:val="203"/>
        </w:trPr>
        <w:tc>
          <w:tcPr>
            <w:tcW w:w="4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Total liabilities and shareholders'</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equity</w:t>
            </w:r>
          </w:p>
        </w:tc>
        <w:tc>
          <w:tcPr>
            <w:tcW w:w="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549,960</w:t>
            </w:r>
          </w:p>
        </w:tc>
        <w:tc>
          <w:tcPr>
            <w:tcW w:w="26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557,151</w:t>
            </w:r>
          </w:p>
        </w:tc>
      </w:tr>
      <w:tr>
        <w:trPr>
          <w:trHeight w:val="203"/>
        </w:trPr>
        <w:tc>
          <w:tcPr>
            <w:tcW w:w="4740" w:type="dxa"/>
            <w:vAlign w:val="bottom"/>
          </w:tcPr>
          <w:p>
            <w:pPr>
              <w:spacing w:after="0"/>
              <w:rPr>
                <w:sz w:val="17"/>
                <w:szCs w:val="17"/>
                <w:color w:val="auto"/>
              </w:rPr>
            </w:pPr>
          </w:p>
        </w:tc>
        <w:tc>
          <w:tcPr>
            <w:tcW w:w="26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r>
      <w:tr>
        <w:trPr>
          <w:trHeight w:val="810"/>
        </w:trPr>
        <w:tc>
          <w:tcPr>
            <w:tcW w:w="4740" w:type="dxa"/>
            <w:vAlign w:val="bottom"/>
          </w:tcPr>
          <w:p>
            <w:pPr>
              <w:ind w:left="3060"/>
              <w:spacing w:after="0"/>
              <w:rPr>
                <w:sz w:val="20"/>
                <w:szCs w:val="20"/>
                <w:color w:val="auto"/>
              </w:rPr>
            </w:pPr>
            <w:r>
              <w:rPr>
                <w:rFonts w:ascii="Courier New" w:cs="Courier New" w:eastAsia="Courier New" w:hAnsi="Courier New"/>
                <w:sz w:val="18"/>
                <w:szCs w:val="18"/>
                <w:color w:val="auto"/>
              </w:rPr>
              <w:t>ITRON, INC.</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6120" w:type="dxa"/>
            <w:vAlign w:val="bottom"/>
            <w:gridSpan w:val="3"/>
          </w:tcPr>
          <w:p>
            <w:pPr>
              <w:ind w:left="1580"/>
              <w:spacing w:after="0" w:line="203" w:lineRule="exact"/>
              <w:rPr>
                <w:sz w:val="20"/>
                <w:szCs w:val="20"/>
                <w:color w:val="auto"/>
              </w:rPr>
            </w:pPr>
            <w:r>
              <w:rPr>
                <w:rFonts w:ascii="Courier New" w:cs="Courier New" w:eastAsia="Courier New" w:hAnsi="Courier New"/>
                <w:sz w:val="18"/>
                <w:szCs w:val="18"/>
                <w:color w:val="auto"/>
              </w:rPr>
              <w:t>CONSOLIDATED STATEMENTS OF CASH FLOWS</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608"/>
        </w:trPr>
        <w:tc>
          <w:tcPr>
            <w:tcW w:w="4740" w:type="dxa"/>
            <w:vAlign w:val="bottom"/>
          </w:tcPr>
          <w:p>
            <w:pPr>
              <w:spacing w:after="0"/>
              <w:rPr>
                <w:sz w:val="20"/>
                <w:szCs w:val="20"/>
                <w:color w:val="auto"/>
              </w:rPr>
            </w:pPr>
            <w:r>
              <w:rPr>
                <w:rFonts w:ascii="Courier New" w:cs="Courier New" w:eastAsia="Courier New" w:hAnsi="Courier New"/>
                <w:sz w:val="18"/>
                <w:szCs w:val="18"/>
                <w:color w:val="auto"/>
              </w:rPr>
              <w:t>(Unaudited, in thousands)</w:t>
            </w:r>
          </w:p>
        </w:tc>
        <w:tc>
          <w:tcPr>
            <w:tcW w:w="380" w:type="dxa"/>
            <w:vAlign w:val="bottom"/>
          </w:tcPr>
          <w:p>
            <w:pPr>
              <w:spacing w:after="0"/>
              <w:rPr>
                <w:sz w:val="24"/>
                <w:szCs w:val="24"/>
                <w:color w:val="auto"/>
              </w:rPr>
            </w:pPr>
          </w:p>
        </w:tc>
        <w:tc>
          <w:tcPr>
            <w:tcW w:w="226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w w:val="99"/>
              </w:rPr>
              <w:t>Nine Months Ended</w:t>
            </w:r>
          </w:p>
        </w:tc>
      </w:tr>
      <w:tr>
        <w:trPr>
          <w:trHeight w:val="203"/>
        </w:trPr>
        <w:tc>
          <w:tcPr>
            <w:tcW w:w="4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60" w:type="dxa"/>
            <w:vAlign w:val="bottom"/>
            <w:gridSpan w:val="3"/>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September 30,</w:t>
            </w:r>
          </w:p>
        </w:tc>
      </w:tr>
      <w:tr>
        <w:trPr>
          <w:trHeight w:val="203"/>
        </w:trPr>
        <w:tc>
          <w:tcPr>
            <w:tcW w:w="4740" w:type="dxa"/>
            <w:vAlign w:val="bottom"/>
          </w:tcPr>
          <w:p>
            <w:pPr>
              <w:spacing w:after="0"/>
              <w:rPr>
                <w:sz w:val="17"/>
                <w:szCs w:val="17"/>
                <w:color w:val="auto"/>
              </w:rPr>
            </w:pPr>
          </w:p>
        </w:tc>
        <w:tc>
          <w:tcPr>
            <w:tcW w:w="26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2005</w:t>
            </w:r>
          </w:p>
        </w:tc>
        <w:tc>
          <w:tcPr>
            <w:tcW w:w="26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2004</w:t>
            </w:r>
          </w:p>
        </w:tc>
      </w:tr>
      <w:tr>
        <w:trPr>
          <w:trHeight w:val="203"/>
        </w:trPr>
        <w:tc>
          <w:tcPr>
            <w:tcW w:w="4740" w:type="dxa"/>
            <w:vAlign w:val="bottom"/>
          </w:tcPr>
          <w:p>
            <w:pPr>
              <w:spacing w:after="0"/>
              <w:rPr>
                <w:sz w:val="17"/>
                <w:szCs w:val="17"/>
                <w:color w:val="auto"/>
              </w:rPr>
            </w:pPr>
          </w:p>
        </w:tc>
        <w:tc>
          <w:tcPr>
            <w:tcW w:w="26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Operating activities</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income</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16,132</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1,750</w:t>
            </w:r>
          </w:p>
        </w:tc>
      </w:tr>
      <w:tr>
        <w:trPr>
          <w:trHeight w:val="203"/>
        </w:trPr>
        <w:tc>
          <w:tcPr>
            <w:tcW w:w="51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Adjustments to reconcile net income to net</w:t>
            </w: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cash provided by operating activities:</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38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38,785</w:t>
            </w:r>
          </w:p>
        </w:tc>
        <w:tc>
          <w:tcPr>
            <w:tcW w:w="26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19,260</w:t>
            </w:r>
          </w:p>
        </w:tc>
      </w:tr>
      <w:tr>
        <w:trPr>
          <w:trHeight w:val="203"/>
        </w:trPr>
        <w:tc>
          <w:tcPr>
            <w:tcW w:w="4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Employee stock plan income tax</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benefits</w:t>
            </w:r>
          </w:p>
        </w:tc>
        <w:tc>
          <w:tcPr>
            <w:tcW w:w="38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14,399</w:t>
            </w:r>
          </w:p>
        </w:tc>
        <w:tc>
          <w:tcPr>
            <w:tcW w:w="26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1,366</w:t>
            </w:r>
          </w:p>
        </w:tc>
      </w:tr>
      <w:tr>
        <w:trPr>
          <w:trHeight w:val="203"/>
        </w:trPr>
        <w:tc>
          <w:tcPr>
            <w:tcW w:w="4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Amortization of prepaid debt fees</w:t>
            </w:r>
          </w:p>
        </w:tc>
        <w:tc>
          <w:tcPr>
            <w:tcW w:w="38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4,330</w:t>
            </w:r>
          </w:p>
        </w:tc>
        <w:tc>
          <w:tcPr>
            <w:tcW w:w="26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1,165</w:t>
            </w:r>
          </w:p>
        </w:tc>
      </w:tr>
      <w:tr>
        <w:trPr>
          <w:trHeight w:val="203"/>
        </w:trPr>
        <w:tc>
          <w:tcPr>
            <w:tcW w:w="4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Realized currency translation gains</w:t>
            </w:r>
          </w:p>
        </w:tc>
        <w:tc>
          <w:tcPr>
            <w:tcW w:w="3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(391)</w:t>
            </w:r>
          </w:p>
        </w:tc>
        <w:tc>
          <w:tcPr>
            <w:tcW w:w="2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(279)</w:t>
            </w:r>
          </w:p>
        </w:tc>
      </w:tr>
      <w:tr>
        <w:trPr>
          <w:trHeight w:val="203"/>
        </w:trPr>
        <w:tc>
          <w:tcPr>
            <w:tcW w:w="4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Deferred income tax benefit</w:t>
            </w:r>
          </w:p>
        </w:tc>
        <w:tc>
          <w:tcPr>
            <w:tcW w:w="3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(16,313)</w:t>
            </w:r>
          </w:p>
        </w:tc>
        <w:tc>
          <w:tcPr>
            <w:tcW w:w="2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(1,278)</w:t>
            </w:r>
          </w:p>
        </w:tc>
      </w:tr>
      <w:tr>
        <w:trPr>
          <w:trHeight w:val="203"/>
        </w:trPr>
        <w:tc>
          <w:tcPr>
            <w:tcW w:w="4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Other, net</w:t>
            </w:r>
          </w:p>
        </w:tc>
        <w:tc>
          <w:tcPr>
            <w:tcW w:w="38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2,178</w:t>
            </w:r>
          </w:p>
        </w:tc>
        <w:tc>
          <w:tcPr>
            <w:tcW w:w="26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1,560</w:t>
            </w: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Changes in operating assets and</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liabilities, net of acquisitions:</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3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(4,738)</w:t>
            </w:r>
          </w:p>
        </w:tc>
        <w:tc>
          <w:tcPr>
            <w:tcW w:w="26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25,711</w:t>
            </w:r>
          </w:p>
        </w:tc>
      </w:tr>
      <w:tr>
        <w:trPr>
          <w:trHeight w:val="203"/>
        </w:trPr>
        <w:tc>
          <w:tcPr>
            <w:tcW w:w="4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Inventories</w:t>
            </w:r>
          </w:p>
        </w:tc>
        <w:tc>
          <w:tcPr>
            <w:tcW w:w="3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(5,199)</w:t>
            </w:r>
          </w:p>
        </w:tc>
        <w:tc>
          <w:tcPr>
            <w:tcW w:w="2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(9,013)</w:t>
            </w:r>
          </w:p>
        </w:tc>
      </w:tr>
      <w:tr>
        <w:trPr>
          <w:trHeight w:val="203"/>
        </w:trPr>
        <w:tc>
          <w:tcPr>
            <w:tcW w:w="4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w w:val="96"/>
              </w:rPr>
              <w:t>Accounts payable and accrued expenses</w:t>
            </w:r>
          </w:p>
        </w:tc>
        <w:tc>
          <w:tcPr>
            <w:tcW w:w="38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360</w:t>
            </w:r>
          </w:p>
        </w:tc>
        <w:tc>
          <w:tcPr>
            <w:tcW w:w="2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(860)</w:t>
            </w:r>
          </w:p>
        </w:tc>
      </w:tr>
      <w:tr>
        <w:trPr>
          <w:trHeight w:val="203"/>
        </w:trPr>
        <w:tc>
          <w:tcPr>
            <w:tcW w:w="4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Wages and benefits payable</w:t>
            </w:r>
          </w:p>
        </w:tc>
        <w:tc>
          <w:tcPr>
            <w:tcW w:w="38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7,605</w:t>
            </w:r>
          </w:p>
        </w:tc>
        <w:tc>
          <w:tcPr>
            <w:tcW w:w="26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437</w:t>
            </w:r>
          </w:p>
        </w:tc>
      </w:tr>
      <w:tr>
        <w:trPr>
          <w:trHeight w:val="203"/>
        </w:trPr>
        <w:tc>
          <w:tcPr>
            <w:tcW w:w="4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Unearned revenue</w:t>
            </w:r>
          </w:p>
        </w:tc>
        <w:tc>
          <w:tcPr>
            <w:tcW w:w="3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(3,085)</w:t>
            </w:r>
          </w:p>
        </w:tc>
        <w:tc>
          <w:tcPr>
            <w:tcW w:w="2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(1,130)</w:t>
            </w:r>
          </w:p>
        </w:tc>
      </w:tr>
      <w:tr>
        <w:trPr>
          <w:trHeight w:val="203"/>
        </w:trPr>
        <w:tc>
          <w:tcPr>
            <w:tcW w:w="4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Warranty</w:t>
            </w:r>
          </w:p>
        </w:tc>
        <w:tc>
          <w:tcPr>
            <w:tcW w:w="3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(194)</w:t>
            </w:r>
          </w:p>
        </w:tc>
        <w:tc>
          <w:tcPr>
            <w:tcW w:w="2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(9,211)</w:t>
            </w:r>
          </w:p>
        </w:tc>
      </w:tr>
      <w:tr>
        <w:trPr>
          <w:trHeight w:val="203"/>
        </w:trPr>
        <w:tc>
          <w:tcPr>
            <w:tcW w:w="4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Other long-term obligations</w:t>
            </w:r>
          </w:p>
        </w:tc>
        <w:tc>
          <w:tcPr>
            <w:tcW w:w="3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(436)</w:t>
            </w:r>
          </w:p>
        </w:tc>
        <w:tc>
          <w:tcPr>
            <w:tcW w:w="2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(808)</w:t>
            </w:r>
          </w:p>
        </w:tc>
      </w:tr>
      <w:tr>
        <w:trPr>
          <w:trHeight w:val="203"/>
        </w:trPr>
        <w:tc>
          <w:tcPr>
            <w:tcW w:w="4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Other, net</w:t>
            </w:r>
          </w:p>
        </w:tc>
        <w:tc>
          <w:tcPr>
            <w:tcW w:w="3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(3,879)</w:t>
            </w:r>
          </w:p>
        </w:tc>
        <w:tc>
          <w:tcPr>
            <w:tcW w:w="2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(1,126)</w:t>
            </w:r>
          </w:p>
        </w:tc>
      </w:tr>
      <w:tr>
        <w:trPr>
          <w:trHeight w:val="203"/>
        </w:trPr>
        <w:tc>
          <w:tcPr>
            <w:tcW w:w="4740" w:type="dxa"/>
            <w:vAlign w:val="bottom"/>
          </w:tcPr>
          <w:p>
            <w:pPr>
              <w:spacing w:after="0"/>
              <w:rPr>
                <w:sz w:val="17"/>
                <w:szCs w:val="17"/>
                <w:color w:val="auto"/>
              </w:rPr>
            </w:pPr>
          </w:p>
        </w:tc>
        <w:tc>
          <w:tcPr>
            <w:tcW w:w="26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474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Cash provided by operating</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74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activities</w:t>
            </w:r>
          </w:p>
        </w:tc>
        <w:tc>
          <w:tcPr>
            <w:tcW w:w="38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49,554</w:t>
            </w:r>
          </w:p>
        </w:tc>
        <w:tc>
          <w:tcPr>
            <w:tcW w:w="26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27,544</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Investing activities</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51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Proceeds from the sale of property, plant</w:t>
            </w: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and equipment</w:t>
            </w:r>
          </w:p>
        </w:tc>
        <w:tc>
          <w:tcPr>
            <w:tcW w:w="38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2,627</w:t>
            </w:r>
          </w:p>
        </w:tc>
        <w:tc>
          <w:tcPr>
            <w:tcW w:w="26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4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Acquisition of property, plant and</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equipment</w:t>
            </w:r>
          </w:p>
        </w:tc>
        <w:tc>
          <w:tcPr>
            <w:tcW w:w="3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(10,264)</w:t>
            </w:r>
          </w:p>
        </w:tc>
        <w:tc>
          <w:tcPr>
            <w:tcW w:w="2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(10,001)</w:t>
            </w:r>
          </w:p>
        </w:tc>
      </w:tr>
      <w:tr>
        <w:trPr>
          <w:trHeight w:val="203"/>
        </w:trPr>
        <w:tc>
          <w:tcPr>
            <w:tcW w:w="4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Acquisitions, net of cash and cash</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equivalents</w:t>
            </w:r>
          </w:p>
        </w:tc>
        <w:tc>
          <w:tcPr>
            <w:tcW w:w="38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(251,829)</w:t>
            </w:r>
          </w:p>
        </w:tc>
      </w:tr>
    </w:tbl>
    <w:p>
      <w:pPr>
        <w:sectPr>
          <w:pgSz w:w="11900" w:h="16838" w:orient="portrait"/>
          <w:cols w:equalWidth="0" w:num="1">
            <w:col w:w="10219"/>
          </w:cols>
          <w:pgMar w:left="240" w:top="136" w:right="1440"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Pr>
          <w:p>
            <w:pPr>
              <w:ind w:left="540"/>
              <w:spacing w:after="0"/>
              <w:rPr>
                <w:sz w:val="20"/>
                <w:szCs w:val="20"/>
                <w:color w:val="auto"/>
              </w:rPr>
            </w:pPr>
            <w:r>
              <w:rPr>
                <w:rFonts w:ascii="Courier New" w:cs="Courier New" w:eastAsia="Courier New" w:hAnsi="Courier New"/>
                <w:sz w:val="18"/>
                <w:szCs w:val="18"/>
                <w:color w:val="auto"/>
                <w:w w:val="99"/>
              </w:rPr>
              <w:t>Payment of contingent purchase price for</w:t>
            </w: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8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acquisition</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(1,957)</w:t>
            </w:r>
          </w:p>
        </w:tc>
      </w:tr>
      <w:tr>
        <w:trPr>
          <w:trHeight w:val="203"/>
        </w:trPr>
        <w:tc>
          <w:tcPr>
            <w:tcW w:w="4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net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(847)</w:t>
            </w:r>
          </w:p>
        </w:tc>
        <w:tc>
          <w:tcPr>
            <w:tcW w:w="20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525</w:t>
            </w:r>
          </w:p>
        </w:tc>
      </w:tr>
      <w:tr>
        <w:trPr>
          <w:trHeight w:val="203"/>
        </w:trPr>
        <w:tc>
          <w:tcPr>
            <w:tcW w:w="4860" w:type="dxa"/>
            <w:vAlign w:val="bottom"/>
          </w:tcPr>
          <w:p>
            <w:pPr>
              <w:spacing w:after="0"/>
              <w:rPr>
                <w:sz w:val="17"/>
                <w:szCs w:val="17"/>
                <w:color w:val="auto"/>
              </w:rPr>
            </w:pPr>
          </w:p>
        </w:tc>
        <w:tc>
          <w:tcPr>
            <w:tcW w:w="25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486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w w:val="99"/>
              </w:rPr>
              <w:t>Cash used by investing activities</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(8,484)</w:t>
            </w:r>
          </w:p>
        </w:tc>
        <w:tc>
          <w:tcPr>
            <w:tcW w:w="2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(263,250)</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Financing activities</w:t>
            </w: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4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New borrowings</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309,081</w:t>
            </w:r>
          </w:p>
        </w:tc>
      </w:tr>
      <w:tr>
        <w:trPr>
          <w:trHeight w:val="203"/>
        </w:trPr>
        <w:tc>
          <w:tcPr>
            <w:tcW w:w="4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Change in short-term borrowings, net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w:t>
            </w:r>
          </w:p>
        </w:tc>
      </w:tr>
      <w:tr>
        <w:trPr>
          <w:trHeight w:val="203"/>
        </w:trPr>
        <w:tc>
          <w:tcPr>
            <w:tcW w:w="4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Payments on debt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(122,704)</w:t>
            </w:r>
          </w:p>
        </w:tc>
        <w:tc>
          <w:tcPr>
            <w:tcW w:w="2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(49,591)</w:t>
            </w:r>
          </w:p>
        </w:tc>
      </w:tr>
      <w:tr>
        <w:trPr>
          <w:trHeight w:val="203"/>
        </w:trPr>
        <w:tc>
          <w:tcPr>
            <w:tcW w:w="4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Issuance of common stock</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82,269</w:t>
            </w:r>
          </w:p>
        </w:tc>
        <w:tc>
          <w:tcPr>
            <w:tcW w:w="20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4,776</w:t>
            </w:r>
          </w:p>
        </w:tc>
      </w:tr>
      <w:tr>
        <w:trPr>
          <w:trHeight w:val="203"/>
        </w:trPr>
        <w:tc>
          <w:tcPr>
            <w:tcW w:w="4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Prepaid debt fees</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(391)</w:t>
            </w:r>
          </w:p>
        </w:tc>
        <w:tc>
          <w:tcPr>
            <w:tcW w:w="2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(13,470)</w:t>
            </w:r>
          </w:p>
        </w:tc>
      </w:tr>
      <w:tr>
        <w:trPr>
          <w:trHeight w:val="203"/>
        </w:trPr>
        <w:tc>
          <w:tcPr>
            <w:tcW w:w="4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net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w:t>
            </w:r>
          </w:p>
        </w:tc>
        <w:tc>
          <w:tcPr>
            <w:tcW w:w="2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4860" w:type="dxa"/>
            <w:vAlign w:val="bottom"/>
          </w:tcPr>
          <w:p>
            <w:pPr>
              <w:spacing w:after="0"/>
              <w:rPr>
                <w:sz w:val="17"/>
                <w:szCs w:val="17"/>
                <w:color w:val="auto"/>
              </w:rPr>
            </w:pPr>
          </w:p>
        </w:tc>
        <w:tc>
          <w:tcPr>
            <w:tcW w:w="25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486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w w:val="99"/>
              </w:rPr>
              <w:t>Cash provided (used) by financing</w:t>
            </w: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86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activities</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(40,798)</w:t>
            </w:r>
          </w:p>
        </w:tc>
        <w:tc>
          <w:tcPr>
            <w:tcW w:w="20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240,790</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Increase in cash and cash equivalents</w:t>
            </w:r>
          </w:p>
        </w:tc>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272</w:t>
            </w:r>
          </w:p>
        </w:tc>
        <w:tc>
          <w:tcPr>
            <w:tcW w:w="20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5,084</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beginning of</w:t>
            </w: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period</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11,624</w:t>
            </w:r>
          </w:p>
        </w:tc>
        <w:tc>
          <w:tcPr>
            <w:tcW w:w="20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6,240</w:t>
            </w:r>
          </w:p>
        </w:tc>
      </w:tr>
      <w:tr>
        <w:trPr>
          <w:trHeight w:val="203"/>
        </w:trPr>
        <w:tc>
          <w:tcPr>
            <w:tcW w:w="48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end of period</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11,896</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11,324</w:t>
            </w:r>
          </w:p>
        </w:tc>
      </w:tr>
      <w:tr>
        <w:trPr>
          <w:trHeight w:val="203"/>
        </w:trPr>
        <w:tc>
          <w:tcPr>
            <w:tcW w:w="4860" w:type="dxa"/>
            <w:vAlign w:val="bottom"/>
          </w:tcPr>
          <w:p>
            <w:pPr>
              <w:spacing w:after="0"/>
              <w:rPr>
                <w:sz w:val="17"/>
                <w:szCs w:val="17"/>
                <w:color w:val="auto"/>
              </w:rPr>
            </w:pPr>
          </w:p>
        </w:tc>
        <w:tc>
          <w:tcPr>
            <w:tcW w:w="25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CONTACT: Itron, Inc., Spokane</w:t>
      </w:r>
    </w:p>
    <w:p>
      <w:pPr>
        <w:ind w:left="1380"/>
        <w:spacing w:after="0" w:line="238" w:lineRule="auto"/>
        <w:rPr>
          <w:sz w:val="20"/>
          <w:szCs w:val="20"/>
          <w:color w:val="auto"/>
        </w:rPr>
      </w:pPr>
      <w:r>
        <w:rPr>
          <w:rFonts w:ascii="Courier New" w:cs="Courier New" w:eastAsia="Courier New" w:hAnsi="Courier New"/>
          <w:sz w:val="18"/>
          <w:szCs w:val="18"/>
          <w:color w:val="auto"/>
        </w:rPr>
        <w:t>Mima Scarpelli, 509-891-3565</w:t>
      </w:r>
    </w:p>
    <w:p>
      <w:pPr>
        <w:ind w:left="1380"/>
        <w:spacing w:after="0"/>
        <w:rPr>
          <w:sz w:val="20"/>
          <w:szCs w:val="20"/>
          <w:color w:val="auto"/>
        </w:rPr>
      </w:pPr>
      <w:r>
        <w:rPr>
          <w:rFonts w:ascii="Courier New" w:cs="Courier New" w:eastAsia="Courier New" w:hAnsi="Courier New"/>
          <w:sz w:val="18"/>
          <w:szCs w:val="18"/>
          <w:color w:val="auto"/>
        </w:rPr>
        <w:t>mima.scarpelli@itron.com</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lvl w:ilvl="1">
      <w:lvlJc w:val="left"/>
      <w:lvlText w:val="(%2)"/>
      <w:numFmt w:val="decimal"/>
      <w:start w:val="509"/>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2019-12-13T15:11:19Z</dcterms:created>
  <dcterms:modified xsi:type="dcterms:W3CDTF">2019-12-13T15:11:19Z</dcterms:modified>
</cp:coreProperties>
</file>