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509270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276"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55"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855"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855"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855" w:right="239" w:bottom="1440" w:gutter="0" w:footer="0" w:header="0"/>
          <w:type w:val="continuous"/>
        </w:sectPr>
      </w:pPr>
    </w:p>
    <w:p>
      <w:pPr>
        <w:spacing w:after="0" w:line="175"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855"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855"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5"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00" w:type="dxa"/>
            <w:vAlign w:val="bottom"/>
          </w:tcPr>
          <w:p>
            <w:pPr>
              <w:ind w:left="440"/>
              <w:spacing w:after="0"/>
              <w:rPr>
                <w:sz w:val="20"/>
                <w:szCs w:val="20"/>
                <w:color w:val="auto"/>
              </w:rPr>
            </w:pPr>
            <w:r>
              <w:rPr>
                <w:rFonts w:ascii="Arial" w:cs="Arial" w:eastAsia="Arial" w:hAnsi="Arial"/>
                <w:sz w:val="18"/>
                <w:szCs w:val="18"/>
                <w:color w:val="auto"/>
              </w:rPr>
              <w:t>x</w:t>
            </w:r>
          </w:p>
        </w:tc>
        <w:tc>
          <w:tcPr>
            <w:tcW w:w="314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00" w:type="dxa"/>
            <w:vAlign w:val="bottom"/>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April 30, 2018, there were outstanding 39,201,753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31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95"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60"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95"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7">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3">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4">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6">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6">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6">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56">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6">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7">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60"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51</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54</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54</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54</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54</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55</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0940" w:val="left"/>
        </w:tabs>
        <w:rPr>
          <w:rFonts w:ascii="Arial" w:cs="Arial" w:eastAsia="Arial" w:hAnsi="Arial"/>
          <w:sz w:val="16"/>
          <w:szCs w:val="16"/>
          <w:u w:val="single" w:color="auto"/>
          <w:color w:val="0000EE"/>
        </w:rPr>
      </w:pPr>
      <w:r>
        <w:rPr>
          <w:rFonts w:ascii="Arial" w:cs="Arial" w:eastAsia="Arial" w:hAnsi="Arial"/>
          <w:sz w:val="16"/>
          <w:szCs w:val="16"/>
          <w:b w:val="1"/>
          <w:bCs w:val="1"/>
          <w:u w:val="single" w:color="auto"/>
          <w:color w:val="0000EE"/>
        </w:rPr>
        <w:t>SIGNATURE</w:t>
      </w:r>
      <w:r>
        <w:rPr>
          <w:sz w:val="20"/>
          <w:szCs w:val="20"/>
          <w:color w:val="auto"/>
        </w:rPr>
        <w:tab/>
      </w:r>
      <w:hyperlink w:anchor="page58">
        <w:r>
          <w:rPr>
            <w:rFonts w:ascii="Arial" w:cs="Arial" w:eastAsia="Arial" w:hAnsi="Arial"/>
            <w:sz w:val="16"/>
            <w:szCs w:val="16"/>
            <w:u w:val="single" w:color="auto"/>
            <w:color w:val="0000EE"/>
          </w:rPr>
          <w:t>56</w:t>
        </w:r>
      </w:hyperlink>
    </w:p>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1"/>
              </w:rPr>
              <w:t>(in thousands, except per share data)</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Product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537,110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432,365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45,227</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607,221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477,592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Product cost of revenues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382,850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287,093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32,862</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427,366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319,955</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157,637</w:t>
            </w:r>
          </w:p>
        </w:tc>
      </w:tr>
      <w:tr>
        <w:trPr>
          <w:trHeight w:val="297"/>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51,921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41,255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102,493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37,187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87,865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3,052</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320,303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126,810</w:t>
            </w:r>
          </w:p>
        </w:tc>
      </w:tr>
      <w:tr>
        <w:trPr>
          <w:trHeight w:val="291"/>
        </w:trPr>
        <w:tc>
          <w:tcPr>
            <w:tcW w:w="7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(156,458)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25,061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16,014</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income (loss) attributable to Itron, Inc.</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(145,666)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15,845</w:t>
            </w: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Earnings (loss) per common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67"/>
        </w:trPr>
        <w:tc>
          <w:tcPr>
            <w:tcW w:w="7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common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38,945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39,215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16,014</w:t>
            </w:r>
          </w:p>
        </w:tc>
      </w:tr>
      <w:tr>
        <w:trPr>
          <w:trHeight w:val="297"/>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16,300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15,016</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unrealized gain (loss) on derivative instruments, designated as cash flow hedges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17,883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15,709</w:t>
            </w:r>
          </w:p>
        </w:tc>
      </w:tr>
      <w:tr>
        <w:trPr>
          <w:trHeight w:val="291"/>
        </w:trPr>
        <w:tc>
          <w:tcPr>
            <w:tcW w:w="79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(127,387)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31,723</w:t>
            </w:r>
          </w:p>
        </w:tc>
      </w:tr>
      <w:tr>
        <w:trPr>
          <w:trHeight w:val="291"/>
        </w:trPr>
        <w:tc>
          <w:tcPr>
            <w:tcW w:w="79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97"/>
        </w:trPr>
        <w:tc>
          <w:tcPr>
            <w:tcW w:w="79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31,554</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4"/>
          </w:tcPr>
          <w:p>
            <w:pPr>
              <w:ind w:left="2140"/>
              <w:spacing w:after="0"/>
              <w:rPr>
                <w:sz w:val="20"/>
                <w:szCs w:val="20"/>
                <w:color w:val="auto"/>
              </w:rPr>
            </w:pPr>
            <w:r>
              <w:rPr>
                <w:rFonts w:ascii="Arial" w:cs="Arial" w:eastAsia="Arial" w:hAnsi="Arial"/>
                <w:sz w:val="18"/>
                <w:szCs w:val="18"/>
                <w:i w:val="1"/>
                <w:iCs w:val="1"/>
                <w:color w:val="auto"/>
                <w:w w:val="95"/>
              </w:rPr>
              <w:t>The accompanying notes are an integral part of these condensed consolidated financial statements.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7900" w:type="dxa"/>
            <w:vAlign w:val="bottom"/>
          </w:tcPr>
          <w:p>
            <w:pPr>
              <w:ind w:left="566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0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CONSOLIDATED BALANCE SHEETS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(UNAUDITED)</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4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4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176,274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481,389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398,029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193,835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97,925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81,604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849,742</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234,924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200,768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58,917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49,971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311,010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46,843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43,666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1,142,757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555,762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2,736,529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ind w:left="1120"/>
              <w:spacing w:after="0"/>
              <w:rPr>
                <w:sz w:val="20"/>
                <w:szCs w:val="20"/>
                <w:color w:val="auto"/>
              </w:rPr>
            </w:pPr>
            <w:r>
              <w:rPr>
                <w:rFonts w:ascii="Arial" w:cs="Arial" w:eastAsia="Arial" w:hAnsi="Arial"/>
                <w:sz w:val="18"/>
                <w:szCs w:val="18"/>
                <w:b w:val="1"/>
                <w:bCs w:val="1"/>
                <w:color w:val="auto"/>
              </w:rPr>
              <w:t>LIABILITIES AND EQUITY</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262,166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90,259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56,736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90,505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Taxes payable</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22,659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warranty</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41,438</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638,008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507,783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1,105,538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593,572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Pension benefit obligation</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100,045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95,717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171,318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88,206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2,031,926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1,300,515</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54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Common stock, no par value, 75 million shares authorized, 39,181 and 38,771 shares</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w:t>
            </w:r>
          </w:p>
        </w:tc>
        <w:tc>
          <w:tcPr>
            <w:tcW w:w="5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1,310,379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1,294,767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(152,595)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(170,478)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(337,873)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Itron, Inc. shareholders' equity</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685,972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786,416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19,216</w:t>
            </w:r>
          </w:p>
        </w:tc>
        <w:tc>
          <w:tcPr>
            <w:tcW w:w="0" w:type="dxa"/>
            <w:vAlign w:val="bottom"/>
          </w:tcPr>
          <w:p>
            <w:pPr>
              <w:spacing w:after="0"/>
              <w:rPr>
                <w:sz w:val="1"/>
                <w:szCs w:val="1"/>
                <w:color w:val="auto"/>
              </w:rPr>
            </w:pP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704,603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805,632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2,736,529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2,106,147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70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705"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7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(loss)</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(145,270)</w:t>
            </w: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16,014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31,072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14,378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Stock-based compensation</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8,095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5,211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Deferred taxes,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(16,508)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Restructuring, non-cash</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720"/>
              <w:spacing w:after="0"/>
              <w:rPr>
                <w:sz w:val="20"/>
                <w:szCs w:val="20"/>
                <w:color w:val="auto"/>
              </w:rPr>
            </w:pPr>
            <w:r>
              <w:rPr>
                <w:rFonts w:ascii="Arial" w:cs="Arial" w:eastAsia="Arial" w:hAnsi="Arial"/>
                <w:sz w:val="14"/>
                <w:szCs w:val="14"/>
                <w:color w:val="auto"/>
              </w:rPr>
              <w:t>Other adjustments,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acquisitions: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(7,768)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13,119</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(11,274)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(8,849)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(11,169)</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long-term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4,509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Accounts payable, other current liabilities, and taxes payable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7,826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28,277</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Wages and benefits payable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16,438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Unearned revenue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23,317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14,020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Warranty</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operating,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58,953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(3,960)</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(used in) operating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(24,448)</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63,257</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Acquisitions of property, plant, and equipment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(17,433)</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Business acquisitions, net of cash equivalents acquired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(802,488)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investing,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(819,821)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380"/>
              <w:spacing w:after="0"/>
              <w:rPr>
                <w:sz w:val="20"/>
                <w:szCs w:val="20"/>
                <w:color w:val="auto"/>
              </w:rPr>
            </w:pPr>
            <w:r>
              <w:rPr>
                <w:rFonts w:ascii="Arial" w:cs="Arial" w:eastAsia="Arial" w:hAnsi="Arial"/>
                <w:sz w:val="14"/>
                <w:szCs w:val="14"/>
                <w:color w:val="auto"/>
              </w:rPr>
              <w:t>Proceeds from borrowings</w:t>
            </w: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555,938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on debt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(32,395)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Issuance of common stock</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3,384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(24,042)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380"/>
              <w:spacing w:after="0"/>
              <w:rPr>
                <w:sz w:val="20"/>
                <w:szCs w:val="20"/>
                <w:color w:val="auto"/>
              </w:rPr>
            </w:pPr>
            <w:r>
              <w:rPr>
                <w:rFonts w:ascii="Arial" w:cs="Arial" w:eastAsia="Arial" w:hAnsi="Arial"/>
                <w:sz w:val="14"/>
                <w:szCs w:val="14"/>
                <w:color w:val="auto"/>
              </w:rPr>
              <w:t>Other financing,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(used in) financing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501,839</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Increase (decrease) in cash, cash equivalents, and restricted cash</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(341,867)</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54,363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487,335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133,565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145,468</w:t>
            </w:r>
          </w:p>
        </w:tc>
        <w:tc>
          <w:tcPr>
            <w:tcW w:w="120" w:type="dxa"/>
            <w:vAlign w:val="bottom"/>
          </w:tcPr>
          <w:p>
            <w:pPr>
              <w:spacing w:after="0"/>
              <w:rPr>
                <w:sz w:val="14"/>
                <w:szCs w:val="14"/>
                <w:color w:val="auto"/>
              </w:rPr>
            </w:pPr>
          </w:p>
        </w:tc>
        <w:tc>
          <w:tcPr>
            <w:tcW w:w="540" w:type="dxa"/>
            <w:vAlign w:val="bottom"/>
            <w:vMerge w:val="restart"/>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187,928</w:t>
            </w:r>
          </w:p>
        </w:tc>
        <w:tc>
          <w:tcPr>
            <w:tcW w:w="0" w:type="dxa"/>
            <w:vAlign w:val="bottom"/>
          </w:tcPr>
          <w:p>
            <w:pPr>
              <w:spacing w:after="0"/>
              <w:rPr>
                <w:sz w:val="1"/>
                <w:szCs w:val="1"/>
                <w:color w:val="auto"/>
              </w:rPr>
            </w:pPr>
          </w:p>
        </w:tc>
      </w:tr>
      <w:tr>
        <w:trPr>
          <w:trHeight w:val="100"/>
        </w:trPr>
        <w:tc>
          <w:tcPr>
            <w:tcW w:w="79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3"/>
          <w:szCs w:val="13"/>
          <w:i w:val="1"/>
          <w:iCs w:val="1"/>
          <w:color w:val="auto"/>
        </w:rPr>
        <w:t>Supplemental disclosure of cash flow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1,498</w:t>
            </w:r>
          </w:p>
        </w:tc>
        <w:tc>
          <w:tcPr>
            <w:tcW w:w="7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1,224</w:t>
            </w:r>
          </w:p>
        </w:tc>
      </w:tr>
      <w:tr>
        <w:trPr>
          <w:trHeight w:val="270"/>
        </w:trPr>
        <w:tc>
          <w:tcPr>
            <w:tcW w:w="66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6,878</w:t>
            </w:r>
          </w:p>
        </w:tc>
        <w:tc>
          <w:tcPr>
            <w:tcW w:w="7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-506095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-163195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2018 and 2017, the Consolidated Balance Sheets as of March 31, 2018 and December 31, 2017, and the Consolidated Statements of Cash Flows for the three months ended March 31, 2018 and 2017 of Itron, Inc. and its subsidiaries. All entries required for the fair presentation of the financial statements are of a normal recurring nature, except as disclosed. The results of operations for the three months ended March 31, 2018 are not necessarily indicative of the results expected for the full year or for any other period.</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audited financial statements and notes included in our 2017 Annual Report on Form 10-K filed with the SEC on February 28, 2018. There have been no significant changes in financial statement preparation or significant accounting policies since December 31, 2017, with the exception of the adoption of Accounting Standards Codification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(Topic 606).</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2018, we adopted Topic 606 using the modified retrospective method applied to those contracts that were not completed. Results for reporting periods beginning after January 1, 2018 are presented under Topic 606, while prior period amounts are not adjusted and continue to be reported in accordance with our historic accounting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cumulative impact of adoption was a net decrease to accumulated deficit of $10.9 million as of January 1, 2018, with the impact primarily related to multiple element arrangements that contain software and software related elements. As we had not established vendor specific objective evidence of fair value for certain of our software and software related elements, we historically combined them as one unit of account and recognized the combined unit of account using the combined services approach. Under Topic 606, these software and software related elements are generally determined to be distinct performance obligations. As such, we are able to recognize revenue as we satisfy the performance obligations, either at a point in time or over time. For contracts that were modified prior to January 1, 2018, we have reflected the aggregate effect of all modifications prior to the date of initial adoption in order to identify the satisfied and unsatisfied performance obligations, determine the transaction price, and allocate the transaction price to satisfied and unsatisfied performance obligations. The impact to revenues for the three months ended March 31, 2018 was immaterial as a result of applying Topic 606.</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updated Revenue Recognition accounting policy described below and Note 16 for additional disclosures regarding our revenues from contracts with customers and the adoption of Topic 606.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Certain reclassifications have been made to prior period consolidated financial statements to conform to classifications used in the current period. These reclassifications had no impact on net income (loss), shareholders' equity or cash flows as previously reported.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and cash equivalents that are contractually restricted from operating use are classified as restricted cash and cash equivalents. On December 22, 2017, we issued $300 million aggregate principal amount of 5.00% senior unsecured notes due in 2026 (December Notes). The proceeds of the December Notes plus payments for prepaid interest and a premium for a special mandatory redemption option were deposited into escrow, where the funds remained until all the escrow release conditions were satisfied, specifically the closing of the acquisition of Silver Spring Networks, Inc. (SSNI) on January 5, 2018. We recognized the balance in escrow as restricted cash in our consolidated financial statements as of December 31,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143,951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187,928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restricted cash included in other current assets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restricted cash</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7900" w:type="dxa"/>
            <w:vAlign w:val="bottom"/>
          </w:tcPr>
          <w:p>
            <w:pPr>
              <w:ind w:left="380"/>
              <w:spacing w:after="0"/>
              <w:rPr>
                <w:sz w:val="20"/>
                <w:szCs w:val="20"/>
                <w:color w:val="auto"/>
              </w:rPr>
            </w:pPr>
            <w:r>
              <w:rPr>
                <w:rFonts w:ascii="Arial" w:cs="Arial" w:eastAsia="Arial" w:hAnsi="Arial"/>
                <w:sz w:val="16"/>
                <w:szCs w:val="16"/>
                <w:color w:val="auto"/>
              </w:rPr>
              <w:t>Total cash, cash equivalents, and restricted cash</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145,468</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187,928</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majority of our revenues consist primarily of hardware sales, but may also include the license of software, software implementation services, cloud services and software as a service ("Saas"), project management services, installation services, consulting services, post-sale maintenance support, and extended or noncustomary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will consider whether the arrangement creates enforceable rights and obligations, which involves evaluation of agreement terms that would allow for the customer to terminate the agreement. If the customer is able to terminate the agreement without providing further consideration to us, the agreement would not be considered to meet the definition of a contract.</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our revenue arrangements involve multiple performance obligations consisting of hardware, meter reading system software, installation, and/or project management services. Separate contracts entered into with the same customer (or related parties of the customer) at or near the same time are accounted for as a single contract where one or more of the following criteria are met: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contracts are negotiated as a package with a single commercial objective;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consideration to be paid in one contract depends on the price or performance of the other contract;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goods or services promised in the contracts (or some goods or services promised in each of the contracts) are a single performance obligation.</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For some of our contracts, the customer contracts with us to provide a significant service of integrating, customizing or modifying goods or services in the contract in which case the goods or services would be combined into a single performance obligation. It is common that we may promise to provide multiple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If applicable,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Hardware revenues are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professional services that include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Hardware and software licenses (when not combined with professional services) are typically billed when shipped and revenue recognized at a point-in-time.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timing of revenue recognition and invoicing does not have a significant impact on contract assets and liabilities.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past history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 arrangements include an extended or noncustomary warranty provisions that covers all or a portion of a customer's replacement or repair costs beyond the standard or customary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Hardware and software post-sale maintenance support fees are recognized over time, ratably over the life of the related service contract. Shipping and handling costs and incidental expenses billed to customers are recognized as revenue, with the associated cost charged to cost of revenues. We recognize sales, use, and value added taxes billed to our customers on a net basis. Support fees are typically billed on an annual basis, resulting in a contract liability.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terms with customers can vary by customer; however, amounts billed are typically payable within 30 to 90 days, depending on the destination country. We do not make a practice of offering financing as part of our contracts with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expense as incurred. Otherwise, such incremental costs are capitalized and amortized over the contract period. Capitalized incremental costs are not material.</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currently believe the most significant impact relates to our real estate leases and the increased financial statement disclosures, but are continuing to evaluate the effect that the updated standard will have on our consolidated results of operations, financial position, cash flows, and related financial statement disclosures.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Intra-Entity Transfers of Assets Other Than Inventory (Topic 740)</w:t>
      </w:r>
      <w:r>
        <w:rPr>
          <w:rFonts w:ascii="Arial" w:cs="Arial" w:eastAsia="Arial" w:hAnsi="Arial"/>
          <w:sz w:val="16"/>
          <w:szCs w:val="16"/>
          <w:color w:val="auto"/>
        </w:rPr>
        <w:t xml:space="preserve"> (ASU 2016-16), which removes the prohibition in Topic 740 against the immediate recognition of the current and deferred income tax effects of intra-entity transfers of assets other than inventory. Under ASU 2016-16, the selling entity is required to recognize a current tax expense or benefit upon transfer of the asset. Similarly, the purchasing entity is required to recognize a deferred tax asset or deferred tax liability, as well as the related deferred tax benefit or expense, upon receipt of the asset. The resulting deferred tax asset or deferred tax liability is measured by computing the difference between the tax basis of the asset in the buyer's jurisdiction and its financial reporting carrying value in the consolidated financial statements and multiplying such difference by the enacted tax rate in the buyer's jurisdiction. ASU 2016-16 is effective for fiscal years beginning after December 15, 2017 with early adoption permitted. We adopted this standard effective January 1, 2018 using a modified retrospective transition method, recognizing a $0.9 million one-time decrease to accumulated deficit.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xml:space="preserve"> (ASU 2017-07), which provides additional guidance on the presentation of net benefit costs in the income statement. ASU 2017-07 requires an employer disaggregate the service cost component from the other components of net benefit cost and to disclose other components outside of a subtotal of income from operations. It also allows only the service cost component of net benefit costs to be eligible for capitalization. ASU 2017-07 is effective for fiscal years beginning after December 15, 2017 with early adoption permitted.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this standard on January 1, 2018 retrospectively for the presentation of the service cost component of net periodic pension cost in the statement of operations, and prospectively for the capitalization of the service cost component of net periodic pension cost. For applying the retrospective presentation requirements, we elected to utilize amounts previously disclosed in our defined benefit pension plan footnote for the prior comparative periods as the estimation basis for applying the retrospective presentation. This resulted in a reclassification of an immaterial amount of net periodic pension benefit costs from operating income to other income (expense) in all periods presented on the Consolidated Statements of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(ASU 2017-12), which amends and simplifies existing guidance in order to allow companies to more accurately present the economic effects of risk management activities in the financial statements. This update expands and refines hedge accounting for both nonfinancial and financial risk components and aligns the recognition and presentation of the effects of the hedging instrument and the hedged item in the financial statements. Additionally, the amendments in ASU 2017-12 provide new guidance about income statement classification and eliminates the requirement to separately measure and report hedge ineffectiveness. ASU 2017-12 is effective for fiscal years beginning after December 15, 2018, with early adoption permitted. We are currently assessing the impact of adoption on our consolidated results of operations, financial position, cash flows, and related financial statement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5"/>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(145,666)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15,845</w:t>
            </w:r>
          </w:p>
        </w:tc>
      </w:tr>
      <w:tr>
        <w:trPr>
          <w:trHeight w:val="297"/>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38,474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741</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39,215</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(loss) per common share - Basic</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0.41</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the future compensation cost associated with the stock award. Approximately 1.0 million and 0.2 million stock-based awards were excluded from the calculation of diluted EPS for the three months ended March 31, 2018 and 2017 because they were anti-dilutive. As a result of our net loss for the three months ended March 31, 2018, there was no dilutive effect to weighted average common shares outstanding.</w:t>
      </w:r>
    </w:p>
    <w:p>
      <w:pPr>
        <w:spacing w:after="0" w:line="19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2018</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$4,774 and $3,957)</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448,211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369,047</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33,178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28,982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481,389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398,029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400" w:type="dxa"/>
            <w:vAlign w:val="bottom"/>
          </w:tcPr>
          <w:p>
            <w:pPr>
              <w:spacing w:after="0"/>
              <w:rPr>
                <w:sz w:val="20"/>
                <w:szCs w:val="20"/>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Provision for doubtful accounts, net</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303</w:t>
            </w:r>
          </w:p>
        </w:tc>
      </w:tr>
      <w:tr>
        <w:trPr>
          <w:trHeight w:val="33"/>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4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131</w:t>
            </w:r>
          </w:p>
        </w:tc>
      </w:tr>
      <w:tr>
        <w:trPr>
          <w:trHeight w:val="33"/>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3,424</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20" w:type="dxa"/>
            <w:vAlign w:val="bottom"/>
          </w:tcPr>
          <w:p>
            <w:pPr>
              <w:spacing w:after="0"/>
              <w:rPr>
                <w:sz w:val="20"/>
                <w:szCs w:val="20"/>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2018</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2017</w:t>
            </w: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132,990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126,656</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8,700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9,863</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57,316</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209,373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193,835</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804"/>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6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2018</w:t>
            </w:r>
          </w:p>
        </w:tc>
        <w:tc>
          <w:tcPr>
            <w:tcW w:w="460" w:type="dxa"/>
            <w:vAlign w:val="bottom"/>
          </w:tcPr>
          <w:p>
            <w:pPr>
              <w:spacing w:after="0"/>
              <w:rPr>
                <w:sz w:val="24"/>
                <w:szCs w:val="24"/>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310,753</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Computers and software</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111,227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104,384</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135,566</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16,638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18,433</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39,946</w:t>
            </w:r>
          </w:p>
        </w:tc>
      </w:tr>
      <w:tr>
        <w:trPr>
          <w:trHeight w:val="217"/>
        </w:trPr>
        <w:tc>
          <w:tcPr>
            <w:tcW w:w="6740" w:type="dxa"/>
            <w:vAlign w:val="bottom"/>
            <w:gridSpan w:val="2"/>
          </w:tcPr>
          <w:p>
            <w:pPr>
              <w:ind w:left="720"/>
              <w:spacing w:after="0"/>
              <w:rPr>
                <w:sz w:val="20"/>
                <w:szCs w:val="20"/>
                <w:color w:val="auto"/>
              </w:rPr>
            </w:pPr>
            <w:r>
              <w:rPr>
                <w:rFonts w:ascii="Arial" w:cs="Arial" w:eastAsia="Arial" w:hAnsi="Arial"/>
                <w:sz w:val="16"/>
                <w:szCs w:val="16"/>
                <w:color w:val="auto"/>
              </w:rPr>
              <w:t>Total cost</w:t>
            </w:r>
          </w:p>
        </w:tc>
        <w:tc>
          <w:tcPr>
            <w:tcW w:w="3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651,928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609,082</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(417,004)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(408,314)</w:t>
            </w:r>
          </w:p>
        </w:tc>
      </w:tr>
      <w:tr>
        <w:trPr>
          <w:trHeight w:val="244"/>
        </w:trPr>
        <w:tc>
          <w:tcPr>
            <w:tcW w:w="6740" w:type="dxa"/>
            <w:vAlign w:val="bottom"/>
            <w:gridSpan w:val="2"/>
          </w:tcPr>
          <w:p>
            <w:pPr>
              <w:ind w:left="10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234,924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200,768</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400" w:type="dxa"/>
            <w:vAlign w:val="bottom"/>
          </w:tcPr>
          <w:p>
            <w:pPr>
              <w:spacing w:after="0"/>
              <w:rPr>
                <w:sz w:val="20"/>
                <w:szCs w:val="20"/>
                <w:color w:val="auto"/>
              </w:rPr>
            </w:pPr>
          </w:p>
        </w:tc>
        <w:tc>
          <w:tcPr>
            <w:tcW w:w="31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7"/>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8"/>
              </w:rPr>
              <w:t>(in thousands)</w:t>
            </w:r>
          </w:p>
        </w:tc>
        <w:tc>
          <w:tcPr>
            <w:tcW w:w="1140" w:type="dxa"/>
            <w:vAlign w:val="bottom"/>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13,332</w:t>
            </w:r>
          </w:p>
        </w:tc>
        <w:tc>
          <w:tcPr>
            <w:tcW w:w="6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9,829</w:t>
            </w:r>
          </w:p>
        </w:tc>
      </w:tr>
      <w:tr>
        <w:trPr>
          <w:trHeight w:val="33"/>
        </w:trPr>
        <w:tc>
          <w:tcPr>
            <w:tcW w:w="7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 2018</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2017</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4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Accretion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Core-developed technology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531,263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(423,634)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107,629</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429,548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(399,969)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29,579</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189,809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61,004</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Trademarks and trade names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82,337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(68,982)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70,056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(66,004)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4,052</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r>
      <w:tr>
        <w:trPr>
          <w:trHeight w:val="200"/>
        </w:trPr>
        <w:tc>
          <w:tcPr>
            <w:tcW w:w="2880" w:type="dxa"/>
            <w:vAlign w:val="bottom"/>
          </w:tcPr>
          <w:p>
            <w:pPr>
              <w:ind w:left="540"/>
              <w:spacing w:after="0"/>
              <w:rPr>
                <w:sz w:val="20"/>
                <w:szCs w:val="20"/>
                <w:color w:val="auto"/>
              </w:rPr>
            </w:pPr>
            <w:r>
              <w:rPr>
                <w:rFonts w:ascii="Arial" w:cs="Arial" w:eastAsia="Arial" w:hAnsi="Arial"/>
                <w:sz w:val="16"/>
                <w:szCs w:val="16"/>
                <w:color w:val="auto"/>
                <w:w w:val="99"/>
              </w:rPr>
              <w:t>Total intangible assets subject to</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06"/>
        </w:trPr>
        <w:tc>
          <w:tcPr>
            <w:tcW w:w="2880" w:type="dxa"/>
            <w:vAlign w:val="bottom"/>
          </w:tcPr>
          <w:p>
            <w:pPr>
              <w:ind w:left="540"/>
              <w:spacing w:after="0"/>
              <w:rPr>
                <w:sz w:val="20"/>
                <w:szCs w:val="20"/>
                <w:color w:val="auto"/>
              </w:rPr>
            </w:pPr>
            <w:r>
              <w:rPr>
                <w:rFonts w:ascii="Arial" w:cs="Arial" w:eastAsia="Arial" w:hAnsi="Arial"/>
                <w:sz w:val="16"/>
                <w:szCs w:val="16"/>
                <w:color w:val="auto"/>
              </w:rPr>
              <w:t>amortization</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1,025,830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(714,446)</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311,384</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(674,623)</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95,228</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28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In-process research and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2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development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8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intangible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1,033,430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(714,446)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318,984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769,851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(674,623)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95,228</w:t>
            </w:r>
          </w:p>
        </w:tc>
      </w:tr>
      <w:tr>
        <w:trPr>
          <w:trHeight w:val="284"/>
        </w:trPr>
        <w:tc>
          <w:tcPr>
            <w:tcW w:w="2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769,851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669,896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240,600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22,979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1,033,430</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686,064</w:t>
            </w:r>
          </w:p>
        </w:tc>
      </w:tr>
      <w:tr>
        <w:trPr>
          <w:trHeight w:val="73"/>
        </w:trPr>
        <w:tc>
          <w:tcPr>
            <w:tcW w:w="79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Beginning balance, intangible liabilities, gross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liabilities acquired</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liabilities, gross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2018, we completed our acquisition of SSNI by purchasing 100% of the voting stock. Intangible assets acquired in 2018 are based on the preliminary purchase price allocation relating to this acquisition. Acquired intangible assets include in-process research and development (IPR&amp;D), which is not amortized until such time as the associated development projects are completed. Of these projects, $6.8 million were completed during the first quarter of 2018 and are included in core-developed technology. The remaining IPR&amp;D is expected to be completed in the next year. Acquired intangible liabilities reflect the present value of the projected cash outflows for an existing contract where remaining costs are expected to exceed projected revenues. Refer to Note 17 for additional information regarding this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Estimated Annual</w:t>
            </w:r>
          </w:p>
        </w:tc>
      </w:tr>
      <w:tr>
        <w:trPr>
          <w:trHeight w:val="210"/>
        </w:trPr>
        <w:tc>
          <w:tcPr>
            <w:tcW w:w="64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Accretion</w:t>
            </w:r>
          </w:p>
        </w:tc>
        <w:tc>
          <w:tcPr>
            <w:tcW w:w="14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Amortization, net</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(amount remaining at March 31, 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54,651</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72,345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64,112</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44,237</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36,649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34,686</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25,858</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Beyond 2022</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65,244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65,244</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288,788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recognized $17.7 million and $4.5 million of net amortization of intangible assets for the three months ended March 31, 2018 and 2017, respectively, within operating expenses in the Consolidated Statement of Operations. These expenses relate to intangible assets and liabilities acquired as part of a business combination.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Electricity</w:t>
            </w:r>
          </w:p>
        </w:tc>
        <w:tc>
          <w:tcPr>
            <w:tcW w:w="4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Arial" w:cs="Arial" w:eastAsia="Arial" w:hAnsi="Arial"/>
                <w:sz w:val="16"/>
                <w:szCs w:val="16"/>
                <w:b w:val="1"/>
                <w:bCs w:val="1"/>
                <w:color w:val="auto"/>
              </w:rPr>
              <w:t>Gas</w:t>
            </w:r>
          </w:p>
        </w:tc>
        <w:tc>
          <w:tcPr>
            <w:tcW w:w="18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Arial" w:cs="Arial" w:eastAsia="Arial" w:hAnsi="Arial"/>
                <w:sz w:val="16"/>
                <w:szCs w:val="16"/>
                <w:b w:val="1"/>
                <w:bCs w:val="1"/>
                <w:color w:val="auto"/>
              </w:rPr>
              <w:t>Water</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Networks</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Company</w:t>
            </w:r>
          </w:p>
        </w:tc>
      </w:tr>
      <w:tr>
        <w:trPr>
          <w:trHeight w:val="33"/>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6"/>
                <w:szCs w:val="16"/>
                <w:color w:val="auto"/>
              </w:rPr>
              <w:t>Goodwill balance at January 1, 2018</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47"/>
        </w:trPr>
        <w:tc>
          <w:tcPr>
            <w:tcW w:w="2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500,625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378,901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1,232,229</w:t>
            </w:r>
          </w:p>
        </w:tc>
      </w:tr>
      <w:tr>
        <w:trPr>
          <w:trHeight w:val="237"/>
        </w:trPr>
        <w:tc>
          <w:tcPr>
            <w:tcW w:w="29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(386,384)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(290,083)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(676,467)</w:t>
            </w:r>
          </w:p>
        </w:tc>
      </w:tr>
      <w:tr>
        <w:trPr>
          <w:trHeight w:val="33"/>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555,762</w:t>
            </w:r>
          </w:p>
        </w:tc>
      </w:tr>
      <w:tr>
        <w:trPr>
          <w:trHeight w:val="291"/>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acquired</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572,499</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10,788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14,496</w:t>
            </w:r>
          </w:p>
        </w:tc>
      </w:tr>
      <w:tr>
        <w:trPr>
          <w:trHeight w:val="33"/>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97"/>
        </w:trPr>
        <w:tc>
          <w:tcPr>
            <w:tcW w:w="2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Goodwill balance at March 31, 2018</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514,057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1,843,857</w:t>
            </w:r>
          </w:p>
        </w:tc>
      </w:tr>
      <w:tr>
        <w:trPr>
          <w:trHeight w:val="237"/>
        </w:trPr>
        <w:tc>
          <w:tcPr>
            <w:tcW w:w="29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(398,785)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(302,315)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(701,100)</w:t>
            </w:r>
          </w:p>
        </w:tc>
      </w:tr>
      <w:tr>
        <w:trPr>
          <w:trHeight w:val="33"/>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363,491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91,378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572,616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1,142,757</w:t>
            </w: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Less: unamortized prepaid debt fees - term loan</w:t>
      </w:r>
    </w:p>
    <w:p>
      <w:pPr>
        <w:spacing w:after="0" w:line="98"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auto"/>
        </w:rPr>
        <w:t>Less: unamortized prepaid debt fees - senior notes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650,000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194,063</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95,777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125,414</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300,000</w:t>
            </w:r>
          </w:p>
        </w:tc>
      </w:tr>
      <w:tr>
        <w:trPr>
          <w:trHeight w:val="47"/>
        </w:trPr>
        <w:tc>
          <w:tcPr>
            <w:tcW w:w="3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360" w:type="dxa"/>
            <w:vAlign w:val="bottom"/>
          </w:tcPr>
          <w:p>
            <w:pPr>
              <w:spacing w:after="0"/>
              <w:rPr>
                <w:sz w:val="18"/>
                <w:szCs w:val="18"/>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1,145,777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619,477</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16,250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19,688</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5,912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270"/>
        </w:trPr>
        <w:tc>
          <w:tcPr>
            <w:tcW w:w="360" w:type="dxa"/>
            <w:vAlign w:val="bottom"/>
          </w:tcPr>
          <w:p>
            <w:pPr>
              <w:spacing w:after="0"/>
              <w:rPr>
                <w:sz w:val="23"/>
                <w:szCs w:val="23"/>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18,077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5,588</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1,105,538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593,572</w:t>
            </w:r>
          </w:p>
        </w:tc>
      </w:tr>
      <w:tr>
        <w:trPr>
          <w:trHeight w:val="33"/>
        </w:trPr>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-1397000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during the credit facility term may be repaid and reborrowed until the revolver's maturity, at which time all outstanding loans together with all accrued and unpaid interest must be repaid. Amounts not borrowed under the revolver are subject to a commitment fee, which is paid in arrears on the last day of each fiscal quarter, ranging from 0.18% to 0.35% per annum depending on our total leverage ratio as of the most recently ended fiscal quarter.</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w:t>
      </w:r>
    </w:p>
    <w:p>
      <w:pPr>
        <w:sectPr>
          <w:pgSz w:w="11900" w:h="16838" w:orient="portrait"/>
          <w:cols w:equalWidth="0" w:num="1">
            <w:col w:w="11420"/>
          </w:cols>
          <w:pgMar w:left="240" w:top="125" w:right="239" w:bottom="1440" w:gutter="0" w:footer="0" w:header="0"/>
          <w:type w:val="continuous"/>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covenants, which contain certain financial thresholds and place certain restrictions on the incurrence of debt, investments, and the issuance of dividends. We were in compliance with the debt covenants under the 2018 credit facility at March 31, 2018.</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March 31, 2018, the interest rate for both the term loan and the USD revolver was 3.88%, which includes the LIBOR rate plus a margin of 2.00%. At March 31, 2018, the interest rate for the EUR revolver was 2.00% (the EURIBOR floor rate plus a margin of 2.00%).</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and January 19, 2018, we issued $300 million and $100 million, respectively, of aggregate principal amount of 5.00% senior notes maturing January 15, 2026 (Notes). The proceeds were used to refinance existing indebtedness related to the acquisition of SSNI, pay related fees and expenses, and for general corporate purposes. Interest on the Notes will be payable semi-annually in arrears on January 15 and July 15, commencing on July 15, 2018. The Notes are fully and unconditionally guaranteed, jointly and severally, on a senior unsecured basis by each of our subsidiaries that guarantee the senior credit facilities.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Notes, together with accrued and unpaid interest, if any, plus a "make-whole" premium. On or after January 15, 2021, we may redeem some or all of the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Notes with the net proceeds of certain equity offerings at 105.00% of the principal amount thereof to the date of redemption; provided that (i) at least 65% of the aggregate principal amount of Notes remains outstanding after such redemption and (ii) the redemption occurs within 60 days of the closing of any such equity offering.</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(amount remaining at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12,188</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28,438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44,777</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60,937</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65,000</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534,437</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minimum payments on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745,777</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0" w:type="dxa"/>
            <w:vAlign w:val="bottom"/>
          </w:tcPr>
          <w:p>
            <w:pPr>
              <w:jc w:val="center"/>
              <w:ind w:right="14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28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31"/>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438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1580" w:type="dxa"/>
            <w:vAlign w:val="bottom"/>
          </w:tcPr>
          <w:p>
            <w:pPr>
              <w:ind w:left="480"/>
              <w:spacing w:after="0"/>
              <w:rPr>
                <w:sz w:val="20"/>
                <w:szCs w:val="20"/>
                <w:color w:val="auto"/>
              </w:rPr>
            </w:pPr>
            <w:r>
              <w:rPr>
                <w:rFonts w:ascii="Arial" w:cs="Arial" w:eastAsia="Arial" w:hAnsi="Arial"/>
                <w:sz w:val="16"/>
                <w:szCs w:val="16"/>
                <w:b w:val="1"/>
                <w:bCs w:val="1"/>
                <w:color w:val="auto"/>
                <w:w w:val="94"/>
              </w:rPr>
              <w:t>March 31, 2018</w:t>
            </w:r>
          </w:p>
        </w:tc>
        <w:tc>
          <w:tcPr>
            <w:tcW w:w="2600" w:type="dxa"/>
            <w:vAlign w:val="bottom"/>
          </w:tcPr>
          <w:p>
            <w:pPr>
              <w:ind w:left="920"/>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1580" w:type="dxa"/>
            <w:vAlign w:val="bottom"/>
          </w:tcPr>
          <w:p>
            <w:pPr>
              <w:spacing w:after="0"/>
              <w:rPr>
                <w:sz w:val="18"/>
                <w:szCs w:val="18"/>
                <w:color w:val="auto"/>
              </w:rPr>
            </w:pPr>
          </w:p>
        </w:tc>
        <w:tc>
          <w:tcPr>
            <w:tcW w:w="2600" w:type="dxa"/>
            <w:vAlign w:val="bottom"/>
          </w:tcPr>
          <w:p>
            <w:pPr>
              <w:jc w:val="center"/>
              <w:ind w:right="1479"/>
              <w:spacing w:after="0"/>
              <w:rPr>
                <w:sz w:val="20"/>
                <w:szCs w:val="20"/>
                <w:color w:val="auto"/>
              </w:rPr>
            </w:pPr>
            <w:r>
              <w:rPr>
                <w:rFonts w:ascii="Arial" w:cs="Arial" w:eastAsia="Arial" w:hAnsi="Arial"/>
                <w:sz w:val="16"/>
                <w:szCs w:val="16"/>
                <w:b w:val="1"/>
                <w:bCs w:val="1"/>
                <w:color w:val="auto"/>
                <w:w w:val="90"/>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swap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Interest rate cap contracts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swap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Interest rate cap contracts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1,303</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2,226</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1,712</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-313055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29845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Derivatives not designated as hedging instruments under ASC 815-20</w:t>
      </w:r>
    </w:p>
    <w:p>
      <w:pPr>
        <w:sectPr>
          <w:pgSz w:w="11900" w:h="16838" w:orient="portrait"/>
          <w:cols w:equalWidth="0" w:num="1">
            <w:col w:w="11420"/>
          </w:cols>
          <w:pgMar w:left="240" w:top="125" w:right="2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47"/>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7"/>
        </w:trPr>
        <w:tc>
          <w:tcPr>
            <w:tcW w:w="35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2,900</w:t>
            </w:r>
          </w:p>
        </w:tc>
      </w:tr>
      <w:tr>
        <w:trPr>
          <w:trHeight w:val="33"/>
        </w:trPr>
        <w:tc>
          <w:tcPr>
            <w:tcW w:w="2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-539750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-196850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4511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180"/>
        <w:spacing w:after="0"/>
        <w:tabs>
          <w:tab w:leader="none" w:pos="4480" w:val="left"/>
          <w:tab w:leader="none" w:pos="7240" w:val="left"/>
          <w:tab w:leader="none" w:pos="8900" w:val="left"/>
          <w:tab w:leader="none" w:pos="9380" w:val="left"/>
          <w:tab w:leader="none" w:pos="1104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Other current liabilities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356</w:t>
        <w:tab/>
        <w:t>$</w:t>
      </w:r>
      <w:r>
        <w:rPr>
          <w:sz w:val="20"/>
          <w:szCs w:val="20"/>
          <w:color w:val="auto"/>
        </w:rPr>
        <w:tab/>
      </w:r>
      <w:r>
        <w:rPr>
          <w:rFonts w:ascii="Arial" w:cs="Arial" w:eastAsia="Arial" w:hAnsi="Arial"/>
          <w:sz w:val="15"/>
          <w:szCs w:val="15"/>
          <w:color w:val="auto"/>
        </w:rPr>
        <w:t>289</w:t>
      </w: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(13,414)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(14,337)</w:t>
            </w: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Unrealized gain (loss) on hedging instruments</w:t>
            </w:r>
          </w:p>
        </w:tc>
        <w:tc>
          <w:tcPr>
            <w:tcW w:w="106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47"/>
        </w:trPr>
        <w:tc>
          <w:tcPr>
            <w:tcW w:w="7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loss (gain) reclassified into net income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unrealized gain (loss) on hedging instruments at March 31,</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(12,245)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(14,045)</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March 31, 2018 and 2017. Included in the net unrealized loss on hedging instruments at March 31, 2018 and 2017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Assets</w:t>
            </w: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4,532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4,404</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2,900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567"/>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Liabilities</w:t>
            </w: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2017</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 and interest rate contracts with three counterparties at March 31, 2018 and December 31, 2017. No derivative asset or liability balance with any of our counterparties was individually significant at March 31, 2018 or December 31, 2017.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March 31, 2018, our LIBOR-based debt balance was $690.0 million.</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recognized as a component of other comprehensive income (OCI) and will be recognized in earnings when the hedged item affects earnings. The amounts paid or received on the hedge are recognized as an adjustment to interest expense. The amount of net gains expected to be reclassified into earnings in the next 12 months is $1.3 million.</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will continue to be reported in AOCI unless it is not probable that the forecasted transactions will occur. As a result of the discontinuance of cash flow hedge accounting, all subsequent changes in fair value of the de-designated derivative instruments are recognized within interest expense instead of OCI. The amount of net losses expected to be reclassified into earnings for all interest rate cap contracts in the next 12 months is $0.3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derivative instruments designated as hedges on the Consolidated Balance Sheets and the Consolidated Statements of Operations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2960" w:type="dxa"/>
            <w:vAlign w:val="bottom"/>
            <w:gridSpan w:val="5"/>
          </w:tcPr>
          <w:p>
            <w:pPr>
              <w:ind w:left="540"/>
              <w:spacing w:after="0"/>
              <w:rPr>
                <w:sz w:val="20"/>
                <w:szCs w:val="20"/>
                <w:color w:val="auto"/>
              </w:rPr>
            </w:pPr>
            <w:r>
              <w:rPr>
                <w:rFonts w:ascii="Arial" w:cs="Arial" w:eastAsia="Arial" w:hAnsi="Arial"/>
                <w:sz w:val="13"/>
                <w:szCs w:val="13"/>
                <w:b w:val="1"/>
                <w:bCs w:val="1"/>
                <w:color w:val="auto"/>
                <w:w w:val="89"/>
              </w:rPr>
              <w:t>Gain (Loss) Reclassified from Accumulated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5"/>
          </w:tcPr>
          <w:p>
            <w:pPr>
              <w:jc w:val="center"/>
              <w:ind w:left="217"/>
              <w:spacing w:after="0"/>
              <w:rPr>
                <w:sz w:val="20"/>
                <w:szCs w:val="20"/>
                <w:color w:val="auto"/>
              </w:rPr>
            </w:pPr>
            <w:r>
              <w:rPr>
                <w:rFonts w:ascii="Arial" w:cs="Arial" w:eastAsia="Arial" w:hAnsi="Arial"/>
                <w:sz w:val="13"/>
                <w:szCs w:val="13"/>
                <w:b w:val="1"/>
                <w:bCs w:val="1"/>
                <w:color w:val="auto"/>
                <w:w w:val="86"/>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960" w:type="dxa"/>
            <w:vAlign w:val="bottom"/>
            <w:gridSpan w:val="5"/>
          </w:tcPr>
          <w:p>
            <w:pPr>
              <w:ind w:left="680"/>
              <w:spacing w:after="0" w:line="144" w:lineRule="exact"/>
              <w:rPr>
                <w:sz w:val="20"/>
                <w:szCs w:val="20"/>
                <w:color w:val="auto"/>
              </w:rPr>
            </w:pPr>
            <w:r>
              <w:rPr>
                <w:rFonts w:ascii="Arial" w:cs="Arial" w:eastAsia="Arial" w:hAnsi="Arial"/>
                <w:sz w:val="13"/>
                <w:szCs w:val="13"/>
                <w:b w:val="1"/>
                <w:bCs w:val="1"/>
                <w:color w:val="auto"/>
              </w:rPr>
              <w:t>AOCI into Income (Effective Portion)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center"/>
              <w:ind w:left="21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Hedging Relationships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Location</w:t>
            </w:r>
          </w:p>
        </w:tc>
        <w:tc>
          <w:tcPr>
            <w:tcW w:w="1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57"/>
              <w:spacing w:after="0"/>
              <w:rPr>
                <w:sz w:val="20"/>
                <w:szCs w:val="20"/>
                <w:color w:val="auto"/>
              </w:rPr>
            </w:pPr>
            <w:r>
              <w:rPr>
                <w:rFonts w:ascii="Arial" w:cs="Arial" w:eastAsia="Arial" w:hAnsi="Arial"/>
                <w:sz w:val="13"/>
                <w:szCs w:val="13"/>
                <w:b w:val="1"/>
                <w:bCs w:val="1"/>
                <w:color w:val="auto"/>
                <w:w w:val="89"/>
              </w:rPr>
              <w:t>Amount</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297"/>
              <w:spacing w:after="0"/>
              <w:rPr>
                <w:sz w:val="20"/>
                <w:szCs w:val="20"/>
                <w:color w:val="auto"/>
              </w:rPr>
            </w:pPr>
            <w:r>
              <w:rPr>
                <w:rFonts w:ascii="Arial" w:cs="Arial" w:eastAsia="Arial" w:hAnsi="Arial"/>
                <w:sz w:val="13"/>
                <w:szCs w:val="13"/>
                <w:b w:val="1"/>
                <w:bCs w:val="1"/>
                <w:color w:val="auto"/>
              </w:rPr>
              <w:t>2018</w:t>
            </w:r>
          </w:p>
        </w:tc>
        <w:tc>
          <w:tcPr>
            <w:tcW w:w="440" w:type="dxa"/>
            <w:vAlign w:val="bottom"/>
          </w:tcPr>
          <w:p>
            <w:pPr>
              <w:spacing w:after="0"/>
              <w:rPr>
                <w:sz w:val="22"/>
                <w:szCs w:val="22"/>
                <w:color w:val="auto"/>
              </w:rPr>
            </w:pPr>
          </w:p>
        </w:tc>
        <w:tc>
          <w:tcPr>
            <w:tcW w:w="600" w:type="dxa"/>
            <w:vAlign w:val="bottom"/>
          </w:tcPr>
          <w:p>
            <w:pPr>
              <w:jc w:val="right"/>
              <w:ind w:right="277"/>
              <w:spacing w:after="0"/>
              <w:rPr>
                <w:sz w:val="20"/>
                <w:szCs w:val="20"/>
                <w:color w:val="auto"/>
              </w:rPr>
            </w:pPr>
            <w:r>
              <w:rPr>
                <w:rFonts w:ascii="Arial" w:cs="Arial" w:eastAsia="Arial" w:hAnsi="Arial"/>
                <w:sz w:val="13"/>
                <w:szCs w:val="13"/>
                <w:b w:val="1"/>
                <w:bCs w:val="1"/>
                <w:color w:val="auto"/>
                <w:w w:val="82"/>
              </w:rPr>
              <w:t>2017</w:t>
            </w:r>
          </w:p>
        </w:tc>
        <w:tc>
          <w:tcPr>
            <w:tcW w:w="220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2018</w:t>
            </w:r>
          </w:p>
        </w:tc>
        <w:tc>
          <w:tcPr>
            <w:tcW w:w="360" w:type="dxa"/>
            <w:vAlign w:val="bottom"/>
          </w:tcPr>
          <w:p>
            <w:pPr>
              <w:spacing w:after="0"/>
              <w:rPr>
                <w:sz w:val="22"/>
                <w:szCs w:val="22"/>
                <w:color w:val="auto"/>
              </w:rPr>
            </w:pPr>
          </w:p>
        </w:tc>
        <w:tc>
          <w:tcPr>
            <w:tcW w:w="96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216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2018</w:t>
            </w:r>
          </w:p>
        </w:tc>
        <w:tc>
          <w:tcPr>
            <w:tcW w:w="3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center"/>
              <w:ind w:right="57"/>
              <w:spacing w:after="0"/>
              <w:rPr>
                <w:sz w:val="20"/>
                <w:szCs w:val="20"/>
                <w:color w:val="auto"/>
              </w:rPr>
            </w:pPr>
            <w:r>
              <w:rPr>
                <w:rFonts w:ascii="Arial" w:cs="Arial" w:eastAsia="Arial" w:hAnsi="Arial"/>
                <w:sz w:val="13"/>
                <w:szCs w:val="13"/>
                <w:b w:val="1"/>
                <w:bCs w:val="1"/>
                <w:color w:val="auto"/>
                <w:w w:val="84"/>
              </w:rPr>
              <w:t>(in thousands)</w:t>
            </w: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center"/>
              <w:ind w:right="197"/>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90"/>
              </w:rPr>
              <w:t>Three Months Ended March 31,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1,247</w:t>
            </w:r>
          </w:p>
        </w:tc>
        <w:tc>
          <w:tcPr>
            <w:tcW w:w="4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Interest expense   $</w:t>
            </w:r>
          </w:p>
        </w:tc>
        <w:tc>
          <w:tcPr>
            <w:tcW w:w="3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88</w:t>
            </w:r>
          </w:p>
        </w:tc>
        <w:tc>
          <w:tcPr>
            <w:tcW w:w="52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2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ind w:left="520"/>
              <w:spacing w:after="0"/>
              <w:rPr>
                <w:sz w:val="20"/>
                <w:szCs w:val="20"/>
                <w:color w:val="auto"/>
              </w:rPr>
            </w:pPr>
            <w:r>
              <w:rPr>
                <w:rFonts w:ascii="Arial" w:cs="Arial" w:eastAsia="Arial" w:hAnsi="Arial"/>
                <w:sz w:val="13"/>
                <w:szCs w:val="13"/>
                <w:color w:val="auto"/>
              </w:rPr>
              <w:t>Interest expense   $</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188</w:t>
            </w:r>
          </w:p>
        </w:tc>
        <w:tc>
          <w:tcPr>
            <w:tcW w:w="44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5"/>
                <w:szCs w:val="15"/>
                <w:color w:val="auto"/>
              </w:rPr>
            </w:pPr>
          </w:p>
        </w:tc>
        <w:tc>
          <w:tcPr>
            <w:tcW w:w="2080" w:type="dxa"/>
            <w:vAlign w:val="bottom"/>
            <w:gridSpan w:val="3"/>
          </w:tcPr>
          <w:p>
            <w:pPr>
              <w:ind w:left="520"/>
              <w:spacing w:after="0"/>
              <w:rPr>
                <w:sz w:val="20"/>
                <w:szCs w:val="20"/>
                <w:color w:val="auto"/>
              </w:rPr>
            </w:pPr>
            <w:r>
              <w:rPr>
                <w:rFonts w:ascii="Arial" w:cs="Arial" w:eastAsia="Arial" w:hAnsi="Arial"/>
                <w:sz w:val="13"/>
                <w:szCs w:val="13"/>
                <w:color w:val="auto"/>
              </w:rPr>
              <w:t>Interest expense</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5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5"/>
                <w:szCs w:val="15"/>
                <w:color w:val="auto"/>
              </w:rPr>
            </w:pPr>
          </w:p>
        </w:tc>
        <w:tc>
          <w:tcPr>
            <w:tcW w:w="2040" w:type="dxa"/>
            <w:vAlign w:val="bottom"/>
            <w:gridSpan w:val="3"/>
          </w:tcPr>
          <w:p>
            <w:pPr>
              <w:ind w:left="520"/>
              <w:spacing w:after="0"/>
              <w:rPr>
                <w:sz w:val="20"/>
                <w:szCs w:val="20"/>
                <w:color w:val="auto"/>
              </w:rPr>
            </w:pPr>
            <w:r>
              <w:rPr>
                <w:rFonts w:ascii="Arial" w:cs="Arial" w:eastAsia="Arial" w:hAnsi="Arial"/>
                <w:sz w:val="13"/>
                <w:szCs w:val="13"/>
                <w:color w:val="auto"/>
              </w:rPr>
              <w:t>Interest expense</w:t>
            </w: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March 31, 2018, a total of 57 contracts were offsetting our exposures from the Euro, Saudi Riyal, Indian Rupee, Chinese Yuan, Indonesian Rupiah, and various other currencies, with notional amounts ranging from $93,000 to $47.5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(Loss) Recognized on Derivatives in Other</w:t>
            </w:r>
          </w:p>
        </w:tc>
      </w:tr>
      <w:tr>
        <w:trPr>
          <w:trHeight w:val="210"/>
        </w:trPr>
        <w:tc>
          <w:tcPr>
            <w:tcW w:w="5280" w:type="dxa"/>
            <w:vAlign w:val="bottom"/>
            <w:gridSpan w:val="2"/>
          </w:tcPr>
          <w:p>
            <w:pPr>
              <w:ind w:left="160"/>
              <w:spacing w:after="0"/>
              <w:rPr>
                <w:sz w:val="20"/>
                <w:szCs w:val="20"/>
                <w:color w:val="auto"/>
              </w:rPr>
            </w:pPr>
            <w:r>
              <w:rPr>
                <w:rFonts w:ascii="Arial" w:cs="Arial" w:eastAsia="Arial" w:hAnsi="Arial"/>
                <w:sz w:val="16"/>
                <w:szCs w:val="16"/>
                <w:b w:val="1"/>
                <w:bCs w:val="1"/>
                <w:color w:val="auto"/>
                <w:w w:val="96"/>
              </w:rPr>
              <w:t>Derivatives Not Designated as Hedging Instrument under ASC 815-20</w:t>
            </w:r>
          </w:p>
        </w:tc>
        <w:tc>
          <w:tcPr>
            <w:tcW w:w="2620" w:type="dxa"/>
            <w:vAlign w:val="bottom"/>
            <w:gridSpan w:val="2"/>
          </w:tcPr>
          <w:p>
            <w:pPr>
              <w:ind w:left="940"/>
              <w:spacing w:after="0"/>
              <w:rPr>
                <w:sz w:val="20"/>
                <w:szCs w:val="20"/>
                <w:color w:val="auto"/>
              </w:rPr>
            </w:pPr>
            <w:r>
              <w:rPr>
                <w:rFonts w:ascii="Arial" w:cs="Arial" w:eastAsia="Arial" w:hAnsi="Arial"/>
                <w:sz w:val="16"/>
                <w:szCs w:val="16"/>
                <w:b w:val="1"/>
                <w:bCs w:val="1"/>
                <w:color w:val="auto"/>
              </w:rPr>
              <w:t>Location</w:t>
            </w:r>
          </w:p>
        </w:tc>
        <w:tc>
          <w:tcPr>
            <w:tcW w:w="1100" w:type="dxa"/>
            <w:vAlign w:val="bottom"/>
          </w:tcPr>
          <w:p>
            <w:pPr>
              <w:spacing w:after="0"/>
              <w:rPr>
                <w:sz w:val="18"/>
                <w:szCs w:val="18"/>
                <w:color w:val="auto"/>
              </w:rPr>
            </w:pPr>
          </w:p>
        </w:tc>
        <w:tc>
          <w:tcPr>
            <w:tcW w:w="1840" w:type="dxa"/>
            <w:vAlign w:val="bottom"/>
            <w:gridSpan w:val="2"/>
          </w:tcPr>
          <w:p>
            <w:pPr>
              <w:jc w:val="center"/>
              <w:ind w:right="399"/>
              <w:spacing w:after="0"/>
              <w:rPr>
                <w:sz w:val="20"/>
                <w:szCs w:val="20"/>
                <w:color w:val="auto"/>
              </w:rPr>
            </w:pPr>
            <w:r>
              <w:rPr>
                <w:rFonts w:ascii="Arial" w:cs="Arial" w:eastAsia="Arial" w:hAnsi="Arial"/>
                <w:sz w:val="16"/>
                <w:szCs w:val="16"/>
                <w:b w:val="1"/>
                <w:bCs w:val="1"/>
                <w:color w:val="auto"/>
                <w:w w:val="90"/>
              </w:rPr>
              <w:t>Income (Expense)</w:t>
            </w:r>
          </w:p>
        </w:tc>
        <w:tc>
          <w:tcPr>
            <w:tcW w:w="580" w:type="dxa"/>
            <w:vAlign w:val="bottom"/>
          </w:tcPr>
          <w:p>
            <w:pPr>
              <w:spacing w:after="0"/>
              <w:rPr>
                <w:sz w:val="18"/>
                <w:szCs w:val="18"/>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3"/>
              </w:rPr>
              <w:t>Three Months Ended March 31,</w:t>
            </w:r>
          </w:p>
        </w:tc>
        <w:tc>
          <w:tcPr>
            <w:tcW w:w="580" w:type="dxa"/>
            <w:vAlign w:val="bottom"/>
          </w:tcPr>
          <w:p>
            <w:pPr>
              <w:spacing w:after="0"/>
              <w:rPr>
                <w:sz w:val="18"/>
                <w:szCs w:val="18"/>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2"/>
          </w:tcPr>
          <w:p>
            <w:pPr>
              <w:jc w:val="center"/>
              <w:ind w:right="399"/>
              <w:spacing w:after="0"/>
              <w:rPr>
                <w:sz w:val="20"/>
                <w:szCs w:val="20"/>
                <w:color w:val="auto"/>
              </w:rPr>
            </w:pPr>
            <w:r>
              <w:rPr>
                <w:rFonts w:ascii="Arial" w:cs="Arial" w:eastAsia="Arial" w:hAnsi="Arial"/>
                <w:sz w:val="16"/>
                <w:szCs w:val="16"/>
                <w:b w:val="1"/>
                <w:bCs w:val="1"/>
                <w:color w:val="auto"/>
                <w:w w:val="90"/>
              </w:rPr>
              <w:t>(in thousands)</w:t>
            </w:r>
          </w:p>
        </w:tc>
        <w:tc>
          <w:tcPr>
            <w:tcW w:w="580" w:type="dxa"/>
            <w:vAlign w:val="bottom"/>
          </w:tcPr>
          <w:p>
            <w:pPr>
              <w:spacing w:after="0"/>
              <w:rPr>
                <w:sz w:val="18"/>
                <w:szCs w:val="18"/>
                <w:color w:val="auto"/>
              </w:rPr>
            </w:pPr>
          </w:p>
        </w:tc>
      </w:tr>
      <w:tr>
        <w:trPr>
          <w:trHeight w:val="270"/>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(1,523)</w:t>
            </w:r>
          </w:p>
        </w:tc>
        <w:tc>
          <w:tcPr>
            <w:tcW w:w="118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(1,742)</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282</w:t>
            </w: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r>
      <w:tr>
        <w:trPr>
          <w:trHeight w:val="29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3,260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95,717</w:t>
            </w:r>
          </w:p>
        </w:tc>
      </w:tr>
      <w:tr>
        <w:trPr>
          <w:trHeight w:val="297"/>
        </w:trPr>
        <w:tc>
          <w:tcPr>
            <w:tcW w:w="67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525</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44"/>
        </w:trPr>
        <w:tc>
          <w:tcPr>
            <w:tcW w:w="7900" w:type="dxa"/>
            <w:vAlign w:val="bottom"/>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1,713</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the Second Amended and Restated 2010 Stock Incentive Plan (Stock Incentive Plan), which allows us to grant stock-based compensation awards, including stock options, restricted stock units, phantom stock, and unrestricted stock units. Under the Stock Incentive Plan, we have 10,473,956 shares of common stock reserved and authorized for issuance subject to stock splits, dividends, and other similar events. At March 31, 2018, 4,215,490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part of the acquisition of SSNI, we reserved and authorized 730,457 shares of Itron common stock to be issued for certain Silver Spring Network common stock awards that were converted to Itron common stock awards at acquisition date pursuant to the Agreement and Plan of Merger (SSNI Plan). New stock based compensation awards from the SSNI Plan may only be made to previous and newly hired employees of SSNI. The shares were converted from the Silver Spring Networks, Inc. 2012 Equity Incentive Plan, Non-Plan Inducement Stock Options, Non-Plan Inducement Restricted Stock Units and Non-Plan Inducement Performance Stock Units. There is no fungible share provision. As of March 31, 2018, 142,336 shares were available for grant under the SSNI Plan.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approximately 331,993 shares of common stock were available for future issuance at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three months ended March 31, 2018 and 2017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(in thousands)</w:t>
            </w:r>
          </w:p>
        </w:tc>
        <w:tc>
          <w:tcPr>
            <w:tcW w:w="5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4,297</w:t>
            </w:r>
          </w:p>
        </w:tc>
      </w:tr>
      <w:tr>
        <w:trPr>
          <w:trHeight w:val="33"/>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8,785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5,603</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Contractual Life</w:t>
            </w:r>
          </w:p>
        </w:tc>
        <w:tc>
          <w:tcPr>
            <w:tcW w:w="18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Intrinsic Value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(years)</w:t>
            </w:r>
          </w:p>
        </w:tc>
        <w:tc>
          <w:tcPr>
            <w:tcW w:w="180" w:type="dxa"/>
            <w:vAlign w:val="bottom"/>
          </w:tcPr>
          <w:p>
            <w:pPr>
              <w:spacing w:after="0"/>
              <w:rPr>
                <w:sz w:val="20"/>
                <w:szCs w:val="20"/>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45.64</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65.55</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22.01</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March 31, 2017</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47.92</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17,236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47.10</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21,965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Converted upon acquisition</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51.86</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w:t>
            </w: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69.30</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24.83</w:t>
            </w: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40.31</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72.25</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95.96</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March 31, 2018</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49.49</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Exercisable March 31, 2018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45.96</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78"/>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24"/>
        </w:trPr>
        <w:tc>
          <w:tcPr>
            <w:tcW w:w="3200" w:type="dxa"/>
            <w:vAlign w:val="bottom"/>
          </w:tcPr>
          <w:p>
            <w:pPr>
              <w:ind w:left="40"/>
              <w:spacing w:after="0"/>
              <w:rPr>
                <w:sz w:val="20"/>
                <w:szCs w:val="20"/>
                <w:color w:val="auto"/>
              </w:rPr>
            </w:pPr>
            <w:r>
              <w:rPr>
                <w:rFonts w:ascii="Arial" w:cs="Arial" w:eastAsia="Arial" w:hAnsi="Arial"/>
                <w:sz w:val="16"/>
                <w:szCs w:val="16"/>
                <w:color w:val="auto"/>
              </w:rPr>
              <w:t>Expected to vest, March 31, 2018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57.74</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total unrecognized stock-based compensation expense related to nonvested stock options was $5.0 million, which is expected to be recognized over a weighted average period of approximately 1.8 years.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8"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37465</wp:posOffset>
            </wp:positionV>
            <wp:extent cx="2298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33"/>
        </w:trPr>
        <w:tc>
          <w:tcPr>
            <w:tcW w:w="78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37"/>
        </w:trPr>
        <w:tc>
          <w:tcPr>
            <w:tcW w:w="898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7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8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33"/>
        </w:trPr>
        <w:tc>
          <w:tcPr>
            <w:tcW w:w="78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436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18"/>
                <w:szCs w:val="18"/>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3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center"/>
              <w:ind w:right="2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860" w:type="dxa"/>
            <w:vAlign w:val="bottom"/>
            <w:gridSpan w:val="2"/>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63.12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12,066</w:t>
            </w: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March 31, 2017</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2018</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1860" w:type="dxa"/>
            <w:vAlign w:val="bottom"/>
            <w:tcBorders>
              <w:bottom w:val="single" w:sz="8" w:color="CCEEFF"/>
            </w:tcBorders>
            <w:gridSpan w:val="2"/>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Converted upon acquisition</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69.40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69.30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47.18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17,231</w:t>
            </w: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68.44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March 31, 2018</w:t>
            </w:r>
          </w:p>
        </w:tc>
        <w:tc>
          <w:tcPr>
            <w:tcW w:w="176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99"/>
              </w:rPr>
              <w:t>63.72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90"/>
        </w:trPr>
        <w:tc>
          <w:tcPr>
            <w:tcW w:w="6120" w:type="dxa"/>
            <w:vAlign w:val="bottom"/>
            <w:gridSpan w:val="2"/>
          </w:tcPr>
          <w:p>
            <w:pPr>
              <w:ind w:left="40"/>
              <w:spacing w:after="0"/>
              <w:rPr>
                <w:sz w:val="20"/>
                <w:szCs w:val="20"/>
                <w:color w:val="auto"/>
              </w:rPr>
            </w:pPr>
            <w:r>
              <w:rPr>
                <w:rFonts w:ascii="Arial" w:cs="Arial" w:eastAsia="Arial" w:hAnsi="Arial"/>
                <w:sz w:val="16"/>
                <w:szCs w:val="16"/>
                <w:color w:val="auto"/>
              </w:rPr>
              <w:t>Vested but not released, March 31, 2018</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729</w:t>
            </w:r>
          </w:p>
        </w:tc>
      </w:tr>
      <w:tr>
        <w:trPr>
          <w:trHeight w:val="284"/>
        </w:trPr>
        <w:tc>
          <w:tcPr>
            <w:tcW w:w="4360" w:type="dxa"/>
            <w:vAlign w:val="bottom"/>
            <w:tcBorders>
              <w:top w:val="single" w:sz="8" w:color="CCEEFF"/>
            </w:tcBorders>
            <w:shd w:val="clear" w:color="auto" w:fill="CCEEFF"/>
          </w:tcPr>
          <w:p>
            <w:pPr>
              <w:spacing w:after="0"/>
              <w:rPr>
                <w:sz w:val="24"/>
                <w:szCs w:val="24"/>
                <w:color w:val="auto"/>
              </w:rPr>
            </w:pPr>
          </w:p>
        </w:tc>
        <w:tc>
          <w:tcPr>
            <w:tcW w:w="176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900" w:type="dxa"/>
            <w:vAlign w:val="bottom"/>
            <w:tcBorders>
              <w:top w:val="single" w:sz="8" w:color="auto"/>
            </w:tcBorders>
            <w:shd w:val="clear" w:color="auto" w:fill="CCEEFF"/>
          </w:tcPr>
          <w:p>
            <w:pPr>
              <w:spacing w:after="0"/>
              <w:rPr>
                <w:sz w:val="24"/>
                <w:szCs w:val="24"/>
                <w:color w:val="auto"/>
              </w:rPr>
            </w:pPr>
          </w:p>
        </w:tc>
      </w:tr>
      <w:tr>
        <w:trPr>
          <w:trHeight w:val="250"/>
        </w:trPr>
        <w:tc>
          <w:tcPr>
            <w:tcW w:w="6120" w:type="dxa"/>
            <w:vAlign w:val="bottom"/>
            <w:gridSpan w:val="2"/>
          </w:tcPr>
          <w:p>
            <w:pPr>
              <w:ind w:left="40"/>
              <w:spacing w:after="0"/>
              <w:rPr>
                <w:sz w:val="20"/>
                <w:szCs w:val="20"/>
                <w:color w:val="auto"/>
              </w:rPr>
            </w:pPr>
            <w:r>
              <w:rPr>
                <w:rFonts w:ascii="Arial" w:cs="Arial" w:eastAsia="Arial" w:hAnsi="Arial"/>
                <w:sz w:val="16"/>
                <w:szCs w:val="16"/>
                <w:color w:val="auto"/>
              </w:rPr>
              <w:t>Expected to vest, March 31, 2018</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56,369</w:t>
            </w:r>
          </w:p>
        </w:tc>
      </w:tr>
      <w:tr>
        <w:trPr>
          <w:trHeight w:val="20"/>
        </w:trPr>
        <w:tc>
          <w:tcPr>
            <w:tcW w:w="43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total unrecognized compensation expense on restricted stock units was $61.3 million, which is expected to be recognized over a weighted average period of approximately 2.4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000" w:type="dxa"/>
            <w:vAlign w:val="bottom"/>
            <w:gridSpan w:val="4"/>
          </w:tcPr>
          <w:p>
            <w:pPr>
              <w:ind w:left="700"/>
              <w:spacing w:after="0"/>
              <w:rPr>
                <w:sz w:val="20"/>
                <w:szCs w:val="20"/>
                <w:color w:val="auto"/>
              </w:rPr>
            </w:pPr>
            <w:r>
              <w:rPr>
                <w:rFonts w:ascii="Arial" w:cs="Arial" w:eastAsia="Arial" w:hAnsi="Arial"/>
                <w:sz w:val="16"/>
                <w:szCs w:val="16"/>
                <w:b w:val="1"/>
                <w:bCs w:val="1"/>
                <w:color w:val="auto"/>
                <w:w w:val="96"/>
              </w:rPr>
              <w:t>Three Months Ended March 31,</w:t>
            </w:r>
          </w:p>
        </w:tc>
        <w:tc>
          <w:tcPr>
            <w:tcW w:w="6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1140" w:type="dxa"/>
            <w:vAlign w:val="bottom"/>
          </w:tcPr>
          <w:p>
            <w:pPr>
              <w:ind w:left="720"/>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24"/>
        </w:trPr>
        <w:tc>
          <w:tcPr>
            <w:tcW w:w="782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7"/>
        </w:trPr>
        <w:tc>
          <w:tcPr>
            <w:tcW w:w="7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97"/>
        </w:trPr>
        <w:tc>
          <w:tcPr>
            <w:tcW w:w="7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78.56</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77.78</w:t>
            </w:r>
          </w:p>
        </w:tc>
      </w:tr>
      <w:tr>
        <w:trPr>
          <w:trHeight w:val="33"/>
        </w:trPr>
        <w:tc>
          <w:tcPr>
            <w:tcW w:w="78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March 31, 2017</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March 31, 2017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Converted upon acquisition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March 31, 2018</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March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69.36</w:t>
            </w:r>
          </w:p>
        </w:tc>
        <w:tc>
          <w:tcPr>
            <w:tcW w:w="0" w:type="dxa"/>
            <w:vAlign w:val="bottom"/>
          </w:tcPr>
          <w:p>
            <w:pPr>
              <w:spacing w:after="0"/>
              <w:rPr>
                <w:sz w:val="1"/>
                <w:szCs w:val="1"/>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62.61</w:t>
            </w: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-2880995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-2538095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-2194560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-1809115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-1431290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-1088390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-745490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-393700</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March 31, 2018, total unrecognized compensation expense on phantom stock units was $5.7 million which is expected to be recognized over a weighted average period of approximately 2.2 years. As of March 31, 2018 and December 31, 2017, we have recognized a phantom stock liability of $0.6 million and $1.7 million, respectively, within wages and benefits payable in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 Additionally, for certain tax jurisdictions where a reliable estimate of annual income tax expense or benefit cannot be made, we applied the actual effective tax rate to quarter-to-date income.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benefit for the three months ended March 31, 2018 of 7% differed from the federal statutory rate of 21% due primarily to unbenefitted losses experienced in jurisdictions with valuation allowances on deferred tax assets as well as the forecasted mix of earnings in domestic and international jurisdictions, a benefit related to excess stock based compensation, and uncertain tax positions.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expense for the three months ended March 31, 2017 of 36% differed from the federal statutory rate of 35% due to the forecasted mix of earnings in domestic and international jurisdictions, a benefit related to excess stock based compensation, and losses experienced in jurisdictions with valuation allowances on deferred tax assets.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provision for December 31, 2017 included the provisional determination of the impact to our deferred tax positions of the Tax Cuts and Jobs Act. We will continue to review any additional guidance issued by the U.S. Department of the Treasury, Internal Revenue Service, Financial Accounting Standards Board, or other regulatory bodies and adjust our provisional amount during the measurement period, which should not extend beyond one year from the enactment date of December 22, 2017. For the three months ended March 31, 2018 no changes to these provisional amounts have been recorded.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02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3"/>
              </w:rPr>
              <w:t>Three Months Ended March 31,</w:t>
            </w:r>
          </w:p>
        </w:tc>
        <w:tc>
          <w:tcPr>
            <w:tcW w:w="5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2"/>
          </w:tcPr>
          <w:p>
            <w:pPr>
              <w:jc w:val="center"/>
              <w:ind w:right="539"/>
              <w:spacing w:after="0"/>
              <w:rPr>
                <w:sz w:val="20"/>
                <w:szCs w:val="20"/>
                <w:color w:val="auto"/>
              </w:rPr>
            </w:pPr>
            <w:r>
              <w:rPr>
                <w:rFonts w:ascii="Arial" w:cs="Arial" w:eastAsia="Arial" w:hAnsi="Arial"/>
                <w:sz w:val="16"/>
                <w:szCs w:val="16"/>
                <w:b w:val="1"/>
                <w:bCs w:val="1"/>
                <w:color w:val="auto"/>
                <w:w w:val="88"/>
              </w:rPr>
              <w:t>(in thousands)</w:t>
            </w:r>
          </w:p>
        </w:tc>
        <w:tc>
          <w:tcPr>
            <w:tcW w:w="5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424</w:t>
            </w:r>
          </w:p>
        </w:tc>
        <w:tc>
          <w:tcPr>
            <w:tcW w:w="12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79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760" w:type="dxa"/>
            <w:vAlign w:val="bottom"/>
            <w:tcBorders>
              <w:bottom w:val="single" w:sz="8" w:color="CCEEFF"/>
            </w:tcBorders>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7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2,513</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2,426</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March 31, 2018</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76,120</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56,702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74,671</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55,312</w:t>
            </w: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unrecognized tax benefits at March 31, 2018 related primarily to $16.4 million of unrecognized tax benefits recorded through purchase accounting on January 5, 2018 as a result of the acquisition of SSNI.</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March 31, 2018, we are under examination by certain tax authorities for the 2000 to 2015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 2018</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p>
        </w:tc>
        <w:tc>
          <w:tcPr>
            <w:tcW w:w="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(95,777)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(125,414)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r>
      <w:tr>
        <w:trPr>
          <w:trHeight w:val="29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342,705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36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253,641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218,119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110,477</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(21,471)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(21,030)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90,913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88,531</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52,639</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51,344</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34,862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43,302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Assumed liabilities from acquisition</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5,742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adjustments and expirations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4,044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1,682</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542</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41,979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41,536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26,533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23,500</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15,446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18,036</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insurance and supplier recoveries, and other changes and adjustments to warranties. Warranty expense was as follows:</w:t>
      </w:r>
    </w:p>
    <w:p>
      <w:pPr>
        <w:spacing w:after="0" w:line="13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7900" w:val="left"/>
          <w:tab w:leader="none" w:pos="9120" w:val="left"/>
          <w:tab w:leader="none" w:pos="9740" w:val="left"/>
          <w:tab w:leader="none" w:pos="10920" w:val="left"/>
        </w:tabs>
        <w:rPr>
          <w:sz w:val="20"/>
          <w:szCs w:val="20"/>
          <w:color w:val="auto"/>
        </w:rPr>
      </w:pPr>
      <w:r>
        <w:rPr>
          <w:rFonts w:ascii="Arial" w:cs="Arial" w:eastAsia="Arial" w:hAnsi="Arial"/>
          <w:sz w:val="16"/>
          <w:szCs w:val="16"/>
          <w:color w:val="auto"/>
        </w:rPr>
        <w:t>Total warranty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4,862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4,043</w:t>
      </w: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3"/>
          </w:tcPr>
          <w:p>
            <w:pPr>
              <w:jc w:val="center"/>
              <w:ind w:right="27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8"/>
              </w:rPr>
              <w:t>(in thousands)</w:t>
            </w:r>
          </w:p>
        </w:tc>
        <w:tc>
          <w:tcPr>
            <w:tcW w:w="11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8,680</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8,754</w:t>
            </w:r>
          </w:p>
        </w:tc>
      </w:tr>
      <w:tr>
        <w:trPr>
          <w:trHeight w:val="33"/>
        </w:trPr>
        <w:tc>
          <w:tcPr>
            <w:tcW w:w="7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2018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60" w:type="dxa"/>
            <w:vAlign w:val="bottom"/>
            <w:shd w:val="clear" w:color="auto" w:fill="CCEEFF"/>
          </w:tcPr>
          <w:p>
            <w:pPr>
              <w:jc w:val="right"/>
              <w:ind w:right="15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2,911</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2,664</w:t>
            </w:r>
          </w:p>
        </w:tc>
      </w:tr>
      <w:tr>
        <w:trPr>
          <w:trHeight w:val="33"/>
        </w:trPr>
        <w:tc>
          <w:tcPr>
            <w:tcW w:w="67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22, 2018, our Board of Directors approved a restructuring plan (2018 Projects). The 2018 Projects will include activities that continue our efforts to optimize our global supply chain and manufacturing operations, product development, and sales and marketing organizations. We expect to substantially complete the plan by the end of 2020. Many of the affected employees are represented by unions or works councils, which require consultation, and potential restructuring projects may be subject to</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regulatory approval, both of which could impact the timing of charges, total expected charges, cost recognized, and planned savings in certain jurisdictions.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the Three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March 31, 2018</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2018</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March 31, 2018</w:t>
            </w:r>
          </w:p>
        </w:tc>
      </w:tr>
      <w:tr>
        <w:trPr>
          <w:trHeight w:val="33"/>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16,500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16,500</w:t>
            </w:r>
          </w:p>
        </w:tc>
      </w:tr>
      <w:tr>
        <w:trPr>
          <w:trHeight w:val="33"/>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104,493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16,500</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20,706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19,206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1,500</w:t>
            </w: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9,000</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23,712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17,712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504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104,493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87,993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16,500</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 The 2016 Projects began during the three months ended September 30, 2016, and we expect to substantially complete the 2016 Projects by the end of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2016 Projects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the Three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March 31, 2018</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2018</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March 31, 2018</w:t>
            </w:r>
          </w:p>
        </w:tc>
      </w:tr>
      <w:tr>
        <w:trPr>
          <w:trHeight w:val="33"/>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4,969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4,922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w:t>
            </w:r>
          </w:p>
        </w:tc>
      </w:tr>
      <w:tr>
        <w:trPr>
          <w:trHeight w:val="284"/>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59,584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54,212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5,500</w:t>
            </w:r>
          </w:p>
        </w:tc>
      </w:tr>
      <w:tr>
        <w:trPr>
          <w:trHeight w:val="284"/>
        </w:trPr>
        <w:tc>
          <w:tcPr>
            <w:tcW w:w="2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31,799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29,181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2,245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54,212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5,500</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2018 and 2016 Projects during the three months ended March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40,125</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86,986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87,865</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(7,917)</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March 31, 2018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119,143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2,451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121,594</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were $60.3 million and $32.5 million as of March 31, 2018 and December 31, 2017. The current portion of restructuring liabilities are classified within other current liabilities on the Consolidated Balance Sheets. The long-term portion of restructuring liabilities balances were $61.2 million and $7.6 million as of March 31, 2018 and December 31, 2017. The long-term portion of restructuring liabilities are classified within other long-term obligations on the Consolidated Balance Sheets, and include facility exit costs and severance accruals.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March 31, 2018 and December 31, 2017.</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February 23, 2017, Itron's Board of Directors authorized the Company to repurchase up to $50 million of our common stock over a 12-month period, beginning February 23, 2017. There were no repurchases of common stock made prior to plan termination on February 23, 2018.</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7"/>
          </w:tcPr>
          <w:p>
            <w:pPr>
              <w:jc w:val="right"/>
              <w:ind w:right="12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gridSpan w:val="5"/>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 cash flow hedges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1"/>
              </w:rPr>
              <w:t>Net hedging (gain) loss reclassified into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gridSpan w:val="2"/>
          </w:tcPr>
          <w:p>
            <w:pPr>
              <w:ind w:left="200"/>
              <w:spacing w:after="0"/>
              <w:rPr>
                <w:sz w:val="20"/>
                <w:szCs w:val="20"/>
                <w:color w:val="auto"/>
              </w:rPr>
            </w:pPr>
            <w:r>
              <w:rPr>
                <w:rFonts w:ascii="Arial" w:cs="Arial" w:eastAsia="Arial" w:hAnsi="Arial"/>
                <w:sz w:val="16"/>
                <w:szCs w:val="16"/>
                <w:color w:val="auto"/>
                <w:w w:val="92"/>
              </w:rPr>
              <w:t>Net defined benefit plan loss reclassified to net income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gridSpan w:val="2"/>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4"/>
              </w:rPr>
              <w:t>Total other comprehensive income (loss), before tax</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18,130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gridSpan w:val="3"/>
          </w:tcPr>
          <w:p>
            <w:pPr>
              <w:spacing w:after="0"/>
              <w:rPr>
                <w:sz w:val="2"/>
                <w:szCs w:val="2"/>
                <w:color w:val="auto"/>
              </w:rPr>
            </w:pPr>
          </w:p>
        </w:tc>
        <w:tc>
          <w:tcPr>
            <w:tcW w:w="8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 cash flow hedges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0"/>
              <w:spacing w:after="0"/>
              <w:rPr>
                <w:sz w:val="20"/>
                <w:szCs w:val="20"/>
                <w:color w:val="auto"/>
              </w:rPr>
            </w:pPr>
            <w:r>
              <w:rPr>
                <w:rFonts w:ascii="Arial" w:cs="Arial" w:eastAsia="Arial" w:hAnsi="Arial"/>
                <w:sz w:val="16"/>
                <w:szCs w:val="16"/>
                <w:color w:val="auto"/>
                <w:w w:val="91"/>
              </w:rPr>
              <w:t>Net hedging (gain) loss reclassified into net income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92"/>
              </w:rPr>
              <w:t>Net defined benefit plan loss reclassified to net income</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80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Total other comprehensive income (loss) tax benefit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gridSpan w:val="5"/>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 cash flow hedges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1"/>
              </w:rPr>
              <w:t>Net hedging (gain) loss reclassified into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0" w:type="dxa"/>
            <w:vAlign w:val="bottom"/>
            <w:gridSpan w:val="2"/>
          </w:tcPr>
          <w:p>
            <w:pPr>
              <w:ind w:left="200"/>
              <w:spacing w:after="0"/>
              <w:rPr>
                <w:sz w:val="20"/>
                <w:szCs w:val="20"/>
                <w:color w:val="auto"/>
              </w:rPr>
            </w:pPr>
            <w:r>
              <w:rPr>
                <w:rFonts w:ascii="Arial" w:cs="Arial" w:eastAsia="Arial" w:hAnsi="Arial"/>
                <w:sz w:val="16"/>
                <w:szCs w:val="16"/>
                <w:color w:val="auto"/>
                <w:w w:val="92"/>
              </w:rPr>
              <w:t>Net defined benefit plan loss reclassified to net income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8"/>
              </w:rPr>
              <w:t>Total other comprehensive income (loss), net of tax</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17,883</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3"/>
              </w:rPr>
              <w:t>The changes in the components of AOCI, net of tax, were as follows:</w:t>
            </w:r>
          </w:p>
        </w:tc>
        <w:tc>
          <w:tcPr>
            <w:tcW w:w="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Pension Benefit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4"/>
              </w:rPr>
              <w:t>Accumulated Other</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Obligation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620" w:type="dxa"/>
            <w:vAlign w:val="bottom"/>
            <w:gridSpan w:val="3"/>
          </w:tcPr>
          <w:p>
            <w:pPr>
              <w:ind w:left="34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Income (Loss)</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(229,327)</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15,016</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15,076</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15,016</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15,709</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2017</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(167,970)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(31,603)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(213,618)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2018</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(128,648)</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(28,416)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(170,478)</w:t>
            </w:r>
          </w:p>
        </w:tc>
        <w:tc>
          <w:tcPr>
            <w:tcW w:w="0" w:type="dxa"/>
            <w:vAlign w:val="bottom"/>
          </w:tcPr>
          <w:p>
            <w:pPr>
              <w:spacing w:after="0"/>
              <w:rPr>
                <w:sz w:val="1"/>
                <w:szCs w:val="1"/>
                <w:color w:val="auto"/>
              </w:rPr>
            </w:pP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16,300</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17,483</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16,300</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17,883</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March 31, 2018</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(112,348)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(152,595)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values of our financial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2017</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rPr>
              <w:t>Fair</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8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143,951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143,951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176,274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311,061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311,061</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2,370</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r>
      <w:tr>
        <w:trPr>
          <w:trHeight w:val="297"/>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658,796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194,063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192,295</w:t>
            </w:r>
          </w:p>
        </w:tc>
      </w:tr>
      <w:tr>
        <w:trPr>
          <w:trHeight w:val="237"/>
        </w:trPr>
        <w:tc>
          <w:tcPr>
            <w:tcW w:w="4240" w:type="dxa"/>
            <w:vAlign w:val="bottom"/>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95,777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97,205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125,414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124,100</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301,125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Due to the liquid nature of these instruments, the carrying amount approximates fair value (Level 1).</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Credit facility - term loan and multicurrency revolving line of credit: </w:t>
      </w:r>
      <w:r>
        <w:rPr>
          <w:rFonts w:ascii="Arial" w:cs="Arial" w:eastAsia="Arial" w:hAnsi="Arial"/>
          <w:sz w:val="18"/>
          <w:szCs w:val="18"/>
          <w:color w:val="auto"/>
        </w:rPr>
        <w:t>The term loan and revolver are not traded publicly. The fair values,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Notes are not registered securities nor listed on any securities exchange, but may be actively traded by qualified institutional buyers.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is estimated using Level 1 inputs, as it is based on quoted prices for these instruments in active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March 31, 2018 and December 31, 2017 do not reflect subsequent changes in the economy, interest rates, tax rates, and other variables that may affect the determination of fair value.</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under the Itron brand worldwide and manage and report under four operating segments: Electricity, Gas, Water, and Networks. Our Water operating segment includes our global water, and heat and allocation solutions. Networks became a new operating segment with the acquisition of SSNI. This structure allows each segment to develop its own go-to-market strategy, prioritize its marketing and product development requirements, and focus on its strategic investments. Our sales and marketing function is managed under each segment. Our product development, service delivery, and manufacturing operations are managed on a worldwide basis to promote a global perspective in our operations and processes and yet still maintain alignment with the segments.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three GAAP measures of segment performance: revenue, gross profit (margin), and operating income (margin). Intersegment revenues are minimal. Certain operating expenses are allocated to our Electricity, Gas, and Water operating segments based upon internally established allocation methodologies. We will not allocate operating expenses to our Networks segment until it is fully integrated and managed centrally. Corporate operating expenses, interest income, interest expense, other income (expense), and income tax provision are not allocated to the segments, nor are included in the measure of segment profit or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allocate only certain production assets and intangible assets to our operating segments. We do not manage the performance of the segments on a balance sheet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00"/>
          </w:cols>
          <w:pgMar w:left="240" w:top="125" w:right="25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Standard electricity (electromechanical and electronic) meters; smart network and data platform solutions that include one or several of the following: smart electricity meters; smart electricity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9980"/>
          </w:cols>
          <w:pgMar w:left="240" w:top="125" w:right="25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Standard gas meters; smart network and data platform solutions that include one or several of the following: smart gas meters; smart gas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9980"/>
          </w:cols>
          <w:pgMar w:left="240" w:top="125" w:right="2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Standard water and heat meters; smart network and data platform solutions that include one or several of the following: smart water meters and communication modules; smart heat meters; smart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9980"/>
          </w:cols>
          <w:pgMar w:left="240" w:top="125" w:right="259" w:bottom="1440" w:gutter="0" w:footer="0" w:header="0"/>
          <w:type w:val="continuous"/>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Networks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20" w:space="700"/>
            <w:col w:w="9980"/>
          </w:cols>
          <w:pgMar w:left="240" w:top="125" w:right="25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5"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Product revenues</w:t>
            </w: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47"/>
        </w:trPr>
        <w:tc>
          <w:tcPr>
            <w:tcW w:w="7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213,877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205,903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130,243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117,127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125,587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109,335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67,403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537,110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432,365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Service revenues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Electricity</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38,528</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32,848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Water</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5,607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5,295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Networks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70,111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45,227</w:t>
            </w:r>
          </w:p>
        </w:tc>
      </w:tr>
      <w:tr>
        <w:trPr>
          <w:trHeight w:val="73"/>
        </w:trPr>
        <w:tc>
          <w:tcPr>
            <w:tcW w:w="79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252,405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238,751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137,739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124,211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131,194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114,630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85,883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607,221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477,592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Electricity</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69,975</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67,250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43,471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50,815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Water</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37,805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39,572</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Networks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28,604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6"/>
              </w:rPr>
              <w:t>179,855</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157,637</w:t>
            </w:r>
          </w:p>
        </w:tc>
      </w:tr>
      <w:tr>
        <w:trPr>
          <w:trHeight w:val="73"/>
        </w:trPr>
        <w:tc>
          <w:tcPr>
            <w:tcW w:w="79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(28,348)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21,731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Networks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(75,510)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unallocated</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(22,112)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(16,792)</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(140,448)</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30,827</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(156,458)</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25,061</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2018, one customer represented 22% and another customer represented 16%, respectively, of total Electricity segment revenues. For the three months ended March 31, 2018, one customer represented 11% of total Gas segment revenues, and one customer represented 11% of Networks segment revenues. For the three months ended March 31, 2018, no single customer represented more than 10% of the Water segment or total company revenues.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2017, one customer represented 18% of total Electricity segment revenues. For the three months ended March 31, 2017, no single customer represented more than 10% of the Gas or Water segment or total company revenues.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buy a majority of our integrated circuit boards, an important component in our products, from two suppliers. Management believes that other suppliers could provide similar circuit boards, but a change in suppliers, disputes with our suppliers, or unexpected constraints on the suppliers' production capacity could adversely affect operating results.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Revenues by region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 and Canada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Europe, Middle East, and Africa</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355,932</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269,096</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202,074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162,815</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49,215</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45,681</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607,221</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477,592</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-711200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-368300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(1)</w:t>
            </w:r>
          </w:p>
        </w:tc>
        <w:tc>
          <w:tcPr>
            <w:tcW w:w="5060" w:type="dxa"/>
            <w:vAlign w:val="bottom"/>
            <w:vMerge w:val="restart"/>
          </w:tcPr>
          <w:p>
            <w:pPr>
              <w:ind w:left="100"/>
              <w:spacing w:after="0"/>
              <w:rPr>
                <w:sz w:val="20"/>
                <w:szCs w:val="20"/>
                <w:color w:val="auto"/>
              </w:rPr>
            </w:pPr>
            <w:r>
              <w:rPr>
                <w:rFonts w:ascii="Arial" w:cs="Arial" w:eastAsia="Arial" w:hAnsi="Arial"/>
                <w:sz w:val="16"/>
                <w:szCs w:val="16"/>
                <w:color w:val="auto"/>
                <w:w w:val="92"/>
              </w:rPr>
              <w:t>The Other region includes our operations in Latin America and Asia Pacific.</w:t>
            </w: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5,311</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4,202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4,244</w:t>
            </w:r>
          </w:p>
        </w:tc>
      </w:tr>
      <w:tr>
        <w:trPr>
          <w:trHeight w:val="47"/>
        </w:trPr>
        <w:tc>
          <w:tcPr>
            <w:tcW w:w="7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Networks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15,012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r>
      <w:tr>
        <w:trPr>
          <w:trHeight w:val="217"/>
        </w:trPr>
        <w:tc>
          <w:tcPr>
            <w:tcW w:w="790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31,072</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14,378</w:t>
            </w: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2018</w:t>
            </w:r>
          </w:p>
        </w:tc>
      </w:tr>
      <w:tr>
        <w:trPr>
          <w:trHeight w:val="249"/>
        </w:trPr>
        <w:tc>
          <w:tcPr>
            <w:tcW w:w="972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Contract liabilities, less</w:t>
            </w:r>
          </w:p>
        </w:tc>
      </w:tr>
      <w:tr>
        <w:trPr>
          <w:trHeight w:val="210"/>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contract assets</w:t>
            </w:r>
          </w:p>
        </w:tc>
      </w:tr>
      <w:tr>
        <w:trPr>
          <w:trHeight w:val="33"/>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color w:val="auto"/>
                <w:w w:val="92"/>
              </w:rPr>
              <w:t>(in thousands)</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59,808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Changes due to business combination</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38,816</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recognized from beginning contract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(24,549)</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Revenue recognized from current period increases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(6,352)</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Increases due to amounts collected or due</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56,051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33"/>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March 31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122,531</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2018, total contract assets were $11.3 million and total contract liabilities were $71.1 million. On March 31, 2018, total contract assets were $14.2 million and total contract liabilities were $136.7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Total transaction price allocated to remaining performance obligations represent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transaction price allocated to remaining performance obligations related to contracts is approximately $1.1 billion for the next twelve months and approximately $740 million for periods longer than 12 months. The total remaining performance obligations is comprised of product and services components. The services component relates primarily to maintenance agreements for which customers pay a full year's maintenance in advance, and services revenue is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approached to align with the transfer of control of underlying contracts with customers. While amounts were capitalized, amounts are not material for disclosure.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and the Consolidated Statement of Operations for disclosure regarding the disaggregation of revenue into categories which depict how revenue and cash flows are affected by economic factors. Specifically, our operating segments and geographical regions as disclosed and product categories of hardware and services as presented.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Impacts on financial statements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retrospective transition method, we are required to provide additional disclosures during 2018 of the amount by which each financial statement line item is affected in the current reporting period, as compared to the guidance that was in effect before the change, and an explanation of the reasons for significant changes, if any.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effects of Topic 606 and Subtopic ASC 340-40 on our Consolidated Balance Sheet as of March 31, 2018 were total deferred revenue would have been higher by approximately $15 million, of which, approximately $6 million would have been classified as short term. The difference in deferred revenue reflects the timing of revenue recognition related to certain of our customer contracts. The net impact of all adjustments would have resulted in an increase to our accumulated deficit of approximately $11 million. The difference in accumulated deficit reflects the cumulative effect of adoption and the net effect thereof on the Consolidated Statement of Operations for the three months ended March 31, 2018. The impact of the adoption was not material to the other line items.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effect of Topic 606 and Subtopic ASC 340-40 was not material to the Consolidated Statements of Operations and the Consolidated Statement of Cash Flows for the three months ended March 31, 2018.</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Silver Spring Networks, Inc.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5, 2018, we completed the acquisition of SSNI by purchasing 100% of SSNI's outstanding stock. The acquisition was financed through incremental borrowings and cash on hand. Refer to Note 6 for further discussion of our debt.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SSNI provides 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 Itron is managing the SSNI business as our Networks operating segment.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of SSNI was $809.2 million, which is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made a preliminary allocation of the purchase price to the assets acquired and liabilities assumed based on estimated fair value assessments during the first quarter. We are continuing to collect information to determine the fair values of certain intangible assets, working capital, and deferred income taxes, all of which could affect goodwill. The fair values of these assets and liabilities are provisional until we are able to complete our assessment.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our preliminary allocation of purchase price as of January 5,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7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40" w:type="dxa"/>
            <w:vAlign w:val="bottom"/>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86,962</w:t>
            </w: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27,670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 xml:space="preserve">Other long-term assets </w:t>
            </w:r>
            <w:r>
              <w:rPr>
                <w:rFonts w:ascii="Arial" w:cs="Arial" w:eastAsia="Arial" w:hAnsi="Arial"/>
                <w:sz w:val="21"/>
                <w:szCs w:val="21"/>
                <w:color w:val="auto"/>
                <w:vertAlign w:val="superscript"/>
              </w:rPr>
              <w:t>(1)</w:t>
            </w:r>
          </w:p>
        </w:tc>
        <w:tc>
          <w:tcPr>
            <w:tcW w:w="16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97"/>
        </w:trPr>
        <w:tc>
          <w:tcPr>
            <w:tcW w:w="67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Identifiable intangible assets</w:t>
            </w: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Core-developed technology</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81,900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w:t>
            </w:r>
          </w:p>
        </w:tc>
      </w:tr>
      <w:tr>
        <w:trPr>
          <w:trHeight w:val="237"/>
        </w:trPr>
        <w:tc>
          <w:tcPr>
            <w:tcW w:w="6740" w:type="dxa"/>
            <w:vAlign w:val="bottom"/>
          </w:tcPr>
          <w:p>
            <w:pPr>
              <w:ind w:left="80"/>
              <w:spacing w:after="0"/>
              <w:rPr>
                <w:sz w:val="20"/>
                <w:szCs w:val="20"/>
                <w:color w:val="auto"/>
              </w:rPr>
            </w:pPr>
            <w:r>
              <w:rPr>
                <w:rFonts w:ascii="Arial" w:cs="Arial" w:eastAsia="Arial" w:hAnsi="Arial"/>
                <w:sz w:val="16"/>
                <w:szCs w:val="16"/>
                <w:color w:val="auto"/>
              </w:rPr>
              <w:t>Customer contract and relationships</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133,500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Trademark and trade names</w:t>
            </w:r>
          </w:p>
        </w:tc>
        <w:tc>
          <w:tcPr>
            <w:tcW w:w="1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w:t>
            </w: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Total identified intangible assets subject to amortization</w:t>
            </w:r>
          </w:p>
        </w:tc>
        <w:tc>
          <w:tcPr>
            <w:tcW w:w="16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226,200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In-process research and development (IPR&amp;D)</w:t>
            </w:r>
          </w:p>
        </w:tc>
        <w:tc>
          <w:tcPr>
            <w:tcW w:w="1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14,400</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identified intangible assets</w:t>
            </w:r>
          </w:p>
        </w:tc>
        <w:tc>
          <w:tcPr>
            <w:tcW w:w="16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240,600</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572,499</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(91,857)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Customer contract and relationships</w:t>
            </w:r>
          </w:p>
        </w:tc>
        <w:tc>
          <w:tcPr>
            <w:tcW w:w="16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(23,900)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w:t>
            </w:r>
          </w:p>
        </w:tc>
      </w:tr>
      <w:tr>
        <w:trPr>
          <w:trHeight w:val="33"/>
        </w:trPr>
        <w:tc>
          <w:tcPr>
            <w:tcW w:w="67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6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Total net assets acquired</w:t>
            </w:r>
          </w:p>
        </w:tc>
        <w:tc>
          <w:tcPr>
            <w:tcW w:w="1640" w:type="dxa"/>
            <w:vAlign w:val="bottom"/>
            <w:tcBorders>
              <w:top w:val="single" w:sz="8" w:color="auto"/>
              <w:bottom w:val="single" w:sz="8" w:color="auto"/>
            </w:tcBorders>
          </w:tcPr>
          <w:p>
            <w:pPr>
              <w:jc w:val="right"/>
              <w:ind w:right="143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809,216</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right="20" w:hanging="332"/>
        <w:spacing w:after="0" w:line="215"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Reflects adjustments to deferred tax assets and liabilities, net as a result of the acquisition, and is classified as part of our overall consolidated deferred tax asset. This negative deferred tax asset more than offsets the fair value of other noncurrent assets acquired.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for the identified trademarks and core-developed technology intangible assets were estimated using the relief from royalty method, which values the assets by estimating the savings achieved by ownership of trademark or technology when compared with the cost of licensing it from an independent owner.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customer contracts and relationship were estimated using the income approach. Under the income approach, the fair value reflects the present value of the projected cash flows that are expected to be generated. The fair value of IPR&amp;D was valued utilizing the replacement cost method, which measures the value of an asset based on the cost to replace the existing asset. IPR&amp;D will be amortized using the straight-line method after the technology is fully developed and is considered a product offering of SSNI. Incremental costs to be incurred for these projects will be recognized as product development expense as incurred within the Consolidated Statements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Core-developed technology represents the fair values of SSNI products that have reached technological feasibility and were part of SSNI's product offerings at the date of the acquisition. Customer contracts and relationships represent the fair value of the relationships developed with its customers, including the backlog. The core-developed technology, trademarks, and customer contracts and relationships intangible assets valued using the income approach will be amortized using the estimated discounted cash flows assumed in the valuation models.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Goodwill of $572.5 million arising from the acquisition consists largely of the synergies expected from combining the operations of Itron and SSNI, as well as certain intangible assets that do not qualify for separate recognition. All of the goodwill balance was assigned to the Networks reporting unit and segment. We will not be able to deduct any of the goodwill balance for income tax purposes.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business combination, we incurred $15.6 million of acquisition related expenses, which include such activities as success fees, certain consulting and advisory costs, and incremental legal and accounting costs. In addition, we recognized $46.8 million of integration costs, which are expenses related to integrating SSNI into Itron, and includes expenses such as accounting and process integration and the related consulting fees, severance, site closure costs, system integration, and travel associated with knowledge transfers as we consolidate redundant positions. All acquisition and integration related expenses are included within general and administrative expenses in the Consolidated Statement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revenues and net income (loss) from SSNI operations that are included in our Consolidated Statements of Operations:</w:t>
      </w:r>
    </w:p>
    <w:p>
      <w:pPr>
        <w:spacing w:after="0" w:line="183" w:lineRule="exact"/>
        <w:rPr>
          <w:sz w:val="20"/>
          <w:szCs w:val="20"/>
          <w:color w:val="auto"/>
        </w:rPr>
      </w:pPr>
    </w:p>
    <w:p>
      <w:pPr>
        <w:jc w:val="center"/>
        <w:ind w:left="9700"/>
        <w:spacing w:after="0"/>
        <w:rPr>
          <w:sz w:val="20"/>
          <w:szCs w:val="20"/>
          <w:color w:val="auto"/>
        </w:rPr>
      </w:pPr>
      <w:r>
        <w:rPr>
          <w:rFonts w:ascii="Arial" w:cs="Arial" w:eastAsia="Arial" w:hAnsi="Arial"/>
          <w:sz w:val="16"/>
          <w:szCs w:val="16"/>
          <w:b w:val="1"/>
          <w:bCs w:val="1"/>
          <w:color w:val="auto"/>
        </w:rPr>
        <w:t>January 5, 2018 -</w:t>
      </w:r>
    </w:p>
    <w:p>
      <w:pPr>
        <w:spacing w:after="0" w:line="26" w:lineRule="exact"/>
        <w:rPr>
          <w:sz w:val="20"/>
          <w:szCs w:val="20"/>
          <w:color w:val="auto"/>
        </w:rPr>
      </w:pPr>
    </w:p>
    <w:p>
      <w:pPr>
        <w:jc w:val="center"/>
        <w:ind w:left="9700"/>
        <w:spacing w:after="0"/>
        <w:rPr>
          <w:sz w:val="20"/>
          <w:szCs w:val="20"/>
          <w:color w:val="auto"/>
        </w:rPr>
      </w:pPr>
      <w:r>
        <w:rPr>
          <w:rFonts w:ascii="Arial" w:cs="Arial" w:eastAsia="Arial" w:hAnsi="Arial"/>
          <w:sz w:val="16"/>
          <w:szCs w:val="16"/>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33020</wp:posOffset>
            </wp:positionV>
            <wp:extent cx="10718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5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85,833</w:t>
            </w: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Net loss</w:t>
            </w:r>
          </w:p>
        </w:tc>
        <w:tc>
          <w:tcPr>
            <w:tcW w:w="5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(29,753)</w:t>
            </w: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SSNI, with adjustments to give effect to the combined operations as if the acquisition had been consummated on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3"/>
              </w:rPr>
              <w:t>Three Months Ended March 31,</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6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88"/>
              </w:rPr>
              <w:t>( in thousands)</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6"/>
              </w:rPr>
              <w:t>607,221</w:t>
            </w:r>
          </w:p>
        </w:tc>
        <w:tc>
          <w:tcPr>
            <w:tcW w:w="112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527,855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0"/>
              </w:rPr>
              <w:t>(130,966)</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(27,234)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Elimination of transaction costs incurred by SSNI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2017</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Comverge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 2017, we completed the acquisition of Comverge by purchasing the stock of its parent, Peak Holding Corp. (Comverge). This was financed through borrowings on our multicurrency revolving line of credit and cash on hand. Comverge is a leading provider of integrated demand response and customer engagement solutions that enable electric utilities to ensure grid reliability, lower energy costs for consumers, meet regulatory demands, and enhance the customer experience. Comverge's technologies are complementary to our Electricity segment's growing software and services offerings, and will help optimize grid performance and reliability.</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of Comverge was $100.0 million in cash, net of $18.2 million of cash and cash equivalents acquired. We allocated the purchase price to the assets acquired and liabilities assumed based on fair value assessments. The fair values of these assets and liabilities were considered final as of December 31,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Goodwill of $59.7 million arising from the acquisition was largely related to synergies expected from combined operations of Itron and Comverge, as well as certain intangible assets that did not qualify for separate recognition. All of the goodwill balance was assigned to the Electricity reporting unit and segment. We did not deduct any of the goodwill balance for income tax purposes.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Comverge, with adjustments to give effect to the combined operations as if the acquisition had been consummated on January 1,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3"/>
              </w:rPr>
              <w:t>Three Months Ended March 31,</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r>
      <w:tr>
        <w:trPr>
          <w:trHeight w:val="270"/>
        </w:trPr>
        <w:tc>
          <w:tcPr>
            <w:tcW w:w="79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88"/>
              </w:rPr>
              <w:t>( in thousands)</w:t>
            </w:r>
          </w:p>
        </w:tc>
        <w:tc>
          <w:tcPr>
            <w:tcW w:w="640" w:type="dxa"/>
            <w:vAlign w:val="bottom"/>
          </w:tcPr>
          <w:p>
            <w:pPr>
              <w:spacing w:after="0"/>
              <w:rPr>
                <w:sz w:val="23"/>
                <w:szCs w:val="23"/>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6"/>
              </w:rPr>
              <w:t>607,221</w:t>
            </w:r>
          </w:p>
        </w:tc>
        <w:tc>
          <w:tcPr>
            <w:tcW w:w="112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491,762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w w:val="90"/>
              </w:rPr>
              <w:t>(145,270)</w:t>
            </w:r>
          </w:p>
        </w:tc>
        <w:tc>
          <w:tcPr>
            <w:tcW w:w="11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15,107</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not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Elimination of transaction costs incurred by Comverge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2016</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2017, filed with the Securities and Exchange Commission (SEC) on February 28,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w:t>
      </w:r>
      <w:r>
        <w:rPr>
          <w:rFonts w:ascii="Arial" w:cs="Arial" w:eastAsia="Arial" w:hAnsi="Arial"/>
          <w:sz w:val="17"/>
          <w:szCs w:val="17"/>
          <w:i w:val="1"/>
          <w:iCs w:val="1"/>
          <w:color w:val="000000"/>
        </w:rPr>
        <w:t>For</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a more complete description of these and other risks, refer to Item 1A: "Risk Factors" included in our Annual Report on Form 10-K for the fiscal year ended December 31, 2017, which was filed with the SEC on February 28, 2018 and our other reports on file with the SEC. We do not undertake any obligation to update or revise any forward looking statement in this document.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four operating segments: Electricity, Gas, Water, and Networks. Our Water operating segment includes our global water, and heat and allocation solutions. Networks became a new operating segment with the acquisition of SSNI. This structure allows each segment to develop its own go-to-market strategy, prioritize its marketing and product development requirements, and focus on its strategic investments. Our sales and marketing function is managed under each segment. Our product development, service delivery, and manufacturing operations are managed on a worldwide basis to promote a global perspective in our operations and processes and yet still maintains alignment with the segments.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48-50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March 31, 2018</w:t>
      </w:r>
    </w:p>
    <w:p>
      <w:pPr>
        <w:spacing w:after="0" w:line="63" w:lineRule="exact"/>
        <w:rPr>
          <w:sz w:val="20"/>
          <w:szCs w:val="20"/>
          <w:color w:val="auto"/>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Revenues were $607.2 million compared with $477.6 million in the same period last year, an increase of $129.6 million, or 27%.</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29.6%</w:t>
      </w:r>
      <w:r>
        <w:rPr>
          <w:rFonts w:ascii="Arial" w:cs="Arial" w:eastAsia="Arial" w:hAnsi="Arial"/>
          <w:sz w:val="18"/>
          <w:szCs w:val="18"/>
          <w:color w:val="222222"/>
        </w:rPr>
        <w:t xml:space="preserve"> compared with </w:t>
      </w:r>
      <w:r>
        <w:rPr>
          <w:rFonts w:ascii="Arial" w:cs="Arial" w:eastAsia="Arial" w:hAnsi="Arial"/>
          <w:sz w:val="18"/>
          <w:szCs w:val="18"/>
          <w:color w:val="000000"/>
        </w:rPr>
        <w:t>33.0%</w:t>
      </w:r>
      <w:r>
        <w:rPr>
          <w:rFonts w:ascii="Arial" w:cs="Arial" w:eastAsia="Arial" w:hAnsi="Arial"/>
          <w:sz w:val="18"/>
          <w:szCs w:val="18"/>
          <w:color w:val="222222"/>
        </w:rPr>
        <w:t xml:space="preserve">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Operating expenses increased $193.5 million, or 153%,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Net loss attributable to Itron, Inc. was $145.7 million, compared with net income of $15.8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GAAP diluted EPS decreased by $4.14 to a loss of $3.74 as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$5.1 million compared with $22.2 million in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diluted EPS was $0.13, a decrease of $0.44 compared with the same period last year.</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Adjusted EBITDA decreased $6.0 million compared with the same period last year.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On January 5, 2018, we completed our acquisition of SSNI by purchasing all outstanding shares for $16.25 per share, resulting in a total purchase price, net of cash, of $809.2 million. SSNI provided Internet of Important Things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connectivity platforms and solutions to utilities and cities. The acquisition continues our focus on expanding management services and software-as-a-service solutions, which allows us to provide more value to our customers by optimizing devices, network technologies, outcomes and analytics. Upon acquisition, SSNI changed its name to Itron Networked Solutions, Inc., and will operate separately as our Networks operating segment.</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facilitate funding the acquisition of SSNI, we entered into a $1.2 billion senior secured credit facility (the 2018 credit facility), which amended and restated our existing senior secured credit facility. The 2018 credit facility consists of a $650 million U.S. dollar term loan and a multicurrency revolving line of credit with a principal amount of up to $500 million. We also issued $300 million of 5% senior notes on December 22, 2017 to fund this acquisition. On January 19, 2018, we issued an additional $100 million of 5% senior notes. For additional information regarding our 2018 credit facility and senior notes, refer to Item 1: "Financial Statements (Unaudited), Note 6: Debt."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also implementing an integration plan associated with this acquisition. For the three months ended March 31, 2018 we recognized $62.4 million of acquisition and integration related expenses, and we anticipate $30 million to $40 million of additional expenses will be incurred in future periods. We anticipate annualized savings of $50 million at the conclusion of the integration plan, which we expect to substantially complete by the end of 2020. For further discussion of the acquisition, refer to Item 1: "Financial Statements (Unaudited), Note 17: Business Combinations."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22, 2018, our Board of Directors approved a restructuring plan (2018 Projects). The 2018 Projects include activities that continue our efforts to optimize our global supply chain and manufacturing operations, product development, and sales and marketing organizations. We expect to substantially complete the plan by the end of 2020. We recorded restructuring expense of $88.0 million related to the 2018 Projects during the three months ended March 31, 2018, and we anticipate an additional $16.5 million to be recognized in future periods. At the conclusion of the 2018 Projects, we anticipate annualized savings of $45 million to $50 million. For further discussion of restructuring activities, refer to Item 1: "Financial Statements (Unaudited), Note 12: Restructuring."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22222"/>
        </w:rPr>
        <w:t>The following table summarizes the changes in GAAP and Non-GAAP financial measures:</w:t>
      </w:r>
    </w:p>
    <w:p>
      <w:pPr>
        <w:spacing w:after="0" w:line="185" w:lineRule="exact"/>
        <w:rPr>
          <w:sz w:val="20"/>
          <w:szCs w:val="20"/>
          <w:color w:val="auto"/>
        </w:rPr>
      </w:pPr>
    </w:p>
    <w:p>
      <w:pPr>
        <w:jc w:val="right"/>
        <w:ind w:right="7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Product revenues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Service revenues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revenues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benefit (provision)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attributable to Itron, Inc.</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w:t>
      </w:r>
      <w:r>
        <w:rPr>
          <w:rFonts w:ascii="Arial" w:cs="Arial" w:eastAsia="Arial" w:hAnsi="Arial"/>
          <w:sz w:val="21"/>
          <w:szCs w:val="21"/>
          <w:b w:val="1"/>
          <w:bCs w:val="1"/>
          <w:color w:val="auto"/>
          <w:vertAlign w:val="superscript"/>
        </w:rPr>
        <w:t>(1)</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expenses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income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Non-GAAP net income attributable to Itron, Inc.</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 Margins and Earnings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Product gross margin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Service gross margin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gross margin</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EPS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EPS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 Earnings Per Share</w:t>
      </w:r>
      <w:r>
        <w:rPr>
          <w:rFonts w:ascii="Arial" w:cs="Arial" w:eastAsia="Arial" w:hAnsi="Arial"/>
          <w:sz w:val="21"/>
          <w:szCs w:val="21"/>
          <w:b w:val="1"/>
          <w:bCs w:val="1"/>
          <w:color w:val="auto"/>
          <w:vertAlign w:val="superscript"/>
        </w:rPr>
        <w:t>(1)</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diluted EPS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5"/>
          </w:tcPr>
          <w:p>
            <w:pPr>
              <w:spacing w:after="0"/>
              <w:rPr>
                <w:sz w:val="2"/>
                <w:szCs w:val="2"/>
                <w:color w:val="auto"/>
              </w:rPr>
            </w:pPr>
          </w:p>
        </w:tc>
      </w:tr>
      <w:tr>
        <w:trPr>
          <w:trHeight w:val="209"/>
        </w:trPr>
        <w:tc>
          <w:tcPr>
            <w:tcW w:w="280" w:type="dxa"/>
            <w:vAlign w:val="bottom"/>
          </w:tcPr>
          <w:p>
            <w:pPr>
              <w:spacing w:after="0"/>
              <w:rPr>
                <w:sz w:val="18"/>
                <w:szCs w:val="18"/>
                <w:color w:val="auto"/>
              </w:rPr>
            </w:pPr>
          </w:p>
        </w:tc>
        <w:tc>
          <w:tcPr>
            <w:tcW w:w="3480" w:type="dxa"/>
            <w:vAlign w:val="bottom"/>
            <w:gridSpan w:val="5"/>
          </w:tcPr>
          <w:p>
            <w:pPr>
              <w:ind w:left="460"/>
              <w:spacing w:after="0"/>
              <w:rPr>
                <w:sz w:val="20"/>
                <w:szCs w:val="20"/>
                <w:color w:val="auto"/>
              </w:rPr>
            </w:pPr>
            <w:r>
              <w:rPr>
                <w:rFonts w:ascii="Arial" w:cs="Arial" w:eastAsia="Arial" w:hAnsi="Arial"/>
                <w:sz w:val="16"/>
                <w:szCs w:val="16"/>
                <w:b w:val="1"/>
                <w:bCs w:val="1"/>
                <w:color w:val="auto"/>
              </w:rPr>
              <w:t>(in thousands, except margin and</w:t>
            </w:r>
          </w:p>
        </w:tc>
      </w:tr>
      <w:tr>
        <w:trPr>
          <w:trHeight w:val="210"/>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per share data)</w:t>
            </w:r>
          </w:p>
        </w:tc>
        <w:tc>
          <w:tcPr>
            <w:tcW w:w="1240" w:type="dxa"/>
            <w:vAlign w:val="bottom"/>
          </w:tcPr>
          <w:p>
            <w:pPr>
              <w:spacing w:after="0"/>
              <w:rPr>
                <w:sz w:val="18"/>
                <w:szCs w:val="18"/>
                <w:color w:val="auto"/>
              </w:rPr>
            </w:pPr>
          </w:p>
        </w:tc>
      </w:tr>
      <w:tr>
        <w:trPr>
          <w:trHeight w:val="81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537,110</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432,365</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3"/>
              </w:rPr>
              <w:t>24%</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70,111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45,227</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3"/>
              </w:rPr>
              <w:t>55%</w:t>
            </w:r>
          </w:p>
        </w:tc>
      </w:tr>
      <w:tr>
        <w:trPr>
          <w:trHeight w:val="33"/>
        </w:trPr>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607,221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477,592</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3"/>
              </w:rPr>
              <w:t>27%</w:t>
            </w:r>
          </w:p>
        </w:tc>
      </w:tr>
      <w:tr>
        <w:trPr>
          <w:trHeight w:val="567"/>
        </w:trPr>
        <w:tc>
          <w:tcPr>
            <w:tcW w:w="280" w:type="dxa"/>
            <w:vAlign w:val="bottom"/>
          </w:tcPr>
          <w:p>
            <w:pPr>
              <w:spacing w:after="0"/>
              <w:rPr>
                <w:sz w:val="24"/>
                <w:szCs w:val="24"/>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179,855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157,637</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3"/>
              </w:rPr>
              <w:t>14%</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320,303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126,810</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2"/>
              </w:rPr>
              <w:t>153%</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(140,448)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30,827</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rPr>
              <w:t>N/A</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(16,010)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(5,766)</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2"/>
              </w:rPr>
              <w:t>178%</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(9,047)</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rPr>
              <w:t>N/A</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(145,666)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15,845</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rPr>
              <w:t>N/A</w:t>
            </w:r>
          </w:p>
        </w:tc>
      </w:tr>
      <w:tr>
        <w:trPr>
          <w:trHeight w:val="83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152,051</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118,876</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w w:val="93"/>
              </w:rPr>
              <w:t>28%</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27,804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38,761</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w w:val="93"/>
              </w:rPr>
              <w:t>(28)%</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5,094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22,186</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w w:val="93"/>
              </w:rPr>
              <w:t>(77)%</w:t>
            </w:r>
          </w:p>
        </w:tc>
      </w:tr>
      <w:tr>
        <w:trPr>
          <w:trHeight w:val="270"/>
        </w:trPr>
        <w:tc>
          <w:tcPr>
            <w:tcW w:w="280" w:type="dxa"/>
            <w:vAlign w:val="bottom"/>
          </w:tcPr>
          <w:p>
            <w:pPr>
              <w:spacing w:after="0"/>
              <w:rPr>
                <w:sz w:val="23"/>
                <w:szCs w:val="23"/>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39,573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45,585</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w w:val="93"/>
              </w:rPr>
              <w:t>(13)%</w:t>
            </w:r>
          </w:p>
        </w:tc>
      </w:tr>
      <w:tr>
        <w:trPr>
          <w:trHeight w:val="1107"/>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28.7 %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w:t>
            </w:r>
          </w:p>
        </w:tc>
        <w:tc>
          <w:tcPr>
            <w:tcW w:w="124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w:t>
            </w:r>
          </w:p>
        </w:tc>
        <w:tc>
          <w:tcPr>
            <w:tcW w:w="12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29.6 %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w:t>
            </w:r>
          </w:p>
        </w:tc>
        <w:tc>
          <w:tcPr>
            <w:tcW w:w="1240" w:type="dxa"/>
            <w:vAlign w:val="bottom"/>
          </w:tcPr>
          <w:p>
            <w:pPr>
              <w:spacing w:after="0"/>
              <w:rPr>
                <w:sz w:val="23"/>
                <w:szCs w:val="23"/>
                <w:color w:val="auto"/>
              </w:rPr>
            </w:pPr>
          </w:p>
        </w:tc>
      </w:tr>
      <w:tr>
        <w:trPr>
          <w:trHeight w:val="567"/>
        </w:trPr>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1240" w:type="dxa"/>
            <w:vAlign w:val="bottom"/>
          </w:tcPr>
          <w:p>
            <w:pPr>
              <w:spacing w:after="0"/>
              <w:rPr>
                <w:sz w:val="24"/>
                <w:szCs w:val="24"/>
                <w:color w:val="auto"/>
              </w:rPr>
            </w:pP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0.41</w:t>
            </w:r>
          </w:p>
        </w:tc>
        <w:tc>
          <w:tcPr>
            <w:tcW w:w="124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0.40</w:t>
            </w:r>
          </w:p>
        </w:tc>
        <w:tc>
          <w:tcPr>
            <w:tcW w:w="1240" w:type="dxa"/>
            <w:vAlign w:val="bottom"/>
          </w:tcPr>
          <w:p>
            <w:pPr>
              <w:spacing w:after="0"/>
              <w:rPr>
                <w:sz w:val="23"/>
                <w:szCs w:val="23"/>
                <w:color w:val="auto"/>
              </w:rPr>
            </w:pPr>
          </w:p>
        </w:tc>
      </w:tr>
      <w:tr>
        <w:trPr>
          <w:trHeight w:val="837"/>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0.57</w:t>
            </w:r>
          </w:p>
        </w:tc>
        <w:tc>
          <w:tcPr>
            <w:tcW w:w="1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-5209540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-4866640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-4523740</wp:posOffset>
            </wp:positionV>
            <wp:extent cx="72466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-4163695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-3820160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-3477260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-3117215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-2774315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-2430780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-2070735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-1727835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-1384935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-1024890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-681355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-321310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760"/>
          </w:cols>
          <w:pgMar w:left="240" w:top="125" w:right="239" w:bottom="1440" w:gutter="0" w:footer="0" w:header="0"/>
          <w:type w:val="continuous"/>
        </w:sectPr>
      </w:pPr>
    </w:p>
    <w:p>
      <w:pPr>
        <w:spacing w:after="0" w:line="39" w:lineRule="exact"/>
        <w:rPr>
          <w:sz w:val="20"/>
          <w:szCs w:val="20"/>
          <w:color w:val="auto"/>
        </w:rPr>
      </w:pPr>
    </w:p>
    <w:p>
      <w:pPr>
        <w:ind w:left="340" w:right="20" w:hanging="332"/>
        <w:spacing w:after="0" w:line="21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48-50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two categories:</w:t>
      </w:r>
    </w:p>
    <w:p>
      <w:pPr>
        <w:spacing w:after="0" w:line="4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Smart metering – one-way communication of meter data or two-way communication including remote meter configuration and upgrade (consisting primarily of our OpenWay®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smart meter communication modules and network interface cards can be sold separately from the meter.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13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60" w:type="dxa"/>
            <w:vAlign w:val="bottom"/>
            <w:gridSpan w:val="2"/>
          </w:tcPr>
          <w:p>
            <w:pPr>
              <w:ind w:left="8600"/>
              <w:spacing w:after="0"/>
              <w:rPr>
                <w:sz w:val="20"/>
                <w:szCs w:val="20"/>
                <w:color w:val="auto"/>
              </w:rPr>
            </w:pPr>
            <w:r>
              <w:rPr>
                <w:rFonts w:ascii="Arial" w:cs="Arial" w:eastAsia="Arial" w:hAnsi="Arial"/>
                <w:sz w:val="16"/>
                <w:szCs w:val="16"/>
                <w:b w:val="1"/>
                <w:bCs w:val="1"/>
                <w:color w:val="auto"/>
                <w:w w:val="95"/>
              </w:rPr>
              <w:t>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(units in thousands)</w:t>
            </w:r>
          </w:p>
        </w:tc>
        <w:tc>
          <w:tcPr>
            <w:tcW w:w="1040" w:type="dxa"/>
            <w:vAlign w:val="bottom"/>
          </w:tcPr>
          <w:p>
            <w:pPr>
              <w:spacing w:after="0"/>
              <w:rPr>
                <w:sz w:val="18"/>
                <w:szCs w:val="18"/>
                <w:color w:val="auto"/>
              </w:rPr>
            </w:pPr>
          </w:p>
        </w:tc>
      </w:tr>
      <w:tr>
        <w:trPr>
          <w:trHeight w:val="303"/>
        </w:trPr>
        <w:tc>
          <w:tcPr>
            <w:tcW w:w="8960" w:type="dxa"/>
            <w:vAlign w:val="bottom"/>
            <w:gridSpan w:val="2"/>
          </w:tcPr>
          <w:p>
            <w:pPr>
              <w:ind w:left="40"/>
              <w:spacing w:after="0"/>
              <w:rPr>
                <w:sz w:val="20"/>
                <w:szCs w:val="20"/>
                <w:color w:val="auto"/>
              </w:rPr>
            </w:pPr>
            <w:r>
              <w:rPr>
                <w:rFonts w:ascii="Arial" w:cs="Arial" w:eastAsia="Arial" w:hAnsi="Arial"/>
                <w:sz w:val="16"/>
                <w:szCs w:val="16"/>
                <w:color w:val="auto"/>
              </w:rPr>
              <w:t xml:space="preserve">Meters </w:t>
            </w:r>
            <w:r>
              <w:rPr>
                <w:rFonts w:ascii="Arial" w:cs="Arial" w:eastAsia="Arial" w:hAnsi="Arial"/>
                <w:sz w:val="21"/>
                <w:szCs w:val="21"/>
                <w:color w:val="auto"/>
                <w:vertAlign w:val="superscript"/>
              </w:rPr>
              <w:t>(1)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4,010</w:t>
            </w:r>
          </w:p>
        </w:tc>
      </w:tr>
      <w:tr>
        <w:trPr>
          <w:trHeight w:val="237"/>
        </w:trPr>
        <w:tc>
          <w:tcPr>
            <w:tcW w:w="89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3,060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2,440</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9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Stand-alone communication modules and cards </w:t>
      </w:r>
      <w:r>
        <w:rPr>
          <w:rFonts w:ascii="Arial" w:cs="Arial" w:eastAsia="Arial" w:hAnsi="Arial"/>
          <w:sz w:val="21"/>
          <w:szCs w:val="21"/>
          <w:color w:val="auto"/>
          <w:vertAlign w:val="superscript"/>
        </w:rPr>
        <w:t>(2)</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219"/>
        </w:trPr>
        <w:tc>
          <w:tcPr>
            <w:tcW w:w="7520" w:type="dxa"/>
            <w:vAlign w:val="bottom"/>
          </w:tcPr>
          <w:p>
            <w:pPr>
              <w:spacing w:after="0"/>
              <w:rPr>
                <w:sz w:val="20"/>
                <w:szCs w:val="20"/>
                <w:color w:val="auto"/>
              </w:rPr>
            </w:pPr>
            <w:r>
              <w:rPr>
                <w:rFonts w:ascii="Arial" w:cs="Arial" w:eastAsia="Arial" w:hAnsi="Arial"/>
                <w:sz w:val="16"/>
                <w:szCs w:val="16"/>
                <w:color w:val="auto"/>
              </w:rPr>
              <w:t>Smart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1,400</w:t>
            </w:r>
          </w:p>
        </w:tc>
      </w:tr>
      <w:tr>
        <w:trPr>
          <w:trHeight w:val="20"/>
        </w:trPr>
        <w:tc>
          <w:tcPr>
            <w:tcW w:w="7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The Networks segment shipped an immaterial number of meters during the three months ended March 31, 2018.</w:t>
      </w:r>
    </w:p>
    <w:p>
      <w:pPr>
        <w:ind w:left="160" w:hanging="152"/>
        <w:spacing w:after="0" w:line="223"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Networks segment shipped approximately 990,000 network interface cards during the three months ended March 31,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2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right"/>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w w:val="95"/>
              </w:rPr>
              <w:t>2018</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607,221</w:t>
            </w:r>
          </w:p>
        </w:tc>
        <w:tc>
          <w:tcPr>
            <w:tcW w:w="11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477,592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25,777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103,852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129,629</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179,855</w:t>
            </w:r>
          </w:p>
        </w:tc>
        <w:tc>
          <w:tcPr>
            <w:tcW w:w="1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157,637</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7,650</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14,568</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340" w:hanging="332"/>
        <w:spacing w:after="0" w:line="217"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22222"/>
        </w:rPr>
        <w:t xml:space="preserve">Revenues increased $129.6 million, or 27% for the </w:t>
      </w:r>
      <w:r>
        <w:rPr>
          <w:rFonts w:ascii="Arial" w:cs="Arial" w:eastAsia="Arial" w:hAnsi="Arial"/>
          <w:sz w:val="18"/>
          <w:szCs w:val="18"/>
          <w:color w:val="000000"/>
        </w:rPr>
        <w:t>three</w:t>
      </w:r>
      <w:r>
        <w:rPr>
          <w:rFonts w:ascii="Arial" w:cs="Arial" w:eastAsia="Arial" w:hAnsi="Arial"/>
          <w:sz w:val="18"/>
          <w:szCs w:val="18"/>
          <w:color w:val="222222"/>
        </w:rPr>
        <w:t xml:space="preserve"> months ended </w:t>
      </w:r>
      <w:r>
        <w:rPr>
          <w:rFonts w:ascii="Arial" w:cs="Arial" w:eastAsia="Arial" w:hAnsi="Arial"/>
          <w:sz w:val="18"/>
          <w:szCs w:val="18"/>
          <w:color w:val="000000"/>
        </w:rPr>
        <w:t>March 31, 2018</w:t>
      </w:r>
      <w:r>
        <w:rPr>
          <w:rFonts w:ascii="Arial" w:cs="Arial" w:eastAsia="Arial" w:hAnsi="Arial"/>
          <w:sz w:val="18"/>
          <w:szCs w:val="18"/>
          <w:color w:val="222222"/>
        </w:rPr>
        <w:t xml:space="preserve">, compared with the same periods in </w:t>
      </w:r>
      <w:r>
        <w:rPr>
          <w:rFonts w:ascii="Arial" w:cs="Arial" w:eastAsia="Arial" w:hAnsi="Arial"/>
          <w:sz w:val="18"/>
          <w:szCs w:val="18"/>
          <w:color w:val="000000"/>
        </w:rPr>
        <w:t>2017</w:t>
      </w:r>
      <w:r>
        <w:rPr>
          <w:rFonts w:ascii="Arial" w:cs="Arial" w:eastAsia="Arial" w:hAnsi="Arial"/>
          <w:sz w:val="18"/>
          <w:szCs w:val="18"/>
          <w:color w:val="222222"/>
        </w:rPr>
        <w:t xml:space="preserve">. For the three months ended </w:t>
      </w:r>
      <w:r>
        <w:rPr>
          <w:rFonts w:ascii="Arial" w:cs="Arial" w:eastAsia="Arial" w:hAnsi="Arial"/>
          <w:sz w:val="18"/>
          <w:szCs w:val="18"/>
          <w:color w:val="000000"/>
        </w:rPr>
        <w:t>March 31, 2018</w:t>
      </w:r>
      <w:r>
        <w:rPr>
          <w:rFonts w:ascii="Arial" w:cs="Arial" w:eastAsia="Arial" w:hAnsi="Arial"/>
          <w:sz w:val="18"/>
          <w:szCs w:val="18"/>
          <w:color w:val="222222"/>
        </w:rPr>
        <w:t>, revenues increased in the Electricity, Gas, and Water segments by $13.7 million</w:t>
      </w:r>
      <w:r>
        <w:rPr>
          <w:rFonts w:ascii="Arial" w:cs="Arial" w:eastAsia="Arial" w:hAnsi="Arial"/>
          <w:sz w:val="18"/>
          <w:szCs w:val="18"/>
          <w:color w:val="000000"/>
        </w:rPr>
        <w:t xml:space="preserve">, </w:t>
      </w:r>
      <w:r>
        <w:rPr>
          <w:rFonts w:ascii="Arial" w:cs="Arial" w:eastAsia="Arial" w:hAnsi="Arial"/>
          <w:sz w:val="18"/>
          <w:szCs w:val="18"/>
          <w:color w:val="222222"/>
        </w:rPr>
        <w:t>$13.5 million, and $16.6 million, respectively, compared</w:t>
      </w:r>
      <w:r>
        <w:rPr>
          <w:rFonts w:ascii="Arial" w:cs="Arial" w:eastAsia="Arial" w:hAnsi="Arial"/>
          <w:sz w:val="18"/>
          <w:szCs w:val="18"/>
          <w:color w:val="000000"/>
        </w:rPr>
        <w:t xml:space="preserve"> </w:t>
      </w:r>
      <w:r>
        <w:rPr>
          <w:rFonts w:ascii="Arial" w:cs="Arial" w:eastAsia="Arial" w:hAnsi="Arial"/>
          <w:sz w:val="18"/>
          <w:szCs w:val="18"/>
          <w:color w:val="222222"/>
        </w:rPr>
        <w:t xml:space="preserve">with the same period in </w:t>
      </w:r>
      <w:r>
        <w:rPr>
          <w:rFonts w:ascii="Arial" w:cs="Arial" w:eastAsia="Arial" w:hAnsi="Arial"/>
          <w:sz w:val="18"/>
          <w:szCs w:val="18"/>
          <w:color w:val="000000"/>
        </w:rPr>
        <w:t>2017</w:t>
      </w:r>
      <w:r>
        <w:rPr>
          <w:rFonts w:ascii="Arial" w:cs="Arial" w:eastAsia="Arial" w:hAnsi="Arial"/>
          <w:sz w:val="18"/>
          <w:szCs w:val="18"/>
          <w:color w:val="222222"/>
        </w:rPr>
        <w:t>. In addition, our new Networks segment contributed $85.9 million of revenues for the three months ended March 31, 2018. Service revenues increased $24.9 million, or 55%, due to $18.5 million contributed from the Networks segment and $7.4 million from our Itron Distributed Energy Management business (formally Comverge, Inc.) acquired during the second quarter of 2017. Product revenues increased $104.7 million, or 24%, including $67.4 million from the Networks segment, and growth in all other segments. Changes in exchange rates favorably impacted total revenues by $25.8 million.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No customer represented more than 10% of total revenues for the three months ended March 31, 2018 or 2017, respectively. Our 10 largest customers accounted for 32% and 33%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w:t>
      </w:r>
      <w:r>
        <w:rPr>
          <w:rFonts w:ascii="Arial" w:cs="Arial" w:eastAsia="Arial" w:hAnsi="Arial"/>
          <w:sz w:val="18"/>
          <w:szCs w:val="18"/>
          <w:color w:val="222222"/>
        </w:rPr>
        <w:t>months ended</w:t>
      </w:r>
      <w:r>
        <w:rPr>
          <w:rFonts w:ascii="Arial" w:cs="Arial" w:eastAsia="Arial" w:hAnsi="Arial"/>
          <w:sz w:val="18"/>
          <w:szCs w:val="18"/>
          <w:color w:val="auto"/>
        </w:rPr>
        <w:t xml:space="preserve"> March 31, 2018 and 2017,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22222"/>
        </w:rPr>
        <w:t xml:space="preserve">Gross margin for the </w:t>
      </w:r>
      <w:r>
        <w:rPr>
          <w:rFonts w:ascii="Arial" w:cs="Arial" w:eastAsia="Arial" w:hAnsi="Arial"/>
          <w:sz w:val="16"/>
          <w:szCs w:val="16"/>
          <w:color w:val="000000"/>
        </w:rPr>
        <w:t>first</w:t>
      </w:r>
      <w:r>
        <w:rPr>
          <w:rFonts w:ascii="Arial" w:cs="Arial" w:eastAsia="Arial" w:hAnsi="Arial"/>
          <w:sz w:val="16"/>
          <w:szCs w:val="16"/>
          <w:color w:val="222222"/>
        </w:rPr>
        <w:t xml:space="preserve"> quarter of </w:t>
      </w:r>
      <w:r>
        <w:rPr>
          <w:rFonts w:ascii="Arial" w:cs="Arial" w:eastAsia="Arial" w:hAnsi="Arial"/>
          <w:sz w:val="16"/>
          <w:szCs w:val="16"/>
          <w:color w:val="000000"/>
        </w:rPr>
        <w:t>2018</w:t>
      </w:r>
      <w:r>
        <w:rPr>
          <w:rFonts w:ascii="Arial" w:cs="Arial" w:eastAsia="Arial" w:hAnsi="Arial"/>
          <w:sz w:val="16"/>
          <w:szCs w:val="16"/>
          <w:color w:val="222222"/>
        </w:rPr>
        <w:t xml:space="preserve"> was 29.6%, compared with 33.0% for the same period in </w:t>
      </w:r>
      <w:r>
        <w:rPr>
          <w:rFonts w:ascii="Arial" w:cs="Arial" w:eastAsia="Arial" w:hAnsi="Arial"/>
          <w:sz w:val="16"/>
          <w:szCs w:val="16"/>
          <w:color w:val="000000"/>
        </w:rPr>
        <w:t>2017</w:t>
      </w:r>
      <w:r>
        <w:rPr>
          <w:rFonts w:ascii="Arial" w:cs="Arial" w:eastAsia="Arial" w:hAnsi="Arial"/>
          <w:sz w:val="16"/>
          <w:szCs w:val="16"/>
          <w:color w:val="222222"/>
        </w:rPr>
        <w:t>. Our gross margin associated with product sales decreased to 28.7% for the three months ended March 31, 2018 compared with 33.6% for the same period in 2017. This decline was the result of the continued transition of our supply chain and temporary manufacturing inefficiencies as part of our global restructuring and strategic sourcing projects. In addition, commodity and component price increases negatively impacted our margins during the quarter. Gross margin associated with our service revenues increased to 36.5% for the three months ended March 31, 2018 as compared with 27.3% for the same period in 2017. The increase resulted from the inclusion of our Networks segment, which has significantly higher margins on service revenues as compared with the Electricity, Gas, and Water segments.</w:t>
      </w: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580" w:type="dxa"/>
            <w:vAlign w:val="bottom"/>
            <w:gridSpan w:val="6"/>
            <w:vMerge w:val="restart"/>
          </w:tcPr>
          <w:p>
            <w:pPr>
              <w:ind w:left="640"/>
              <w:spacing w:after="0"/>
              <w:rPr>
                <w:sz w:val="20"/>
                <w:szCs w:val="20"/>
                <w:color w:val="auto"/>
              </w:rPr>
            </w:pPr>
            <w:r>
              <w:rPr>
                <w:rFonts w:ascii="Arial" w:cs="Arial" w:eastAsia="Arial" w:hAnsi="Arial"/>
                <w:sz w:val="16"/>
                <w:szCs w:val="16"/>
                <w:b w:val="1"/>
                <w:bCs w:val="1"/>
                <w:color w:val="auto"/>
              </w:rPr>
              <w:t>Three Months Ended March 31,</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580" w:type="dxa"/>
            <w:vAlign w:val="bottom"/>
            <w:gridSpan w:val="6"/>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10,666</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60,284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40,767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17,773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19,517</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102,493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65,306</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17,740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12,690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13,191</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84,813</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320,303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126,810</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7,219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186,274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193,493</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increased $193.5 million for the three months ended March 31, 2018 as compared with the same period in 2017. This was primarily due to increased restructuring expense of $84.8 million following the announcement of the 2018 Projects as well as increased acquisition and integration expense related to SSNI of $62.4 million which are included within general and administrative expenses.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components of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647065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prepaid debt fees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1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000" w:type="dxa"/>
            <w:vAlign w:val="bottom"/>
          </w:tcPr>
          <w:p>
            <w:pPr>
              <w:spacing w:after="0"/>
              <w:rPr>
                <w:sz w:val="20"/>
                <w:szCs w:val="20"/>
                <w:color w:val="auto"/>
              </w:rPr>
            </w:pPr>
          </w:p>
        </w:tc>
        <w:tc>
          <w:tcPr>
            <w:tcW w:w="178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3"/>
                <w:szCs w:val="23"/>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90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146%</w:t>
            </w:r>
          </w:p>
        </w:tc>
      </w:tr>
      <w:tr>
        <w:trPr>
          <w:trHeight w:val="270"/>
        </w:trPr>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(12,113)</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(2,933)</w:t>
            </w:r>
          </w:p>
        </w:tc>
        <w:tc>
          <w:tcPr>
            <w:tcW w:w="90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313%</w:t>
            </w:r>
          </w:p>
        </w:tc>
      </w:tr>
      <w:tr>
        <w:trPr>
          <w:trHeight w:val="270"/>
        </w:trPr>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(3,391)</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(266)</w:t>
            </w:r>
          </w:p>
        </w:tc>
        <w:tc>
          <w:tcPr>
            <w:tcW w:w="90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1,175%</w:t>
            </w:r>
          </w:p>
        </w:tc>
      </w:tr>
      <w:tr>
        <w:trPr>
          <w:trHeight w:val="270"/>
        </w:trPr>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(2,836)</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(59)%</w:t>
            </w:r>
          </w:p>
        </w:tc>
      </w:tr>
      <w:tr>
        <w:trPr>
          <w:trHeight w:val="33"/>
        </w:trPr>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4"/>
        </w:trPr>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(16,010)</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(5,766)</w:t>
            </w:r>
          </w:p>
        </w:tc>
        <w:tc>
          <w:tcPr>
            <w:tcW w:w="90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178%</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220"/>
          </w:cols>
          <w:pgMar w:left="240" w:top="125" w:right="2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other income (expense) for the three months ended March 31, 2018 was a net expense of $16.0 million, compared with $5.8 million in the same period in 2017. The increase was related to the increase in interest expense and amortization of prepaid debt fees as a result of the 2018 credit facility and senior secured notes, which was partially offset by the fluctuations in the recognized foreign currency exchange gains and losses due to transactions denominated in a currency other than the reporting entity's functional currency in other income (expense), 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March 31, 2018, our income tax benefit was $11.2 million compared with income tax expense of $9.0 million for the same period in 2017. Our tax rate for the three months ended March 31, 2018 of 7% differed from the federal statutory rate of 21% due to the forecasted mix of earnings in domestic and international jurisdictions, a benefit related to excess stock based compensation, uncertain tax positions, and losses experienced in jurisdictions with valuation allowances on deferred tax assets. Our tax rate for the three months ended March 31, 2017 of 36% differed from the federal statutory rate of 35% due to the forecasted mix of earnings in domestic and international jurisdictions, a benefit related to excess stock based compensation, and losses experienced in jurisdictions with valuation allowances on deferred tax assets.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provision for December 31, 2017 included the provisional determination of the impact to our deferred tax positions of the Tax Cuts and Jobs Act. We will continue to review any additional guidance issued by the U.S. Department of the Treasury, Internal Revenue Service, Financial Accounting Standards Board, or other regulatory bodies and adjust our provisional amount during the</w:t>
      </w:r>
    </w:p>
    <w:p>
      <w:pPr>
        <w:sectPr>
          <w:pgSz w:w="11900" w:h="16838" w:orient="portrait"/>
          <w:cols w:equalWidth="0" w:num="1">
            <w:col w:w="11420"/>
          </w:cols>
          <w:pgMar w:left="240" w:top="125"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measurement period, which should not extend beyond one year from the enactment date of December 22, 2017. For the three months ended March 31, 2018 no changes to these provisional amounts have been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(Unaudited) Note 15: Segment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709"/>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40" w:type="dxa"/>
            <w:vAlign w:val="bottom"/>
          </w:tcPr>
          <w:p>
            <w:pPr>
              <w:spacing w:after="0"/>
              <w:rPr>
                <w:sz w:val="22"/>
                <w:szCs w:val="22"/>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252,405</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238,751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137,739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124,211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2"/>
              </w:rPr>
              <w:t>11%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131,194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114,630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Networks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85,883</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4"/>
                <w:szCs w:val="14"/>
                <w:color w:val="auto"/>
              </w:rPr>
              <w:t>N/A</w:t>
            </w:r>
          </w:p>
        </w:tc>
        <w:tc>
          <w:tcPr>
            <w:tcW w:w="900" w:type="dxa"/>
            <w:vAlign w:val="bottom"/>
            <w:tcBorders>
              <w:bottom w:val="single" w:sz="8" w:color="CCEEFF"/>
            </w:tcBorders>
          </w:tcPr>
          <w:p>
            <w:pPr>
              <w:spacing w:after="0"/>
              <w:rPr>
                <w:sz w:val="22"/>
                <w:szCs w:val="22"/>
                <w:color w:val="auto"/>
              </w:rPr>
            </w:pPr>
          </w:p>
        </w:tc>
      </w:tr>
      <w:tr>
        <w:trPr>
          <w:trHeight w:val="243"/>
        </w:trPr>
        <w:tc>
          <w:tcPr>
            <w:tcW w:w="6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607,221</w:t>
            </w:r>
          </w:p>
        </w:tc>
        <w:tc>
          <w:tcPr>
            <w:tcW w:w="40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477,592</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ind w:right="29"/>
              <w:spacing w:after="0"/>
              <w:rPr>
                <w:sz w:val="20"/>
                <w:szCs w:val="20"/>
                <w:color w:val="auto"/>
              </w:rPr>
            </w:pPr>
            <w:r>
              <w:rPr>
                <w:rFonts w:ascii="Arial" w:cs="Arial" w:eastAsia="Arial" w:hAnsi="Arial"/>
                <w:sz w:val="14"/>
                <w:szCs w:val="14"/>
                <w:color w:val="auto"/>
                <w:w w:val="92"/>
              </w:rPr>
              <w:t>27%</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6"/>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c>
          <w:tcPr>
            <w:tcW w:w="9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709"/>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r>
      <w:tr>
        <w:trPr>
          <w:trHeight w:val="156"/>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49"/>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r>
      <w:tr>
        <w:trPr>
          <w:trHeight w:val="188"/>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92"/>
              </w:rPr>
              <w:t>Profit</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Gross Profit and Margin</w:t>
            </w:r>
          </w:p>
        </w:tc>
        <w:tc>
          <w:tcPr>
            <w:tcW w:w="140" w:type="dxa"/>
            <w:vAlign w:val="bottom"/>
          </w:tcPr>
          <w:p>
            <w:pPr>
              <w:spacing w:after="0"/>
              <w:rPr>
                <w:sz w:val="22"/>
                <w:szCs w:val="22"/>
                <w:color w:val="auto"/>
              </w:rPr>
            </w:pPr>
          </w:p>
        </w:tc>
        <w:tc>
          <w:tcPr>
            <w:tcW w:w="102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(in thousands)</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69,975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5"/>
              </w:rPr>
              <w:t>27.7%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67,250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28.2%</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43,471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color w:val="auto"/>
                <w:w w:val="95"/>
              </w:rPr>
              <w:t>31.6%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50,815</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40.9%</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37,805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center"/>
              <w:ind w:right="188"/>
              <w:spacing w:after="0"/>
              <w:rPr>
                <w:sz w:val="20"/>
                <w:szCs w:val="20"/>
                <w:color w:val="auto"/>
              </w:rPr>
            </w:pPr>
            <w:r>
              <w:rPr>
                <w:rFonts w:ascii="Arial" w:cs="Arial" w:eastAsia="Arial" w:hAnsi="Arial"/>
                <w:sz w:val="14"/>
                <w:szCs w:val="14"/>
                <w:color w:val="auto"/>
                <w:w w:val="95"/>
              </w:rPr>
              <w:t>28.8%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39,572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34.5%</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28,604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color w:val="auto"/>
                <w:w w:val="95"/>
              </w:rPr>
              <w:t>33.3%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43"/>
        </w:trPr>
        <w:tc>
          <w:tcPr>
            <w:tcW w:w="67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gross profit and margin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179,855</w:t>
            </w:r>
          </w:p>
        </w:tc>
        <w:tc>
          <w:tcPr>
            <w:tcW w:w="140" w:type="dxa"/>
            <w:vAlign w:val="bottom"/>
            <w:tcBorders>
              <w:top w:val="single" w:sz="8" w:color="CCEEFF"/>
              <w:bottom w:val="single" w:sz="8" w:color="auto"/>
            </w:tcBorders>
            <w:shd w:val="clear" w:color="auto" w:fill="CCEEFF"/>
          </w:tcPr>
          <w:p>
            <w:pPr>
              <w:spacing w:after="0"/>
              <w:rPr>
                <w:sz w:val="21"/>
                <w:szCs w:val="21"/>
                <w:color w:val="auto"/>
              </w:rPr>
            </w:pPr>
          </w:p>
        </w:tc>
        <w:tc>
          <w:tcPr>
            <w:tcW w:w="260" w:type="dxa"/>
            <w:vAlign w:val="bottom"/>
            <w:tcBorders>
              <w:top w:val="single" w:sz="8" w:color="CCEEFF"/>
              <w:bottom w:val="single" w:sz="8" w:color="auto"/>
            </w:tcBorders>
            <w:shd w:val="clear" w:color="auto" w:fill="CCEEFF"/>
          </w:tcPr>
          <w:p>
            <w:pPr>
              <w:spacing w:after="0"/>
              <w:rPr>
                <w:sz w:val="21"/>
                <w:szCs w:val="21"/>
                <w:color w:val="auto"/>
              </w:rPr>
            </w:pPr>
          </w:p>
        </w:tc>
        <w:tc>
          <w:tcPr>
            <w:tcW w:w="880" w:type="dxa"/>
            <w:vAlign w:val="bottom"/>
            <w:tcBorders>
              <w:top w:val="single" w:sz="8" w:color="CCEEFF"/>
              <w:bottom w:val="single" w:sz="8" w:color="auto"/>
            </w:tcBorders>
            <w:shd w:val="clear" w:color="auto" w:fill="CCEEFF"/>
          </w:tcPr>
          <w:p>
            <w:pPr>
              <w:jc w:val="center"/>
              <w:ind w:right="188"/>
              <w:spacing w:after="0"/>
              <w:rPr>
                <w:sz w:val="20"/>
                <w:szCs w:val="20"/>
                <w:color w:val="auto"/>
              </w:rPr>
            </w:pPr>
            <w:r>
              <w:rPr>
                <w:rFonts w:ascii="Arial" w:cs="Arial" w:eastAsia="Arial" w:hAnsi="Arial"/>
                <w:sz w:val="14"/>
                <w:szCs w:val="14"/>
                <w:color w:val="auto"/>
                <w:w w:val="95"/>
              </w:rPr>
              <w:t>29.6%</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157,637</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9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33.0%</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3"/>
        </w:trPr>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709"/>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0"/>
        </w:trPr>
        <w:tc>
          <w:tcPr>
            <w:tcW w:w="67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Operating Expenses</w:t>
            </w:r>
          </w:p>
        </w:tc>
        <w:tc>
          <w:tcPr>
            <w:tcW w:w="140" w:type="dxa"/>
            <w:vAlign w:val="bottom"/>
          </w:tcPr>
          <w:p>
            <w:pPr>
              <w:spacing w:after="0"/>
              <w:rPr>
                <w:sz w:val="22"/>
                <w:szCs w:val="22"/>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72,743</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45%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71,819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29,084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94"/>
              </w:rPr>
              <w:t>147%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49,515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61%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4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104,114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N/A</w:t>
            </w:r>
          </w:p>
        </w:tc>
        <w:tc>
          <w:tcPr>
            <w:tcW w:w="900" w:type="dxa"/>
            <w:vAlign w:val="bottom"/>
          </w:tcPr>
          <w:p>
            <w:pPr>
              <w:spacing w:after="0"/>
              <w:rPr>
                <w:sz w:val="22"/>
                <w:szCs w:val="22"/>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22,112</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2"/>
              </w:rPr>
              <w:t>32%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320,303</w:t>
            </w:r>
          </w:p>
        </w:tc>
        <w:tc>
          <w:tcPr>
            <w:tcW w:w="4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126,810</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4"/>
              </w:rPr>
              <w:t>153%</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6"/>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15"/>
        </w:trPr>
        <w:tc>
          <w:tcPr>
            <w:tcW w:w="6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c>
          <w:tcPr>
            <w:tcW w:w="9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left="709"/>
              <w:spacing w:after="0"/>
              <w:rPr>
                <w:sz w:val="20"/>
                <w:szCs w:val="20"/>
                <w:color w:val="auto"/>
              </w:rPr>
            </w:pPr>
            <w:r>
              <w:rPr>
                <w:rFonts w:ascii="Arial" w:cs="Arial" w:eastAsia="Arial" w:hAnsi="Arial"/>
                <w:sz w:val="14"/>
                <w:szCs w:val="14"/>
                <w:b w:val="1"/>
                <w:bCs w:val="1"/>
                <w:color w:val="auto"/>
                <w:w w:val="89"/>
              </w:rPr>
              <w:t>2018</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r>
      <w:tr>
        <w:trPr>
          <w:trHeight w:val="156"/>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69"/>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r>
      <w:tr>
        <w:trPr>
          <w:trHeight w:val="188"/>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90"/>
              </w:rPr>
              <w:t>Income (Loss)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Operating Income (Loss) and Operating Margin</w:t>
            </w:r>
          </w:p>
        </w:tc>
        <w:tc>
          <w:tcPr>
            <w:tcW w:w="140" w:type="dxa"/>
            <w:vAlign w:val="bottom"/>
          </w:tcPr>
          <w:p>
            <w:pPr>
              <w:spacing w:after="0"/>
              <w:rPr>
                <w:sz w:val="22"/>
                <w:szCs w:val="22"/>
                <w:color w:val="auto"/>
              </w:rPr>
            </w:pPr>
          </w:p>
        </w:tc>
        <w:tc>
          <w:tcPr>
            <w:tcW w:w="102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(in thousands)</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22"/>
                <w:szCs w:val="22"/>
                <w:color w:val="auto"/>
              </w:rPr>
            </w:pP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6"/>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17,084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Gas</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(28,348)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color w:val="auto"/>
                <w:w w:val="93"/>
              </w:rPr>
              <w:t>(20.6)%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21,731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17.5%</w:t>
            </w:r>
          </w:p>
        </w:tc>
      </w:tr>
      <w:tr>
        <w:trPr>
          <w:trHeight w:val="276"/>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6"/>
              </w:rPr>
              <w:t>(8.9)%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8,804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7.7%</w:t>
            </w:r>
          </w:p>
        </w:tc>
      </w:tr>
      <w:tr>
        <w:trPr>
          <w:trHeight w:val="264"/>
        </w:trPr>
        <w:tc>
          <w:tcPr>
            <w:tcW w:w="6740" w:type="dxa"/>
            <w:vAlign w:val="bottom"/>
          </w:tcPr>
          <w:p>
            <w:pPr>
              <w:ind w:left="180"/>
              <w:spacing w:after="0"/>
              <w:rPr>
                <w:sz w:val="20"/>
                <w:szCs w:val="20"/>
                <w:color w:val="auto"/>
              </w:rPr>
            </w:pPr>
            <w:r>
              <w:rPr>
                <w:rFonts w:ascii="Arial" w:cs="Arial" w:eastAsia="Arial" w:hAnsi="Arial"/>
                <w:sz w:val="14"/>
                <w:szCs w:val="14"/>
                <w:color w:val="auto"/>
              </w:rPr>
              <w:t>Networks</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(75,510)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color w:val="auto"/>
                <w:w w:val="93"/>
              </w:rPr>
              <w:t>(87.9)%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unallocated</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(22,112)</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6"/>
              </w:rPr>
              <w:t>(3.6)%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(3.5)%</w:t>
            </w:r>
          </w:p>
        </w:tc>
      </w:tr>
      <w:tr>
        <w:trPr>
          <w:trHeight w:val="243"/>
        </w:trPr>
        <w:tc>
          <w:tcPr>
            <w:tcW w:w="6740" w:type="dxa"/>
            <w:vAlign w:val="bottom"/>
          </w:tcPr>
          <w:p>
            <w:pPr>
              <w:ind w:left="660"/>
              <w:spacing w:after="0"/>
              <w:rPr>
                <w:sz w:val="20"/>
                <w:szCs w:val="20"/>
                <w:color w:val="auto"/>
              </w:rPr>
            </w:pPr>
            <w:r>
              <w:rPr>
                <w:rFonts w:ascii="Arial" w:cs="Arial" w:eastAsia="Arial" w:hAnsi="Arial"/>
                <w:sz w:val="14"/>
                <w:szCs w:val="14"/>
                <w:color w:val="auto"/>
              </w:rPr>
              <w:t>Total Company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(140,448)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center"/>
              <w:ind w:right="188"/>
              <w:spacing w:after="0"/>
              <w:rPr>
                <w:sz w:val="20"/>
                <w:szCs w:val="20"/>
                <w:color w:val="auto"/>
              </w:rPr>
            </w:pPr>
            <w:r>
              <w:rPr>
                <w:rFonts w:ascii="Arial" w:cs="Arial" w:eastAsia="Arial" w:hAnsi="Arial"/>
                <w:sz w:val="14"/>
                <w:szCs w:val="14"/>
                <w:color w:val="auto"/>
                <w:w w:val="93"/>
              </w:rPr>
              <w:t>(23.1)%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30,827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6.5%</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2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right"/>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w w:val="95"/>
              </w:rPr>
              <w:t>2018</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252,405</w:t>
            </w:r>
          </w:p>
        </w:tc>
        <w:tc>
          <w:tcPr>
            <w:tcW w:w="11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238,751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8,816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13,654</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69,975</w:t>
            </w:r>
          </w:p>
        </w:tc>
        <w:tc>
          <w:tcPr>
            <w:tcW w:w="1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67,250</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2,381</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344</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2,725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72,743</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50,166</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1,949</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20,628</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22,577</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2018 vs. Three months ended March 31, 2017</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Revenues increased $13.7 million, or 6%, for the three months ended March 31, 2018, compared with the same period in 2017. This increase was primarily driven by increased service revenues from the addition of </w:t>
      </w:r>
      <w:r>
        <w:rPr>
          <w:rFonts w:ascii="Arial" w:cs="Arial" w:eastAsia="Arial" w:hAnsi="Arial"/>
          <w:sz w:val="18"/>
          <w:szCs w:val="18"/>
          <w:color w:val="222222"/>
        </w:rPr>
        <w:t>our Itron Distributed Energy Management (DEM) business</w:t>
      </w:r>
      <w:r>
        <w:rPr>
          <w:rFonts w:ascii="Arial" w:cs="Arial" w:eastAsia="Arial" w:hAnsi="Arial"/>
          <w:sz w:val="18"/>
          <w:szCs w:val="18"/>
          <w:color w:val="auto"/>
        </w:rPr>
        <w:t xml:space="preserve"> and strong product revenue growth in our Europe, Middle East, and Africa (EMEA) region. DEM contributed $12.5 million to total revenues during the three months ended March 31, 2018. These increases were partially offset by a decline in North America product revenues. Changes in foreign currency exchange rates favorably impacted revenues by $8.8 million.</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2018, one customer represented 22% and another customer represented 16%, of total Electricity operating segment revenues. For the three months ended March 31, 2017, one customer represented 18% of total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2018 vs. Three months ended March 31, 2017</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margin was 27.7% for the three months ended March 31, 2018, compared with 28.2% for the same period in 2017. The 50 basis point decrease over the prior year was primarily the result of certain manufacturing inefficiencies, partially offset by improved sales of our smart meters.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2018 vs. Three months ended March 31,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increased $22.6 million, or 45%, for the three months ended March 31, 2018, compared with the same period in 2017. The increase was primarily a result of restructuring expenses associated with the announcement of the 2018 Projects.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2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right"/>
              <w:ind w:right="19"/>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w w:val="95"/>
              </w:rPr>
              <w:t>2018</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137,739</w:t>
            </w:r>
          </w:p>
        </w:tc>
        <w:tc>
          <w:tcPr>
            <w:tcW w:w="11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124,211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5,706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13,528</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43,471</w:t>
            </w:r>
          </w:p>
        </w:tc>
        <w:tc>
          <w:tcPr>
            <w:tcW w:w="1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50,815</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896</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(8,240)</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(7,344)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71,819</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29,084</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1,194</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41,541</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42,735</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2018 vs. Three months ended March 31, 2017</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Revenues increased $13.5 million, or 11%, for the three months ended March 31, 2018 compared with the same period in 2017. This was primarily related to strong smart meter sales in our EMEA region. Changes in foreign currency exchange rates favorably impacted revenues by $5.7 million.</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2018, one customer represented 11% of total Gas operating segment revenues. No single customer represented more than 10% of the Gas operating segment revenues for the three months ended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2018 vs. Three months ended March 31,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31.6% for the three months ended March 31, 2018, compared with 40.9% for the same period in 2017. The 930 basis point decrease was related to manufacturing inefficiencies caused by our restructuring activities, as well as an unfavorable product mix in 2018.</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2018 vs. Three months ended March 31, 2017</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$42.7 million, or 147%, for the three months ended March 31, 2018, compared with the same period in 2017. This was primarily related to higher restructuring expenses associated with the announcement of the 2018 Projects.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2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w w:val="93"/>
              </w:rPr>
              <w:t>Three Months Ended March 31,</w:t>
            </w:r>
          </w:p>
        </w:tc>
        <w:tc>
          <w:tcPr>
            <w:tcW w:w="66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right"/>
              <w:ind w:right="19"/>
              <w:spacing w:after="0" w:line="142" w:lineRule="exact"/>
              <w:rPr>
                <w:sz w:val="20"/>
                <w:szCs w:val="20"/>
                <w:color w:val="auto"/>
              </w:rPr>
            </w:pPr>
            <w:r>
              <w:rPr>
                <w:rFonts w:ascii="Arial" w:cs="Arial" w:eastAsia="Arial" w:hAnsi="Arial"/>
                <w:sz w:val="16"/>
                <w:szCs w:val="16"/>
                <w:b w:val="1"/>
                <w:bCs w:val="1"/>
                <w:color w:val="auto"/>
                <w:w w:val="99"/>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w w:val="95"/>
              </w:rPr>
              <w:t>2018</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131,194</w:t>
            </w:r>
          </w:p>
        </w:tc>
        <w:tc>
          <w:tcPr>
            <w:tcW w:w="11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114,630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11,255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16,564</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37,805</w:t>
            </w:r>
          </w:p>
        </w:tc>
        <w:tc>
          <w:tcPr>
            <w:tcW w:w="11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39,572</w:t>
            </w:r>
          </w:p>
        </w:tc>
        <w:tc>
          <w:tcPr>
            <w:tcW w:w="24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4,374</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(6,141)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49,515</w:t>
            </w:r>
          </w:p>
        </w:tc>
        <w:tc>
          <w:tcPr>
            <w:tcW w:w="1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30,768</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2,433</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16,314</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18,747</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2018 vs. Three months ended March 31,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$16.6 million, or 14%, for the three months ended March 31, 2018, compared with the same period in 2017. This was primarily in EMEA due to changes in foreign currency exchange rates which favorably impacted revenues by $11.3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for the three months ended March 31, 2018 and 2017.</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2018 vs. Three months ended March 31,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2018, gross margin decreased to 28.8%, compared with 34.5% in 2017. The 570 basis point decrease in gross margin was driven primarily by higher commodity prices and manufacturing inefficiencies as a result of our global restructuring and strategic sourcing projects as well as an unfavorable product mix in 2018 as compared with 2017.</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2018 vs. Three months ended March 31, 2017</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Operating expenses for the three months ended March 31, 2018 increased by $18.7 million, or 61%, compared with 2017. This was primarily related to higher restructuring expenses associated with the announcement of the 2018 Projects.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Networks is a new operating segment with the acquisition of SSNI; therefore no data for comparable periods is available. The changes in certain Networks segment financial results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1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1"/>
        </w:trPr>
        <w:tc>
          <w:tcPr>
            <w:tcW w:w="6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0"/>
                <w:szCs w:val="20"/>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r>
      <w:tr>
        <w:trPr>
          <w:trHeight w:val="3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0"/>
        </w:trPr>
        <w:tc>
          <w:tcPr>
            <w:tcW w:w="63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Networks Segment</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
        </w:trPr>
        <w:tc>
          <w:tcPr>
            <w:tcW w:w="6360" w:type="dxa"/>
            <w:vAlign w:val="bottom"/>
            <w:tcBorders>
              <w:bottom w:val="single" w:sz="8" w:color="auto"/>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85,883</w:t>
            </w:r>
          </w:p>
        </w:tc>
        <w:tc>
          <w:tcPr>
            <w:tcW w:w="142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85,883</w:t>
            </w:r>
          </w:p>
        </w:tc>
      </w:tr>
      <w:tr>
        <w:trPr>
          <w:trHeight w:val="237"/>
        </w:trPr>
        <w:tc>
          <w:tcPr>
            <w:tcW w:w="636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28,604</w:t>
            </w:r>
          </w:p>
        </w:tc>
        <w:tc>
          <w:tcPr>
            <w:tcW w:w="1420" w:type="dxa"/>
            <w:vAlign w:val="bottom"/>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28,604</w:t>
            </w:r>
          </w:p>
        </w:tc>
      </w:tr>
      <w:tr>
        <w:trPr>
          <w:trHeight w:val="3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104,114</w:t>
            </w:r>
          </w:p>
        </w:tc>
        <w:tc>
          <w:tcPr>
            <w:tcW w:w="14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104,114</w:t>
            </w:r>
          </w:p>
        </w:tc>
      </w:tr>
      <w:tr>
        <w:trPr>
          <w:trHeight w:val="33"/>
        </w:trPr>
        <w:tc>
          <w:tcPr>
            <w:tcW w:w="6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2018 vs. Three months ended March 31, 2017</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Networks segment recognized $85.9 million in revenues for the three months ended March 31, 2018. This revenue was primarily related to product revenues in North America, driven by the nearly one million total communication modules sold.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one customer represented 11% of total Networks operating segment revenues.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2018 vs. Three months ended March 31, 2017</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2018, gross margin was 33.3%. The gross margin was reduced during the quarter as a result of purchase accounting which requires inventory to be adjusted to its fair value upon acquisition. As compared with the pre-acquisition carrying value of the inventory, this adjustment to fair market value reduced gross margin approximately 500 basis points. We do not expect similar purchase accounting impacts related to gross margin in future periods as all inventory impacted was sold.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2018 vs. Three months ended March 31, 2017</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Operating expenses for the three months ended March 31, 2018 were $104.1 million. This was primarily comprised of acquisition and integration related expenses of $62.4 million, net amortization of acquired intangible assets and liabilities of $12.9 million, and product development expenses of $15.7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March 31, 2018 vs. Three months ended March 31,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by $5.3 million, or 32%, for the three months ended March 31, 2018 compared with the same period in 2017. The increase was primarily due to higher restructuring expenses, partially offset by lower professional service fees.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remaining performance obligations disclosed in Item 1: "Financial Statements (Unaudited), Note 16: Revenues."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 xml:space="preserve">Backlog </w:t>
            </w:r>
            <w:r>
              <w:rPr>
                <w:rFonts w:ascii="Arial" w:cs="Arial" w:eastAsia="Arial" w:hAnsi="Arial"/>
                <w:sz w:val="21"/>
                <w:szCs w:val="21"/>
                <w:b w:val="1"/>
                <w:bCs w:val="1"/>
                <w:color w:val="auto"/>
                <w:w w:val="88"/>
                <w:vertAlign w:val="superscript"/>
              </w:rPr>
              <w:t>(1)</w:t>
            </w:r>
          </w:p>
        </w:tc>
        <w:tc>
          <w:tcPr>
            <w:tcW w:w="540" w:type="dxa"/>
            <w:vAlign w:val="bottom"/>
          </w:tcPr>
          <w:p>
            <w:pPr>
              <w:spacing w:after="0"/>
              <w:rPr>
                <w:sz w:val="21"/>
                <w:szCs w:val="21"/>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5"/>
              </w:rPr>
              <w:t xml:space="preserve">Backlog </w:t>
            </w:r>
            <w:r>
              <w:rPr>
                <w:rFonts w:ascii="Arial" w:cs="Arial" w:eastAsia="Arial" w:hAnsi="Arial"/>
                <w:sz w:val="21"/>
                <w:szCs w:val="21"/>
                <w:b w:val="1"/>
                <w:bCs w:val="1"/>
                <w:color w:val="auto"/>
                <w:w w:val="85"/>
                <w:vertAlign w:val="superscript"/>
              </w:rPr>
              <w:t>(2)</w:t>
            </w:r>
          </w:p>
        </w:tc>
      </w:tr>
      <w:tr>
        <w:trPr>
          <w:trHeight w:val="231"/>
        </w:trPr>
        <w:tc>
          <w:tcPr>
            <w:tcW w:w="4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2018</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557</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3,139</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2017</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810</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1,750</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931</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2017</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343</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1,488</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June 30, 2017</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416</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1,629</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860</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424</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5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Ending total backlog includes $121.1 million and $1.4 billion related to Comverge and SSNI, respectively, as of March 31, 2018.</w:t>
      </w:r>
    </w:p>
    <w:p>
      <w:pPr>
        <w:ind w:left="340" w:hanging="332"/>
        <w:spacing w:after="0" w:line="182"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Ending 12-month backlog includes $45.5 million and $336.9 million related to Comverge and SSNI, respectively, as of March 31,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Pr>
          <w:p>
            <w:pPr>
              <w:spacing w:after="0"/>
              <w:rPr>
                <w:sz w:val="18"/>
                <w:szCs w:val="18"/>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w w:val="96"/>
              </w:rPr>
              <w:t>Total Bookings</w:t>
            </w:r>
          </w:p>
        </w:tc>
        <w:tc>
          <w:tcPr>
            <w:tcW w:w="420" w:type="dxa"/>
            <w:vAlign w:val="bottom"/>
          </w:tcPr>
          <w:p>
            <w:pPr>
              <w:spacing w:after="0"/>
              <w:rPr>
                <w:sz w:val="18"/>
                <w:szCs w:val="18"/>
                <w:color w:val="auto"/>
              </w:rPr>
            </w:pPr>
          </w:p>
        </w:tc>
        <w:tc>
          <w:tcPr>
            <w:tcW w:w="1440" w:type="dxa"/>
            <w:vAlign w:val="bottom"/>
          </w:tcPr>
          <w:p>
            <w:pPr>
              <w:jc w:val="right"/>
              <w:ind w:right="439"/>
              <w:spacing w:after="0"/>
              <w:rPr>
                <w:sz w:val="20"/>
                <w:szCs w:val="20"/>
                <w:color w:val="auto"/>
              </w:rPr>
            </w:pPr>
            <w:r>
              <w:rPr>
                <w:rFonts w:ascii="Arial" w:cs="Arial" w:eastAsia="Arial" w:hAnsi="Arial"/>
                <w:sz w:val="16"/>
                <w:szCs w:val="16"/>
                <w:b w:val="1"/>
                <w:bCs w:val="1"/>
                <w:color w:val="auto"/>
              </w:rPr>
              <w:t>Electricity</w:t>
            </w:r>
          </w:p>
        </w:tc>
        <w:tc>
          <w:tcPr>
            <w:tcW w:w="360" w:type="dxa"/>
            <w:vAlign w:val="bottom"/>
          </w:tcPr>
          <w:p>
            <w:pPr>
              <w:spacing w:after="0"/>
              <w:rPr>
                <w:sz w:val="18"/>
                <w:szCs w:val="18"/>
                <w:color w:val="auto"/>
              </w:rPr>
            </w:pPr>
          </w:p>
        </w:tc>
        <w:tc>
          <w:tcPr>
            <w:tcW w:w="1460" w:type="dxa"/>
            <w:vAlign w:val="bottom"/>
          </w:tcPr>
          <w:p>
            <w:pPr>
              <w:jc w:val="right"/>
              <w:ind w:right="639"/>
              <w:spacing w:after="0"/>
              <w:rPr>
                <w:sz w:val="20"/>
                <w:szCs w:val="20"/>
                <w:color w:val="auto"/>
              </w:rPr>
            </w:pPr>
            <w:r>
              <w:rPr>
                <w:rFonts w:ascii="Arial" w:cs="Arial" w:eastAsia="Arial" w:hAnsi="Arial"/>
                <w:sz w:val="16"/>
                <w:szCs w:val="16"/>
                <w:b w:val="1"/>
                <w:bCs w:val="1"/>
                <w:color w:val="auto"/>
              </w:rPr>
              <w:t>Gas</w:t>
            </w:r>
          </w:p>
        </w:tc>
        <w:tc>
          <w:tcPr>
            <w:tcW w:w="460" w:type="dxa"/>
            <w:vAlign w:val="bottom"/>
          </w:tcPr>
          <w:p>
            <w:pPr>
              <w:spacing w:after="0"/>
              <w:rPr>
                <w:sz w:val="18"/>
                <w:szCs w:val="18"/>
                <w:color w:val="auto"/>
              </w:rPr>
            </w:pP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Water</w:t>
            </w:r>
          </w:p>
        </w:tc>
        <w:tc>
          <w:tcPr>
            <w:tcW w:w="4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Networks</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31, 2018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December 31, 2017</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4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477</w:t>
            </w:r>
          </w:p>
        </w:tc>
        <w:tc>
          <w:tcPr>
            <w:tcW w:w="3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4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30, 2017</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June 30, 2017</w:t>
            </w: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416</w:t>
            </w:r>
          </w:p>
        </w:tc>
        <w:tc>
          <w:tcPr>
            <w:tcW w:w="4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3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4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4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4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(24,448)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63,257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(819,821)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(9,200)</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501,839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2,559</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cash equivalents, and restricted cash</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(341,867)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54,363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cash equivalents, and restricted cash was $145.5 million at March 31, 2018, compared with $487.3 million at December 31, 2017. The $341.9 million decrease in cash, cash equivalents, and restricted cash was primarily the result of our investing activities related to our acquisition of SSNI, as well a decrease in cash flow provided by operating activities, partially offset by increased net proceeds from borrowings associated with the acquisition of SSNI.</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used by operating activities during the three months ended March 31, 2018 was $24.4 million compared with $63.3 million of cash provided by operating activities during the same period in 2017. The decrease was primarily due to a reduction in net income (loss) adjusted for non-cash items and changes in operating asset and liabilities. Uses of cash include a $34.7 million increase in cash used for accounts payable due to the timing of payments, and a $20.9 million reduction in cash provided by accounts receivable due to the timing of collections. These were partially offset by $88.0 million of accrued severance recognized for the 2018 Projects, most of which will be paid in future periods.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used by investing activities during the three months ended March 31, 2018 was $810.6 million higher compared with the same period in 2017. This increased use of cash was primarily related to our acquisition of SSNI.</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during the three months ended March 31, 2018 was $501.8 million, compared with a net use of cash of $2.3 million for the same period in 2017. The increase in cash provided by financing activities was primarily caused by $555.9 million of proceeds from borrowings utilized for the acquisition of SSNI. This was partially offset by a $29.6 million increased use of cash for debt repayments, and a $24.0 million increased use of cash for debt issuance costs.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three months ended March 31, 2018 was an increase of $0.6 million, compared with an increase of $2.6 million for the same period in 2017.</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(24,448)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63,257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(17,433)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(9,122)</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(41,881)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54,135</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Free cash flow decreased primarily as a result of lower cash provided by operating activities. See the cash flow discussion of operating activities above. In addition, acquisition of property, plan, and equipment increased $8.3 million during the three months ended March 31, 2018 primarily due to investments related to our </w:t>
      </w:r>
      <w:r>
        <w:rPr>
          <w:rFonts w:ascii="Arial" w:cs="Arial" w:eastAsia="Arial" w:hAnsi="Arial"/>
          <w:sz w:val="18"/>
          <w:szCs w:val="18"/>
          <w:color w:val="222222"/>
        </w:rPr>
        <w:t>strategic sourcing projects and related manufacturing and supplier transitions.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March 31, 2018 and December 31, 2017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$294.6 million at March 31, 2018, compared with $342.0 million at December 31, 2017.</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5, 2018, we entered into a credit agreement providing for committed credit facilities in the amount of $1.2 billion U.S. dollars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during the credit facility term may be repaid and reborrowed until the revolver's maturity, at which time all outstanding loans together with all accrued and unpaid interest must be repaid.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our borrowing, refer to Item 1: "Financial Statements (Unaudited), Note 6: Debt."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We have recognized $62.4 million of the acquisition and integration related expenses during the three months ended March 31, 2018, and expect to recognize an additional $30 million to $40 million of expenses in future periods, 95% of which will be cash expenses. The majority of the additional expenses are expected to be recognized over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regarding our acquisition and integration activities, refer to Item 1: "Financial Statements (Unaudited), Note 17: Business Combinations."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2018, $121.6 million was accrued for restructuring projects, of which $60.3 million is expected to be paid over the next 12 months. We also expect to recognize approximately $22 million in future restructuring costs, which will result in cash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February 23, 2017, Itron's Board of Directors authorized us to repurchase up to $50 million of our common stock over a 12-month period, beginning February 23, 2017. There were no repurchases of common stock made prior to plan termination on February 23, 2018.</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$4 million in state taxes and $16 million in local and foreign taxes during 2018. We do not expect to pay any U.S. federal taxes. For a discussion of our tax provision and unrecognized tax benefits, see Item 1: "Financial Statements (Unaudited), Note 10: Income Taxes."</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March 31, 2018, we are under examination by certain tax authorities for the 2000 to 2015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for U.S. deferred taxes related to the cash in certain foreign subsidiaries because our investment is considered permanent in duration. As of March 31, 2018, there was $58.7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2018, $9.2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Arial" w:cs="Arial" w:eastAsia="Arial" w:hAnsi="Arial"/>
          <w:sz w:val="17"/>
          <w:szCs w:val="17"/>
          <w:color w:val="222222"/>
        </w:rPr>
        <w:t>our dependence on certain key vendors and components,</w:t>
      </w:r>
      <w:r>
        <w:rPr>
          <w:rFonts w:ascii="Arial" w:cs="Arial" w:eastAsia="Arial" w:hAnsi="Arial"/>
          <w:sz w:val="17"/>
          <w:szCs w:val="17"/>
          <w:color w:val="auto"/>
        </w:rPr>
        <w:t xml:space="preserve">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2017, which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filed with the SEC on February 28, 2018, as well as "Quantitative and Qualitative Disclosures About Market Risk" within Item 3 of Part I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2017 Annual Report on Form 10-K and have not changed materially, with the exception of the adoption of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Non-GAAP net income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diluted EPS</w:t>
      </w:r>
      <w:r>
        <w:rPr>
          <w:rFonts w:ascii="Arial" w:cs="Arial" w:eastAsia="Arial" w:hAnsi="Arial"/>
          <w:sz w:val="17"/>
          <w:szCs w:val="17"/>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the transition to the Tax Cuts and Jobs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free cash flow, and operating income by segment with the most directly comparable GAAP financial measures.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ind w:left="40"/>
              <w:spacing w:after="0"/>
              <w:rPr>
                <w:sz w:val="20"/>
                <w:szCs w:val="20"/>
                <w:color w:val="auto"/>
              </w:rPr>
            </w:pPr>
            <w:r>
              <w:rPr>
                <w:rFonts w:ascii="Arial" w:cs="Arial" w:eastAsia="Arial" w:hAnsi="Arial"/>
                <w:sz w:val="16"/>
                <w:szCs w:val="16"/>
                <w:b w:val="1"/>
                <w:bCs w:val="1"/>
                <w:color w:val="auto"/>
              </w:rPr>
              <w:t>TOTAL COMPANY RECONCILIATIONS</w:t>
            </w:r>
          </w:p>
        </w:tc>
        <w:tc>
          <w:tcPr>
            <w:tcW w:w="300" w:type="dxa"/>
            <w:vAlign w:val="bottom"/>
          </w:tcPr>
          <w:p>
            <w:pPr>
              <w:spacing w:after="0"/>
              <w:rPr>
                <w:sz w:val="18"/>
                <w:szCs w:val="18"/>
                <w:color w:val="auto"/>
              </w:rPr>
            </w:pPr>
          </w:p>
        </w:tc>
        <w:tc>
          <w:tcPr>
            <w:tcW w:w="31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5"/>
              </w:rPr>
              <w:t>(in thousands, except per share data)</w:t>
            </w:r>
          </w:p>
        </w:tc>
        <w:tc>
          <w:tcPr>
            <w:tcW w:w="0" w:type="dxa"/>
            <w:vAlign w:val="bottom"/>
          </w:tcPr>
          <w:p>
            <w:pPr>
              <w:spacing w:after="0"/>
              <w:rPr>
                <w:sz w:val="1"/>
                <w:szCs w:val="1"/>
                <w:color w:val="auto"/>
              </w:rPr>
            </w:pPr>
          </w:p>
        </w:tc>
      </w:tr>
      <w:tr>
        <w:trPr>
          <w:trHeight w:val="270"/>
        </w:trPr>
        <w:tc>
          <w:tcPr>
            <w:tcW w:w="794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320,303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126,810</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(62,647)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152,051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118,876</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30,827</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17,740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62,647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38,761</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15,845</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17,740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placement fees</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87,865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70"/>
        </w:trPr>
        <w:tc>
          <w:tcPr>
            <w:tcW w:w="7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(20,835)</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w:t>
            </w: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attributable to Itron,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22,186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39,215</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(loss) attributable to Itron, Inc.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15,845</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Income tax provision (benefit)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9,047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14,378</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87,865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 and integration related expense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44"/>
        </w:trPr>
        <w:tc>
          <w:tcPr>
            <w:tcW w:w="794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39,573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45,585</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(used) by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63,257</w:t>
            </w:r>
          </w:p>
        </w:tc>
        <w:tc>
          <w:tcPr>
            <w:tcW w:w="0" w:type="dxa"/>
            <w:vAlign w:val="bottom"/>
          </w:tcPr>
          <w:p>
            <w:pPr>
              <w:spacing w:after="0"/>
              <w:rPr>
                <w:sz w:val="1"/>
                <w:szCs w:val="1"/>
                <w:color w:val="auto"/>
              </w:rPr>
            </w:pPr>
          </w:p>
        </w:tc>
      </w:tr>
      <w:tr>
        <w:trPr>
          <w:trHeight w:val="237"/>
        </w:trPr>
        <w:tc>
          <w:tcPr>
            <w:tcW w:w="7940" w:type="dxa"/>
            <w:vAlign w:val="bottom"/>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(17,433)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(9,122)</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54,135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339"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339"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SEGMENT RECONCILIATIONS</w:t>
            </w:r>
          </w:p>
        </w:tc>
        <w:tc>
          <w:tcPr>
            <w:tcW w:w="400" w:type="dxa"/>
            <w:vAlign w:val="bottom"/>
          </w:tcPr>
          <w:p>
            <w:pPr>
              <w:spacing w:after="0"/>
              <w:rPr>
                <w:sz w:val="18"/>
                <w:szCs w:val="18"/>
                <w:color w:val="auto"/>
              </w:rPr>
            </w:pPr>
          </w:p>
        </w:tc>
        <w:tc>
          <w:tcPr>
            <w:tcW w:w="31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60"/>
              <w:spacing w:after="0"/>
              <w:rPr>
                <w:sz w:val="20"/>
                <w:szCs w:val="20"/>
                <w:color w:val="auto"/>
              </w:rPr>
            </w:pPr>
            <w:r>
              <w:rPr>
                <w:rFonts w:ascii="Arial" w:cs="Arial" w:eastAsia="Arial" w:hAnsi="Arial"/>
                <w:sz w:val="16"/>
                <w:szCs w:val="16"/>
                <w:b w:val="1"/>
                <w:bCs w:val="1"/>
                <w:color w:val="auto"/>
              </w:rPr>
              <w:t>NON-GAAP OPERATING INCOME - ELECTRICITY</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17,084</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2,880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Electricity - Non-GAAP operating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19,270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GAS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Gas - 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(28,348)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21,731</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43,547</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Gas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16,323</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24,092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WATER</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Water - GAAP operating income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8,804</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Water - Non-GAAP operating income</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5,839</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10,732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NETWORKS</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Networks - GAAP operating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12,901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62,448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Networks - Non-GAAP operating loss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NON-GAAP OPERATING INCOME - CORPORATE UNALLOCATED</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unallocated - GAAP operating loss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(16,792)</w:t>
            </w:r>
          </w:p>
        </w:tc>
        <w:tc>
          <w:tcPr>
            <w:tcW w:w="0" w:type="dxa"/>
            <w:vAlign w:val="bottom"/>
          </w:tcPr>
          <w:p>
            <w:pPr>
              <w:spacing w:after="0"/>
              <w:rPr>
                <w:sz w:val="1"/>
                <w:szCs w:val="1"/>
                <w:color w:val="auto"/>
              </w:rPr>
            </w:pPr>
          </w:p>
        </w:tc>
      </w:tr>
      <w:tr>
        <w:trPr>
          <w:trHeight w:val="237"/>
        </w:trPr>
        <w:tc>
          <w:tcPr>
            <w:tcW w:w="7900" w:type="dxa"/>
            <w:vAlign w:val="bottom"/>
          </w:tcPr>
          <w:p>
            <w:pPr>
              <w:ind w:left="40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8,004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Acquisition and integration related expense (recovery)</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44"/>
        </w:trPr>
        <w:tc>
          <w:tcPr>
            <w:tcW w:w="7900" w:type="dxa"/>
            <w:vAlign w:val="bottom"/>
          </w:tcPr>
          <w:p>
            <w:pPr>
              <w:ind w:left="280"/>
              <w:spacing w:after="0"/>
              <w:rPr>
                <w:sz w:val="20"/>
                <w:szCs w:val="20"/>
                <w:color w:val="auto"/>
              </w:rPr>
            </w:pPr>
            <w:r>
              <w:rPr>
                <w:rFonts w:ascii="Arial" w:cs="Arial" w:eastAsia="Arial" w:hAnsi="Arial"/>
                <w:sz w:val="16"/>
                <w:szCs w:val="16"/>
                <w:color w:val="auto"/>
              </w:rPr>
              <w:t>Corporate unallocated - Non-GAAP operating loss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(14,232)</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March 31, 2018, our LIBOR-based debt balance was $690.0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March 31, 2018. Weighted average variable rates in the table are based on implied forward rates in the Reuters U.S. dollar yield curve as of March 31, 2018 and our estimated leverage ratio, which determines our additional interest rate margin at March 31,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Fair Value</w:t>
            </w:r>
          </w:p>
        </w:tc>
      </w:tr>
      <w:tr>
        <w:trPr>
          <w:trHeight w:val="534"/>
        </w:trPr>
        <w:tc>
          <w:tcPr>
            <w:tcW w:w="268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26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44,777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60,937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65,000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438,660</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658,796</w:t>
            </w:r>
          </w:p>
        </w:tc>
      </w:tr>
      <w:tr>
        <w:trPr>
          <w:trHeight w:val="264"/>
        </w:trPr>
        <w:tc>
          <w:tcPr>
            <w:tcW w:w="268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4.69%</w:t>
            </w:r>
          </w:p>
        </w:tc>
        <w:tc>
          <w:tcPr>
            <w:tcW w:w="3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2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157"/>
        </w:trPr>
        <w:tc>
          <w:tcPr>
            <w:tcW w:w="2680" w:type="dxa"/>
            <w:vAlign w:val="bottom"/>
          </w:tcPr>
          <w:p>
            <w:pPr>
              <w:ind w:left="620"/>
              <w:spacing w:after="0" w:line="157" w:lineRule="exact"/>
              <w:rPr>
                <w:sz w:val="20"/>
                <w:szCs w:val="20"/>
                <w:color w:val="auto"/>
              </w:rPr>
            </w:pPr>
            <w:r>
              <w:rPr>
                <w:rFonts w:ascii="Arial" w:cs="Arial" w:eastAsia="Arial" w:hAnsi="Arial"/>
                <w:sz w:val="14"/>
                <w:szCs w:val="14"/>
                <w:color w:val="auto"/>
                <w:w w:val="99"/>
              </w:rPr>
              <w:t>Principal: Multicurrency revolving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2680" w:type="dxa"/>
            <w:vAlign w:val="bottom"/>
          </w:tcPr>
          <w:p>
            <w:pPr>
              <w:ind w:left="620"/>
              <w:spacing w:after="0"/>
              <w:rPr>
                <w:sz w:val="20"/>
                <w:szCs w:val="20"/>
                <w:color w:val="auto"/>
              </w:rPr>
            </w:pPr>
            <w:r>
              <w:rPr>
                <w:rFonts w:ascii="Arial" w:cs="Arial" w:eastAsia="Arial" w:hAnsi="Arial"/>
                <w:sz w:val="14"/>
                <w:szCs w:val="14"/>
                <w:color w:val="auto"/>
              </w:rPr>
              <w:t>line of credit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95,777</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95,777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97,205</w:t>
            </w:r>
          </w:p>
        </w:tc>
      </w:tr>
      <w:tr>
        <w:trPr>
          <w:trHeight w:val="276"/>
        </w:trPr>
        <w:tc>
          <w:tcPr>
            <w:tcW w:w="26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2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57"/>
        </w:trPr>
        <w:tc>
          <w:tcPr>
            <w:tcW w:w="26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Interest rate swap on LIBOR-</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94"/>
        </w:trPr>
        <w:tc>
          <w:tcPr>
            <w:tcW w:w="26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based debt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64"/>
        </w:trPr>
        <w:tc>
          <w:tcPr>
            <w:tcW w:w="268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2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4"/>
        </w:trPr>
        <w:tc>
          <w:tcPr>
            <w:tcW w:w="268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2018, we estimate that, if market interest rates average one percentage point higher in 2018 than in the table above, our financial results in 2018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44% of total revenues for the three months ended March 31, 2018 compared with 47% for the same respective period in 2017.</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March 31, 2018, a total of 57 contracts were offsetting our exposures from the Euro, Saudi Riyal, Indian Rupee, Chinese Yuan, Indonesian Rupiah, and various other currencies, with notional amounts ranging from $93,000 to $47.5 million. Based on a sensitivity analysis as of March 31, 2018, we estimate that, if foreign currency exchange rates average ten percentage points higher in 2018 for these financial instruments, our financial results in 2018 would not be materially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2018,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as well as locations acquired through acquisitions. We will continue to upgrade our financial applications in stages, and we believe the related changes to processes and internal controls will allow us to be more efficient and further enhance our internal control over financial reporting.</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in Item 1: "Financial Statements (Unaudited), Note 1: Summary of Significant Accounting Policies" included in this Quarterly Report on Form 10-Q, we adopted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effective January 1, 2018. As a result, we have modified certain internal controls over financial reporting to address risks associated with the required revenue recognition methodology and related disclosure requirements. This includes enhancing our accounting policies and controls to address risks associated with the five-step model for recognizing revenue, including the revision of our contract review and pricing controls. We have also implemented controls associated with the allocation of revenue associated with our complex contracts with multiple performance obligations, and developed a model and review process to assist with the allocation and disclosure requirements. Our system controls were also enhanced to provide more appropriate levels of detail for use in our models and to provide the necessary information utilized in disclosures.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as disclosed in Item 1: Financial Statements (Unaudited), we acquired Silver Spring Networks Inc (SSNI) in January 2018. Prior to the acquisition, SSNI reported in their Annual Report on Form 10-K for the year ended December 31, 2016 in Part II - Item 9A - Controls and Procedures that it had identified a material weakness in internal control over financial reporting. The material weakness had not been remediated as of September 30, 2017, the date of SSNI's most recently filed Form 10-Q. Specifically, SSNI determined that the design and operation of controls related to revenue recognition were inadequate due to insufficient automated processes to address complex computations in supporting determination of revenue and insufficient qualified personnel to review such schedules. Prior to the closing of the acquisition, SSNI management developed and initiated a plan to remediate these internal control deficiencies, which included the implementation of new and revised key internal controls. As of March 31, 2018, our management has not fully assessed SSNI's internal controls over financial reporting and is currently testing new and revised internal controls for design and operating effectiveness. The Securities and Exchange Commission permits companies to exclude acquisitions from their assessment of internal control over financial reporting during the first year of an acquisition, and our management has elected to exclude SSNI from our assessment, with the exception of intangible assets and goodwill, which</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will be assessed. SSNI accounted for approximately 5% of total assets as of March 31, 2018 and approximately 14% of total revenues of the Company for the quarter ended March 31, 2018. We have performed additional analysis and procedures to enable management to conclude that we believe the condensed consolidated financial statements included in this Quarterly Report on Form 10-Q present fairly, in all material respects, our financial position, results of operations, comprehensive income (loss) and cash flows for the periods presented in conformity with U.S. GAAP.</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March 31, 2018 that materially affected, or are reasonably likely to materially affect,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material changes to risk factors during the first quarter of 2018 from those previously disclosed in Item 1A: "Risk Factors" of Part I of our Annual Report on Form 10-K for the fiscal year ended December 31, 2017, which was filed with the Securities and Exchange Commission on February 28, 2018.</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Issuer Repurchased of Equity Securities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January 1 through January 31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February 1 through February 28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1 through March 31</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Dollar Value</w:t>
            </w:r>
          </w:p>
        </w:tc>
      </w:tr>
      <w:tr>
        <w:trPr>
          <w:trHeight w:val="203"/>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of Shares that May Yet</w:t>
            </w:r>
          </w:p>
        </w:tc>
      </w:tr>
      <w:tr>
        <w:trPr>
          <w:trHeight w:val="203"/>
        </w:trPr>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w:t>
            </w:r>
          </w:p>
        </w:tc>
      </w:tr>
      <w:tr>
        <w:trPr>
          <w:trHeight w:val="243"/>
        </w:trPr>
        <w:tc>
          <w:tcPr>
            <w:tcW w:w="1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Plans or Programs</w:t>
            </w:r>
          </w:p>
        </w:tc>
      </w:tr>
      <w:tr>
        <w:trPr>
          <w:trHeight w:val="217"/>
        </w:trPr>
        <w:tc>
          <w:tcPr>
            <w:tcW w:w="1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270"/>
        </w:trPr>
        <w:tc>
          <w:tcPr>
            <w:tcW w:w="1960" w:type="dxa"/>
            <w:vAlign w:val="bottom"/>
          </w:tcPr>
          <w:p>
            <w:pPr>
              <w:jc w:val="right"/>
              <w:ind w:right="39"/>
              <w:spacing w:after="0"/>
              <w:rPr>
                <w:sz w:val="20"/>
                <w:szCs w:val="20"/>
                <w:color w:val="auto"/>
              </w:rPr>
            </w:pPr>
            <w:r>
              <w:rPr>
                <w:rFonts w:ascii="Arial" w:cs="Arial" w:eastAsia="Arial" w:hAnsi="Arial"/>
                <w:sz w:val="16"/>
                <w:szCs w:val="16"/>
                <w:color w:val="auto"/>
              </w:rPr>
              <w:t>14,148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65.67</w:t>
            </w:r>
          </w:p>
        </w:tc>
        <w:tc>
          <w:tcPr>
            <w:tcW w:w="100" w:type="dxa"/>
            <w:vAlign w:val="bottom"/>
          </w:tcPr>
          <w:p>
            <w:pPr>
              <w:spacing w:after="0"/>
              <w:rPr>
                <w:sz w:val="23"/>
                <w:szCs w:val="23"/>
                <w:color w:val="auto"/>
              </w:rPr>
            </w:pPr>
          </w:p>
        </w:tc>
        <w:tc>
          <w:tcPr>
            <w:tcW w:w="1720" w:type="dxa"/>
            <w:vAlign w:val="bottom"/>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270"/>
        </w:trPr>
        <w:tc>
          <w:tcPr>
            <w:tcW w:w="19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23"/>
                <w:szCs w:val="23"/>
                <w:color w:val="auto"/>
              </w:rPr>
            </w:pPr>
          </w:p>
        </w:tc>
        <w:tc>
          <w:tcPr>
            <w:tcW w:w="1720" w:type="dxa"/>
            <w:vAlign w:val="bottom"/>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r>
      <w:tr>
        <w:trPr>
          <w:trHeight w:val="33"/>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4"/>
        </w:trPr>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14,166</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65.67</w:t>
            </w:r>
          </w:p>
        </w:tc>
        <w:tc>
          <w:tcPr>
            <w:tcW w:w="100" w:type="dxa"/>
            <w:vAlign w:val="bottom"/>
          </w:tcPr>
          <w:p>
            <w:pPr>
              <w:spacing w:after="0"/>
              <w:rPr>
                <w:sz w:val="21"/>
                <w:szCs w:val="21"/>
                <w:color w:val="auto"/>
              </w:rPr>
            </w:pPr>
          </w:p>
        </w:tc>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-368300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-711200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400"/>
          </w:cols>
          <w:pgMar w:left="240" w:top="125" w:right="239" w:bottom="1440" w:gutter="0" w:footer="0" w:header="0"/>
          <w:type w:val="continuous"/>
        </w:sectPr>
      </w:pPr>
    </w:p>
    <w:p>
      <w:pPr>
        <w:spacing w:after="0" w:line="20" w:lineRule="exact"/>
        <w:rPr>
          <w:sz w:val="20"/>
          <w:szCs w:val="20"/>
          <w:color w:val="auto"/>
        </w:rPr>
      </w:pPr>
    </w:p>
    <w:p>
      <w:pPr>
        <w:ind w:left="340" w:right="20" w:hanging="332"/>
        <w:spacing w:after="0" w:line="215"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Shares repurchased represent shares transferred to us by certain employees in our Networks segment who vested in restricted stock units and used shares to pay all, or a portion of, the related taxes.</w:t>
      </w:r>
    </w:p>
    <w:p>
      <w:pPr>
        <w:spacing w:after="0" w:line="33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2018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9"/>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927"/>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7"/>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jc w:val="center"/>
              <w:ind w:left="70"/>
              <w:spacing w:after="0"/>
              <w:rPr>
                <w:sz w:val="20"/>
                <w:szCs w:val="20"/>
                <w:color w:val="auto"/>
              </w:rPr>
            </w:pPr>
            <w:r>
              <w:rPr>
                <w:rFonts w:ascii="Arial" w:cs="Arial" w:eastAsia="Arial" w:hAnsi="Arial"/>
                <w:sz w:val="18"/>
                <w:szCs w:val="18"/>
                <w:color w:val="auto"/>
                <w:w w:val="87"/>
              </w:rPr>
              <w:t>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tcBorders>
              <w:bottom w:val="single" w:sz="8" w:color="0000FF"/>
            </w:tcBorders>
            <w:gridSpan w:val="6"/>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Second Amended and Restated Credit Agreement dated January 5, 2018 among Itron, Inc. and a syndicate of banks led by Wells Fargo</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gridSpan w:val="7"/>
          </w:tcPr>
          <w:p>
            <w:pPr>
              <w:spacing w:after="0" w:line="19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Bank, National Association, JPMorgan Chase Bank, N.A., J.P. Morgan Europe Limited, J.P. Morgan Securities PLC, BNP Paribas, and</w:t>
              </w:r>
            </w:hyperlink>
          </w:p>
        </w:tc>
      </w:tr>
      <w:tr>
        <w:trPr>
          <w:trHeight w:val="196"/>
        </w:trPr>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Silicon Valley Bank (Filed as Exhibit 4.1 to Itron, Inc.'s Current Report on Form 8-K, filed on January 11, 2018)</w:t>
              </w:r>
            </w:hyperlink>
          </w:p>
        </w:tc>
        <w:tc>
          <w:tcPr>
            <w:tcW w:w="40" w:type="dxa"/>
            <w:vAlign w:val="bottom"/>
            <w:gridSpan w:val="2"/>
          </w:tcPr>
          <w:p>
            <w:pPr>
              <w:spacing w:after="0"/>
              <w:rPr>
                <w:sz w:val="17"/>
                <w:szCs w:val="17"/>
                <w:color w:val="auto"/>
              </w:rPr>
            </w:pPr>
          </w:p>
        </w:tc>
      </w:tr>
      <w:tr>
        <w:trPr>
          <w:trHeight w:val="547"/>
        </w:trPr>
        <w:tc>
          <w:tcPr>
            <w:tcW w:w="1260" w:type="dxa"/>
            <w:vAlign w:val="bottom"/>
          </w:tcPr>
          <w:p>
            <w:pPr>
              <w:jc w:val="center"/>
              <w:ind w:left="50"/>
              <w:spacing w:after="0"/>
              <w:rPr>
                <w:sz w:val="20"/>
                <w:szCs w:val="20"/>
                <w:color w:val="auto"/>
              </w:rPr>
            </w:pPr>
            <w:r>
              <w:rPr>
                <w:rFonts w:ascii="Arial" w:cs="Arial" w:eastAsia="Arial" w:hAnsi="Arial"/>
                <w:sz w:val="18"/>
                <w:szCs w:val="18"/>
                <w:color w:val="auto"/>
                <w:w w:val="91"/>
              </w:rPr>
              <w:t>12.1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Computation of Ratio of Earnings to Fixed Charges. (filed with this report)</w:t>
              </w:r>
            </w:hyperlink>
          </w:p>
        </w:tc>
        <w:tc>
          <w:tcPr>
            <w:tcW w:w="2680" w:type="dxa"/>
            <w:vAlign w:val="bottom"/>
            <w:tcBorders>
              <w:top w:val="single" w:sz="8" w:color="0000FF"/>
            </w:tcBorders>
          </w:tcPr>
          <w:p>
            <w:pPr>
              <w:spacing w:after="0"/>
              <w:rPr>
                <w:sz w:val="24"/>
                <w:szCs w:val="24"/>
                <w:color w:val="auto"/>
              </w:rPr>
            </w:pPr>
          </w:p>
        </w:tc>
        <w:tc>
          <w:tcPr>
            <w:tcW w:w="1920" w:type="dxa"/>
            <w:vAlign w:val="bottom"/>
            <w:gridSpan w:val="3"/>
          </w:tcPr>
          <w:p>
            <w:pPr>
              <w:spacing w:after="0"/>
              <w:rPr>
                <w:sz w:val="24"/>
                <w:szCs w:val="24"/>
                <w:color w:val="auto"/>
              </w:rPr>
            </w:pPr>
          </w:p>
        </w:tc>
      </w:tr>
      <w:tr>
        <w:trPr>
          <w:trHeight w:val="547"/>
        </w:trPr>
        <w:tc>
          <w:tcPr>
            <w:tcW w:w="1260" w:type="dxa"/>
            <w:vAlign w:val="bottom"/>
          </w:tcPr>
          <w:p>
            <w:pPr>
              <w:jc w:val="center"/>
              <w:ind w:left="50"/>
              <w:spacing w:after="0"/>
              <w:rPr>
                <w:sz w:val="20"/>
                <w:szCs w:val="20"/>
                <w:color w:val="auto"/>
              </w:rPr>
            </w:pPr>
            <w:r>
              <w:rPr>
                <w:rFonts w:ascii="Arial" w:cs="Arial" w:eastAsia="Arial" w:hAnsi="Arial"/>
                <w:sz w:val="18"/>
                <w:szCs w:val="18"/>
                <w:color w:val="auto"/>
                <w:w w:val="91"/>
              </w:rPr>
              <w:t>31.1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Pursuant to Section 302 of the Sarbanes-Oxley Act of 2002.</w:t>
              </w:r>
            </w:hyperlink>
          </w:p>
        </w:tc>
        <w:tc>
          <w:tcPr>
            <w:tcW w:w="4720" w:type="dxa"/>
            <w:vAlign w:val="bottom"/>
            <w:gridSpan w:val="5"/>
          </w:tcPr>
          <w:p>
            <w:pPr>
              <w:spacing w:after="0"/>
              <w:rPr>
                <w:sz w:val="24"/>
                <w:szCs w:val="24"/>
                <w:color w:val="auto"/>
              </w:rPr>
            </w:pPr>
          </w:p>
        </w:tc>
      </w:tr>
      <w:tr>
        <w:trPr>
          <w:trHeight w:val="574"/>
        </w:trPr>
        <w:tc>
          <w:tcPr>
            <w:tcW w:w="1260" w:type="dxa"/>
            <w:vAlign w:val="bottom"/>
          </w:tcPr>
          <w:p>
            <w:pPr>
              <w:jc w:val="center"/>
              <w:ind w:left="50"/>
              <w:spacing w:after="0"/>
              <w:rPr>
                <w:sz w:val="20"/>
                <w:szCs w:val="20"/>
                <w:color w:val="auto"/>
              </w:rPr>
            </w:pPr>
            <w:r>
              <w:rPr>
                <w:rFonts w:ascii="Arial" w:cs="Arial" w:eastAsia="Arial" w:hAnsi="Arial"/>
                <w:sz w:val="18"/>
                <w:szCs w:val="18"/>
                <w:color w:val="auto"/>
                <w:w w:val="91"/>
              </w:rPr>
              <w:t>31.2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Pursuant to Section 302 of the Sarbanes-Oxley Act of 2002.</w:t>
              </w:r>
            </w:hyperlink>
          </w:p>
        </w:tc>
        <w:tc>
          <w:tcPr>
            <w:tcW w:w="4720" w:type="dxa"/>
            <w:vAlign w:val="bottom"/>
            <w:gridSpan w:val="5"/>
          </w:tcPr>
          <w:p>
            <w:pPr>
              <w:spacing w:after="0"/>
              <w:rPr>
                <w:sz w:val="24"/>
                <w:szCs w:val="24"/>
                <w:color w:val="auto"/>
              </w:rPr>
            </w:pPr>
          </w:p>
        </w:tc>
      </w:tr>
      <w:tr>
        <w:trPr>
          <w:trHeight w:val="574"/>
        </w:trPr>
        <w:tc>
          <w:tcPr>
            <w:tcW w:w="1260" w:type="dxa"/>
            <w:vAlign w:val="bottom"/>
          </w:tcPr>
          <w:p>
            <w:pPr>
              <w:jc w:val="center"/>
              <w:ind w:left="50"/>
              <w:spacing w:after="0"/>
              <w:rPr>
                <w:sz w:val="20"/>
                <w:szCs w:val="20"/>
                <w:color w:val="auto"/>
              </w:rPr>
            </w:pPr>
            <w:r>
              <w:rPr>
                <w:rFonts w:ascii="Arial" w:cs="Arial" w:eastAsia="Arial" w:hAnsi="Arial"/>
                <w:sz w:val="18"/>
                <w:szCs w:val="18"/>
                <w:color w:val="auto"/>
                <w:w w:val="91"/>
              </w:rPr>
              <w:t>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7"/>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Pursuant to Section 906 of the Sarbanes-Oxley Act of 2002.</w:t>
              </w:r>
            </w:hyperlink>
          </w:p>
        </w:tc>
      </w:tr>
      <w:tr>
        <w:trPr>
          <w:trHeight w:val="615"/>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4740" w:type="dxa"/>
            <w:vAlign w:val="bottom"/>
            <w:gridSpan w:val="6"/>
          </w:tcPr>
          <w:p>
            <w:pPr>
              <w:spacing w:after="0"/>
              <w:rPr>
                <w:sz w:val="24"/>
                <w:szCs w:val="24"/>
                <w:color w:val="auto"/>
              </w:rPr>
            </w:pP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101.SCH</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783"/>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3"/>
          </w:tcPr>
          <w:p>
            <w:pPr>
              <w:jc w:val="right"/>
              <w:ind w:right="79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1"/>
              </w:rPr>
              <w:t>May 14, 2018</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676"/>
        </w:trPr>
        <w:tc>
          <w:tcPr>
            <w:tcW w:w="3040" w:type="dxa"/>
            <w:vAlign w:val="bottom"/>
          </w:tcPr>
          <w:p>
            <w:pPr>
              <w:spacing w:after="0"/>
              <w:rPr>
                <w:sz w:val="24"/>
                <w:szCs w:val="24"/>
                <w:color w:val="auto"/>
              </w:rPr>
            </w:pPr>
          </w:p>
        </w:tc>
        <w:tc>
          <w:tcPr>
            <w:tcW w:w="5780" w:type="dxa"/>
            <w:vAlign w:val="bottom"/>
            <w:gridSpan w:val="13"/>
          </w:tcPr>
          <w:p>
            <w:pPr>
              <w:ind w:left="16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Three Months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6"/>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2018</w:t>
            </w: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ind w:left="6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(156,458)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0" w:type="dxa"/>
            <w:vAlign w:val="bottom"/>
          </w:tcPr>
          <w:p>
            <w:pPr>
              <w:spacing w:after="0"/>
              <w:rPr>
                <w:sz w:val="1"/>
                <w:szCs w:val="1"/>
                <w:color w:val="auto"/>
              </w:rPr>
            </w:pPr>
          </w:p>
        </w:tc>
      </w:tr>
      <w:tr>
        <w:trPr>
          <w:trHeight w:val="220"/>
        </w:trPr>
        <w:tc>
          <w:tcPr>
            <w:tcW w:w="3040" w:type="dxa"/>
            <w:vAlign w:val="bottom"/>
          </w:tcPr>
          <w:p>
            <w:pPr>
              <w:ind w:left="180"/>
              <w:spacing w:after="0"/>
              <w:rPr>
                <w:sz w:val="20"/>
                <w:szCs w:val="20"/>
                <w:color w:val="auto"/>
              </w:rPr>
            </w:pPr>
            <w:r>
              <w:rPr>
                <w:rFonts w:ascii="Arial" w:cs="Arial" w:eastAsia="Arial" w:hAnsi="Arial"/>
                <w:sz w:val="16"/>
                <w:szCs w:val="16"/>
                <w:color w:val="auto"/>
              </w:rPr>
              <w:t>Add: dividends received from equity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180"/>
              <w:spacing w:after="0"/>
              <w:rPr>
                <w:sz w:val="20"/>
                <w:szCs w:val="20"/>
                <w:color w:val="auto"/>
              </w:rPr>
            </w:pPr>
            <w:r>
              <w:rPr>
                <w:rFonts w:ascii="Arial" w:cs="Arial" w:eastAsia="Arial" w:hAnsi="Arial"/>
                <w:sz w:val="16"/>
                <w:szCs w:val="16"/>
                <w:color w:val="auto"/>
              </w:rPr>
              <w:t>investees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37"/>
        </w:trPr>
        <w:tc>
          <w:tcPr>
            <w:tcW w:w="3040" w:type="dxa"/>
            <w:vAlign w:val="bottom"/>
          </w:tcPr>
          <w:p>
            <w:pPr>
              <w:ind w:left="180"/>
              <w:spacing w:after="0"/>
              <w:rPr>
                <w:sz w:val="20"/>
                <w:szCs w:val="20"/>
                <w:color w:val="auto"/>
              </w:rPr>
            </w:pPr>
            <w:r>
              <w:rPr>
                <w:rFonts w:ascii="Arial" w:cs="Arial" w:eastAsia="Arial" w:hAnsi="Arial"/>
                <w:sz w:val="16"/>
                <w:szCs w:val="16"/>
                <w:color w:val="auto"/>
                <w:w w:val="96"/>
              </w:rPr>
              <w:t>Less: income (loss) from equity investees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(156,646)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131,801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15,504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14,669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14,041</w:t>
            </w: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6,651</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20,692</w:t>
            </w:r>
          </w:p>
        </w:tc>
        <w:tc>
          <w:tcPr>
            <w:tcW w:w="0" w:type="dxa"/>
            <w:vAlign w:val="bottom"/>
          </w:tcPr>
          <w:p>
            <w:pPr>
              <w:spacing w:after="0"/>
              <w:rPr>
                <w:sz w:val="1"/>
                <w:szCs w:val="1"/>
                <w:color w:val="auto"/>
              </w:rPr>
            </w:pPr>
          </w:p>
        </w:tc>
      </w:tr>
      <w:tr>
        <w:trPr>
          <w:trHeight w:val="264"/>
        </w:trPr>
        <w:tc>
          <w:tcPr>
            <w:tcW w:w="3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150,742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99,765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(156,646)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(19,224)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(155,866)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2018</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2018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14, 2018</w:t>
      </w:r>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May 14, 2018</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69" Type="http://schemas.openxmlformats.org/officeDocument/2006/relationships/hyperlink" Target="http://www.sec.gov/Archives/edgar/data/780571/000078057118000004/ex41second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2019-12-28T21:40:39Z</dcterms:created>
  <dcterms:modified xsi:type="dcterms:W3CDTF">2019-12-28T21:40:39Z</dcterms:modified>
</cp:coreProperties>
</file>