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w:t>
      </w:r>
    </w:p>
    <w:p>
      <w:pPr>
        <w:jc w:val="center"/>
        <w:ind w:right="-1200"/>
        <w:spacing w:after="0" w:line="238" w:lineRule="auto"/>
        <w:rPr>
          <w:sz w:val="20"/>
          <w:szCs w:val="20"/>
          <w:color w:val="auto"/>
        </w:rPr>
      </w:pPr>
      <w:r>
        <w:rPr>
          <w:rFonts w:ascii="Arial" w:cs="Arial" w:eastAsia="Arial" w:hAnsi="Arial"/>
          <w:sz w:val="32"/>
          <w:szCs w:val="32"/>
          <w:b w:val="1"/>
          <w:bCs w:val="1"/>
          <w:color w:val="auto"/>
        </w:rPr>
        <w:t>COMMISSION</w:t>
      </w:r>
    </w:p>
    <w:p>
      <w:pPr>
        <w:spacing w:after="0" w:line="1"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26" w:lineRule="exact"/>
        <w:rPr>
          <w:sz w:val="24"/>
          <w:szCs w:val="24"/>
          <w:color w:val="auto"/>
        </w:rPr>
      </w:pPr>
    </w:p>
    <w:p>
      <w:pPr>
        <w:ind w:left="4140" w:right="1719" w:hanging="4132"/>
        <w:spacing w:after="0" w:line="441" w:lineRule="auto"/>
        <w:tabs>
          <w:tab w:leader="none" w:pos="45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15(d) OF THE SECURITIES EXCHANGE ACT OF 1934 </w:t>
      </w:r>
      <w:r>
        <w:rPr>
          <w:rFonts w:ascii="Arial" w:cs="Arial" w:eastAsia="Arial" w:hAnsi="Arial"/>
          <w:sz w:val="18"/>
          <w:szCs w:val="18"/>
          <w:color w:val="auto"/>
        </w:rPr>
        <w:t>For the fiscal year ended December 31, 2005</w:t>
      </w:r>
    </w:p>
    <w:p>
      <w:pPr>
        <w:spacing w:after="0" w:line="1" w:lineRule="exact"/>
        <w:rPr>
          <w:rFonts w:ascii="MS PGothic" w:cs="MS PGothic" w:eastAsia="MS PGothic" w:hAnsi="MS PGothic"/>
          <w:sz w:val="18"/>
          <w:szCs w:val="18"/>
          <w:color w:val="auto"/>
          <w:highlight w:val="black"/>
        </w:rPr>
      </w:pPr>
    </w:p>
    <w:p>
      <w:pPr>
        <w:ind w:left="56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15(d) OF THE SECURITIES EXCHANGE ACT OF 1934</w:t>
      </w:r>
    </w:p>
    <w:p>
      <w:pPr>
        <w:spacing w:after="0" w:line="177" w:lineRule="exact"/>
        <w:rPr>
          <w:sz w:val="24"/>
          <w:szCs w:val="24"/>
          <w:color w:val="auto"/>
        </w:rPr>
      </w:pPr>
    </w:p>
    <w:p>
      <w:pPr>
        <w:ind w:left="366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3676015</wp:posOffset>
            </wp:positionH>
            <wp:positionV relativeFrom="paragraph">
              <wp:posOffset>-13970</wp:posOffset>
            </wp:positionV>
            <wp:extent cx="1257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5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0-22418</w:t>
      </w:r>
    </w:p>
    <w:p>
      <w:pPr>
        <w:spacing w:after="0" w:line="136"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ITRON, INC. INCENTIVE SAVINGS PLAN</w:t>
      </w:r>
    </w:p>
    <w:p>
      <w:pPr>
        <w:spacing w:after="0" w:line="49"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(Full title of the plan and address of the plan, if different from that of the issuer named below)</w:t>
      </w:r>
    </w:p>
    <w:p>
      <w:pPr>
        <w:spacing w:after="0" w:line="106"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ITRON, INC.</w:t>
      </w:r>
    </w:p>
    <w:p>
      <w:pPr>
        <w:spacing w:after="0" w:line="19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2818 North Sullivan Road</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Spokane Valley, Washington 99216-1897</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ind w:left="2660"/>
        <w:spacing w:after="0"/>
        <w:rPr>
          <w:sz w:val="20"/>
          <w:szCs w:val="20"/>
          <w:color w:val="auto"/>
        </w:rPr>
      </w:pPr>
      <w:r>
        <w:rPr>
          <w:rFonts w:ascii="Arial" w:cs="Arial" w:eastAsia="Arial" w:hAnsi="Arial"/>
          <w:sz w:val="14"/>
          <w:szCs w:val="14"/>
          <w:b w:val="1"/>
          <w:bCs w:val="1"/>
          <w:color w:val="auto"/>
        </w:rPr>
        <w:t>(Name of issuer of the securities held pursuant to the plan and the address of its principal executive office)</w:t>
      </w:r>
    </w:p>
    <w:p>
      <w:pPr>
        <w:sectPr>
          <w:pgSz w:w="11900" w:h="16838" w:orient="portrait"/>
          <w:cols w:equalWidth="0" w:num="1">
            <w:col w:w="10219"/>
          </w:cols>
          <w:pgMar w:left="240" w:top="230"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ITRON, INC. INCENTIVE SAVINGS PLAN</w:t>
      </w:r>
    </w:p>
    <w:p>
      <w:pPr>
        <w:spacing w:after="0" w:line="37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FINANCIAL STATEMENTS AND SUPPLEMENTAL SCHEDULES</w:t>
      </w:r>
    </w:p>
    <w:p>
      <w:pPr>
        <w:spacing w:after="0" w:line="37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DECEMBER 31, 2005 AND 2004</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80" w:type="dxa"/>
            <w:vAlign w:val="bottom"/>
            <w:gridSpan w:val="3"/>
          </w:tcPr>
          <w:p>
            <w:pPr>
              <w:ind w:left="4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19"/>
                <w:szCs w:val="19"/>
                <w:color w:val="auto"/>
              </w:rPr>
            </w:pPr>
          </w:p>
        </w:tc>
      </w:tr>
      <w:tr>
        <w:trPr>
          <w:trHeight w:val="380"/>
        </w:trPr>
        <w:tc>
          <w:tcPr>
            <w:tcW w:w="892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51"/>
        </w:trPr>
        <w:tc>
          <w:tcPr>
            <w:tcW w:w="56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32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314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Statement of net assets available for benefits</w:t>
              </w:r>
            </w:hyperlink>
          </w:p>
        </w:tc>
        <w:tc>
          <w:tcPr>
            <w:tcW w:w="5340" w:type="dxa"/>
            <w:vAlign w:val="bottom"/>
            <w:gridSpan w:val="5"/>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440" w:type="dxa"/>
            <w:vAlign w:val="bottom"/>
          </w:tcPr>
          <w:p>
            <w:pPr>
              <w:spacing w:after="0"/>
              <w:rPr>
                <w:sz w:val="24"/>
                <w:szCs w:val="24"/>
                <w:color w:val="auto"/>
              </w:rPr>
            </w:pPr>
          </w:p>
        </w:tc>
        <w:tc>
          <w:tcPr>
            <w:tcW w:w="848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204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financial statements</w:t>
              </w:r>
            </w:hyperlink>
          </w:p>
        </w:tc>
        <w:tc>
          <w:tcPr>
            <w:tcW w:w="1880" w:type="dxa"/>
            <w:vAlign w:val="bottom"/>
            <w:tcBorders>
              <w:top w:val="single" w:sz="8" w:color="0000EE"/>
            </w:tcBorders>
            <w:gridSpan w:val="2"/>
          </w:tcPr>
          <w:p>
            <w:pPr>
              <w:spacing w:after="0"/>
              <w:rPr>
                <w:sz w:val="24"/>
                <w:szCs w:val="24"/>
                <w:color w:val="auto"/>
              </w:rPr>
            </w:pPr>
          </w:p>
        </w:tc>
        <w:tc>
          <w:tcPr>
            <w:tcW w:w="4560" w:type="dxa"/>
            <w:vAlign w:val="bottom"/>
            <w:gridSpan w:val="4"/>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51"/>
        </w:trPr>
        <w:tc>
          <w:tcPr>
            <w:tcW w:w="8920" w:type="dxa"/>
            <w:vAlign w:val="bottom"/>
            <w:gridSpan w:val="8"/>
          </w:tcPr>
          <w:p>
            <w:pPr>
              <w:spacing w:after="0"/>
              <w:rPr>
                <w:sz w:val="20"/>
                <w:szCs w:val="20"/>
                <w:color w:val="auto"/>
              </w:rPr>
            </w:pPr>
            <w:r>
              <w:rPr>
                <w:rFonts w:ascii="Arial" w:cs="Arial" w:eastAsia="Arial" w:hAnsi="Arial"/>
                <w:sz w:val="18"/>
                <w:szCs w:val="18"/>
                <w:color w:val="auto"/>
              </w:rPr>
              <w:t>SUPPLEMENTAL SCHEDULES</w:t>
            </w:r>
          </w:p>
        </w:tc>
        <w:tc>
          <w:tcPr>
            <w:tcW w:w="250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49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Schedule H, Line 4a - Schedule of delinquent Participant contributions</w:t>
              </w:r>
            </w:hyperlink>
          </w:p>
        </w:tc>
        <w:tc>
          <w:tcPr>
            <w:tcW w:w="3500" w:type="dxa"/>
            <w:vAlign w:val="bottom"/>
            <w:gridSpan w:val="2"/>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440" w:type="dxa"/>
            <w:vAlign w:val="bottom"/>
          </w:tcPr>
          <w:p>
            <w:pPr>
              <w:spacing w:after="0"/>
              <w:rPr>
                <w:sz w:val="24"/>
                <w:szCs w:val="24"/>
                <w:color w:val="auto"/>
              </w:rPr>
            </w:pPr>
          </w:p>
        </w:tc>
        <w:tc>
          <w:tcPr>
            <w:tcW w:w="8480" w:type="dxa"/>
            <w:vAlign w:val="bottom"/>
            <w:gridSpan w:val="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Schedule H, Line 4i - Schedule of assets (held at end of year)</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Itron, Inc. Incentive Savings Plan Administrative Committee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audited the accompanying statement of net assets available for benefits of Itron, Inc. Incentive Savings Plan as of December 31, 2005 and 2004, and the related statement of changes in net assets available for benefits for the year ended December 31, 2005. These financial statements are the responsibility of the Plan’s management. Our responsibility is to express an opinion on these financial statements based on our audits.</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Itron, Inc. Incentive Savings Plan as of December 31, 2005 and 2004, and the changes in net assets available for benefits for the year ended December 31, 2005, in conformity with accounting principles generally accepted in the United States of America.</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audits were performed for the purpose of forming an opinion on the basic financial statements taken as a whole. The supplemental schedule of delinquent participant contributions and the schedule of assets held at end of year are presented for purposes of additional analysis, and are not a required part of the basic financial statements but is supplementary information required by the Department of Labor’s Rules and Regulations for Reporting and Disclosure under the Employee Retirement Income Security Act of 1974. The supplemental schedules have been subjected to the auditing procedures applied in the audit of the basic financial statements and, in our opinion, are fairly stated, in all material respects, in relation to the basic financial statements taken as a whole.</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Moss Adams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Spokane, Washington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22, 2006</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 INCENTIVE SAVINGS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NET ASSETS AVAILABLE FOR BENEFITS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At fair market value</w:t>
            </w:r>
          </w:p>
        </w:tc>
        <w:tc>
          <w:tcPr>
            <w:tcW w:w="4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640"/>
              <w:spacing w:after="0"/>
              <w:rPr>
                <w:sz w:val="20"/>
                <w:szCs w:val="20"/>
                <w:color w:val="auto"/>
              </w:rPr>
            </w:pPr>
            <w:r>
              <w:rPr>
                <w:rFonts w:ascii="Arial" w:cs="Arial" w:eastAsia="Arial" w:hAnsi="Arial"/>
                <w:sz w:val="18"/>
                <w:szCs w:val="18"/>
                <w:color w:val="auto"/>
              </w:rPr>
              <w:t>Registered investment company funds</w:t>
            </w:r>
          </w:p>
        </w:tc>
        <w:tc>
          <w:tcPr>
            <w:tcW w:w="4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67,262,714</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33,066,250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Pooled separate accounts</w:t>
            </w:r>
          </w:p>
        </w:tc>
        <w:tc>
          <w:tcPr>
            <w:tcW w:w="4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18,815,264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10,836,917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640"/>
              <w:spacing w:after="0"/>
              <w:rPr>
                <w:sz w:val="20"/>
                <w:szCs w:val="20"/>
                <w:color w:val="auto"/>
              </w:rPr>
            </w:pPr>
            <w:r>
              <w:rPr>
                <w:rFonts w:ascii="Arial" w:cs="Arial" w:eastAsia="Arial" w:hAnsi="Arial"/>
                <w:sz w:val="18"/>
                <w:szCs w:val="18"/>
                <w:color w:val="auto"/>
              </w:rPr>
              <w:t>Common/collective trust funds</w:t>
            </w: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14,246,737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11,331,643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 funds</w:t>
            </w:r>
          </w:p>
        </w:tc>
        <w:tc>
          <w:tcPr>
            <w:tcW w:w="4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8,666,129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640"/>
              <w:spacing w:after="0"/>
              <w:rPr>
                <w:sz w:val="20"/>
                <w:szCs w:val="20"/>
                <w:color w:val="auto"/>
              </w:rPr>
            </w:pPr>
            <w:r>
              <w:rPr>
                <w:rFonts w:ascii="Arial" w:cs="Arial" w:eastAsia="Arial" w:hAnsi="Arial"/>
                <w:sz w:val="18"/>
                <w:szCs w:val="18"/>
                <w:color w:val="auto"/>
              </w:rPr>
              <w:t>Individually directed accounts</w:t>
            </w: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926,681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471,102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Participant loans</w:t>
            </w:r>
          </w:p>
        </w:tc>
        <w:tc>
          <w:tcPr>
            <w:tcW w:w="4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2,170,433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60" w:type="dxa"/>
            <w:vAlign w:val="bottom"/>
          </w:tcPr>
          <w:p>
            <w:pPr>
              <w:ind w:left="640"/>
              <w:spacing w:after="0"/>
              <w:rPr>
                <w:sz w:val="20"/>
                <w:szCs w:val="20"/>
                <w:color w:val="auto"/>
              </w:rPr>
            </w:pPr>
            <w:r>
              <w:rPr>
                <w:rFonts w:ascii="Arial" w:cs="Arial" w:eastAsia="Arial" w:hAnsi="Arial"/>
                <w:sz w:val="18"/>
                <w:szCs w:val="18"/>
                <w:color w:val="auto"/>
              </w:rPr>
              <w:t>Total investments</w:t>
            </w:r>
          </w:p>
        </w:tc>
        <w:tc>
          <w:tcPr>
            <w:tcW w:w="4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112,087,958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62,869,237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w:t>
            </w:r>
          </w:p>
        </w:tc>
        <w:tc>
          <w:tcPr>
            <w:tcW w:w="4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640"/>
              <w:spacing w:after="0"/>
              <w:rPr>
                <w:sz w:val="20"/>
                <w:szCs w:val="20"/>
                <w:color w:val="auto"/>
              </w:rPr>
            </w:pPr>
            <w:r>
              <w:rPr>
                <w:rFonts w:ascii="Arial" w:cs="Arial" w:eastAsia="Arial" w:hAnsi="Arial"/>
                <w:sz w:val="18"/>
                <w:szCs w:val="18"/>
                <w:color w:val="auto"/>
              </w:rPr>
              <w:t>Participants’ contributions</w:t>
            </w: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221,682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Employer contributions</w:t>
            </w:r>
          </w:p>
        </w:tc>
        <w:tc>
          <w:tcPr>
            <w:tcW w:w="4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520,853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112,830,493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63,460,389</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640"/>
              <w:spacing w:after="0"/>
              <w:rPr>
                <w:sz w:val="20"/>
                <w:szCs w:val="20"/>
                <w:color w:val="auto"/>
              </w:rPr>
            </w:pPr>
            <w:r>
              <w:rPr>
                <w:rFonts w:ascii="Arial" w:cs="Arial" w:eastAsia="Arial" w:hAnsi="Arial"/>
                <w:sz w:val="18"/>
                <w:szCs w:val="18"/>
                <w:color w:val="auto"/>
              </w:rPr>
              <w:t>Refundable Participant contributions</w:t>
            </w:r>
          </w:p>
        </w:tc>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(298,029)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Refundable Employer contributions</w:t>
            </w:r>
          </w:p>
        </w:tc>
        <w:tc>
          <w:tcPr>
            <w:tcW w:w="4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w:t>
            </w:r>
          </w:p>
        </w:tc>
        <w:tc>
          <w:tcPr>
            <w:tcW w:w="4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80" w:type="dxa"/>
            <w:vAlign w:val="bottom"/>
            <w:gridSpan w:val="2"/>
            <w:vMerge w:val="continue"/>
          </w:tcPr>
          <w:p>
            <w:pPr>
              <w:spacing w:after="0"/>
              <w:rPr>
                <w:sz w:val="19"/>
                <w:szCs w:val="19"/>
                <w:color w:val="auto"/>
              </w:rPr>
            </w:pPr>
          </w:p>
        </w:tc>
        <w:tc>
          <w:tcPr>
            <w:tcW w:w="4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(315,101)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ASSETS AVAILABLE FOR BENEFITS</w:t>
            </w:r>
          </w:p>
        </w:tc>
        <w:tc>
          <w:tcPr>
            <w:tcW w:w="4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112,515,392</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63,460,389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500" w:type="dxa"/>
            <w:vAlign w:val="bottom"/>
            <w:gridSpan w:val="2"/>
          </w:tcPr>
          <w:p>
            <w:pPr>
              <w:jc w:val="center"/>
              <w:ind w:right="1752"/>
              <w:spacing w:after="0"/>
              <w:rPr>
                <w:sz w:val="20"/>
                <w:szCs w:val="20"/>
                <w:color w:val="auto"/>
              </w:rPr>
            </w:pPr>
            <w:r>
              <w:rPr>
                <w:rFonts w:ascii="Arial" w:cs="Arial" w:eastAsia="Arial" w:hAnsi="Arial"/>
                <w:sz w:val="18"/>
                <w:szCs w:val="18"/>
                <w:i w:val="1"/>
                <w:iCs w:val="1"/>
                <w:color w:val="auto"/>
                <w:w w:val="85"/>
              </w:rPr>
              <w:t>See accompanying notes.</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280" w:type="dxa"/>
            <w:vAlign w:val="bottom"/>
          </w:tcPr>
          <w:p>
            <w:pPr>
              <w:jc w:val="right"/>
              <w:ind w:right="2812"/>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990"/>
        <w:spacing w:after="0"/>
        <w:rPr>
          <w:sz w:val="20"/>
          <w:szCs w:val="20"/>
          <w:color w:val="auto"/>
        </w:rPr>
      </w:pPr>
      <w:r>
        <w:rPr>
          <w:rFonts w:ascii="Arial" w:cs="Arial" w:eastAsia="Arial" w:hAnsi="Arial"/>
          <w:sz w:val="18"/>
          <w:szCs w:val="18"/>
          <w:b w:val="1"/>
          <w:bCs w:val="1"/>
          <w:color w:val="auto"/>
        </w:rPr>
        <w:t>ITRON, INC. INCENTIVE SAVINGS PLAN</w:t>
      </w:r>
    </w:p>
    <w:p>
      <w:pPr>
        <w:spacing w:after="0" w:line="21" w:lineRule="exact"/>
        <w:rPr>
          <w:sz w:val="20"/>
          <w:szCs w:val="20"/>
          <w:color w:val="auto"/>
        </w:rPr>
      </w:pPr>
    </w:p>
    <w:p>
      <w:pPr>
        <w:jc w:val="center"/>
        <w:ind w:left="1990"/>
        <w:spacing w:after="0"/>
        <w:rPr>
          <w:sz w:val="20"/>
          <w:szCs w:val="20"/>
          <w:color w:val="auto"/>
        </w:rPr>
      </w:pPr>
      <w:r>
        <w:rPr>
          <w:rFonts w:ascii="Arial" w:cs="Arial" w:eastAsia="Arial" w:hAnsi="Arial"/>
          <w:sz w:val="16"/>
          <w:szCs w:val="16"/>
          <w:b w:val="1"/>
          <w:bCs w:val="1"/>
          <w:color w:val="auto"/>
        </w:rPr>
        <w:t>STATEMENT OF CHANGES IN NET ASSETS AVAILABLE FOR BENEFITS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ADDITIONS TO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Investment income: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appreciation in fair value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Registered investment company funds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Common/collective trust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Stock funds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Individually directed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Participants’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Rollovers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Transfer in from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DEDUCTIONS FROM NET ASSETS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Benefits paid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Administrative expenses</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INCREASE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Beginning of year</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78" w:lineRule="exact"/>
        <w:rPr>
          <w:sz w:val="20"/>
          <w:szCs w:val="20"/>
          <w:color w:val="auto"/>
        </w:rPr>
      </w:pPr>
    </w:p>
    <w:p>
      <w:pPr>
        <w:jc w:val="center"/>
        <w:ind w:left="199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ind w:left="199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Year Ended</w:t>
      </w:r>
    </w:p>
    <w:p>
      <w:pPr>
        <w:spacing w:after="0" w:line="2" w:lineRule="exact"/>
        <w:rPr>
          <w:sz w:val="20"/>
          <w:szCs w:val="20"/>
          <w:color w:val="auto"/>
        </w:rPr>
      </w:pPr>
    </w:p>
    <w:p>
      <w:pPr>
        <w:jc w:val="center"/>
        <w:ind w:right="-9"/>
        <w:spacing w:after="0"/>
        <w:rPr>
          <w:sz w:val="20"/>
          <w:szCs w:val="20"/>
          <w:color w:val="auto"/>
        </w:rPr>
      </w:pPr>
      <w:r>
        <w:rPr>
          <w:rFonts w:ascii="Arial" w:cs="Arial" w:eastAsia="Arial" w:hAnsi="Arial"/>
          <w:sz w:val="12"/>
          <w:szCs w:val="12"/>
          <w:b w:val="1"/>
          <w:bCs w:val="1"/>
          <w:color w:val="auto"/>
        </w:rPr>
        <w:t>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058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70" w:hanging="570"/>
        <w:spacing w:after="0"/>
        <w:tabs>
          <w:tab w:leader="none" w:pos="570" w:val="left"/>
        </w:tabs>
        <w:numPr>
          <w:ilvl w:val="0"/>
          <w:numId w:val="3"/>
        </w:numPr>
        <w:rPr>
          <w:rFonts w:ascii="Arial" w:cs="Arial" w:eastAsia="Arial" w:hAnsi="Arial"/>
          <w:sz w:val="15"/>
          <w:szCs w:val="15"/>
          <w:color w:val="auto"/>
        </w:rPr>
      </w:pPr>
      <w:r>
        <w:rPr>
          <w:rFonts w:ascii="Arial" w:cs="Arial" w:eastAsia="Arial" w:hAnsi="Arial"/>
          <w:sz w:val="15"/>
          <w:szCs w:val="15"/>
          <w:color w:val="auto"/>
        </w:rPr>
        <w:t>2,742,715</w:t>
      </w:r>
    </w:p>
    <w:p>
      <w:pPr>
        <w:spacing w:after="0" w:line="49" w:lineRule="exact"/>
        <w:rPr>
          <w:rFonts w:ascii="Arial" w:cs="Arial" w:eastAsia="Arial" w:hAnsi="Arial"/>
          <w:sz w:val="15"/>
          <w:szCs w:val="15"/>
          <w:color w:val="auto"/>
        </w:rPr>
      </w:pPr>
    </w:p>
    <w:p>
      <w:pPr>
        <w:ind w:left="690"/>
        <w:spacing w:after="0"/>
        <w:rPr>
          <w:rFonts w:ascii="Arial" w:cs="Arial" w:eastAsia="Arial" w:hAnsi="Arial"/>
          <w:sz w:val="15"/>
          <w:szCs w:val="15"/>
          <w:color w:val="auto"/>
        </w:rPr>
      </w:pPr>
      <w:r>
        <w:rPr>
          <w:rFonts w:ascii="Arial" w:cs="Arial" w:eastAsia="Arial" w:hAnsi="Arial"/>
          <w:sz w:val="16"/>
          <w:szCs w:val="16"/>
          <w:color w:val="auto"/>
        </w:rPr>
        <w:t>779,326</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4,290,393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181,355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8058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7,993,789</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3,835,977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8058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11,829,766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8058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6,950,598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2,392,468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355,918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34,751,629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8058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44,450,613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8058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56,280,379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8058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7,219,356</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8058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7,225,376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8058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49,055,003</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63,460,389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8058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92" w:lineRule="exact"/>
        <w:rPr>
          <w:sz w:val="20"/>
          <w:szCs w:val="20"/>
          <w:color w:val="auto"/>
        </w:rPr>
      </w:pPr>
    </w:p>
    <w:p>
      <w:pPr>
        <w:ind w:left="390" w:hanging="390"/>
        <w:spacing w:after="0"/>
        <w:tabs>
          <w:tab w:leader="none" w:pos="390" w:val="left"/>
        </w:tabs>
        <w:numPr>
          <w:ilvl w:val="0"/>
          <w:numId w:val="4"/>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112,515,392</w:t>
      </w:r>
    </w:p>
    <w:p>
      <w:pPr>
        <w:sectPr>
          <w:pgSz w:w="11900" w:h="16838" w:orient="portrait"/>
          <w:cols w:equalWidth="0" w:num="2">
            <w:col w:w="9430" w:space="720"/>
            <w:col w:w="127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 INCENTIVE SAVINGS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the Plan and Basis of Presentation</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Itron, Inc. (the Company or Employer) established Itron, Inc. Incentive Savings Plan (the Plan) effective March 1, 1985 (amended and restated August 5, 2005), including subsequent amendments. The Plan is subject to the applicable provisions of the Employee Retirement Income Security Act of 1974 (ERISA) as amended. The Plan is administered by an internal Administrative Committee and is Participant directed. The trustee of the Plan is New York Life Benefit Services LLC. Participants should refer to the Plan agreement for a more complete description of the Plan’s provisions.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Full-time and part-time employees of the Company shall become a Participant under the Plan as soon as administratively possible following the employee’s employment dates.</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employee qualifies to receive Employer match contributions if employed on the last day of the period for which the Employer contribution is made to the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w:t>
      </w:r>
    </w:p>
    <w:p>
      <w:pPr>
        <w:spacing w:after="0" w:line="17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Each year, Participants may contribute up to 50% of pretax annual compensation, as defined in the Plan. Participants may also contribute amounts representing distributions from other qualified defined benefit or contribution plans. Participants direct the investment of their contributions into various investment options offered by the Plan. The Company may contribute to the Plan, on behalf of each employee eligible, a discretionary matching contribution equal to a percentage (as determined by the Company’s Board of Directors) of the elective deferrals made by each such employee. The Company’s Board of Directors may also determine to suspend or reduce its contribution for any Plan year or any portion thereof. In 2005, the Company matched 50% of Participant contributions up to 6% of the Participants’ pretax annual compensation, as defined in the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 accounts: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Each Participant’s account is credited with the Participant’s contribution and allocations of (a) the Company’s contribution and (b) Plan earnings (losses) and charged with an allocation of certain administrative expenses. Allocations are based on Participant earnings or account balances, as defined. The benefit to which a Participant is entitled is the benefit that can be provided from the Participant’s vested amount.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Vesting:</w:t>
      </w:r>
    </w:p>
    <w:p>
      <w:pPr>
        <w:spacing w:after="0" w:line="17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Participants are immediately vested in their voluntary contributions plus actual earnings thereon. Vesting in the Company’s contribution portion of their accounts plus actual earnings thereon is based on years of continuous service. A Participant is 100% vested after five years of credited service.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 loans:</w:t>
      </w:r>
    </w:p>
    <w:p>
      <w:pPr>
        <w:spacing w:after="0" w:line="171"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Participants may borrow from their fund accounts a minimum of $1,000 and up to a maximum of $50,000, or 50%, of their vested account balance. The loans are secured by the balance in the Participant’s account and bear interest at rates determined by the Administrative Committee based on the yield rates of appropriate U.S. Treasury securities. Principal and interest are paid ratably through bi-weekly payroll deductions.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benefits:</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Benefits will be paid to Participants when they reach normal retirement age (age 59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or later), terminate service with the Employer, death, disability or hardship. Distributions are made in lump-sum payments, or in periodic installments over a period not exceeding 20 years, if the Participant’s vested account exceeds $5,000. A single payment distribution may also be made in the form of whole shares of Employer stock to the extent the Participant’s account is invested in Employer stock.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Forfeitures: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Plan may treat forfeitures as a reduction of Employer contributions for the Plan year in which the forfeiture occurs or pay Plan expenses. Forfeitures used in the Plan year ended December 31, 2005 and 2004, amounted to $86,064 and $90,220, respectively. Unallocated forfeitures were $123,561 and $53,821 as of December 31, 2005 and 2004,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Hardship withdrawals: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Hardship withdrawals are permitted by the Plan in accordance with Internal Revenue Code Section 401(k).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and administrative expenses: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Plan pays investment management fees. Expenses for administration of the Plan (recordkeeping, trustee services and consulting services) are paid directly by the Company at its election.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termination:</w:t>
      </w:r>
    </w:p>
    <w:p>
      <w:pPr>
        <w:spacing w:after="0" w:line="171"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Although the Company has not expressed any intent to do so, the Company, by resolution of its Board of Directors, reserves the right to terminate the Plan at any time, subject to Plan provisions. Upon such termination of the Plan, the interest of each Participant in the trust fund shall become fully vested and nonforfeitable.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Plan’s investments are held by New York Life Benefit Services LLC. Shares of registered investment company funds, common/collective trust funds and individually directed accounts are valued at quoted market prices which represent the net asset value of shares held by the Plan at year end. Units of pooled separate accounts are considered highly liquid instruments with original maturities of three months or less. Pooled separate accounts are recorded at cost which approximates fair value. The stock funds represent shares of the Company’s common stock held by the Plan and shares of other companies’ common stock transferred into the Plan in connection with the merger of plans acquired from business acquisitions. Company stock is valued at its quoted market price. The fair value of Itron’s common stock at December 31, 2005, was $40.04 per share. Participant loans are valued at cost which approximates fair value.</w:t>
      </w:r>
    </w:p>
    <w:p>
      <w:pPr>
        <w:spacing w:after="0" w:line="120"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Purchases and sales of securities are recorded on a trade date basis. Interest income is recorded on the accrual basis. Dividends are recorded on the ex-dividend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of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of the Plan have been prepared on the accrual basis of accounting.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71"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Plan provides for various investment options in any combination of mutual funds provided by the Plan. Investment securities of these types are exposed to various risks, such as interest rate, market and credit. Due to the level of risk associated with certain investment securities, it is at least reasonably possible that changes in the values of investment securities will occur in the near-term, and that such changes could materially affect Participants’ account balances and the amounts reported in the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additions and deductions to net assets available for benefits during the reporting period. Actual results could differ from those estimates.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loss on receivables: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An allowance for loss on receivables has not been recorded as all receivables are deemed to be 100% collectible or adequately secured as of the date of this report.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investments at December 31, 2005 and 2004, which represent 5% or more of the Plan’s net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r>
      <w:tr>
        <w:trPr>
          <w:trHeight w:val="142"/>
        </w:trPr>
        <w:tc>
          <w:tcPr>
            <w:tcW w:w="87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2004</w:t>
            </w: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Registered investment company funds: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PIMCO Total Return Fund (Admin)</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14,464,491</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5,952,332</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Artisan International Fund</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10,448,393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4,683,721</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Artisan Mid Cap Fund (Inv shrs)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8,481,933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6,047,434</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Artisan Small Cap Value Fund</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7,291,003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4,822,842</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American Century Real Estate Fund</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6,851,637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3,470,778</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Davis New York Venture Fund (A)</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6,338,359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22"/>
        </w:trPr>
        <w:tc>
          <w:tcPr>
            <w:tcW w:w="8780" w:type="dxa"/>
            <w:vAlign w:val="bottom"/>
          </w:tcPr>
          <w:p>
            <w:pPr>
              <w:spacing w:after="0"/>
              <w:rPr>
                <w:sz w:val="20"/>
                <w:szCs w:val="20"/>
                <w:color w:val="auto"/>
              </w:rPr>
            </w:pPr>
            <w:r>
              <w:rPr>
                <w:rFonts w:ascii="Arial" w:cs="Arial" w:eastAsia="Arial" w:hAnsi="Arial"/>
                <w:sz w:val="18"/>
                <w:szCs w:val="18"/>
                <w:color w:val="auto"/>
              </w:rPr>
              <w:t>Pooled separate accounts: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8"/>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York Life Insurance Anchor Account I</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18,815,264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10,836,917</w:t>
            </w:r>
          </w:p>
        </w:tc>
      </w:tr>
      <w:tr>
        <w:trPr>
          <w:trHeight w:val="322"/>
        </w:trPr>
        <w:tc>
          <w:tcPr>
            <w:tcW w:w="8780" w:type="dxa"/>
            <w:vAlign w:val="bottom"/>
          </w:tcPr>
          <w:p>
            <w:pPr>
              <w:spacing w:after="0"/>
              <w:rPr>
                <w:sz w:val="20"/>
                <w:szCs w:val="20"/>
                <w:color w:val="auto"/>
              </w:rPr>
            </w:pPr>
            <w:r>
              <w:rPr>
                <w:rFonts w:ascii="Arial" w:cs="Arial" w:eastAsia="Arial" w:hAnsi="Arial"/>
                <w:sz w:val="18"/>
                <w:szCs w:val="18"/>
                <w:color w:val="auto"/>
              </w:rPr>
              <w:t>Common/collective trust fund:</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8"/>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Barclays Equity Index Fund Q</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14,246,737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11,331,643</w:t>
            </w:r>
          </w:p>
        </w:tc>
      </w:tr>
      <w:tr>
        <w:trPr>
          <w:trHeight w:val="322"/>
        </w:trPr>
        <w:tc>
          <w:tcPr>
            <w:tcW w:w="8780" w:type="dxa"/>
            <w:vAlign w:val="bottom"/>
          </w:tcPr>
          <w:p>
            <w:pPr>
              <w:spacing w:after="0"/>
              <w:rPr>
                <w:sz w:val="20"/>
                <w:szCs w:val="20"/>
                <w:color w:val="auto"/>
              </w:rPr>
            </w:pPr>
            <w:r>
              <w:rPr>
                <w:rFonts w:ascii="Arial" w:cs="Arial" w:eastAsia="Arial" w:hAnsi="Arial"/>
                <w:sz w:val="18"/>
                <w:szCs w:val="18"/>
                <w:color w:val="auto"/>
              </w:rPr>
              <w:t>Stock fund:</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8"/>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Itron, Inc. Company Stock Fund</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8,543,495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6,301,552</w:t>
            </w:r>
          </w:p>
        </w:tc>
      </w:tr>
    </w:tbl>
    <w:p>
      <w:pPr>
        <w:spacing w:after="0" w:line="15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accordance with the Plan, Participants can direct their contributions to invest in one or more of the following: PIMCO High Yield Fund (Admin), Artisan Mid Cap Fund (Inv Shrs), PIMCO Total Return Fund (Admin), Artisan Small Cap Value Fund, Artisan International Fund, American Century Real Estate Fund, Davis New York Venture Fund (A), TCW Galileo Select Equities Adv Fund, Artisan Mid Cap Value Fund, Baron Growth Fund, Barclays Equity Index Fund Q, New York Life Insurance Anchor Account I, Itron, Inc. Company Stock Fund and individually directed accounts.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Certain investment accounts are frozen, whereas no additional contributions can be made to the respective funds.</w:t>
      </w:r>
    </w:p>
    <w:p>
      <w:pPr>
        <w:spacing w:after="0" w:line="17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On July 1, 2004, the Company acquired Schlumberger Ltd.’s electricity metering business (SEM). As part of the acquisition, $34,751,629 of SEM’s defined contribution plan assets were transferred into the Itron, Inc. Incentive Savings Plan in May 2005.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Tax Status</w:t>
      </w:r>
    </w:p>
    <w:p>
      <w:pPr>
        <w:spacing w:after="0" w:line="177"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The Plan obtained its latest determination letter dated February 10, 2005, in which the Internal Revenue Service stated that the Plan, as then designed, was in compliance with the applicable requirements of the Internal Revenue Code. The Plan has been amended since receiving the determination letter. However, the Administrative Committee believes that the Plan is currently designed and is being operated in compliance with the applicable requirements of the Internal Revenue Code. Therefore, no provision for income taxes has been included in the Plan’s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Party in Interest Transactions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Certain Plan assets are managed by New York Life Benefit Services LLC, the custodian of the assets. Certain Plan investments are shares in Itron, Inc. common stock. The Plan also has Participant loans. These transactions qualify as party in interest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Form 5500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assets available for benefits per the financial statements to the Form 5500:</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9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112,515,392</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63,460,389</w:t>
            </w:r>
          </w:p>
        </w:tc>
        <w:tc>
          <w:tcPr>
            <w:tcW w:w="60" w:type="dxa"/>
            <w:vAlign w:val="bottom"/>
            <w:shd w:val="clear" w:color="auto" w:fill="CCEEFF"/>
          </w:tcPr>
          <w:p>
            <w:pPr>
              <w:spacing w:after="0"/>
              <w:rPr>
                <w:sz w:val="18"/>
                <w:szCs w:val="18"/>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Participants’ contributions receivable</w:t>
            </w:r>
          </w:p>
        </w:tc>
        <w:tc>
          <w:tcPr>
            <w:tcW w:w="14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(221,682)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(60,866)</w:t>
            </w: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Employer contributions receivable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(520,853)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(530,286)</w:t>
            </w: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Refundable Participant contributions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298,029</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Refundable Employer contributions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17,072</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112,087,958</w:t>
            </w: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62,869,237</w:t>
            </w:r>
          </w:p>
        </w:tc>
        <w:tc>
          <w:tcPr>
            <w:tcW w:w="60" w:type="dxa"/>
            <w:vAlign w:val="bottom"/>
          </w:tcPr>
          <w:p>
            <w:pPr>
              <w:spacing w:after="0"/>
              <w:rPr>
                <w:sz w:val="19"/>
                <w:szCs w:val="19"/>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contributions received from Participants per the financial statements for the year ended December 31, 2005, to the Form 5500:</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Contributions received from Participants per the financial statements</w:t>
            </w:r>
          </w:p>
        </w:tc>
        <w:tc>
          <w:tcPr>
            <w:tcW w:w="202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6,950,598</w:t>
            </w:r>
          </w:p>
        </w:tc>
        <w:tc>
          <w:tcPr>
            <w:tcW w:w="60" w:type="dxa"/>
            <w:vAlign w:val="bottom"/>
            <w:shd w:val="clear" w:color="auto" w:fill="CCEEFF"/>
          </w:tcPr>
          <w:p>
            <w:pPr>
              <w:spacing w:after="0"/>
              <w:rPr>
                <w:sz w:val="18"/>
                <w:szCs w:val="18"/>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Less: Participants’ contributions receivable at December 31, 2005</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(221,682)</w:t>
            </w: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Participants’ contributions receivable at December 31, 2004</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60,866</w:t>
            </w:r>
          </w:p>
        </w:tc>
        <w:tc>
          <w:tcPr>
            <w:tcW w:w="60" w:type="dxa"/>
            <w:vAlign w:val="bottom"/>
            <w:shd w:val="clear" w:color="auto" w:fill="CCEEFF"/>
          </w:tcPr>
          <w:p>
            <w:pPr>
              <w:spacing w:after="0"/>
              <w:rPr>
                <w:sz w:val="18"/>
                <w:szCs w:val="18"/>
                <w:color w:val="auto"/>
              </w:rPr>
            </w:pP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color w:val="auto"/>
              </w:rPr>
              <w:t>Refundable Participant contributions</w:t>
            </w:r>
          </w:p>
        </w:tc>
        <w:tc>
          <w:tcPr>
            <w:tcW w:w="1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298,029</w:t>
            </w:r>
          </w:p>
        </w:tc>
        <w:tc>
          <w:tcPr>
            <w:tcW w:w="60" w:type="dxa"/>
            <w:vAlign w:val="bottom"/>
          </w:tcPr>
          <w:p>
            <w:pPr>
              <w:spacing w:after="0"/>
              <w:rPr>
                <w:sz w:val="19"/>
                <w:szCs w:val="19"/>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Contributions received from Participants per the Form 5500</w:t>
            </w:r>
          </w:p>
        </w:tc>
        <w:tc>
          <w:tcPr>
            <w:tcW w:w="1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7,087,811</w:t>
            </w:r>
          </w:p>
        </w:tc>
        <w:tc>
          <w:tcPr>
            <w:tcW w:w="60" w:type="dxa"/>
            <w:vAlign w:val="bottom"/>
            <w:shd w:val="clear" w:color="auto" w:fill="CCEEFF"/>
          </w:tcPr>
          <w:p>
            <w:pPr>
              <w:spacing w:after="0"/>
              <w:rPr>
                <w:sz w:val="18"/>
                <w:szCs w:val="18"/>
                <w:color w:val="auto"/>
              </w:rPr>
            </w:pPr>
          </w:p>
        </w:tc>
      </w:tr>
    </w:tbl>
    <w:p>
      <w:pPr>
        <w:spacing w:after="0" w:line="16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is a reconciliation of contributions received from the Employer per the financial statements for the year ended December 31, 2005, to the Form 5500:</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Contributions received from the Employer per the financial statements</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2,392,468</w:t>
            </w: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ind w:left="220"/>
              <w:spacing w:after="0"/>
              <w:rPr>
                <w:sz w:val="20"/>
                <w:szCs w:val="20"/>
                <w:color w:val="auto"/>
              </w:rPr>
            </w:pPr>
            <w:r>
              <w:rPr>
                <w:rFonts w:ascii="Arial" w:cs="Arial" w:eastAsia="Arial" w:hAnsi="Arial"/>
                <w:sz w:val="18"/>
                <w:szCs w:val="18"/>
                <w:color w:val="auto"/>
              </w:rPr>
              <w:t>Less: Employer contributions receivable at December 31, 2005</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(520,853)</w:t>
            </w: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Employer contributions receivable at December 31, 2004</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530,286</w:t>
            </w:r>
          </w:p>
        </w:tc>
        <w:tc>
          <w:tcPr>
            <w:tcW w:w="60" w:type="dxa"/>
            <w:vAlign w:val="bottom"/>
            <w:shd w:val="clear" w:color="auto" w:fill="CCEEFF"/>
          </w:tcPr>
          <w:p>
            <w:pPr>
              <w:spacing w:after="0"/>
              <w:rPr>
                <w:sz w:val="18"/>
                <w:szCs w:val="18"/>
                <w:color w:val="auto"/>
              </w:rPr>
            </w:pPr>
          </w:p>
        </w:tc>
      </w:tr>
      <w:tr>
        <w:trPr>
          <w:trHeight w:val="223"/>
        </w:trPr>
        <w:tc>
          <w:tcPr>
            <w:tcW w:w="6760" w:type="dxa"/>
            <w:vAlign w:val="bottom"/>
          </w:tcPr>
          <w:p>
            <w:pPr>
              <w:ind w:left="220"/>
              <w:spacing w:after="0"/>
              <w:rPr>
                <w:sz w:val="20"/>
                <w:szCs w:val="20"/>
                <w:color w:val="auto"/>
              </w:rPr>
            </w:pPr>
            <w:r>
              <w:rPr>
                <w:rFonts w:ascii="Arial" w:cs="Arial" w:eastAsia="Arial" w:hAnsi="Arial"/>
                <w:sz w:val="18"/>
                <w:szCs w:val="18"/>
                <w:color w:val="auto"/>
              </w:rPr>
              <w:t>Refundable Employer contributions</w:t>
            </w:r>
          </w:p>
        </w:tc>
        <w:tc>
          <w:tcPr>
            <w:tcW w:w="1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17,072</w:t>
            </w:r>
          </w:p>
        </w:tc>
        <w:tc>
          <w:tcPr>
            <w:tcW w:w="60" w:type="dxa"/>
            <w:vAlign w:val="bottom"/>
          </w:tcPr>
          <w:p>
            <w:pPr>
              <w:spacing w:after="0"/>
              <w:rPr>
                <w:sz w:val="19"/>
                <w:szCs w:val="19"/>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Contributions received from the Employer per the Form 5500</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2,418,973</w:t>
            </w:r>
          </w:p>
        </w:tc>
        <w:tc>
          <w:tcPr>
            <w:tcW w:w="60" w:type="dxa"/>
            <w:vAlign w:val="bottom"/>
            <w:shd w:val="clear" w:color="auto" w:fill="CCEEFF"/>
          </w:tcPr>
          <w:p>
            <w:pPr>
              <w:spacing w:after="0"/>
              <w:rPr>
                <w:sz w:val="18"/>
                <w:szCs w:val="18"/>
                <w:color w:val="auto"/>
              </w:rPr>
            </w:pPr>
          </w:p>
        </w:tc>
      </w:tr>
      <w:tr>
        <w:trPr>
          <w:trHeight w:val="370"/>
        </w:trPr>
        <w:tc>
          <w:tcPr>
            <w:tcW w:w="6760" w:type="dxa"/>
            <w:vAlign w:val="bottom"/>
          </w:tcPr>
          <w:p>
            <w:pPr>
              <w:ind w:left="4760"/>
              <w:spacing w:after="0"/>
              <w:rPr>
                <w:sz w:val="20"/>
                <w:szCs w:val="20"/>
                <w:color w:val="auto"/>
              </w:rPr>
            </w:pPr>
            <w:r>
              <w:rPr>
                <w:rFonts w:ascii="Arial" w:cs="Arial" w:eastAsia="Arial" w:hAnsi="Arial"/>
                <w:sz w:val="18"/>
                <w:szCs w:val="18"/>
                <w:color w:val="auto"/>
              </w:rPr>
              <w:t>7</w:t>
            </w:r>
          </w:p>
        </w:tc>
        <w:tc>
          <w:tcPr>
            <w:tcW w:w="17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Nonexempt Transactions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During 2005, the Company did not remit $684 in Participant contributions associated with a portion of one pay cycle to the Plan on a timely basis. This late payment is considered a prohibited transaction by the Department of Labor.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May 19, 2006, the Administrative Committee amended the Plan to eliminate the Itron, Inc. Company Stock Fund as an investment choice for new deferrals as of July 1, 2006, with the associated assets to remain in the fund, unless traded or disbursed at the Participant’s option.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520" w:right="560"/>
        <w:spacing w:after="0" w:line="270" w:lineRule="auto"/>
        <w:rPr>
          <w:sz w:val="20"/>
          <w:szCs w:val="20"/>
          <w:color w:val="auto"/>
        </w:rPr>
      </w:pPr>
      <w:r>
        <w:rPr>
          <w:rFonts w:ascii="Arial" w:cs="Arial" w:eastAsia="Arial" w:hAnsi="Arial"/>
          <w:sz w:val="18"/>
          <w:szCs w:val="18"/>
          <w:b w:val="1"/>
          <w:bCs w:val="1"/>
          <w:color w:val="auto"/>
        </w:rPr>
        <w:t>ITRON, INC. INCENTIVE SAVINGS PLAN SCHEDULE H, LINE 4a - SCHEDULE OF DELINQUENT PARTICIPANT CONTRIBUTIONS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Plan’s Sponsor EIN:</w:t>
            </w:r>
          </w:p>
        </w:tc>
        <w:tc>
          <w:tcPr>
            <w:tcW w:w="1040" w:type="dxa"/>
            <w:vAlign w:val="bottom"/>
          </w:tcPr>
          <w:p>
            <w:pPr>
              <w:ind w:left="200"/>
              <w:spacing w:after="0"/>
              <w:rPr>
                <w:sz w:val="20"/>
                <w:szCs w:val="20"/>
                <w:color w:val="auto"/>
              </w:rPr>
            </w:pPr>
            <w:r>
              <w:rPr>
                <w:rFonts w:ascii="Arial" w:cs="Arial" w:eastAsia="Arial" w:hAnsi="Arial"/>
                <w:sz w:val="18"/>
                <w:szCs w:val="18"/>
                <w:color w:val="auto"/>
                <w:w w:val="85"/>
              </w:rPr>
              <w:t>91-1011792</w:t>
            </w: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Plan Number:</w:t>
            </w:r>
          </w:p>
        </w:tc>
        <w:tc>
          <w:tcPr>
            <w:tcW w:w="1040" w:type="dxa"/>
            <w:vAlign w:val="bottom"/>
          </w:tcPr>
          <w:p>
            <w:pPr>
              <w:ind w:left="200"/>
              <w:spacing w:after="0"/>
              <w:rPr>
                <w:sz w:val="20"/>
                <w:szCs w:val="20"/>
                <w:color w:val="auto"/>
              </w:rPr>
            </w:pPr>
            <w:r>
              <w:rPr>
                <w:rFonts w:ascii="Arial" w:cs="Arial" w:eastAsia="Arial" w:hAnsi="Arial"/>
                <w:sz w:val="18"/>
                <w:szCs w:val="18"/>
                <w:color w:val="auto"/>
              </w:rPr>
              <w:t>001</w:t>
            </w:r>
          </w:p>
        </w:tc>
      </w:tr>
    </w:tbl>
    <w:p>
      <w:pPr>
        <w:spacing w:after="0" w:line="17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Participants Contribution</w:t>
            </w:r>
          </w:p>
        </w:tc>
        <w:tc>
          <w:tcPr>
            <w:tcW w:w="760" w:type="dxa"/>
            <w:vAlign w:val="bottom"/>
          </w:tcPr>
          <w:p>
            <w:pPr>
              <w:spacing w:after="0"/>
              <w:rPr>
                <w:sz w:val="14"/>
                <w:szCs w:val="14"/>
                <w:color w:val="auto"/>
              </w:rPr>
            </w:pPr>
          </w:p>
        </w:tc>
        <w:tc>
          <w:tcPr>
            <w:tcW w:w="3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Total that Constitutes Nonexempt</w:t>
            </w:r>
          </w:p>
        </w:tc>
      </w:tr>
      <w:tr>
        <w:trPr>
          <w:trHeight w:val="175"/>
        </w:trPr>
        <w:tc>
          <w:tcPr>
            <w:tcW w:w="2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Transferred Late to Plan</w:t>
            </w:r>
          </w:p>
        </w:tc>
        <w:tc>
          <w:tcPr>
            <w:tcW w:w="7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center"/>
              <w:ind w:right="820"/>
              <w:spacing w:after="0"/>
              <w:rPr>
                <w:sz w:val="20"/>
                <w:szCs w:val="20"/>
                <w:color w:val="auto"/>
              </w:rPr>
            </w:pPr>
            <w:r>
              <w:rPr>
                <w:rFonts w:ascii="Arial" w:cs="Arial" w:eastAsia="Arial" w:hAnsi="Arial"/>
                <w:sz w:val="14"/>
                <w:szCs w:val="14"/>
                <w:b w:val="1"/>
                <w:bCs w:val="1"/>
                <w:color w:val="auto"/>
                <w:w w:val="86"/>
              </w:rPr>
              <w:t>Prohibited Transactions</w:t>
            </w:r>
          </w:p>
        </w:tc>
      </w:tr>
      <w:tr>
        <w:trPr>
          <w:trHeight w:val="210"/>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32"/>
              <w:spacing w:after="0"/>
              <w:rPr>
                <w:sz w:val="20"/>
                <w:szCs w:val="20"/>
                <w:color w:val="auto"/>
              </w:rPr>
            </w:pPr>
            <w:r>
              <w:rPr>
                <w:rFonts w:ascii="Arial" w:cs="Arial" w:eastAsia="Arial" w:hAnsi="Arial"/>
                <w:sz w:val="18"/>
                <w:szCs w:val="18"/>
                <w:color w:val="auto"/>
              </w:rPr>
              <w:t>684</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72"/>
              <w:spacing w:after="0"/>
              <w:rPr>
                <w:sz w:val="20"/>
                <w:szCs w:val="20"/>
                <w:color w:val="auto"/>
              </w:rPr>
            </w:pPr>
            <w:r>
              <w:rPr>
                <w:rFonts w:ascii="Arial" w:cs="Arial" w:eastAsia="Arial" w:hAnsi="Arial"/>
                <w:sz w:val="18"/>
                <w:szCs w:val="18"/>
                <w:color w:val="auto"/>
              </w:rPr>
              <w:t>684</w:t>
            </w:r>
          </w:p>
        </w:tc>
        <w:tc>
          <w:tcPr>
            <w:tcW w:w="800" w:type="dxa"/>
            <w:vAlign w:val="bottom"/>
          </w:tcPr>
          <w:p>
            <w:pPr>
              <w:spacing w:after="0"/>
              <w:rPr>
                <w:sz w:val="18"/>
                <w:szCs w:val="18"/>
                <w:color w:val="auto"/>
              </w:rPr>
            </w:pPr>
          </w:p>
        </w:tc>
      </w:tr>
      <w:tr>
        <w:trPr>
          <w:trHeight w:val="370"/>
        </w:trPr>
        <w:tc>
          <w:tcPr>
            <w:tcW w:w="7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8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 INCENTIVE SAVINGS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H, LINE 4i - SCHEDULE OF ASSETS (HELD AT END OF YEAR)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gridSpan w:val="3"/>
          </w:tcPr>
          <w:p>
            <w:pPr>
              <w:spacing w:after="0"/>
              <w:rPr>
                <w:sz w:val="20"/>
                <w:szCs w:val="20"/>
                <w:color w:val="auto"/>
              </w:rPr>
            </w:pPr>
            <w:r>
              <w:rPr>
                <w:rFonts w:ascii="Arial" w:cs="Arial" w:eastAsia="Arial" w:hAnsi="Arial"/>
                <w:sz w:val="18"/>
                <w:szCs w:val="18"/>
                <w:color w:val="auto"/>
                <w:w w:val="91"/>
              </w:rPr>
              <w:t>Plan’s Sponsor EIN:</w:t>
            </w:r>
          </w:p>
        </w:tc>
        <w:tc>
          <w:tcPr>
            <w:tcW w:w="3500" w:type="dxa"/>
            <w:vAlign w:val="bottom"/>
          </w:tcPr>
          <w:p>
            <w:pPr>
              <w:ind w:left="460"/>
              <w:spacing w:after="0"/>
              <w:rPr>
                <w:sz w:val="20"/>
                <w:szCs w:val="20"/>
                <w:color w:val="auto"/>
              </w:rPr>
            </w:pPr>
            <w:r>
              <w:rPr>
                <w:rFonts w:ascii="Arial" w:cs="Arial" w:eastAsia="Arial" w:hAnsi="Arial"/>
                <w:sz w:val="18"/>
                <w:szCs w:val="18"/>
                <w:color w:val="auto"/>
              </w:rPr>
              <w:t>91-1011792</w:t>
            </w: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1500" w:type="dxa"/>
            <w:vAlign w:val="bottom"/>
            <w:gridSpan w:val="3"/>
          </w:tcPr>
          <w:p>
            <w:pPr>
              <w:spacing w:after="0"/>
              <w:rPr>
                <w:sz w:val="20"/>
                <w:szCs w:val="20"/>
                <w:color w:val="auto"/>
              </w:rPr>
            </w:pPr>
            <w:r>
              <w:rPr>
                <w:rFonts w:ascii="Arial" w:cs="Arial" w:eastAsia="Arial" w:hAnsi="Arial"/>
                <w:sz w:val="18"/>
                <w:szCs w:val="18"/>
                <w:color w:val="auto"/>
              </w:rPr>
              <w:t>Plan Number:</w:t>
            </w:r>
          </w:p>
        </w:tc>
        <w:tc>
          <w:tcPr>
            <w:tcW w:w="3500" w:type="dxa"/>
            <w:vAlign w:val="bottom"/>
          </w:tcPr>
          <w:p>
            <w:pPr>
              <w:ind w:left="46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6"/>
        </w:trPr>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2005</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30"/>
        </w:trPr>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5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7"/>
              </w:rPr>
              <w:t>(c) Description of Investment Including</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81"/>
              </w:rPr>
              <w:t>(e)</w:t>
            </w:r>
          </w:p>
        </w:tc>
      </w:tr>
      <w:tr>
        <w:trPr>
          <w:trHeight w:val="149"/>
        </w:trPr>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500" w:type="dxa"/>
            <w:vAlign w:val="bottom"/>
          </w:tcPr>
          <w:p>
            <w:pPr>
              <w:jc w:val="center"/>
              <w:ind w:right="1082"/>
              <w:spacing w:after="0" w:line="149" w:lineRule="exact"/>
              <w:rPr>
                <w:sz w:val="20"/>
                <w:szCs w:val="20"/>
                <w:color w:val="auto"/>
              </w:rPr>
            </w:pPr>
            <w:r>
              <w:rPr>
                <w:rFonts w:ascii="Arial" w:cs="Arial" w:eastAsia="Arial" w:hAnsi="Arial"/>
                <w:sz w:val="14"/>
                <w:szCs w:val="14"/>
                <w:b w:val="1"/>
                <w:bCs w:val="1"/>
                <w:color w:val="auto"/>
                <w:w w:val="86"/>
              </w:rPr>
              <w:t>(b) Identity of Issue, Borrower, Lessor,</w:t>
            </w:r>
          </w:p>
        </w:tc>
        <w:tc>
          <w:tcPr>
            <w:tcW w:w="120" w:type="dxa"/>
            <w:vAlign w:val="bottom"/>
          </w:tcPr>
          <w:p>
            <w:pPr>
              <w:spacing w:after="0"/>
              <w:rPr>
                <w:sz w:val="12"/>
                <w:szCs w:val="12"/>
                <w:color w:val="auto"/>
              </w:rPr>
            </w:pPr>
          </w:p>
        </w:tc>
        <w:tc>
          <w:tcPr>
            <w:tcW w:w="4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Maturity Date, Rate of Interest, Collateral,</w:t>
            </w:r>
          </w:p>
        </w:tc>
        <w:tc>
          <w:tcPr>
            <w:tcW w:w="100" w:type="dxa"/>
            <w:vAlign w:val="bottom"/>
          </w:tcPr>
          <w:p>
            <w:pPr>
              <w:spacing w:after="0"/>
              <w:rPr>
                <w:sz w:val="12"/>
                <w:szCs w:val="12"/>
                <w:color w:val="auto"/>
              </w:rPr>
            </w:pPr>
          </w:p>
        </w:tc>
        <w:tc>
          <w:tcPr>
            <w:tcW w:w="6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(d)</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Current</w:t>
            </w:r>
          </w:p>
        </w:tc>
      </w:tr>
      <w:tr>
        <w:trPr>
          <w:trHeight w:val="168"/>
        </w:trPr>
        <w:tc>
          <w:tcPr>
            <w:tcW w:w="220" w:type="dxa"/>
            <w:vAlign w:val="bottom"/>
          </w:tcPr>
          <w:p>
            <w:pPr>
              <w:ind w:left="4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500" w:type="dxa"/>
            <w:vAlign w:val="bottom"/>
          </w:tcPr>
          <w:p>
            <w:pPr>
              <w:jc w:val="center"/>
              <w:ind w:right="1082"/>
              <w:spacing w:after="0"/>
              <w:rPr>
                <w:sz w:val="20"/>
                <w:szCs w:val="20"/>
                <w:color w:val="auto"/>
              </w:rPr>
            </w:pPr>
            <w:r>
              <w:rPr>
                <w:rFonts w:ascii="Arial" w:cs="Arial" w:eastAsia="Arial" w:hAnsi="Arial"/>
                <w:sz w:val="14"/>
                <w:szCs w:val="14"/>
                <w:b w:val="1"/>
                <w:bCs w:val="1"/>
                <w:color w:val="auto"/>
                <w:w w:val="90"/>
              </w:rPr>
              <w:t>or Similar Party</w:t>
            </w:r>
          </w:p>
        </w:tc>
        <w:tc>
          <w:tcPr>
            <w:tcW w:w="120" w:type="dxa"/>
            <w:vAlign w:val="bottom"/>
          </w:tcPr>
          <w:p>
            <w:pPr>
              <w:spacing w:after="0"/>
              <w:rPr>
                <w:sz w:val="14"/>
                <w:szCs w:val="14"/>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1"/>
              </w:rPr>
              <w:t>Par, or Maturity value</w:t>
            </w:r>
          </w:p>
        </w:tc>
        <w:tc>
          <w:tcPr>
            <w:tcW w:w="100" w:type="dxa"/>
            <w:vAlign w:val="bottom"/>
          </w:tcPr>
          <w:p>
            <w:pPr>
              <w:spacing w:after="0"/>
              <w:rPr>
                <w:sz w:val="14"/>
                <w:szCs w:val="14"/>
                <w:color w:val="auto"/>
              </w:rPr>
            </w:pPr>
          </w:p>
        </w:tc>
        <w:tc>
          <w:tcPr>
            <w:tcW w:w="6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r>
      <w:tr>
        <w:trPr>
          <w:trHeight w:val="68"/>
        </w:trPr>
        <w:tc>
          <w:tcPr>
            <w:tcW w:w="2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c>
          <w:tcPr>
            <w:tcW w:w="3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5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Registered Investment Company Funds:</w:t>
            </w:r>
          </w:p>
        </w:tc>
        <w:tc>
          <w:tcPr>
            <w:tcW w:w="1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PIMCO High Yield Fund (Admin)</w:t>
            </w: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Registered Investment Company Funds</w:t>
            </w:r>
          </w:p>
        </w:tc>
        <w:tc>
          <w:tcPr>
            <w:tcW w:w="720" w:type="dxa"/>
            <w:vAlign w:val="bottom"/>
            <w:gridSpan w:val="4"/>
          </w:tcPr>
          <w:p>
            <w:pPr>
              <w:ind w:left="16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775,817</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Artisan Mid Cap Fund (Inv Shrs)</w:t>
            </w: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Registered Investment Company Funds</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8,481,933</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PIMCO Total Return Fund (Admin)</w:t>
            </w: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Registered Investment Company Funds</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14,464,491</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Artisan Small Cap Value Fund</w:t>
            </w: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Registered Investment Company Funds</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7,291,003</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Artisan International Fund</w:t>
            </w: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Registered Investment Company Funds</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10,448,393</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American Century Real Estate Fund</w:t>
            </w: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Registered Investment Company Funds</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6,851,637</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Davis New York Venture Fund (A)</w:t>
            </w: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Registered Investment Company Funds</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6,338,359</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TCW Galileo Select Equities Adv Fund</w:t>
            </w: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Registered Investment Company Funds</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4,330,161</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Artisan Mid Cap Value Fund</w:t>
            </w: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Registered Investment Company Funds</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3,593,938</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Mainstay Cash Reserves Fund I</w:t>
            </w: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Registered Investment Company Funds</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434,360</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Baron Growth Fund</w:t>
            </w: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Registered Investment Company Funds</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4,252,622</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Common/Collective Trust Funds:</w:t>
            </w:r>
          </w:p>
        </w:tc>
        <w:tc>
          <w:tcPr>
            <w:tcW w:w="1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Barclays Equity Index Fund Q</w:t>
            </w: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Common/Collective Trust Funds</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14,246,737</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Pooled Separate Accounts:</w:t>
            </w:r>
          </w:p>
        </w:tc>
        <w:tc>
          <w:tcPr>
            <w:tcW w:w="1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New York Life Insurance Anchor Account I</w:t>
            </w: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Pooled Separate Accounts</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18,815,264</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Stock Funds:</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Itron, Inc. Company Stock Fund</w:t>
            </w: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Company Stock Fund</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8,543,495</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Schlumberger Ltd. Common Stock Fund</w:t>
            </w: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Company Stock Fund</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108,905</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Transocean Inc. Common Stock Fund</w:t>
            </w: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Company Stock Fund</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13,729</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Individually Directed Accounts</w:t>
            </w:r>
          </w:p>
        </w:tc>
        <w:tc>
          <w:tcPr>
            <w:tcW w:w="4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Individually Directed Accounts</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926,681</w:t>
            </w:r>
          </w:p>
        </w:tc>
        <w:tc>
          <w:tcPr>
            <w:tcW w:w="20" w:type="dxa"/>
            <w:vAlign w:val="bottom"/>
          </w:tcPr>
          <w:p>
            <w:pPr>
              <w:spacing w:after="0"/>
              <w:rPr>
                <w:sz w:val="18"/>
                <w:szCs w:val="18"/>
                <w:color w:val="auto"/>
              </w:rPr>
            </w:pPr>
          </w:p>
        </w:tc>
      </w:tr>
      <w:tr>
        <w:trPr>
          <w:trHeight w:val="208"/>
        </w:trPr>
        <w:tc>
          <w:tcPr>
            <w:tcW w:w="5000" w:type="dxa"/>
            <w:vAlign w:val="bottom"/>
            <w:gridSpan w:val="4"/>
          </w:tcPr>
          <w:p>
            <w:pPr>
              <w:ind w:left="80"/>
              <w:spacing w:after="0"/>
              <w:rPr>
                <w:sz w:val="20"/>
                <w:szCs w:val="20"/>
                <w:color w:val="auto"/>
              </w:rPr>
            </w:pPr>
            <w:r>
              <w:rPr>
                <w:rFonts w:ascii="Arial" w:cs="Arial" w:eastAsia="Arial" w:hAnsi="Arial"/>
                <w:sz w:val="18"/>
                <w:szCs w:val="18"/>
                <w:color w:val="auto"/>
              </w:rPr>
              <w:t>*  Participant Loans (4.0% - 9.5%, secured by participant’s</w:t>
            </w: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Participant Loans</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2,170,433</w:t>
            </w:r>
          </w:p>
        </w:tc>
        <w:tc>
          <w:tcPr>
            <w:tcW w:w="20" w:type="dxa"/>
            <w:vAlign w:val="bottom"/>
          </w:tcPr>
          <w:p>
            <w:pPr>
              <w:spacing w:after="0"/>
              <w:rPr>
                <w:sz w:val="18"/>
                <w:szCs w:val="18"/>
                <w:color w:val="auto"/>
              </w:rPr>
            </w:pPr>
          </w:p>
        </w:tc>
      </w:tr>
      <w:tr>
        <w:trPr>
          <w:trHeight w:val="231"/>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ind w:left="200"/>
              <w:spacing w:after="0"/>
              <w:rPr>
                <w:sz w:val="20"/>
                <w:szCs w:val="20"/>
                <w:color w:val="auto"/>
              </w:rPr>
            </w:pPr>
            <w:r>
              <w:rPr>
                <w:rFonts w:ascii="Arial" w:cs="Arial" w:eastAsia="Arial" w:hAnsi="Arial"/>
                <w:sz w:val="18"/>
                <w:szCs w:val="18"/>
                <w:color w:val="auto"/>
              </w:rPr>
              <w:t>accounts)</w:t>
            </w: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112,087,958</w:t>
            </w:r>
          </w:p>
        </w:tc>
        <w:tc>
          <w:tcPr>
            <w:tcW w:w="2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Party in interest transaction as defined by ERISA.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The cost of participant directed investments is not required to be disclosed.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Advisory Committee has duly caused this Annual Report to be signed on its</w:t>
      </w:r>
      <w:r>
        <w:rPr>
          <w:rFonts w:ascii="Arial" w:cs="Arial" w:eastAsia="Arial" w:hAnsi="Arial"/>
          <w:sz w:val="18"/>
          <w:szCs w:val="18"/>
          <w:i w:val="1"/>
          <w:iCs w:val="1"/>
          <w:color w:val="auto"/>
        </w:rPr>
        <w:t xml:space="preserve"> </w:t>
      </w:r>
      <w:r>
        <w:rPr>
          <w:rFonts w:ascii="Arial" w:cs="Arial" w:eastAsia="Arial" w:hAnsi="Arial"/>
          <w:sz w:val="18"/>
          <w:szCs w:val="18"/>
          <w:color w:val="auto"/>
        </w:rPr>
        <w:t>behalf by the undersigned thereunto duly authorized, on the 23rd of June, 2006.</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ITRON, INC. INCENTIVE SAVINGS PLAN</w:t>
      </w:r>
    </w:p>
    <w:p>
      <w:pPr>
        <w:spacing w:after="0" w:line="15"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(Name of Plan)</w:t>
      </w:r>
    </w:p>
    <w:p>
      <w:pPr>
        <w:spacing w:after="0" w:line="197" w:lineRule="exact"/>
        <w:rPr>
          <w:sz w:val="20"/>
          <w:szCs w:val="20"/>
          <w:color w:val="auto"/>
        </w:rPr>
      </w:pPr>
    </w:p>
    <w:p>
      <w:pPr>
        <w:ind w:left="7880"/>
        <w:spacing w:after="0"/>
        <w:tabs>
          <w:tab w:leader="none" w:pos="82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TEVEN</w:t>
      </w:r>
      <w:r>
        <w:rPr>
          <w:rFonts w:ascii="Arial" w:cs="Arial" w:eastAsia="Arial" w:hAnsi="Arial"/>
          <w:sz w:val="16"/>
          <w:szCs w:val="16"/>
          <w:color w:val="auto"/>
        </w:rPr>
        <w:t xml:space="preserve"> M. H</w:t>
      </w:r>
      <w:r>
        <w:rPr>
          <w:rFonts w:ascii="Arial" w:cs="Arial" w:eastAsia="Arial" w:hAnsi="Arial"/>
          <w:sz w:val="13"/>
          <w:szCs w:val="13"/>
          <w:color w:val="auto"/>
        </w:rPr>
        <w:t>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Steven M. Helmbrecht</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Sr. Vice President and Chief Financial Officer</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jc w:val="center"/>
              <w:ind w:right="939"/>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24"/>
                <w:szCs w:val="24"/>
                <w:color w:val="auto"/>
              </w:rPr>
            </w:pPr>
          </w:p>
        </w:tc>
        <w:tc>
          <w:tcPr>
            <w:tcW w:w="10380" w:type="dxa"/>
            <w:vAlign w:val="bottom"/>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55"/>
        </w:trPr>
        <w:tc>
          <w:tcPr>
            <w:tcW w:w="500" w:type="dxa"/>
            <w:vAlign w:val="bottom"/>
            <w:tcBorders>
              <w:bottom w:val="single" w:sz="8" w:color="auto"/>
            </w:tcBorders>
          </w:tcPr>
          <w:p>
            <w:pPr>
              <w:ind w:left="20"/>
              <w:spacing w:after="0" w:line="148" w:lineRule="exact"/>
              <w:rPr>
                <w:sz w:val="20"/>
                <w:szCs w:val="20"/>
                <w:color w:val="auto"/>
              </w:rPr>
            </w:pPr>
            <w:r>
              <w:rPr>
                <w:rFonts w:ascii="Arial" w:cs="Arial" w:eastAsia="Arial" w:hAnsi="Arial"/>
                <w:sz w:val="14"/>
                <w:szCs w:val="14"/>
                <w:b w:val="1"/>
                <w:bCs w:val="1"/>
                <w:color w:val="auto"/>
                <w:w w:val="86"/>
              </w:rPr>
              <w:t>Number</w:t>
            </w:r>
          </w:p>
        </w:tc>
        <w:tc>
          <w:tcPr>
            <w:tcW w:w="540" w:type="dxa"/>
            <w:vAlign w:val="bottom"/>
          </w:tcPr>
          <w:p>
            <w:pPr>
              <w:spacing w:after="0"/>
              <w:rPr>
                <w:sz w:val="13"/>
                <w:szCs w:val="13"/>
                <w:color w:val="auto"/>
              </w:rPr>
            </w:pPr>
          </w:p>
        </w:tc>
        <w:tc>
          <w:tcPr>
            <w:tcW w:w="103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500" w:type="dxa"/>
            <w:vAlign w:val="bottom"/>
          </w:tcPr>
          <w:p>
            <w:pPr>
              <w:jc w:val="right"/>
              <w:ind w:right="106"/>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Consent of Moss Adams LLP, Independent Registered Public Accounting Firm</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9"/>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333-110703) of Itron, Inc. of our report dated June 22, 2006, relating to the financial statements of the Itron, Inc. Incentive Savings Plan, which appears in this Form 11-K.</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Moss Adams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Spokane, WA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22,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2019-12-13T15:47:53Z</dcterms:created>
  <dcterms:modified xsi:type="dcterms:W3CDTF">2019-12-13T15:47:53Z</dcterms:modified>
</cp:coreProperties>
</file>