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____________________________</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May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13970</wp:posOffset>
            </wp:positionV>
            <wp:extent cx="20656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Report (Date of earliest event reported)</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1607820</wp:posOffset>
            </wp:positionH>
            <wp:positionV relativeFrom="paragraph">
              <wp:posOffset>13970</wp:posOffset>
            </wp:positionV>
            <wp:extent cx="3926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pacing w:after="0" w:line="115" w:lineRule="exact"/>
        <w:rPr>
          <w:sz w:val="24"/>
          <w:szCs w:val="24"/>
          <w:color w:val="auto"/>
        </w:rPr>
      </w:pPr>
    </w:p>
    <w:tbl>
      <w:tblPr>
        <w:tblLayout w:type="fixed"/>
        <w:tblInd w:w="1280" w:type="dxa"/>
        <w:tblCellMar>
          <w:top w:w="0" w:type="dxa"/>
          <w:left w:w="0" w:type="dxa"/>
          <w:bottom w:w="0" w:type="dxa"/>
          <w:right w:w="0" w:type="dxa"/>
        </w:tblCellMar>
      </w:tblPr>
      <w:tr>
        <w:trPr>
          <w:trHeight w:val="252"/>
        </w:trPr>
        <w:tc>
          <w:tcPr>
            <w:tcW w:w="3040" w:type="dxa"/>
            <w:vAlign w:val="bottom"/>
            <w:gridSpan w:val="2"/>
          </w:tcPr>
          <w:p>
            <w:pPr>
              <w:jc w:val="center"/>
              <w:ind w:right="240"/>
              <w:spacing w:after="0"/>
              <w:rPr>
                <w:sz w:val="20"/>
                <w:szCs w:val="20"/>
                <w:color w:val="auto"/>
              </w:rPr>
            </w:pPr>
            <w:r>
              <w:rPr>
                <w:rFonts w:ascii="Arial" w:cs="Arial" w:eastAsia="Arial" w:hAnsi="Arial"/>
                <w:sz w:val="20"/>
                <w:szCs w:val="20"/>
                <w:b w:val="1"/>
                <w:bCs w:val="1"/>
                <w:color w:val="auto"/>
                <w:w w:val="87"/>
              </w:rPr>
              <w:t>Washington</w:t>
            </w:r>
          </w:p>
        </w:tc>
        <w:tc>
          <w:tcPr>
            <w:tcW w:w="2680" w:type="dxa"/>
            <w:vAlign w:val="bottom"/>
          </w:tcPr>
          <w:p>
            <w:pPr>
              <w:jc w:val="center"/>
              <w:spacing w:after="0"/>
              <w:rPr>
                <w:sz w:val="20"/>
                <w:szCs w:val="20"/>
                <w:color w:val="auto"/>
              </w:rPr>
            </w:pPr>
            <w:r>
              <w:rPr>
                <w:rFonts w:ascii="Arial" w:cs="Arial" w:eastAsia="Arial" w:hAnsi="Arial"/>
                <w:sz w:val="20"/>
                <w:szCs w:val="20"/>
                <w:b w:val="1"/>
                <w:bCs w:val="1"/>
                <w:color w:val="auto"/>
                <w:w w:val="89"/>
              </w:rPr>
              <w:t>000-22418</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40" w:type="dxa"/>
            <w:vAlign w:val="bottom"/>
          </w:tcPr>
          <w:p>
            <w:pPr>
              <w:jc w:val="center"/>
              <w:ind w:right="401"/>
              <w:spacing w:after="0"/>
              <w:rPr>
                <w:sz w:val="20"/>
                <w:szCs w:val="20"/>
                <w:color w:val="auto"/>
              </w:rPr>
            </w:pPr>
            <w:r>
              <w:rPr>
                <w:rFonts w:ascii="Arial" w:cs="Arial" w:eastAsia="Arial" w:hAnsi="Arial"/>
                <w:sz w:val="20"/>
                <w:szCs w:val="20"/>
                <w:b w:val="1"/>
                <w:bCs w:val="1"/>
                <w:color w:val="auto"/>
                <w:w w:val="88"/>
              </w:rPr>
              <w:t>91-1011792</w:t>
            </w:r>
          </w:p>
        </w:tc>
      </w:tr>
      <w:tr>
        <w:trPr>
          <w:trHeight w:val="183"/>
        </w:trPr>
        <w:tc>
          <w:tcPr>
            <w:tcW w:w="280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20"/>
                <w:szCs w:val="20"/>
                <w:color w:val="auto"/>
                <w:w w:val="91"/>
              </w:rPr>
              <w:t>(State or other jurisdiction</w:t>
            </w:r>
          </w:p>
        </w:tc>
        <w:tc>
          <w:tcPr>
            <w:tcW w:w="240" w:type="dxa"/>
            <w:vAlign w:val="bottom"/>
          </w:tcPr>
          <w:p>
            <w:pPr>
              <w:spacing w:after="0"/>
              <w:rPr>
                <w:sz w:val="15"/>
                <w:szCs w:val="15"/>
                <w:color w:val="auto"/>
              </w:rPr>
            </w:pPr>
          </w:p>
        </w:tc>
        <w:tc>
          <w:tcPr>
            <w:tcW w:w="268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20"/>
                <w:szCs w:val="20"/>
                <w:color w:val="auto"/>
                <w:w w:val="90"/>
              </w:rPr>
              <w:t>(Commission</w:t>
            </w:r>
          </w:p>
        </w:tc>
        <w:tc>
          <w:tcPr>
            <w:tcW w:w="24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240" w:type="dxa"/>
            <w:vAlign w:val="bottom"/>
            <w:tcBorders>
              <w:top w:val="single" w:sz="8" w:color="auto"/>
            </w:tcBorders>
          </w:tcPr>
          <w:p>
            <w:pPr>
              <w:jc w:val="center"/>
              <w:ind w:right="421"/>
              <w:spacing w:after="0" w:line="183" w:lineRule="exact"/>
              <w:rPr>
                <w:sz w:val="20"/>
                <w:szCs w:val="20"/>
                <w:color w:val="auto"/>
              </w:rPr>
            </w:pPr>
            <w:r>
              <w:rPr>
                <w:rFonts w:ascii="Arial" w:cs="Arial" w:eastAsia="Arial" w:hAnsi="Arial"/>
                <w:sz w:val="20"/>
                <w:szCs w:val="20"/>
                <w:color w:val="auto"/>
                <w:w w:val="92"/>
              </w:rPr>
              <w:t>(IRS Employer</w:t>
            </w:r>
          </w:p>
        </w:tc>
      </w:tr>
      <w:tr>
        <w:trPr>
          <w:trHeight w:val="250"/>
        </w:trPr>
        <w:tc>
          <w:tcPr>
            <w:tcW w:w="3040" w:type="dxa"/>
            <w:vAlign w:val="bottom"/>
            <w:gridSpan w:val="2"/>
          </w:tcPr>
          <w:p>
            <w:pPr>
              <w:jc w:val="center"/>
              <w:ind w:right="240"/>
              <w:spacing w:after="0"/>
              <w:rPr>
                <w:sz w:val="20"/>
                <w:szCs w:val="20"/>
                <w:color w:val="auto"/>
              </w:rPr>
            </w:pPr>
            <w:r>
              <w:rPr>
                <w:rFonts w:ascii="Arial" w:cs="Arial" w:eastAsia="Arial" w:hAnsi="Arial"/>
                <w:sz w:val="20"/>
                <w:szCs w:val="20"/>
                <w:color w:val="auto"/>
                <w:w w:val="94"/>
              </w:rPr>
              <w:t>of incorporation)</w:t>
            </w:r>
          </w:p>
        </w:tc>
        <w:tc>
          <w:tcPr>
            <w:tcW w:w="2920" w:type="dxa"/>
            <w:vAlign w:val="bottom"/>
            <w:gridSpan w:val="2"/>
          </w:tcPr>
          <w:p>
            <w:pPr>
              <w:jc w:val="center"/>
              <w:ind w:right="240"/>
              <w:spacing w:after="0"/>
              <w:rPr>
                <w:sz w:val="20"/>
                <w:szCs w:val="20"/>
                <w:color w:val="auto"/>
              </w:rPr>
            </w:pPr>
            <w:r>
              <w:rPr>
                <w:rFonts w:ascii="Arial" w:cs="Arial" w:eastAsia="Arial" w:hAnsi="Arial"/>
                <w:sz w:val="20"/>
                <w:szCs w:val="20"/>
                <w:color w:val="auto"/>
                <w:w w:val="93"/>
              </w:rPr>
              <w:t>File Number)</w:t>
            </w:r>
          </w:p>
        </w:tc>
        <w:tc>
          <w:tcPr>
            <w:tcW w:w="500" w:type="dxa"/>
            <w:vAlign w:val="bottom"/>
          </w:tcPr>
          <w:p>
            <w:pPr>
              <w:spacing w:after="0"/>
              <w:rPr>
                <w:sz w:val="21"/>
                <w:szCs w:val="21"/>
                <w:color w:val="auto"/>
              </w:rPr>
            </w:pPr>
          </w:p>
        </w:tc>
        <w:tc>
          <w:tcPr>
            <w:tcW w:w="2240" w:type="dxa"/>
            <w:vAlign w:val="bottom"/>
          </w:tcPr>
          <w:p>
            <w:pPr>
              <w:jc w:val="center"/>
              <w:ind w:right="401"/>
              <w:spacing w:after="0"/>
              <w:rPr>
                <w:sz w:val="20"/>
                <w:szCs w:val="20"/>
                <w:color w:val="auto"/>
              </w:rPr>
            </w:pPr>
            <w:r>
              <w:rPr>
                <w:rFonts w:ascii="Arial" w:cs="Arial" w:eastAsia="Arial" w:hAnsi="Arial"/>
                <w:sz w:val="20"/>
                <w:szCs w:val="20"/>
                <w:color w:val="auto"/>
                <w:w w:val="93"/>
              </w:rPr>
              <w:t>Identification No.)</w:t>
            </w:r>
          </w:p>
        </w:tc>
      </w:tr>
      <w:tr>
        <w:trPr>
          <w:trHeight w:val="361"/>
        </w:trPr>
        <w:tc>
          <w:tcPr>
            <w:tcW w:w="3040" w:type="dxa"/>
            <w:vAlign w:val="bottom"/>
            <w:gridSpan w:val="2"/>
          </w:tcPr>
          <w:p>
            <w:pPr>
              <w:ind w:left="1220"/>
              <w:spacing w:after="0"/>
              <w:rPr>
                <w:sz w:val="20"/>
                <w:szCs w:val="20"/>
                <w:color w:val="auto"/>
              </w:rPr>
            </w:pPr>
            <w:r>
              <w:rPr>
                <w:rFonts w:ascii="Arial" w:cs="Arial" w:eastAsia="Arial" w:hAnsi="Arial"/>
                <w:sz w:val="20"/>
                <w:szCs w:val="20"/>
                <w:b w:val="1"/>
                <w:bCs w:val="1"/>
                <w:color w:val="auto"/>
                <w:w w:val="94"/>
              </w:rPr>
              <w:t>2111 N. Molter Road</w:t>
            </w:r>
          </w:p>
        </w:tc>
        <w:tc>
          <w:tcPr>
            <w:tcW w:w="2920" w:type="dxa"/>
            <w:vAlign w:val="bottom"/>
            <w:gridSpan w:val="2"/>
          </w:tcPr>
          <w:p>
            <w:pPr>
              <w:ind w:left="1100"/>
              <w:spacing w:after="0"/>
              <w:rPr>
                <w:sz w:val="20"/>
                <w:szCs w:val="20"/>
                <w:color w:val="auto"/>
              </w:rPr>
            </w:pPr>
            <w:r>
              <w:rPr>
                <w:rFonts w:ascii="Arial" w:cs="Arial" w:eastAsia="Arial" w:hAnsi="Arial"/>
                <w:sz w:val="20"/>
                <w:szCs w:val="20"/>
                <w:b w:val="1"/>
                <w:bCs w:val="1"/>
                <w:color w:val="auto"/>
              </w:rPr>
              <w:t>Liberty Lake,</w:t>
            </w:r>
          </w:p>
        </w:tc>
        <w:tc>
          <w:tcPr>
            <w:tcW w:w="500" w:type="dxa"/>
            <w:vAlign w:val="bottom"/>
          </w:tcPr>
          <w:p>
            <w:pPr>
              <w:ind w:left="40"/>
              <w:spacing w:after="0"/>
              <w:rPr>
                <w:sz w:val="20"/>
                <w:szCs w:val="20"/>
                <w:color w:val="auto"/>
              </w:rPr>
            </w:pPr>
            <w:r>
              <w:rPr>
                <w:rFonts w:ascii="Arial" w:cs="Arial" w:eastAsia="Arial" w:hAnsi="Arial"/>
                <w:sz w:val="20"/>
                <w:szCs w:val="20"/>
                <w:b w:val="1"/>
                <w:bCs w:val="1"/>
                <w:color w:val="auto"/>
              </w:rPr>
              <w:t>WA</w:t>
            </w:r>
          </w:p>
        </w:tc>
        <w:tc>
          <w:tcPr>
            <w:tcW w:w="2240" w:type="dxa"/>
            <w:vAlign w:val="bottom"/>
          </w:tcPr>
          <w:p>
            <w:pPr>
              <w:jc w:val="right"/>
              <w:ind w:right="841"/>
              <w:spacing w:after="0"/>
              <w:rPr>
                <w:sz w:val="20"/>
                <w:szCs w:val="20"/>
                <w:color w:val="auto"/>
              </w:rPr>
            </w:pPr>
            <w:r>
              <w:rPr>
                <w:rFonts w:ascii="Arial" w:cs="Arial" w:eastAsia="Arial" w:hAnsi="Arial"/>
                <w:sz w:val="20"/>
                <w:szCs w:val="20"/>
                <w:b w:val="1"/>
                <w:bCs w:val="1"/>
                <w:color w:val="auto"/>
              </w:rPr>
              <w:t>99019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1059180</wp:posOffset>
            </wp:positionH>
            <wp:positionV relativeFrom="paragraph">
              <wp:posOffset>-1905</wp:posOffset>
            </wp:positionV>
            <wp:extent cx="5023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ind w:left="3640"/>
        <w:spacing w:after="0"/>
        <w:rPr>
          <w:sz w:val="20"/>
          <w:szCs w:val="20"/>
          <w:color w:val="auto"/>
        </w:rPr>
      </w:pPr>
      <w:r>
        <w:rPr>
          <w:rFonts w:ascii="Arial" w:cs="Arial" w:eastAsia="Arial" w:hAnsi="Arial"/>
          <w:sz w:val="20"/>
          <w:szCs w:val="20"/>
          <w:color w:val="auto"/>
        </w:rPr>
        <w:t>(Address of principal executive offices, Zip Code)</w:t>
      </w:r>
    </w:p>
    <w:p>
      <w:pPr>
        <w:spacing w:after="0" w:line="129" w:lineRule="exact"/>
        <w:rPr>
          <w:sz w:val="24"/>
          <w:szCs w:val="24"/>
          <w:color w:val="auto"/>
        </w:rPr>
      </w:pPr>
    </w:p>
    <w:p>
      <w:pPr>
        <w:ind w:left="5180"/>
        <w:spacing w:after="0"/>
        <w:rPr>
          <w:sz w:val="20"/>
          <w:szCs w:val="20"/>
          <w:color w:val="auto"/>
        </w:rPr>
      </w:pPr>
      <w:r>
        <w:rPr>
          <w:rFonts w:ascii="Arial" w:cs="Arial" w:eastAsia="Arial" w:hAnsi="Arial"/>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1059180</wp:posOffset>
            </wp:positionH>
            <wp:positionV relativeFrom="paragraph">
              <wp:posOffset>13970</wp:posOffset>
            </wp:positionV>
            <wp:extent cx="5023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1016635</wp:posOffset>
            </wp:positionH>
            <wp:positionV relativeFrom="paragraph">
              <wp:posOffset>173355</wp:posOffset>
            </wp:positionV>
            <wp:extent cx="5117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17465" cy="8255"/>
                    </a:xfrm>
                    <a:prstGeom prst="rect">
                      <a:avLst/>
                    </a:prstGeom>
                    <a:noFill/>
                  </pic:spPr>
                </pic:pic>
              </a:graphicData>
            </a:graphic>
          </wp:anchor>
        </w:drawing>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33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204"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Securities Act (17 CFR 230.425)</w:t>
      </w:r>
    </w:p>
    <w:p>
      <w:pPr>
        <w:spacing w:after="0" w:line="1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27" w:lineRule="exact"/>
        <w:rPr>
          <w:sz w:val="24"/>
          <w:szCs w:val="24"/>
          <w:color w:val="auto"/>
        </w:rPr>
      </w:pPr>
    </w:p>
    <w:p>
      <w:pPr>
        <w:spacing w:after="0"/>
        <w:rPr>
          <w:sz w:val="20"/>
          <w:szCs w:val="20"/>
          <w:color w:val="auto"/>
        </w:rPr>
      </w:pPr>
      <w:r>
        <w:rPr>
          <w:rFonts w:ascii="Arial" w:cs="Arial" w:eastAsia="Arial" w:hAnsi="Arial"/>
          <w:sz w:val="20"/>
          <w:szCs w:val="20"/>
          <w:color w:val="auto"/>
        </w:rPr>
        <w:t>Securities registered pursuant to Section 12(b) of the Act:</w:t>
      </w:r>
    </w:p>
    <w:p>
      <w:pPr>
        <w:spacing w:after="0" w:line="39" w:lineRule="exact"/>
        <w:rPr>
          <w:sz w:val="24"/>
          <w:szCs w:val="24"/>
          <w:color w:val="auto"/>
        </w:rPr>
      </w:pPr>
    </w:p>
    <w:tbl>
      <w:tblPr>
        <w:tblLayout w:type="fixed"/>
        <w:tblInd w:w="260" w:type="dxa"/>
        <w:tblCellMar>
          <w:top w:w="0" w:type="dxa"/>
          <w:left w:w="0" w:type="dxa"/>
          <w:bottom w:w="0" w:type="dxa"/>
          <w:right w:w="0" w:type="dxa"/>
        </w:tblCellMar>
      </w:tblPr>
      <w:tr>
        <w:trPr>
          <w:trHeight w:val="234"/>
        </w:trPr>
        <w:tc>
          <w:tcPr>
            <w:tcW w:w="3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Title of each class</w:t>
            </w:r>
          </w:p>
        </w:tc>
        <w:tc>
          <w:tcPr>
            <w:tcW w:w="2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Trading Symbol(s)</w:t>
            </w:r>
          </w:p>
        </w:tc>
        <w:tc>
          <w:tcPr>
            <w:tcW w:w="462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74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color w:val="auto"/>
                <w:w w:val="90"/>
              </w:rPr>
              <w:t>Common stock, no par value</w:t>
            </w:r>
          </w:p>
        </w:tc>
        <w:tc>
          <w:tcPr>
            <w:tcW w:w="100" w:type="dxa"/>
            <w:vAlign w:val="bottom"/>
          </w:tcPr>
          <w:p>
            <w:pPr>
              <w:spacing w:after="0"/>
              <w:rPr>
                <w:sz w:val="19"/>
                <w:szCs w:val="19"/>
                <w:color w:val="auto"/>
              </w:rPr>
            </w:pPr>
          </w:p>
        </w:tc>
        <w:tc>
          <w:tcPr>
            <w:tcW w:w="242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color w:val="auto"/>
                <w:w w:val="99"/>
              </w:rPr>
              <w:t>ITRI</w:t>
            </w:r>
          </w:p>
        </w:tc>
        <w:tc>
          <w:tcPr>
            <w:tcW w:w="100" w:type="dxa"/>
            <w:vAlign w:val="bottom"/>
          </w:tcPr>
          <w:p>
            <w:pPr>
              <w:spacing w:after="0"/>
              <w:rPr>
                <w:sz w:val="19"/>
                <w:szCs w:val="19"/>
                <w:color w:val="auto"/>
              </w:rPr>
            </w:pPr>
          </w:p>
        </w:tc>
        <w:tc>
          <w:tcPr>
            <w:tcW w:w="462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color w:val="auto"/>
                <w:w w:val="94"/>
              </w:rPr>
              <w:t>NASDAQ Global Select Market</w:t>
            </w:r>
          </w:p>
        </w:tc>
      </w:tr>
    </w:tbl>
    <w:p>
      <w:pPr>
        <w:spacing w:after="0" w:line="320" w:lineRule="exact"/>
        <w:rPr>
          <w:sz w:val="24"/>
          <w:szCs w:val="24"/>
          <w:color w:val="auto"/>
        </w:rPr>
      </w:pPr>
    </w:p>
    <w:p>
      <w:pPr>
        <w:jc w:val="both"/>
        <w:spacing w:after="0" w:line="260"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1" w:lineRule="exact"/>
        <w:rPr>
          <w:sz w:val="24"/>
          <w:szCs w:val="24"/>
          <w:color w:val="auto"/>
        </w:rPr>
      </w:pPr>
    </w:p>
    <w:p>
      <w:pPr>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pacing w:after="0" w:line="145" w:lineRule="exact"/>
        <w:rPr>
          <w:sz w:val="24"/>
          <w:szCs w:val="24"/>
          <w:color w:val="auto"/>
        </w:rPr>
      </w:pPr>
    </w:p>
    <w:p>
      <w:pPr>
        <w:jc w:val="both"/>
        <w:spacing w:after="0" w:line="251"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597535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20"/>
          <w:szCs w:val="20"/>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4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Itron, Inc. (the Company) held its 2021 Annual Meeting of Shareholders (the Annual Meeting) on May 13, 2021. Three proposals were voted upon at the Annual Meeting. The proposals are described in detail in the Company's proxy statement filed with the Securities and Exchange Commission on March 22, 2021. Each of the proposals passed. The final results for the votes regarding each proposal are set forth below.</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Proposal One: The following nominees for Director were elected until their successors are duly elected and qualified: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gridSpan w:val="2"/>
          </w:tcPr>
          <w:p>
            <w:pPr>
              <w:ind w:left="20"/>
              <w:spacing w:after="0"/>
              <w:rPr>
                <w:sz w:val="20"/>
                <w:szCs w:val="20"/>
                <w:color w:val="auto"/>
              </w:rPr>
            </w:pPr>
            <w:r>
              <w:rPr>
                <w:rFonts w:ascii="Arial" w:cs="Arial" w:eastAsia="Arial" w:hAnsi="Arial"/>
                <w:sz w:val="18"/>
                <w:szCs w:val="18"/>
                <w:b w:val="1"/>
                <w:bCs w:val="1"/>
                <w:color w:val="auto"/>
              </w:rPr>
              <w:t>NOMINEE</w:t>
            </w:r>
          </w:p>
        </w:tc>
        <w:tc>
          <w:tcPr>
            <w:tcW w:w="2260" w:type="dxa"/>
            <w:vAlign w:val="bottom"/>
            <w:gridSpan w:val="2"/>
          </w:tcPr>
          <w:p>
            <w:pPr>
              <w:ind w:left="560"/>
              <w:spacing w:after="0"/>
              <w:rPr>
                <w:sz w:val="20"/>
                <w:szCs w:val="20"/>
                <w:color w:val="auto"/>
              </w:rPr>
            </w:pPr>
            <w:r>
              <w:rPr>
                <w:rFonts w:ascii="Arial" w:cs="Arial" w:eastAsia="Arial" w:hAnsi="Arial"/>
                <w:sz w:val="18"/>
                <w:szCs w:val="18"/>
                <w:b w:val="1"/>
                <w:bCs w:val="1"/>
                <w:color w:val="auto"/>
              </w:rPr>
              <w:t>VOTES FOR</w:t>
            </w:r>
          </w:p>
        </w:tc>
        <w:tc>
          <w:tcPr>
            <w:tcW w:w="2240" w:type="dxa"/>
            <w:vAlign w:val="bottom"/>
            <w:gridSpan w:val="2"/>
          </w:tcPr>
          <w:p>
            <w:pPr>
              <w:ind w:left="340"/>
              <w:spacing w:after="0"/>
              <w:rPr>
                <w:sz w:val="20"/>
                <w:szCs w:val="20"/>
                <w:color w:val="auto"/>
              </w:rPr>
            </w:pPr>
            <w:r>
              <w:rPr>
                <w:rFonts w:ascii="Arial" w:cs="Arial" w:eastAsia="Arial" w:hAnsi="Arial"/>
                <w:sz w:val="18"/>
                <w:szCs w:val="18"/>
                <w:b w:val="1"/>
                <w:bCs w:val="1"/>
                <w:color w:val="auto"/>
              </w:rPr>
              <w:t>VOTES AGAINST</w:t>
            </w:r>
          </w:p>
        </w:tc>
        <w:tc>
          <w:tcPr>
            <w:tcW w:w="2280" w:type="dxa"/>
            <w:vAlign w:val="bottom"/>
            <w:gridSpan w:val="2"/>
          </w:tcPr>
          <w:p>
            <w:pPr>
              <w:ind w:left="460"/>
              <w:spacing w:after="0"/>
              <w:rPr>
                <w:sz w:val="20"/>
                <w:szCs w:val="20"/>
                <w:color w:val="auto"/>
              </w:rPr>
            </w:pPr>
            <w:r>
              <w:rPr>
                <w:rFonts w:ascii="Arial" w:cs="Arial" w:eastAsia="Arial" w:hAnsi="Arial"/>
                <w:sz w:val="18"/>
                <w:szCs w:val="18"/>
                <w:b w:val="1"/>
                <w:bCs w:val="1"/>
                <w:color w:val="auto"/>
              </w:rPr>
              <w:t>ABSTENTIONS</w:t>
            </w:r>
          </w:p>
        </w:tc>
        <w:tc>
          <w:tcPr>
            <w:tcW w:w="2400" w:type="dxa"/>
            <w:vAlign w:val="bottom"/>
          </w:tcPr>
          <w:p>
            <w:pPr>
              <w:jc w:val="right"/>
              <w:ind w:right="170"/>
              <w:spacing w:after="0"/>
              <w:rPr>
                <w:sz w:val="20"/>
                <w:szCs w:val="20"/>
                <w:color w:val="auto"/>
              </w:rPr>
            </w:pPr>
            <w:r>
              <w:rPr>
                <w:rFonts w:ascii="Arial" w:cs="Arial" w:eastAsia="Arial" w:hAnsi="Arial"/>
                <w:sz w:val="18"/>
                <w:szCs w:val="18"/>
                <w:b w:val="1"/>
                <w:bCs w:val="1"/>
                <w:color w:val="auto"/>
              </w:rPr>
              <w:t>BROKER NON-VOTES</w:t>
            </w:r>
          </w:p>
        </w:tc>
      </w:tr>
      <w:tr>
        <w:trPr>
          <w:trHeight w:val="223"/>
        </w:trPr>
        <w:tc>
          <w:tcPr>
            <w:tcW w:w="1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Thomas L. Deitrich</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38,596,404</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748,290</w:t>
            </w:r>
          </w:p>
        </w:tc>
        <w:tc>
          <w:tcPr>
            <w:tcW w:w="8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31,955</w:t>
            </w:r>
          </w:p>
        </w:tc>
        <w:tc>
          <w:tcPr>
            <w:tcW w:w="1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1,985,314</w:t>
            </w:r>
          </w:p>
        </w:tc>
      </w:tr>
      <w:tr>
        <w:trPr>
          <w:trHeight w:val="230"/>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Timothy M. Leyden</w:t>
            </w:r>
          </w:p>
        </w:tc>
        <w:tc>
          <w:tcPr>
            <w:tcW w:w="2160" w:type="dxa"/>
            <w:vAlign w:val="bottom"/>
          </w:tcPr>
          <w:p>
            <w:pPr>
              <w:jc w:val="right"/>
              <w:spacing w:after="0"/>
              <w:rPr>
                <w:sz w:val="20"/>
                <w:szCs w:val="20"/>
                <w:color w:val="auto"/>
              </w:rPr>
            </w:pPr>
            <w:r>
              <w:rPr>
                <w:rFonts w:ascii="Arial" w:cs="Arial" w:eastAsia="Arial" w:hAnsi="Arial"/>
                <w:sz w:val="18"/>
                <w:szCs w:val="18"/>
                <w:color w:val="auto"/>
              </w:rPr>
              <w:t>31,783,327</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7,561,152</w:t>
            </w:r>
          </w:p>
        </w:tc>
        <w:tc>
          <w:tcPr>
            <w:tcW w:w="8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32,170</w:t>
            </w:r>
          </w:p>
        </w:tc>
        <w:tc>
          <w:tcPr>
            <w:tcW w:w="10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1,985,314</w:t>
            </w:r>
          </w:p>
        </w:tc>
      </w:tr>
    </w:tbl>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All nominees are to hold office in Class 2 for a term of three years until the Company’s 2024 Annual Meeting.</w:t>
      </w:r>
    </w:p>
    <w:p>
      <w:pPr>
        <w:spacing w:after="0" w:line="24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Each independent Director serves on at least one committee of the Board of Directors. For further information regarding the composition of such committees, refer to Itron's investor relations website, at https://investors.itron.com/corporate-governance/committee-composition.</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Proposal Two: Approval of the advisory (non-binding) resolution on executive compensation.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ind w:left="840"/>
              <w:spacing w:after="0"/>
              <w:rPr>
                <w:sz w:val="20"/>
                <w:szCs w:val="20"/>
                <w:color w:val="auto"/>
              </w:rPr>
            </w:pPr>
            <w:r>
              <w:rPr>
                <w:rFonts w:ascii="Arial" w:cs="Arial" w:eastAsia="Arial" w:hAnsi="Arial"/>
                <w:sz w:val="18"/>
                <w:szCs w:val="18"/>
                <w:b w:val="1"/>
                <w:bCs w:val="1"/>
                <w:color w:val="auto"/>
              </w:rPr>
              <w:t>VOTES FOR</w:t>
            </w:r>
          </w:p>
        </w:tc>
        <w:tc>
          <w:tcPr>
            <w:tcW w:w="2840" w:type="dxa"/>
            <w:vAlign w:val="bottom"/>
            <w:gridSpan w:val="2"/>
          </w:tcPr>
          <w:p>
            <w:pPr>
              <w:ind w:left="640"/>
              <w:spacing w:after="0"/>
              <w:rPr>
                <w:sz w:val="20"/>
                <w:szCs w:val="20"/>
                <w:color w:val="auto"/>
              </w:rPr>
            </w:pPr>
            <w:r>
              <w:rPr>
                <w:rFonts w:ascii="Arial" w:cs="Arial" w:eastAsia="Arial" w:hAnsi="Arial"/>
                <w:sz w:val="18"/>
                <w:szCs w:val="18"/>
                <w:b w:val="1"/>
                <w:bCs w:val="1"/>
                <w:color w:val="auto"/>
              </w:rPr>
              <w:t>VOTES AGAINST</w:t>
            </w:r>
          </w:p>
        </w:tc>
        <w:tc>
          <w:tcPr>
            <w:tcW w:w="2840" w:type="dxa"/>
            <w:vAlign w:val="bottom"/>
            <w:gridSpan w:val="2"/>
          </w:tcPr>
          <w:p>
            <w:pPr>
              <w:ind w:left="720"/>
              <w:spacing w:after="0"/>
              <w:rPr>
                <w:sz w:val="20"/>
                <w:szCs w:val="20"/>
                <w:color w:val="auto"/>
              </w:rPr>
            </w:pPr>
            <w:r>
              <w:rPr>
                <w:rFonts w:ascii="Arial" w:cs="Arial" w:eastAsia="Arial" w:hAnsi="Arial"/>
                <w:sz w:val="18"/>
                <w:szCs w:val="18"/>
                <w:b w:val="1"/>
                <w:bCs w:val="1"/>
                <w:color w:val="auto"/>
              </w:rPr>
              <w:t>ABSTENTIONS</w:t>
            </w:r>
          </w:p>
        </w:tc>
        <w:tc>
          <w:tcPr>
            <w:tcW w:w="2740" w:type="dxa"/>
            <w:vAlign w:val="bottom"/>
          </w:tcPr>
          <w:p>
            <w:pPr>
              <w:jc w:val="right"/>
              <w:ind w:right="330"/>
              <w:spacing w:after="0"/>
              <w:rPr>
                <w:sz w:val="20"/>
                <w:szCs w:val="20"/>
                <w:color w:val="auto"/>
              </w:rPr>
            </w:pPr>
            <w:r>
              <w:rPr>
                <w:rFonts w:ascii="Arial" w:cs="Arial" w:eastAsia="Arial" w:hAnsi="Arial"/>
                <w:sz w:val="18"/>
                <w:szCs w:val="18"/>
                <w:b w:val="1"/>
                <w:bCs w:val="1"/>
                <w:color w:val="auto"/>
              </w:rPr>
              <w:t>BROKER NON-VOTES</w:t>
            </w:r>
          </w:p>
        </w:tc>
      </w:tr>
      <w:tr>
        <w:trPr>
          <w:trHeight w:val="223"/>
        </w:trPr>
        <w:tc>
          <w:tcPr>
            <w:tcW w:w="2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35,589,964</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3,740,000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46,685</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1,985,314</w:t>
            </w:r>
          </w:p>
        </w:tc>
      </w:tr>
    </w:tbl>
    <w:p>
      <w:pPr>
        <w:spacing w:after="0" w:line="307" w:lineRule="exact"/>
        <w:rPr>
          <w:sz w:val="20"/>
          <w:szCs w:val="20"/>
          <w:color w:val="auto"/>
        </w:rPr>
      </w:pPr>
    </w:p>
    <w:p>
      <w:pPr>
        <w:ind w:right="180"/>
        <w:spacing w:after="0" w:line="259" w:lineRule="auto"/>
        <w:rPr>
          <w:sz w:val="20"/>
          <w:szCs w:val="20"/>
          <w:color w:val="auto"/>
        </w:rPr>
      </w:pPr>
      <w:r>
        <w:rPr>
          <w:rFonts w:ascii="Arial" w:cs="Arial" w:eastAsia="Arial" w:hAnsi="Arial"/>
          <w:sz w:val="20"/>
          <w:szCs w:val="20"/>
          <w:color w:val="auto"/>
        </w:rPr>
        <w:t>Proposal Three: Ratification of the appointment of Deloitte &amp; Touche LLP as the Company's independent registered public accounting firm for the 2021 fiscal year.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ind w:left="840"/>
              <w:spacing w:after="0"/>
              <w:rPr>
                <w:sz w:val="20"/>
                <w:szCs w:val="20"/>
                <w:color w:val="auto"/>
              </w:rPr>
            </w:pPr>
            <w:r>
              <w:rPr>
                <w:rFonts w:ascii="Arial" w:cs="Arial" w:eastAsia="Arial" w:hAnsi="Arial"/>
                <w:sz w:val="18"/>
                <w:szCs w:val="18"/>
                <w:b w:val="1"/>
                <w:bCs w:val="1"/>
                <w:color w:val="auto"/>
              </w:rPr>
              <w:t>VOTES FOR</w:t>
            </w:r>
          </w:p>
        </w:tc>
        <w:tc>
          <w:tcPr>
            <w:tcW w:w="2840" w:type="dxa"/>
            <w:vAlign w:val="bottom"/>
            <w:gridSpan w:val="2"/>
          </w:tcPr>
          <w:p>
            <w:pPr>
              <w:ind w:left="640"/>
              <w:spacing w:after="0"/>
              <w:rPr>
                <w:sz w:val="20"/>
                <w:szCs w:val="20"/>
                <w:color w:val="auto"/>
              </w:rPr>
            </w:pPr>
            <w:r>
              <w:rPr>
                <w:rFonts w:ascii="Arial" w:cs="Arial" w:eastAsia="Arial" w:hAnsi="Arial"/>
                <w:sz w:val="18"/>
                <w:szCs w:val="18"/>
                <w:b w:val="1"/>
                <w:bCs w:val="1"/>
                <w:color w:val="auto"/>
              </w:rPr>
              <w:t>VOTES AGAINST</w:t>
            </w:r>
          </w:p>
        </w:tc>
        <w:tc>
          <w:tcPr>
            <w:tcW w:w="2840" w:type="dxa"/>
            <w:vAlign w:val="bottom"/>
            <w:gridSpan w:val="2"/>
          </w:tcPr>
          <w:p>
            <w:pPr>
              <w:ind w:left="720"/>
              <w:spacing w:after="0"/>
              <w:rPr>
                <w:sz w:val="20"/>
                <w:szCs w:val="20"/>
                <w:color w:val="auto"/>
              </w:rPr>
            </w:pPr>
            <w:r>
              <w:rPr>
                <w:rFonts w:ascii="Arial" w:cs="Arial" w:eastAsia="Arial" w:hAnsi="Arial"/>
                <w:sz w:val="18"/>
                <w:szCs w:val="18"/>
                <w:b w:val="1"/>
                <w:bCs w:val="1"/>
                <w:color w:val="auto"/>
              </w:rPr>
              <w:t>ABSTENTIONS</w:t>
            </w:r>
          </w:p>
        </w:tc>
        <w:tc>
          <w:tcPr>
            <w:tcW w:w="2740" w:type="dxa"/>
            <w:vAlign w:val="bottom"/>
          </w:tcPr>
          <w:p>
            <w:pPr>
              <w:ind w:left="420"/>
              <w:spacing w:after="0"/>
              <w:rPr>
                <w:sz w:val="20"/>
                <w:szCs w:val="20"/>
                <w:color w:val="auto"/>
              </w:rPr>
            </w:pPr>
            <w:r>
              <w:rPr>
                <w:rFonts w:ascii="Arial" w:cs="Arial" w:eastAsia="Arial" w:hAnsi="Arial"/>
                <w:sz w:val="18"/>
                <w:szCs w:val="18"/>
                <w:b w:val="1"/>
                <w:bCs w:val="1"/>
                <w:color w:val="auto"/>
              </w:rPr>
              <w:t>BROKER NON-VOTES</w:t>
            </w:r>
          </w:p>
        </w:tc>
      </w:tr>
      <w:tr>
        <w:trPr>
          <w:trHeight w:val="223"/>
        </w:trPr>
        <w:tc>
          <w:tcPr>
            <w:tcW w:w="2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40,886,445</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433,129</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42,389</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ind w:left="2480"/>
              <w:spacing w:after="0"/>
              <w:rPr>
                <w:sz w:val="20"/>
                <w:szCs w:val="20"/>
                <w:color w:val="auto"/>
              </w:rPr>
            </w:pPr>
            <w:r>
              <w:rPr>
                <w:rFonts w:ascii="Arial" w:cs="Arial" w:eastAsia="Arial" w:hAnsi="Arial"/>
                <w:sz w:val="18"/>
                <w:szCs w:val="18"/>
                <w:color w:val="auto"/>
              </w:rPr>
              <w:t>—</w:t>
            </w:r>
          </w:p>
        </w:tc>
      </w:tr>
      <w:tr>
        <w:trPr>
          <w:trHeight w:val="1465"/>
        </w:trPr>
        <w:tc>
          <w:tcPr>
            <w:tcW w:w="2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30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4940" w:type="dxa"/>
            <w:vAlign w:val="bottom"/>
          </w:tcPr>
          <w:p>
            <w:pPr>
              <w:ind w:left="3680"/>
              <w:spacing w:after="0"/>
              <w:rPr>
                <w:sz w:val="20"/>
                <w:szCs w:val="20"/>
                <w:color w:val="auto"/>
              </w:rPr>
            </w:pPr>
            <w:r>
              <w:rPr>
                <w:rFonts w:ascii="Arial" w:cs="Arial" w:eastAsia="Arial" w:hAnsi="Arial"/>
                <w:sz w:val="20"/>
                <w:szCs w:val="20"/>
                <w:color w:val="auto"/>
              </w:rPr>
              <w:t>ITRON, INC.</w:t>
            </w:r>
          </w:p>
        </w:tc>
        <w:tc>
          <w:tcPr>
            <w:tcW w:w="6240" w:type="dxa"/>
            <w:vAlign w:val="bottom"/>
          </w:tcPr>
          <w:p>
            <w:pPr>
              <w:spacing w:after="0"/>
              <w:rPr>
                <w:sz w:val="21"/>
                <w:szCs w:val="21"/>
                <w:color w:val="auto"/>
              </w:rPr>
            </w:pPr>
          </w:p>
        </w:tc>
      </w:tr>
      <w:tr>
        <w:trPr>
          <w:trHeight w:val="468"/>
        </w:trPr>
        <w:tc>
          <w:tcPr>
            <w:tcW w:w="4940" w:type="dxa"/>
            <w:vAlign w:val="bottom"/>
          </w:tcPr>
          <w:p>
            <w:pPr>
              <w:ind w:left="3680"/>
              <w:spacing w:after="0"/>
              <w:rPr>
                <w:sz w:val="20"/>
                <w:szCs w:val="20"/>
                <w:color w:val="auto"/>
              </w:rPr>
            </w:pPr>
            <w:r>
              <w:rPr>
                <w:rFonts w:ascii="Arial" w:cs="Arial" w:eastAsia="Arial" w:hAnsi="Arial"/>
                <w:sz w:val="20"/>
                <w:szCs w:val="20"/>
                <w:color w:val="auto"/>
              </w:rPr>
              <w:t>By:</w:t>
            </w:r>
          </w:p>
        </w:tc>
        <w:tc>
          <w:tcPr>
            <w:tcW w:w="6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/s/ SARAH E. HLAVINKA</w:t>
            </w:r>
          </w:p>
        </w:tc>
      </w:tr>
      <w:tr>
        <w:trPr>
          <w:trHeight w:val="233"/>
        </w:trPr>
        <w:tc>
          <w:tcPr>
            <w:tcW w:w="4940" w:type="dxa"/>
            <w:vAlign w:val="bottom"/>
          </w:tcPr>
          <w:p>
            <w:pPr>
              <w:spacing w:after="0"/>
              <w:rPr>
                <w:sz w:val="20"/>
                <w:szCs w:val="20"/>
                <w:color w:val="auto"/>
              </w:rPr>
            </w:pPr>
            <w:r>
              <w:rPr>
                <w:rFonts w:ascii="Arial" w:cs="Arial" w:eastAsia="Arial" w:hAnsi="Arial"/>
                <w:sz w:val="20"/>
                <w:szCs w:val="20"/>
                <w:color w:val="auto"/>
              </w:rPr>
              <w:t>Dated: May 13, 2021</w:t>
            </w:r>
          </w:p>
        </w:tc>
        <w:tc>
          <w:tcPr>
            <w:tcW w:w="6240" w:type="dxa"/>
            <w:vAlign w:val="bottom"/>
          </w:tcPr>
          <w:p>
            <w:pPr>
              <w:jc w:val="center"/>
              <w:spacing w:after="0"/>
              <w:rPr>
                <w:sz w:val="20"/>
                <w:szCs w:val="20"/>
                <w:color w:val="auto"/>
              </w:rPr>
            </w:pPr>
            <w:r>
              <w:rPr>
                <w:rFonts w:ascii="Arial" w:cs="Arial" w:eastAsia="Arial" w:hAnsi="Arial"/>
                <w:sz w:val="20"/>
                <w:szCs w:val="20"/>
                <w:color w:val="auto"/>
                <w:w w:val="91"/>
              </w:rPr>
              <w:t>Sarah E. Hlavinka</w:t>
            </w:r>
          </w:p>
        </w:tc>
      </w:tr>
      <w:tr>
        <w:trPr>
          <w:trHeight w:val="192"/>
        </w:trPr>
        <w:tc>
          <w:tcPr>
            <w:tcW w:w="4940" w:type="dxa"/>
            <w:vAlign w:val="bottom"/>
          </w:tcPr>
          <w:p>
            <w:pPr>
              <w:spacing w:after="0"/>
              <w:rPr>
                <w:sz w:val="16"/>
                <w:szCs w:val="16"/>
                <w:color w:val="auto"/>
              </w:rPr>
            </w:pPr>
          </w:p>
        </w:tc>
        <w:tc>
          <w:tcPr>
            <w:tcW w:w="6240" w:type="dxa"/>
            <w:vAlign w:val="bottom"/>
          </w:tcPr>
          <w:p>
            <w:pPr>
              <w:jc w:val="center"/>
              <w:spacing w:after="0" w:line="192" w:lineRule="exact"/>
              <w:rPr>
                <w:sz w:val="20"/>
                <w:szCs w:val="20"/>
                <w:color w:val="auto"/>
              </w:rPr>
            </w:pPr>
            <w:r>
              <w:rPr>
                <w:rFonts w:ascii="Arial" w:cs="Arial" w:eastAsia="Arial" w:hAnsi="Arial"/>
                <w:sz w:val="20"/>
                <w:szCs w:val="20"/>
                <w:color w:val="auto"/>
                <w:w w:val="88"/>
              </w:rPr>
              <w:t>Senior Vice President, General Counsel</w:t>
            </w:r>
          </w:p>
        </w:tc>
      </w:tr>
      <w:tr>
        <w:trPr>
          <w:trHeight w:val="250"/>
        </w:trPr>
        <w:tc>
          <w:tcPr>
            <w:tcW w:w="4940" w:type="dxa"/>
            <w:vAlign w:val="bottom"/>
          </w:tcPr>
          <w:p>
            <w:pPr>
              <w:spacing w:after="0"/>
              <w:rPr>
                <w:sz w:val="21"/>
                <w:szCs w:val="21"/>
                <w:color w:val="auto"/>
              </w:rPr>
            </w:pPr>
          </w:p>
        </w:tc>
        <w:tc>
          <w:tcPr>
            <w:tcW w:w="6240" w:type="dxa"/>
            <w:vAlign w:val="bottom"/>
          </w:tcPr>
          <w:p>
            <w:pPr>
              <w:jc w:val="center"/>
              <w:spacing w:after="0"/>
              <w:rPr>
                <w:sz w:val="20"/>
                <w:szCs w:val="20"/>
                <w:color w:val="auto"/>
              </w:rPr>
            </w:pPr>
            <w:r>
              <w:rPr>
                <w:rFonts w:ascii="Arial" w:cs="Arial" w:eastAsia="Arial" w:hAnsi="Arial"/>
                <w:sz w:val="20"/>
                <w:szCs w:val="20"/>
                <w:color w:val="auto"/>
                <w:w w:val="87"/>
              </w:rPr>
              <w:t>and Corporate Secretary</w:t>
            </w:r>
          </w:p>
        </w:tc>
      </w:tr>
    </w:tbl>
    <w:p>
      <w:pPr>
        <w:spacing w:after="0" w:line="1" w:lineRule="exact"/>
        <w:rPr>
          <w:sz w:val="20"/>
          <w:szCs w:val="20"/>
          <w:color w:val="auto"/>
        </w:rPr>
      </w:pPr>
    </w:p>
    <w:sectPr>
      <w:pgSz w:w="11900" w:h="16838" w:orient="portrait"/>
      <w:cols w:equalWidth="0" w:num="1">
        <w:col w:w="11240"/>
      </w:cols>
      <w:pgMar w:left="320" w:top="9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2021-05-13T16:24:59Z</dcterms:created>
  <dcterms:modified xsi:type="dcterms:W3CDTF">2021-05-13T16:24:59Z</dcterms:modified>
</cp:coreProperties>
</file>