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ITRON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465741106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2005</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840" w:type="dxa"/>
            <w:vAlign w:val="bottom"/>
          </w:tcPr>
          <w:p>
            <w:pPr>
              <w:ind w:left="520"/>
              <w:spacing w:after="0"/>
              <w:rPr>
                <w:sz w:val="20"/>
                <w:szCs w:val="20"/>
                <w:color w:val="auto"/>
              </w:rPr>
            </w:pPr>
            <w:r>
              <w:rPr>
                <w:rFonts w:ascii="Courier New" w:cs="Courier New" w:eastAsia="Courier New" w:hAnsi="Courier New"/>
                <w:sz w:val="18"/>
                <w:szCs w:val="18"/>
                <w:color w:val="auto"/>
                <w:w w:val="92"/>
              </w:rPr>
              <w:t>810</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2005</w:t>
            </w: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46,370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46,370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8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0.2%</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810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46,370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46,370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7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49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0.2%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810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46,370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46,370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7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49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0.2%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810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46,370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46,370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7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49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0.2%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810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2005</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45,870</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w w:val="95"/>
              </w:rPr>
              <w:t>45,870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7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49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0.2%</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2818 North Sullivan Road</w:t>
      </w: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Spokane,</w:t>
      </w:r>
      <w:r>
        <w:rPr>
          <w:sz w:val="20"/>
          <w:szCs w:val="20"/>
          <w:color w:val="auto"/>
        </w:rPr>
        <w:tab/>
      </w:r>
      <w:r>
        <w:rPr>
          <w:rFonts w:ascii="Courier New" w:cs="Courier New" w:eastAsia="Courier New" w:hAnsi="Courier New"/>
          <w:sz w:val="16"/>
          <w:szCs w:val="16"/>
          <w:color w:val="auto"/>
        </w:rPr>
        <w:t>WA 99216</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2005</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940" w:val="left"/>
        </w:tabs>
        <w:rPr>
          <w:sz w:val="20"/>
          <w:szCs w:val="20"/>
          <w:color w:val="auto"/>
        </w:rPr>
      </w:pPr>
      <w:r>
        <w:rPr>
          <w:rFonts w:ascii="Courier New" w:cs="Courier New" w:eastAsia="Courier New" w:hAnsi="Courier New"/>
          <w:sz w:val="18"/>
          <w:szCs w:val="18"/>
          <w:color w:val="auto"/>
        </w:rPr>
        <w:t>46,370</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Entity or Entities</w:t>
      </w:r>
    </w:p>
    <w:p>
      <w:pPr>
        <w:spacing w:after="0" w:line="201"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acquired solely for investment purposes:</w:t>
      </w:r>
    </w:p>
    <w:tbl>
      <w:tblPr>
        <w:tblLayout w:type="fixed"/>
        <w:tblInd w:w="0" w:type="dxa"/>
        <w:tblCellMar>
          <w:top w:w="0" w:type="dxa"/>
          <w:left w:w="0" w:type="dxa"/>
          <w:bottom w:w="0" w:type="dxa"/>
          <w:right w:w="0" w:type="dxa"/>
        </w:tblCellMar>
      </w:tblPr>
      <w:tr>
        <w:trPr>
          <w:trHeight w:val="203"/>
        </w:trPr>
        <w:tc>
          <w:tcPr>
            <w:tcW w:w="5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AXA Rosenberg Investment Management LLC</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AXA Financial, Inc.</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Subsidiaries:</w:t>
            </w:r>
          </w:p>
        </w:tc>
        <w:tc>
          <w:tcPr>
            <w:tcW w:w="258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Alliance</w:t>
            </w:r>
          </w:p>
        </w:tc>
        <w:tc>
          <w:tcPr>
            <w:tcW w:w="4160" w:type="dxa"/>
            <w:vAlign w:val="bottom"/>
          </w:tcPr>
          <w:p>
            <w:pPr>
              <w:spacing w:after="0"/>
              <w:rPr>
                <w:sz w:val="20"/>
                <w:szCs w:val="20"/>
                <w:color w:val="auto"/>
              </w:rPr>
            </w:pPr>
            <w:r>
              <w:rPr>
                <w:rFonts w:ascii="Courier New" w:cs="Courier New" w:eastAsia="Courier New" w:hAnsi="Courier New"/>
                <w:sz w:val="18"/>
                <w:szCs w:val="18"/>
                <w:color w:val="auto"/>
              </w:rPr>
              <w:t>Capital Management L.P.</w:t>
            </w:r>
          </w:p>
        </w:tc>
        <w:tc>
          <w:tcPr>
            <w:tcW w:w="258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solely for investment purposes on</w:t>
            </w:r>
          </w:p>
        </w:tc>
        <w:tc>
          <w:tcPr>
            <w:tcW w:w="2580" w:type="dxa"/>
            <w:vAlign w:val="bottom"/>
          </w:tcPr>
          <w:p>
            <w:pPr>
              <w:spacing w:after="0"/>
              <w:rPr>
                <w:sz w:val="17"/>
                <w:szCs w:val="17"/>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2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w:t>
            </w:r>
          </w:p>
        </w:tc>
        <w:tc>
          <w:tcPr>
            <w:tcW w:w="2580" w:type="dxa"/>
            <w:vAlign w:val="bottom"/>
          </w:tcPr>
          <w:p>
            <w:pPr>
              <w:spacing w:after="0"/>
              <w:rPr>
                <w:sz w:val="17"/>
                <w:szCs w:val="17"/>
                <w:color w:val="auto"/>
              </w:rPr>
            </w:pPr>
          </w:p>
        </w:tc>
      </w:tr>
      <w:tr>
        <w:trPr>
          <w:trHeight w:val="810"/>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Common</w:t>
            </w:r>
          </w:p>
        </w:tc>
        <w:tc>
          <w:tcPr>
            <w:tcW w:w="4160" w:type="dxa"/>
            <w:vAlign w:val="bottom"/>
          </w:tcPr>
          <w:p>
            <w:pPr>
              <w:spacing w:after="0"/>
              <w:rPr>
                <w:sz w:val="20"/>
                <w:szCs w:val="20"/>
                <w:color w:val="auto"/>
              </w:rPr>
            </w:pPr>
            <w:r>
              <w:rPr>
                <w:rFonts w:ascii="Courier New" w:cs="Courier New" w:eastAsia="Courier New" w:hAnsi="Courier New"/>
                <w:sz w:val="18"/>
                <w:szCs w:val="18"/>
                <w:color w:val="auto"/>
              </w:rPr>
              <w:t>Stock</w:t>
            </w:r>
          </w:p>
        </w:tc>
        <w:tc>
          <w:tcPr>
            <w:tcW w:w="25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45,670</w:t>
            </w:r>
          </w:p>
        </w:tc>
      </w:tr>
      <w:tr>
        <w:trPr>
          <w:trHeight w:val="405"/>
        </w:trPr>
        <w:tc>
          <w:tcPr>
            <w:tcW w:w="9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45,670</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AXA Equitable Life Insurance Company</w:t>
            </w:r>
          </w:p>
        </w:tc>
        <w:tc>
          <w:tcPr>
            <w:tcW w:w="2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solely for investment purposes:</w:t>
            </w:r>
          </w:p>
        </w:tc>
        <w:tc>
          <w:tcPr>
            <w:tcW w:w="2580" w:type="dxa"/>
            <w:vAlign w:val="bottom"/>
          </w:tcPr>
          <w:p>
            <w:pPr>
              <w:spacing w:after="0"/>
              <w:rPr>
                <w:sz w:val="17"/>
                <w:szCs w:val="17"/>
                <w:color w:val="auto"/>
              </w:rPr>
            </w:pPr>
          </w:p>
        </w:tc>
      </w:tr>
      <w:tr>
        <w:trPr>
          <w:trHeight w:val="608"/>
        </w:trPr>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Common</w:t>
            </w:r>
          </w:p>
        </w:tc>
        <w:tc>
          <w:tcPr>
            <w:tcW w:w="4160" w:type="dxa"/>
            <w:vAlign w:val="bottom"/>
          </w:tcPr>
          <w:p>
            <w:pPr>
              <w:spacing w:after="0"/>
              <w:rPr>
                <w:sz w:val="20"/>
                <w:szCs w:val="20"/>
                <w:color w:val="auto"/>
              </w:rPr>
            </w:pPr>
            <w:r>
              <w:rPr>
                <w:rFonts w:ascii="Courier New" w:cs="Courier New" w:eastAsia="Courier New" w:hAnsi="Courier New"/>
                <w:sz w:val="18"/>
                <w:szCs w:val="18"/>
                <w:color w:val="auto"/>
              </w:rPr>
              <w:t>Stock</w:t>
            </w:r>
          </w:p>
        </w:tc>
        <w:tc>
          <w:tcPr>
            <w:tcW w:w="25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200</w:t>
            </w:r>
          </w:p>
        </w:tc>
      </w:tr>
      <w:tr>
        <w:trPr>
          <w:trHeight w:val="203"/>
        </w:trPr>
        <w:tc>
          <w:tcPr>
            <w:tcW w:w="9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w:t>
            </w:r>
          </w:p>
        </w:tc>
      </w:tr>
      <w:tr>
        <w:trPr>
          <w:trHeight w:val="203"/>
        </w:trPr>
        <w:tc>
          <w:tcPr>
            <w:tcW w:w="9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Total</w:t>
            </w:r>
          </w:p>
        </w:tc>
        <w:tc>
          <w:tcPr>
            <w:tcW w:w="416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46,370</w:t>
            </w:r>
          </w:p>
        </w:tc>
      </w:tr>
      <w:tr>
        <w:trPr>
          <w:trHeight w:val="203"/>
        </w:trPr>
        <w:tc>
          <w:tcPr>
            <w:tcW w:w="9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p>
      <w:pPr>
        <w:ind w:left="5600"/>
        <w:spacing w:after="0"/>
        <w:rPr>
          <w:sz w:val="20"/>
          <w:szCs w:val="20"/>
          <w:color w:val="auto"/>
        </w:rPr>
      </w:pPr>
      <w:r>
        <w:rPr>
          <w:rFonts w:ascii="Courier New" w:cs="Courier New" w:eastAsia="Courier New" w:hAnsi="Courier New"/>
          <w:sz w:val="16"/>
          <w:szCs w:val="16"/>
          <w:color w:val="auto"/>
        </w:rPr>
        <w:t>Page 10 of 12 Pages</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 as of December 31,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w:t>
      </w:r>
    </w:p>
    <w:p>
      <w:pPr>
        <w:spacing w:after="0" w:line="200" w:lineRule="exact"/>
        <w:rPr>
          <w:sz w:val="20"/>
          <w:szCs w:val="20"/>
          <w:color w:val="auto"/>
        </w:rPr>
      </w:pPr>
    </w:p>
    <w:p>
      <w:pPr>
        <w:sectPr>
          <w:pgSz w:w="11900" w:h="16838" w:orient="portrait"/>
          <w:cols w:equalWidth="0" w:num="2">
            <w:col w:w="4320" w:space="420"/>
            <w:col w:w="5479"/>
          </w:cols>
          <w:pgMar w:left="240" w:top="317" w:right="1440" w:bottom="144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 Deemed Voting Power and Disposition Power:</w:t>
      </w:r>
    </w:p>
    <w:p>
      <w:pPr>
        <w:sectPr>
          <w:pgSz w:w="11900" w:h="16838" w:orient="portrait"/>
          <w:cols w:equalWidth="0" w:num="1">
            <w:col w:w="10219"/>
          </w:cols>
          <w:pgMar w:left="240" w:top="317" w:right="1440" w:bottom="1440" w:gutter="0" w:footer="0" w:header="0"/>
          <w:type w:val="continuous"/>
        </w:sectPr>
      </w:pP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w:t>
      </w:r>
    </w:p>
    <w:p>
      <w:pPr>
        <w:ind w:left="2540"/>
        <w:spacing w:after="0" w:line="238" w:lineRule="auto"/>
        <w:rPr>
          <w:sz w:val="20"/>
          <w:szCs w:val="20"/>
          <w:color w:val="auto"/>
        </w:rPr>
      </w:pPr>
      <w:r>
        <w:rPr>
          <w:rFonts w:ascii="Courier New" w:cs="Courier New" w:eastAsia="Courier New" w:hAnsi="Courier New"/>
          <w:sz w:val="18"/>
          <w:szCs w:val="18"/>
          <w:color w:val="auto"/>
        </w:rPr>
        <w:t>Deemed</w:t>
      </w:r>
    </w:p>
    <w:p>
      <w:pPr>
        <w:ind w:left="2540"/>
        <w:spacing w:after="0"/>
        <w:rPr>
          <w:sz w:val="20"/>
          <w:szCs w:val="20"/>
          <w:color w:val="auto"/>
        </w:rPr>
      </w:pPr>
      <w:r>
        <w:rPr>
          <w:rFonts w:ascii="Courier New" w:cs="Courier New" w:eastAsia="Courier New" w:hAnsi="Courier New"/>
          <w:sz w:val="18"/>
          <w:szCs w:val="18"/>
          <w:color w:val="auto"/>
        </w:rPr>
        <w:t>to have</w:t>
      </w:r>
    </w:p>
    <w:p>
      <w:pPr>
        <w:ind w:left="2540"/>
        <w:spacing w:after="0" w:line="237" w:lineRule="auto"/>
        <w:rPr>
          <w:sz w:val="20"/>
          <w:szCs w:val="20"/>
          <w:color w:val="auto"/>
        </w:rPr>
      </w:pPr>
      <w:r>
        <w:rPr>
          <w:rFonts w:ascii="Courier New" w:cs="Courier New" w:eastAsia="Courier New" w:hAnsi="Courier New"/>
          <w:sz w:val="18"/>
          <w:szCs w:val="18"/>
          <w:color w:val="auto"/>
        </w:rPr>
        <w:t>Sole Power</w:t>
      </w:r>
    </w:p>
    <w:p>
      <w:pPr>
        <w:ind w:left="2540"/>
        <w:spacing w:after="0" w:line="238" w:lineRule="auto"/>
        <w:rPr>
          <w:sz w:val="20"/>
          <w:szCs w:val="20"/>
          <w:color w:val="auto"/>
        </w:rPr>
      </w:pPr>
      <w:r>
        <w:rPr>
          <w:rFonts w:ascii="Courier New" w:cs="Courier New" w:eastAsia="Courier New" w:hAnsi="Courier New"/>
          <w:sz w:val="18"/>
          <w:szCs w:val="18"/>
          <w:color w:val="auto"/>
        </w:rPr>
        <w:t>to Vote</w:t>
      </w:r>
    </w:p>
    <w:p>
      <w:pPr>
        <w:ind w:left="2540"/>
        <w:spacing w:after="0"/>
        <w:rPr>
          <w:sz w:val="20"/>
          <w:szCs w:val="20"/>
          <w:color w:val="auto"/>
        </w:rPr>
      </w:pPr>
      <w:r>
        <w:rPr>
          <w:rFonts w:ascii="Courier New" w:cs="Courier New" w:eastAsia="Courier New" w:hAnsi="Courier New"/>
          <w:sz w:val="18"/>
          <w:szCs w:val="18"/>
          <w:color w:val="auto"/>
        </w:rPr>
        <w:t>or to</w:t>
      </w:r>
    </w:p>
    <w:p>
      <w:pPr>
        <w:ind w:left="2540"/>
        <w:spacing w:after="0" w:line="237" w:lineRule="auto"/>
        <w:rPr>
          <w:sz w:val="20"/>
          <w:szCs w:val="20"/>
          <w:color w:val="auto"/>
        </w:rPr>
      </w:pPr>
      <w:r>
        <w:rPr>
          <w:rFonts w:ascii="Courier New" w:cs="Courier New" w:eastAsia="Courier New" w:hAnsi="Courier New"/>
          <w:sz w:val="18"/>
          <w:szCs w:val="18"/>
          <w:color w:val="auto"/>
        </w:rPr>
        <w:t>Direct</w:t>
      </w:r>
    </w:p>
    <w:p>
      <w:pPr>
        <w:ind w:left="2540"/>
        <w:spacing w:after="0"/>
        <w:rPr>
          <w:sz w:val="20"/>
          <w:szCs w:val="20"/>
          <w:color w:val="auto"/>
        </w:rPr>
      </w:pPr>
      <w:r>
        <w:rPr>
          <w:rFonts w:ascii="Courier New" w:cs="Courier New" w:eastAsia="Courier New" w:hAnsi="Courier New"/>
          <w:sz w:val="18"/>
          <w:szCs w:val="18"/>
          <w:color w:val="auto"/>
        </w:rPr>
        <w:t>the Vote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ind w:left="120"/>
        <w:spacing w:after="0" w:line="238" w:lineRule="auto"/>
        <w:rPr>
          <w:sz w:val="20"/>
          <w:szCs w:val="20"/>
          <w:color w:val="auto"/>
        </w:rPr>
      </w:pPr>
      <w:r>
        <w:rPr>
          <w:rFonts w:ascii="Courier New" w:cs="Courier New" w:eastAsia="Courier New" w:hAnsi="Courier New"/>
          <w:sz w:val="18"/>
          <w:szCs w:val="18"/>
          <w:color w:val="auto"/>
        </w:rPr>
        <w:t>Deemed</w:t>
      </w:r>
    </w:p>
    <w:p>
      <w:pPr>
        <w:ind w:left="120"/>
        <w:spacing w:after="0"/>
        <w:rPr>
          <w:sz w:val="20"/>
          <w:szCs w:val="20"/>
          <w:color w:val="auto"/>
        </w:rPr>
      </w:pPr>
      <w:r>
        <w:rPr>
          <w:rFonts w:ascii="Courier New" w:cs="Courier New" w:eastAsia="Courier New" w:hAnsi="Courier New"/>
          <w:sz w:val="18"/>
          <w:szCs w:val="18"/>
          <w:color w:val="auto"/>
        </w:rPr>
        <w:t>to have</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Shared Power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Vote</w:t>
      </w:r>
    </w:p>
    <w:p>
      <w:pPr>
        <w:ind w:left="120"/>
        <w:spacing w:after="0" w:line="238" w:lineRule="auto"/>
        <w:rPr>
          <w:sz w:val="20"/>
          <w:szCs w:val="20"/>
          <w:color w:val="auto"/>
        </w:rPr>
      </w:pPr>
      <w:r>
        <w:rPr>
          <w:rFonts w:ascii="Courier New" w:cs="Courier New" w:eastAsia="Courier New" w:hAnsi="Courier New"/>
          <w:sz w:val="18"/>
          <w:szCs w:val="18"/>
          <w:color w:val="auto"/>
        </w:rPr>
        <w:t>or to</w:t>
      </w:r>
    </w:p>
    <w:p>
      <w:pPr>
        <w:ind w:left="120"/>
        <w:spacing w:after="0"/>
        <w:rPr>
          <w:sz w:val="20"/>
          <w:szCs w:val="20"/>
          <w:color w:val="auto"/>
        </w:rPr>
      </w:pPr>
      <w:r>
        <w:rPr>
          <w:rFonts w:ascii="Courier New" w:cs="Courier New" w:eastAsia="Courier New" w:hAnsi="Courier New"/>
          <w:sz w:val="18"/>
          <w:szCs w:val="18"/>
          <w:color w:val="auto"/>
        </w:rPr>
        <w:t>Direct</w:t>
      </w:r>
    </w:p>
    <w:p>
      <w:pPr>
        <w:ind w:left="120"/>
        <w:spacing w:after="0" w:line="237" w:lineRule="auto"/>
        <w:rPr>
          <w:sz w:val="20"/>
          <w:szCs w:val="20"/>
          <w:color w:val="auto"/>
        </w:rPr>
      </w:pPr>
      <w:r>
        <w:rPr>
          <w:rFonts w:ascii="Courier New" w:cs="Courier New" w:eastAsia="Courier New" w:hAnsi="Courier New"/>
          <w:sz w:val="18"/>
          <w:szCs w:val="18"/>
          <w:color w:val="auto"/>
        </w:rPr>
        <w:t>the Vote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hanging="104"/>
        <w:spacing w:after="0"/>
        <w:rPr>
          <w:sz w:val="20"/>
          <w:szCs w:val="20"/>
          <w:color w:val="auto"/>
        </w:rPr>
      </w:pPr>
      <w:r>
        <w:rPr>
          <w:rFonts w:ascii="Courier New" w:cs="Courier New" w:eastAsia="Courier New" w:hAnsi="Courier New"/>
          <w:sz w:val="18"/>
          <w:szCs w:val="18"/>
          <w:color w:val="auto"/>
        </w:rPr>
        <w:t>(iii)</w:t>
      </w:r>
      <w:r>
        <w:rPr>
          <w:sz w:val="20"/>
          <w:szCs w:val="20"/>
          <w:color w:val="auto"/>
        </w:rPr>
        <w:t xml:space="preserve"> </w:t>
      </w:r>
      <w:r>
        <w:rPr>
          <w:rFonts w:ascii="Courier New" w:cs="Courier New" w:eastAsia="Courier New" w:hAnsi="Courier New"/>
          <w:sz w:val="18"/>
          <w:szCs w:val="18"/>
          <w:color w:val="auto"/>
        </w:rPr>
        <w:t>(iv) Deemed Deemed to have to have Sole Power Shared Power to Dispose to Dispose or to or to Direct the Direct the Disposition Disposition ------------ ------------</w:t>
      </w:r>
    </w:p>
    <w:p>
      <w:pPr>
        <w:spacing w:after="0" w:line="370" w:lineRule="exact"/>
        <w:rPr>
          <w:sz w:val="20"/>
          <w:szCs w:val="20"/>
          <w:color w:val="auto"/>
        </w:rPr>
      </w:pPr>
    </w:p>
    <w:p>
      <w:pPr>
        <w:sectPr>
          <w:pgSz w:w="11900" w:h="16838" w:orient="portrait"/>
          <w:cols w:equalWidth="0" w:num="3">
            <w:col w:w="3800" w:space="100"/>
            <w:col w:w="1380" w:space="200"/>
            <w:col w:w="47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Mutuelles AXA,</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group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6">
            <w:col w:w="320" w:space="100"/>
            <w:col w:w="2340" w:space="720"/>
            <w:col w:w="760" w:space="720"/>
            <w:col w:w="760" w:space="720"/>
            <w:col w:w="740" w:space="720"/>
            <w:col w:w="231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AXA Rosenberg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760" w:space="720"/>
            <w:col w:w="760" w:space="720"/>
            <w:col w:w="540" w:space="720"/>
            <w:col w:w="960" w:space="720"/>
            <w:col w:w="2319"/>
          </w:cols>
          <w:pgMar w:left="240" w:top="317"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Investment Management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LLC</w:t>
      </w:r>
    </w:p>
    <w:p>
      <w:pPr>
        <w:sectPr>
          <w:pgSz w:w="11900" w:h="16838" w:orient="portrait"/>
          <w:cols w:equalWidth="0" w:num="1">
            <w:col w:w="10219"/>
          </w:cols>
          <w:pgMar w:left="240" w:top="317"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5">
            <w:col w:w="2760" w:space="720"/>
            <w:col w:w="760" w:space="720"/>
            <w:col w:w="760" w:space="720"/>
            <w:col w:w="740" w:space="720"/>
            <w:col w:w="2319"/>
          </w:cols>
          <w:pgMar w:left="240" w:top="3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7"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Alliance Capital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810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45,670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560" w:space="720"/>
            <w:col w:w="960" w:space="720"/>
            <w:col w:w="220" w:space="720"/>
            <w:col w:w="1280" w:space="720"/>
            <w:col w:w="2319"/>
          </w:cols>
          <w:pgMar w:left="240" w:top="3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Management L.P.</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AXA Equitable Life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ectPr>
          <w:pgSz w:w="11900" w:h="16838" w:orient="portrait"/>
          <w:cols w:equalWidth="0" w:num="5">
            <w:col w:w="2760" w:space="720"/>
            <w:col w:w="760" w:space="720"/>
            <w:col w:w="540" w:space="720"/>
            <w:col w:w="960" w:space="720"/>
            <w:col w:w="2319"/>
          </w:cols>
          <w:pgMar w:left="240" w:top="317" w:right="1440" w:bottom="144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Insurance Company</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810</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46,370</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580" w:space="220"/>
            <w:col w:w="1260" w:space="220"/>
            <w:col w:w="1260" w:space="200"/>
            <w:col w:w="3479"/>
          </w:cols>
          <w:pgMar w:left="240" w:top="317" w:right="1440" w:bottom="1440" w:gutter="0" w:footer="0" w:header="0"/>
          <w:type w:val="continuous"/>
        </w:sectPr>
      </w:pPr>
    </w:p>
    <w:p>
      <w:pPr>
        <w:spacing w:after="0" w:line="2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7" w:right="1440" w:bottom="1440" w:gutter="0" w:footer="0" w:header="0"/>
          <w:type w:val="continuous"/>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AXA Rosenberg Investment Management LLC</w:t>
      </w:r>
    </w:p>
    <w:p>
      <w:pPr>
        <w:spacing w:after="0" w:line="207"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Frontier Trust Company, FSB (Advest Trust)</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(45-0373941),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2006</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2006</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2"/>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2"/>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2"/>
    </w:lvl>
    <w:lvl w:ilvl="1">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2"/>
    </w:lvl>
    <w:lvl w:ilvl="1">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1."/>
      <w:numFmt w:val="decimal"/>
      <w:start w:val="12"/>
    </w:lvl>
    <w:lvl w:ilvl="1">
      <w:lvlJc w:val="left"/>
      <w:lvlText w:val="*"/>
      <w:numFmt w:val="bullet"/>
      <w:start w:val="1"/>
    </w:lvl>
  </w:abstractNum>
  <w:abstractNum w:abstractNumId="12">
    <w:nsid w:val="41A7C4C9"/>
    <w:multiLevelType w:val="hybridMultilevel"/>
    <w:lvl w:ilvl="0">
      <w:lvlJc w:val="left"/>
      <w:lvlText w:val="(%1)"/>
      <w:numFmt w:val="upperLetter"/>
      <w:start w:val="24"/>
    </w:lvl>
  </w:abstractNum>
  <w:abstractNum w:abstractNumId="13">
    <w:nsid w:val="6B68079A"/>
    <w:multiLevelType w:val="hybridMultilevel"/>
    <w:lvl w:ilvl="0">
      <w:lvlJc w:val="left"/>
      <w:lvlText w:val="(%1)"/>
      <w:numFmt w:val="upperLetter"/>
      <w:start w:val="24"/>
    </w:lvl>
  </w:abstractNum>
  <w:abstractNum w:abstractNumId="14">
    <w:nsid w:val="4E6AFB66"/>
    <w:multiLevelType w:val="hybridMultilevel"/>
    <w:lvl w:ilvl="0">
      <w:lvlJc w:val="left"/>
      <w:lvlText w:val="(%1)"/>
      <w:numFmt w:val="upperLetter"/>
      <w:start w:val="24"/>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1)"/>
      <w:numFmt w:val="upperLetter"/>
      <w:start w:val="24"/>
    </w:lvl>
  </w:abstractNum>
  <w:abstractNum w:abstractNumId="17">
    <w:nsid w:val="431BD7B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2019-12-13T15:52:26Z</dcterms:created>
  <dcterms:modified xsi:type="dcterms:W3CDTF">2019-12-13T15:52:26Z</dcterms:modified>
</cp:coreProperties>
</file>