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350"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FORM 10-Q</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QUARTERLY REPORT PURSUANT TO SECTION 13 OR 15(d) OF THE SECURITIES</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EXCHANGE ACT OF 1934</w:t>
      </w:r>
    </w:p>
    <w:p>
      <w:pPr>
        <w:spacing w:after="0" w:line="177"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5"/>
          <w:szCs w:val="15"/>
          <w:color w:val="auto"/>
        </w:rPr>
        <w:t>For the quarterly period ended March 31, 1998</w:t>
      </w:r>
    </w:p>
    <w:p>
      <w:pPr>
        <w:spacing w:after="0" w:line="177"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620" w:right="3559" w:hanging="630"/>
        <w:spacing w:after="0" w:line="243" w:lineRule="auto"/>
        <w:tabs>
          <w:tab w:leader="none" w:pos="60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TRANSITION REPORT PURSUANT TO SECTION 13 OR 15(d) OF THE SECURITIES EXCHANGE ACT OF 1934 (NO FEE REQUIRED)</w:t>
      </w:r>
    </w:p>
    <w:p>
      <w:pPr>
        <w:spacing w:after="0" w:line="175" w:lineRule="exact"/>
        <w:rPr>
          <w:sz w:val="24"/>
          <w:szCs w:val="24"/>
          <w:color w:val="auto"/>
        </w:rPr>
      </w:pPr>
    </w:p>
    <w:p>
      <w:pPr>
        <w:ind w:left="2160"/>
        <w:spacing w:after="0"/>
        <w:rPr>
          <w:sz w:val="20"/>
          <w:szCs w:val="20"/>
          <w:color w:val="auto"/>
        </w:rPr>
      </w:pPr>
      <w:r>
        <w:rPr>
          <w:rFonts w:ascii="Courier New" w:cs="Courier New" w:eastAsia="Courier New" w:hAnsi="Courier New"/>
          <w:sz w:val="15"/>
          <w:szCs w:val="15"/>
          <w:color w:val="auto"/>
        </w:rPr>
        <w:t>For the transition period from to</w:t>
      </w:r>
    </w:p>
    <w:p>
      <w:pPr>
        <w:spacing w:after="0" w:line="350"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Commission file number 0-22418</w:t>
      </w:r>
    </w:p>
    <w:p>
      <w:pPr>
        <w:spacing w:after="0" w:line="350"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3" w:right="1440" w:bottom="809" w:gutter="0" w:footer="0" w:header="0"/>
        </w:sectPr>
      </w:pPr>
    </w:p>
    <w:p>
      <w:pPr>
        <w:spacing w:after="0" w:line="17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91-1011792</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2880" w:space="720"/>
            <w:col w:w="6619"/>
          </w:cols>
          <w:pgMar w:left="240" w:top="233" w:right="1440" w:bottom="809" w:gutter="0" w:footer="0" w:header="0"/>
          <w:type w:val="continuous"/>
        </w:sectPr>
      </w:pPr>
    </w:p>
    <w:p>
      <w:pPr>
        <w:spacing w:after="0" w:line="15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2818 North Sullivan Road</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Spokane, Washington 99216-1897</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(509) 924-9900</w:t>
      </w:r>
    </w:p>
    <w:p>
      <w:pPr>
        <w:sectPr>
          <w:pgSz w:w="11900" w:h="16838" w:orient="portrait"/>
          <w:cols w:equalWidth="0" w:num="1">
            <w:col w:w="10219"/>
          </w:cols>
          <w:pgMar w:left="240" w:top="233" w:right="1440" w:bottom="809" w:gutter="0" w:footer="0" w:header="0"/>
          <w:type w:val="continuous"/>
        </w:sectPr>
      </w:pP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351" w:lineRule="exact"/>
        <w:rPr>
          <w:sz w:val="24"/>
          <w:szCs w:val="24"/>
          <w:color w:val="auto"/>
        </w:rPr>
      </w:pPr>
    </w:p>
    <w:p>
      <w:pPr>
        <w:jc w:val="center"/>
        <w:ind w:right="3099"/>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2780"/>
        <w:spacing w:after="0"/>
        <w:tabs>
          <w:tab w:leader="none" w:pos="4120" w:val="left"/>
        </w:tabs>
        <w:rPr>
          <w:sz w:val="20"/>
          <w:szCs w:val="20"/>
          <w:color w:val="auto"/>
        </w:rPr>
      </w:pPr>
      <w:r>
        <w:rPr>
          <w:rFonts w:ascii="Courier New" w:cs="Courier New" w:eastAsia="Courier New" w:hAnsi="Courier New"/>
          <w:sz w:val="15"/>
          <w:szCs w:val="15"/>
          <w:color w:val="auto"/>
        </w:rPr>
        <w:t>Yes__X__</w:t>
      </w:r>
      <w:r>
        <w:rPr>
          <w:sz w:val="20"/>
          <w:szCs w:val="20"/>
          <w:color w:val="auto"/>
        </w:rPr>
        <w:tab/>
      </w:r>
      <w:r>
        <w:rPr>
          <w:rFonts w:ascii="Courier New" w:cs="Courier New" w:eastAsia="Courier New" w:hAnsi="Courier New"/>
          <w:sz w:val="15"/>
          <w:szCs w:val="15"/>
          <w:color w:val="auto"/>
        </w:rPr>
        <w:t>No____</w:t>
      </w:r>
    </w:p>
    <w:p>
      <w:pPr>
        <w:spacing w:after="0" w:line="178" w:lineRule="exact"/>
        <w:rPr>
          <w:sz w:val="24"/>
          <w:szCs w:val="24"/>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As of April 30, 1998, there were outstanding 14,695,476 shares of the registrant's common stock, no par value, which is the only class of common or voting stock of the registrant.</w:t>
      </w:r>
    </w:p>
    <w:p>
      <w:pPr>
        <w:spacing w:after="0" w:line="34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ITRON, INC.</w:t>
      </w:r>
    </w:p>
    <w:p>
      <w:pPr>
        <w:spacing w:after="0" w:line="350"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tabs>
          <w:tab w:leader="none" w:pos="780" w:val="left"/>
          <w:tab w:leader="none" w:pos="6740" w:val="left"/>
        </w:tabs>
        <w:rPr>
          <w:sz w:val="20"/>
          <w:szCs w:val="20"/>
          <w:color w:val="auto"/>
        </w:rPr>
      </w:pPr>
      <w:r>
        <w:rPr>
          <w:rFonts w:ascii="Courier New" w:cs="Courier New" w:eastAsia="Courier New" w:hAnsi="Courier New"/>
          <w:sz w:val="15"/>
          <w:szCs w:val="15"/>
          <w:color w:val="auto"/>
        </w:rPr>
        <w:t>Part 1:</w:t>
        <w:tab/>
        <w:t>Financial Information</w:t>
      </w:r>
      <w:r>
        <w:rPr>
          <w:sz w:val="20"/>
          <w:szCs w:val="20"/>
          <w:color w:val="auto"/>
        </w:rPr>
        <w:tab/>
      </w:r>
      <w:r>
        <w:rPr>
          <w:rFonts w:ascii="Courier New" w:cs="Courier New" w:eastAsia="Courier New" w:hAnsi="Courier New"/>
          <w:sz w:val="15"/>
          <w:szCs w:val="15"/>
          <w:color w:val="auto"/>
        </w:rPr>
        <w:t>Page</w:t>
      </w:r>
    </w:p>
    <w:p>
      <w:pPr>
        <w:spacing w:after="0" w:line="177" w:lineRule="exact"/>
        <w:rPr>
          <w:sz w:val="24"/>
          <w:szCs w:val="24"/>
          <w:color w:val="auto"/>
        </w:rPr>
      </w:pPr>
    </w:p>
    <w:p>
      <w:pPr>
        <w:ind w:left="800"/>
        <w:spacing w:after="0"/>
        <w:tabs>
          <w:tab w:leader="none" w:pos="16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 (Unaudited)</w:t>
      </w:r>
    </w:p>
    <w:p>
      <w:pPr>
        <w:spacing w:after="0" w:line="177"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Consolidated Statements</w:t>
      </w:r>
    </w:p>
    <w:p>
      <w:pPr>
        <w:spacing w:after="0" w:line="3" w:lineRule="exact"/>
        <w:rPr>
          <w:sz w:val="24"/>
          <w:szCs w:val="24"/>
          <w:color w:val="auto"/>
        </w:rPr>
      </w:pPr>
    </w:p>
    <w:p>
      <w:pPr>
        <w:ind w:left="1620"/>
        <w:spacing w:after="0"/>
        <w:tabs>
          <w:tab w:leader="dot" w:pos="6920"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3"/>
          <w:szCs w:val="13"/>
          <w:color w:val="auto"/>
        </w:rPr>
        <w:t>1</w:t>
      </w:r>
    </w:p>
    <w:p>
      <w:pPr>
        <w:spacing w:after="0" w:line="177" w:lineRule="exact"/>
        <w:rPr>
          <w:sz w:val="24"/>
          <w:szCs w:val="24"/>
          <w:color w:val="auto"/>
        </w:rPr>
      </w:pPr>
    </w:p>
    <w:p>
      <w:pPr>
        <w:ind w:left="1620"/>
        <w:spacing w:after="0"/>
        <w:tabs>
          <w:tab w:leader="dot" w:pos="692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3"/>
          <w:szCs w:val="13"/>
          <w:color w:val="auto"/>
        </w:rPr>
        <w:t>2</w:t>
      </w:r>
    </w:p>
    <w:p>
      <w:pPr>
        <w:spacing w:after="0" w:line="177" w:lineRule="exact"/>
        <w:rPr>
          <w:sz w:val="24"/>
          <w:szCs w:val="24"/>
          <w:color w:val="auto"/>
        </w:rPr>
      </w:pPr>
    </w:p>
    <w:p>
      <w:pPr>
        <w:ind w:left="1620"/>
        <w:spacing w:after="0"/>
        <w:tabs>
          <w:tab w:leader="dot" w:pos="692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3"/>
          <w:szCs w:val="13"/>
          <w:color w:val="auto"/>
        </w:rPr>
        <w:t>3</w:t>
      </w:r>
    </w:p>
    <w:p>
      <w:pPr>
        <w:spacing w:after="0" w:line="177" w:lineRule="exact"/>
        <w:rPr>
          <w:sz w:val="24"/>
          <w:szCs w:val="24"/>
          <w:color w:val="auto"/>
        </w:rPr>
      </w:pPr>
    </w:p>
    <w:p>
      <w:pPr>
        <w:ind w:left="1620"/>
        <w:spacing w:after="0"/>
        <w:tabs>
          <w:tab w:leader="dot" w:pos="69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3"/>
          <w:szCs w:val="13"/>
          <w:color w:val="auto"/>
        </w:rPr>
        <w:t>4</w:t>
      </w:r>
    </w:p>
    <w:p>
      <w:pPr>
        <w:spacing w:after="0" w:line="177" w:lineRule="exact"/>
        <w:rPr>
          <w:sz w:val="24"/>
          <w:szCs w:val="24"/>
          <w:color w:val="auto"/>
        </w:rPr>
      </w:pPr>
    </w:p>
    <w:p>
      <w:pPr>
        <w:ind w:left="800"/>
        <w:spacing w:after="0"/>
        <w:tabs>
          <w:tab w:leader="none" w:pos="1600" w:val="left"/>
        </w:tabs>
        <w:rPr>
          <w:sz w:val="20"/>
          <w:szCs w:val="20"/>
          <w:color w:val="auto"/>
        </w:rPr>
      </w:pPr>
      <w:r>
        <w:rPr>
          <w:rFonts w:ascii="Courier New" w:cs="Courier New" w:eastAsia="Courier New" w:hAnsi="Courier New"/>
          <w:sz w:val="15"/>
          <w:szCs w:val="15"/>
          <w:color w:val="auto"/>
        </w:rPr>
        <w:t>Item 2:</w:t>
        <w:tab/>
        <w:t>Management's Discussion and Analysis of</w:t>
      </w:r>
    </w:p>
    <w:p>
      <w:pPr>
        <w:spacing w:after="0" w:line="3" w:lineRule="exact"/>
        <w:rPr>
          <w:sz w:val="24"/>
          <w:szCs w:val="24"/>
          <w:color w:val="auto"/>
        </w:rPr>
      </w:pPr>
    </w:p>
    <w:p>
      <w:pPr>
        <w:ind w:left="1620"/>
        <w:spacing w:after="0"/>
        <w:tabs>
          <w:tab w:leader="dot" w:pos="6820" w:val="left"/>
        </w:tabs>
        <w:rPr>
          <w:sz w:val="20"/>
          <w:szCs w:val="20"/>
          <w:color w:val="auto"/>
        </w:rPr>
      </w:pPr>
      <w:r>
        <w:rPr>
          <w:rFonts w:ascii="Courier New" w:cs="Courier New" w:eastAsia="Courier New" w:hAnsi="Courier New"/>
          <w:sz w:val="15"/>
          <w:szCs w:val="15"/>
          <w:color w:val="auto"/>
        </w:rPr>
        <w:t>Financial Condition and Results of Operations</w:t>
      </w:r>
      <w:r>
        <w:rPr>
          <w:sz w:val="20"/>
          <w:szCs w:val="20"/>
          <w:color w:val="auto"/>
        </w:rPr>
        <w:tab/>
      </w:r>
      <w:r>
        <w:rPr>
          <w:rFonts w:ascii="Courier New" w:cs="Courier New" w:eastAsia="Courier New" w:hAnsi="Courier New"/>
          <w:sz w:val="15"/>
          <w:szCs w:val="15"/>
          <w:color w:val="auto"/>
        </w:rPr>
        <w:t>6-8</w:t>
      </w:r>
    </w:p>
    <w:p>
      <w:pPr>
        <w:spacing w:after="0" w:line="177"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2:</w:t>
        <w:tab/>
        <w:t>Other Information</w:t>
      </w:r>
    </w:p>
    <w:p>
      <w:pPr>
        <w:spacing w:after="0" w:line="177" w:lineRule="exact"/>
        <w:rPr>
          <w:sz w:val="24"/>
          <w:szCs w:val="24"/>
          <w:color w:val="auto"/>
        </w:rPr>
      </w:pPr>
    </w:p>
    <w:p>
      <w:pPr>
        <w:ind w:left="800"/>
        <w:spacing w:after="0"/>
        <w:tabs>
          <w:tab w:leader="none" w:pos="1600" w:val="left"/>
          <w:tab w:leader="dot" w:pos="6920" w:val="left"/>
        </w:tabs>
        <w:rPr>
          <w:sz w:val="20"/>
          <w:szCs w:val="20"/>
          <w:color w:val="auto"/>
        </w:rPr>
      </w:pPr>
      <w:r>
        <w:rPr>
          <w:rFonts w:ascii="Courier New" w:cs="Courier New" w:eastAsia="Courier New" w:hAnsi="Courier New"/>
          <w:sz w:val="15"/>
          <w:szCs w:val="15"/>
          <w:color w:val="auto"/>
        </w:rPr>
        <w:t>Item 6:</w:t>
        <w:tab/>
        <w:t>Exhibits and Reports on Form 8-K</w:t>
      </w:r>
      <w:r>
        <w:rPr>
          <w:sz w:val="20"/>
          <w:szCs w:val="20"/>
          <w:color w:val="auto"/>
        </w:rPr>
        <w:tab/>
      </w:r>
      <w:r>
        <w:rPr>
          <w:rFonts w:ascii="Courier New" w:cs="Courier New" w:eastAsia="Courier New" w:hAnsi="Courier New"/>
          <w:sz w:val="13"/>
          <w:szCs w:val="13"/>
          <w:color w:val="auto"/>
        </w:rPr>
        <w:t>9</w:t>
      </w:r>
    </w:p>
    <w:p>
      <w:pPr>
        <w:spacing w:after="0" w:line="177" w:lineRule="exact"/>
        <w:rPr>
          <w:sz w:val="24"/>
          <w:szCs w:val="24"/>
          <w:color w:val="auto"/>
        </w:rPr>
      </w:pPr>
    </w:p>
    <w:p>
      <w:pPr>
        <w:ind w:left="800"/>
        <w:spacing w:after="0"/>
        <w:tabs>
          <w:tab w:leader="dot" w:pos="68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10</w:t>
      </w:r>
    </w:p>
    <w:p>
      <w:pPr>
        <w:sectPr>
          <w:pgSz w:w="11900" w:h="16838" w:orient="portrait"/>
          <w:cols w:equalWidth="0" w:num="1">
            <w:col w:w="10219"/>
          </w:cols>
          <w:pgMar w:left="240" w:top="233" w:right="1440" w:bottom="809" w:gutter="0" w:footer="0" w:header="0"/>
          <w:type w:val="continuous"/>
        </w:sectPr>
      </w:pPr>
    </w:p>
    <w:bookmarkStart w:id="1" w:name="page2"/>
    <w:bookmarkEnd w:id="1"/>
    <w:p>
      <w:pPr>
        <w:ind w:left="2340"/>
        <w:spacing w:after="0"/>
        <w:rPr>
          <w:sz w:val="20"/>
          <w:szCs w:val="20"/>
          <w:color w:val="auto"/>
        </w:rPr>
      </w:pPr>
      <w:r>
        <w:rPr>
          <w:rFonts w:ascii="Courier New" w:cs="Courier New" w:eastAsia="Courier New" w:hAnsi="Courier New"/>
          <w:sz w:val="15"/>
          <w:szCs w:val="15"/>
          <w:color w:val="auto"/>
        </w:rPr>
        <w:t>Part 1: Financial Information</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5760" w:type="dxa"/>
            <w:vAlign w:val="bottom"/>
          </w:tcPr>
          <w:p>
            <w:pPr>
              <w:ind w:left="540"/>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67"/>
        </w:trPr>
        <w:tc>
          <w:tcPr>
            <w:tcW w:w="5760" w:type="dxa"/>
            <w:vAlign w:val="bottom"/>
          </w:tcPr>
          <w:p>
            <w:pPr>
              <w:spacing w:after="0"/>
              <w:rPr>
                <w:sz w:val="24"/>
                <w:szCs w:val="24"/>
                <w:color w:val="auto"/>
              </w:rPr>
            </w:pPr>
          </w:p>
        </w:tc>
        <w:tc>
          <w:tcPr>
            <w:tcW w:w="2700" w:type="dxa"/>
            <w:vAlign w:val="bottom"/>
            <w:gridSpan w:val="3"/>
          </w:tcPr>
          <w:p>
            <w:pPr>
              <w:ind w:left="1080"/>
              <w:spacing w:after="0"/>
              <w:rPr>
                <w:sz w:val="20"/>
                <w:szCs w:val="20"/>
                <w:color w:val="auto"/>
              </w:rPr>
            </w:pPr>
            <w:r>
              <w:rPr>
                <w:rFonts w:ascii="Courier New" w:cs="Courier New" w:eastAsia="Courier New" w:hAnsi="Courier New"/>
                <w:sz w:val="15"/>
                <w:szCs w:val="15"/>
                <w:color w:val="auto"/>
                <w:w w:val="98"/>
              </w:rPr>
              <w:t>Three months ended</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w:t>
            </w:r>
          </w:p>
        </w:tc>
      </w:tr>
      <w:tr>
        <w:trPr>
          <w:trHeight w:val="347"/>
        </w:trPr>
        <w:tc>
          <w:tcPr>
            <w:tcW w:w="5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jc w:val="right"/>
              <w:ind w:right="705"/>
              <w:spacing w:after="0"/>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24"/>
                <w:szCs w:val="24"/>
                <w:color w:val="auto"/>
              </w:rPr>
            </w:pPr>
          </w:p>
        </w:tc>
        <w:tc>
          <w:tcPr>
            <w:tcW w:w="11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760" w:type="dxa"/>
            <w:vAlign w:val="bottom"/>
          </w:tcPr>
          <w:p>
            <w:pPr>
              <w:spacing w:after="0"/>
              <w:rPr>
                <w:sz w:val="15"/>
                <w:szCs w:val="15"/>
                <w:color w:val="auto"/>
              </w:rPr>
            </w:pPr>
          </w:p>
        </w:tc>
        <w:tc>
          <w:tcPr>
            <w:tcW w:w="24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AMR systems</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$50,356</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$25,260</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Handheld systems</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9,680</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9,560</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Outsourcing</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3,672</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5,763</w:t>
            </w:r>
          </w:p>
        </w:tc>
      </w:tr>
      <w:tr>
        <w:trPr>
          <w:trHeight w:val="173"/>
        </w:trPr>
        <w:tc>
          <w:tcPr>
            <w:tcW w:w="576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Total revenues</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63,708</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40,583</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AMR systems</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34,768</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15,154</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Handheld systems</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5,125</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6,969</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Outsourcing</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3,020</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4,841</w:t>
            </w:r>
          </w:p>
        </w:tc>
      </w:tr>
      <w:tr>
        <w:trPr>
          <w:trHeight w:val="173"/>
        </w:trPr>
        <w:tc>
          <w:tcPr>
            <w:tcW w:w="5760" w:type="dxa"/>
            <w:vAlign w:val="bottom"/>
          </w:tcPr>
          <w:p>
            <w:pPr>
              <w:spacing w:after="0"/>
              <w:rPr>
                <w:sz w:val="15"/>
                <w:szCs w:val="15"/>
                <w:color w:val="auto"/>
              </w:rPr>
            </w:pPr>
          </w:p>
        </w:tc>
        <w:tc>
          <w:tcPr>
            <w:tcW w:w="24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Total cost of revenues</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42,913</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26,964</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260" w:type="dxa"/>
            <w:vAlign w:val="bottom"/>
          </w:tcPr>
          <w:p>
            <w:pPr>
              <w:spacing w:after="0"/>
              <w:rPr>
                <w:sz w:val="24"/>
                <w:szCs w:val="24"/>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20,795</w:t>
            </w:r>
          </w:p>
        </w:tc>
        <w:tc>
          <w:tcPr>
            <w:tcW w:w="300" w:type="dxa"/>
            <w:vAlign w:val="bottom"/>
          </w:tcPr>
          <w:p>
            <w:pPr>
              <w:spacing w:after="0"/>
              <w:rPr>
                <w:sz w:val="24"/>
                <w:szCs w:val="24"/>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13,619</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Sales and marketing</w:t>
            </w:r>
          </w:p>
        </w:tc>
        <w:tc>
          <w:tcPr>
            <w:tcW w:w="1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6,594</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7,525</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Product development</w:t>
            </w:r>
          </w:p>
        </w:tc>
        <w:tc>
          <w:tcPr>
            <w:tcW w:w="1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8,923</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7,329</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General and administrative</w:t>
            </w:r>
          </w:p>
        </w:tc>
        <w:tc>
          <w:tcPr>
            <w:tcW w:w="1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3,017</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2,424</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intangibles</w:t>
            </w:r>
          </w:p>
        </w:tc>
        <w:tc>
          <w:tcPr>
            <w:tcW w:w="1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591</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537</w:t>
            </w:r>
          </w:p>
        </w:tc>
      </w:tr>
      <w:tr>
        <w:trPr>
          <w:trHeight w:val="173"/>
        </w:trPr>
        <w:tc>
          <w:tcPr>
            <w:tcW w:w="5760" w:type="dxa"/>
            <w:vAlign w:val="bottom"/>
          </w:tcPr>
          <w:p>
            <w:pPr>
              <w:spacing w:after="0"/>
              <w:rPr>
                <w:sz w:val="15"/>
                <w:szCs w:val="15"/>
                <w:color w:val="auto"/>
              </w:rPr>
            </w:pPr>
          </w:p>
        </w:tc>
        <w:tc>
          <w:tcPr>
            <w:tcW w:w="24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Total operating expenses</w:t>
            </w:r>
          </w:p>
        </w:tc>
        <w:tc>
          <w:tcPr>
            <w:tcW w:w="1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6"/>
              </w:rPr>
              <w:t>19,125</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17,815</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260" w:type="dxa"/>
            <w:vAlign w:val="bottom"/>
          </w:tcPr>
          <w:p>
            <w:pPr>
              <w:spacing w:after="0"/>
              <w:rPr>
                <w:sz w:val="24"/>
                <w:szCs w:val="24"/>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1,670</w:t>
            </w:r>
          </w:p>
        </w:tc>
        <w:tc>
          <w:tcPr>
            <w:tcW w:w="300" w:type="dxa"/>
            <w:vAlign w:val="bottom"/>
          </w:tcPr>
          <w:p>
            <w:pPr>
              <w:spacing w:after="0"/>
              <w:rPr>
                <w:sz w:val="24"/>
                <w:szCs w:val="24"/>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(4,196)</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Interest and other, net</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(1,417)</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(1,063)</w:t>
            </w:r>
          </w:p>
        </w:tc>
      </w:tr>
      <w:tr>
        <w:trPr>
          <w:trHeight w:val="173"/>
        </w:trPr>
        <w:tc>
          <w:tcPr>
            <w:tcW w:w="5760" w:type="dxa"/>
            <w:vAlign w:val="bottom"/>
          </w:tcPr>
          <w:p>
            <w:pPr>
              <w:spacing w:after="0"/>
              <w:rPr>
                <w:sz w:val="15"/>
                <w:szCs w:val="15"/>
                <w:color w:val="auto"/>
              </w:rPr>
            </w:pPr>
          </w:p>
        </w:tc>
        <w:tc>
          <w:tcPr>
            <w:tcW w:w="24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260" w:type="dxa"/>
            <w:vAlign w:val="bottom"/>
          </w:tcPr>
          <w:p>
            <w:pPr>
              <w:spacing w:after="0"/>
              <w:rPr>
                <w:sz w:val="24"/>
                <w:szCs w:val="24"/>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253</w:t>
            </w:r>
          </w:p>
        </w:tc>
        <w:tc>
          <w:tcPr>
            <w:tcW w:w="300" w:type="dxa"/>
            <w:vAlign w:val="bottom"/>
          </w:tcPr>
          <w:p>
            <w:pPr>
              <w:spacing w:after="0"/>
              <w:rPr>
                <w:sz w:val="24"/>
                <w:szCs w:val="24"/>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(5,259)</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Benefit (provision) for income taxes</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760" w:type="dxa"/>
            <w:vAlign w:val="bottom"/>
          </w:tcPr>
          <w:p>
            <w:pPr>
              <w:spacing w:after="0"/>
              <w:rPr>
                <w:sz w:val="15"/>
                <w:szCs w:val="15"/>
                <w:color w:val="auto"/>
              </w:rPr>
            </w:pPr>
          </w:p>
        </w:tc>
        <w:tc>
          <w:tcPr>
            <w:tcW w:w="24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ind w:left="11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(3,259)</w:t>
            </w:r>
          </w:p>
        </w:tc>
      </w:tr>
      <w:tr>
        <w:trPr>
          <w:trHeight w:val="173"/>
        </w:trPr>
        <w:tc>
          <w:tcPr>
            <w:tcW w:w="5760" w:type="dxa"/>
            <w:vAlign w:val="bottom"/>
          </w:tcPr>
          <w:p>
            <w:pPr>
              <w:spacing w:after="0"/>
              <w:rPr>
                <w:sz w:val="15"/>
                <w:szCs w:val="15"/>
                <w:color w:val="auto"/>
              </w:rPr>
            </w:pPr>
          </w:p>
        </w:tc>
        <w:tc>
          <w:tcPr>
            <w:tcW w:w="24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260" w:type="dxa"/>
            <w:vAlign w:val="bottom"/>
          </w:tcPr>
          <w:p>
            <w:pPr>
              <w:ind w:left="11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5760" w:type="dxa"/>
            <w:vAlign w:val="bottom"/>
          </w:tcPr>
          <w:p>
            <w:pPr>
              <w:spacing w:after="0"/>
              <w:rPr>
                <w:sz w:val="15"/>
                <w:szCs w:val="15"/>
                <w:color w:val="auto"/>
              </w:rPr>
            </w:pPr>
          </w:p>
        </w:tc>
        <w:tc>
          <w:tcPr>
            <w:tcW w:w="24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260" w:type="dxa"/>
            <w:vAlign w:val="bottom"/>
          </w:tcPr>
          <w:p>
            <w:pPr>
              <w:ind w:left="11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5760" w:type="dxa"/>
            <w:vAlign w:val="bottom"/>
          </w:tcPr>
          <w:p>
            <w:pPr>
              <w:spacing w:after="0"/>
              <w:rPr>
                <w:sz w:val="15"/>
                <w:szCs w:val="15"/>
                <w:color w:val="auto"/>
              </w:rPr>
            </w:pPr>
          </w:p>
        </w:tc>
        <w:tc>
          <w:tcPr>
            <w:tcW w:w="24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260" w:type="dxa"/>
            <w:vAlign w:val="bottom"/>
          </w:tcPr>
          <w:p>
            <w:pPr>
              <w:spacing w:after="0"/>
              <w:rPr>
                <w:sz w:val="24"/>
                <w:szCs w:val="24"/>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14,631</w:t>
            </w:r>
          </w:p>
        </w:tc>
        <w:tc>
          <w:tcPr>
            <w:tcW w:w="300" w:type="dxa"/>
            <w:vAlign w:val="bottom"/>
          </w:tcPr>
          <w:p>
            <w:pPr>
              <w:spacing w:after="0"/>
              <w:rPr>
                <w:sz w:val="24"/>
                <w:szCs w:val="24"/>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Diluted shares outstanding</w:t>
            </w:r>
          </w:p>
        </w:tc>
        <w:tc>
          <w:tcPr>
            <w:tcW w:w="126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14,852</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bl>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460"/>
          </w:cols>
          <w:pgMar w:left="240" w:top="811" w:right="1199" w:bottom="1440" w:gutter="0" w:footer="0" w:header="0"/>
        </w:sectPr>
      </w:pPr>
    </w:p>
    <w:bookmarkStart w:id="2" w:name="page3"/>
    <w:bookmarkEnd w:id="2"/>
    <w:p>
      <w:pPr>
        <w:jc w:val="center"/>
        <w:ind w:right="306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5"/>
          <w:szCs w:val="15"/>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80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March 31,</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6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08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760" w:type="dxa"/>
            <w:vAlign w:val="bottom"/>
          </w:tcPr>
          <w:p>
            <w:pPr>
              <w:ind w:left="16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3,023</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68,029</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61,442</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contracts receivable</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9,702</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8,445</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25,771</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31,985</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net</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5,568</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5,668</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3,050</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1,888</w:t>
            </w:r>
          </w:p>
        </w:tc>
      </w:tr>
      <w:tr>
        <w:trPr>
          <w:trHeight w:val="173"/>
        </w:trPr>
        <w:tc>
          <w:tcPr>
            <w:tcW w:w="608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113,841</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112,451</w:t>
            </w:r>
          </w:p>
        </w:tc>
      </w:tr>
      <w:tr>
        <w:trPr>
          <w:trHeight w:val="347"/>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76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48,745</w:t>
            </w:r>
          </w:p>
        </w:tc>
        <w:tc>
          <w:tcPr>
            <w:tcW w:w="480" w:type="dxa"/>
            <w:vAlign w:val="bottom"/>
          </w:tcPr>
          <w:p>
            <w:pPr>
              <w:spacing w:after="0"/>
              <w:rPr>
                <w:sz w:val="24"/>
                <w:szCs w:val="24"/>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49,067</w:t>
            </w: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46,650</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42,848</w:t>
            </w: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21,057</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21,472</w:t>
            </w: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12,196</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11,119</w:t>
            </w: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3,488</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3,254</w:t>
            </w:r>
          </w:p>
        </w:tc>
      </w:tr>
      <w:tr>
        <w:trPr>
          <w:trHeight w:val="173"/>
        </w:trPr>
        <w:tc>
          <w:tcPr>
            <w:tcW w:w="608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$245,977</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$240,211</w:t>
            </w:r>
          </w:p>
        </w:tc>
      </w:tr>
      <w:tr>
        <w:trPr>
          <w:trHeight w:val="173"/>
        </w:trPr>
        <w:tc>
          <w:tcPr>
            <w:tcW w:w="608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0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Short-term borrowings</w:t>
            </w:r>
          </w:p>
        </w:tc>
        <w:tc>
          <w:tcPr>
            <w:tcW w:w="1760" w:type="dxa"/>
            <w:vAlign w:val="bottom"/>
          </w:tcPr>
          <w:p>
            <w:pPr>
              <w:ind w:left="16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14,499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1,560</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21,822</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26,644</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Wages &amp; benefits payable</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5,985</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9,181</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6,504</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6,759</w:t>
            </w:r>
          </w:p>
        </w:tc>
      </w:tr>
      <w:tr>
        <w:trPr>
          <w:trHeight w:val="173"/>
        </w:trPr>
        <w:tc>
          <w:tcPr>
            <w:tcW w:w="608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48,810</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44,144</w:t>
            </w:r>
          </w:p>
        </w:tc>
      </w:tr>
      <w:tr>
        <w:trPr>
          <w:trHeight w:val="347"/>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76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63,400</w:t>
            </w:r>
          </w:p>
        </w:tc>
        <w:tc>
          <w:tcPr>
            <w:tcW w:w="480" w:type="dxa"/>
            <w:vAlign w:val="bottom"/>
          </w:tcPr>
          <w:p>
            <w:pPr>
              <w:spacing w:after="0"/>
              <w:rPr>
                <w:sz w:val="24"/>
                <w:szCs w:val="24"/>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63,400</w:t>
            </w: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6,440</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6,440</w:t>
            </w: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2,414</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2,414</w:t>
            </w: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3,935</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3,386</w:t>
            </w:r>
          </w:p>
        </w:tc>
      </w:tr>
      <w:tr>
        <w:trPr>
          <w:trHeight w:val="173"/>
        </w:trPr>
        <w:tc>
          <w:tcPr>
            <w:tcW w:w="608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Total noncurrent liabilities</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76,189</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75,640</w:t>
            </w:r>
          </w:p>
        </w:tc>
      </w:tr>
      <w:tr>
        <w:trPr>
          <w:trHeight w:val="347"/>
        </w:trPr>
        <w:tc>
          <w:tcPr>
            <w:tcW w:w="60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105,736</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105,193</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16,468</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16,315</w:t>
            </w:r>
          </w:p>
        </w:tc>
      </w:tr>
      <w:tr>
        <w:trPr>
          <w:trHeight w:val="173"/>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(1,226)</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(1,081)</w:t>
            </w:r>
          </w:p>
        </w:tc>
      </w:tr>
      <w:tr>
        <w:trPr>
          <w:trHeight w:val="173"/>
        </w:trPr>
        <w:tc>
          <w:tcPr>
            <w:tcW w:w="6080" w:type="dxa"/>
            <w:vAlign w:val="bottom"/>
          </w:tcPr>
          <w:p>
            <w:pPr>
              <w:spacing w:after="0"/>
              <w:rPr>
                <w:sz w:val="15"/>
                <w:szCs w:val="15"/>
                <w:color w:val="auto"/>
              </w:rPr>
            </w:pPr>
          </w:p>
        </w:tc>
        <w:tc>
          <w:tcPr>
            <w:tcW w:w="2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176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120,978</w:t>
            </w:r>
          </w:p>
        </w:tc>
        <w:tc>
          <w:tcPr>
            <w:tcW w:w="480" w:type="dxa"/>
            <w:vAlign w:val="bottom"/>
          </w:tcPr>
          <w:p>
            <w:pPr>
              <w:spacing w:after="0"/>
              <w:rPr>
                <w:sz w:val="24"/>
                <w:szCs w:val="24"/>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120,427</w:t>
            </w:r>
          </w:p>
        </w:tc>
      </w:tr>
      <w:tr>
        <w:trPr>
          <w:trHeight w:val="173"/>
        </w:trPr>
        <w:tc>
          <w:tcPr>
            <w:tcW w:w="608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08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76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$245,977</w:t>
            </w:r>
          </w:p>
        </w:tc>
        <w:tc>
          <w:tcPr>
            <w:tcW w:w="480" w:type="dxa"/>
            <w:vAlign w:val="bottom"/>
          </w:tcPr>
          <w:p>
            <w:pPr>
              <w:spacing w:after="0"/>
              <w:rPr>
                <w:sz w:val="24"/>
                <w:szCs w:val="24"/>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$240,211</w:t>
            </w:r>
          </w:p>
        </w:tc>
      </w:tr>
      <w:tr>
        <w:trPr>
          <w:trHeight w:val="173"/>
        </w:trPr>
        <w:tc>
          <w:tcPr>
            <w:tcW w:w="608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360"/>
          </w:cols>
          <w:pgMar w:left="240" w:top="811" w:right="1299" w:bottom="1440" w:gutter="0" w:footer="0" w:header="0"/>
        </w:sectPr>
      </w:pPr>
    </w:p>
    <w:bookmarkStart w:id="3" w:name="page4"/>
    <w:bookmarkEnd w:id="3"/>
    <w:p>
      <w:pPr>
        <w:jc w:val="center"/>
        <w:ind w:right="298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5"/>
          <w:szCs w:val="15"/>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4160" w:type="dxa"/>
            <w:vAlign w:val="bottom"/>
            <w:gridSpan w:val="3"/>
          </w:tcPr>
          <w:p>
            <w:pPr>
              <w:ind w:left="1440"/>
              <w:spacing w:after="0"/>
              <w:rPr>
                <w:sz w:val="20"/>
                <w:szCs w:val="20"/>
                <w:color w:val="auto"/>
              </w:rPr>
            </w:pPr>
            <w:r>
              <w:rPr>
                <w:rFonts w:ascii="Courier New" w:cs="Courier New" w:eastAsia="Courier New" w:hAnsi="Courier New"/>
                <w:sz w:val="15"/>
                <w:szCs w:val="15"/>
                <w:color w:val="auto"/>
              </w:rPr>
              <w:t>Three months ended March 31,</w:t>
            </w:r>
          </w:p>
        </w:tc>
      </w:tr>
      <w:tr>
        <w:trPr>
          <w:trHeight w:val="173"/>
        </w:trPr>
        <w:tc>
          <w:tcPr>
            <w:tcW w:w="6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4"/>
              </w:rPr>
              <w:t>1998</w:t>
            </w:r>
          </w:p>
        </w:tc>
        <w:tc>
          <w:tcPr>
            <w:tcW w:w="1320" w:type="dxa"/>
            <w:vAlign w:val="bottom"/>
          </w:tcPr>
          <w:p>
            <w:pPr>
              <w:ind w:left="500"/>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0" w:type="dxa"/>
            <w:vAlign w:val="bottom"/>
          </w:tcPr>
          <w:p>
            <w:pPr>
              <w:ind w:left="17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(3,259)</w:t>
            </w:r>
          </w:p>
        </w:tc>
      </w:tr>
      <w:tr>
        <w:trPr>
          <w:trHeight w:val="520"/>
        </w:trPr>
        <w:tc>
          <w:tcPr>
            <w:tcW w:w="6120" w:type="dxa"/>
            <w:vAlign w:val="bottom"/>
          </w:tcPr>
          <w:p>
            <w:pPr>
              <w:spacing w:after="0"/>
              <w:rPr>
                <w:sz w:val="20"/>
                <w:szCs w:val="20"/>
                <w:color w:val="auto"/>
              </w:rPr>
            </w:pPr>
            <w:r>
              <w:rPr>
                <w:rFonts w:ascii="Courier New" w:cs="Courier New" w:eastAsia="Courier New" w:hAnsi="Courier New"/>
                <w:sz w:val="15"/>
                <w:szCs w:val="15"/>
                <w:color w:val="auto"/>
              </w:rPr>
              <w:t>Noncash charges (credits) to income:</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4,657</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3,774</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Changes in operating accounts, net of acquisitions: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(7,731)</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7,514</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Long-term contracts receivable</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(2,334)</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(5,447)</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6,214</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3,269</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and accrued expenses</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(3,678)</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(1,339)</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Wages and benefits payable</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(3,196)</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(255)</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(1,300)</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1,508</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ind w:left="620"/>
              <w:spacing w:after="0"/>
              <w:rPr>
                <w:sz w:val="20"/>
                <w:szCs w:val="20"/>
                <w:color w:val="auto"/>
              </w:rPr>
            </w:pPr>
            <w:r>
              <w:rPr>
                <w:rFonts w:ascii="Courier New" w:cs="Courier New" w:eastAsia="Courier New" w:hAnsi="Courier New"/>
                <w:sz w:val="15"/>
                <w:szCs w:val="15"/>
                <w:color w:val="auto"/>
              </w:rPr>
              <w:t>Cash provided (used) by operating activities</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(7,310)</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3,737</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(2,737)</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(2,894)</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Acquisition of equipment used in outsourcing</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(4,504)</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(8,864)</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Acquisitions of intangibles and patent defense costs</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(481)</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ind w:left="540"/>
              <w:spacing w:after="0"/>
              <w:rPr>
                <w:sz w:val="20"/>
                <w:szCs w:val="20"/>
                <w:color w:val="auto"/>
              </w:rPr>
            </w:pPr>
            <w:r>
              <w:rPr>
                <w:rFonts w:ascii="Courier New" w:cs="Courier New" w:eastAsia="Courier New" w:hAnsi="Courier New"/>
                <w:sz w:val="15"/>
                <w:szCs w:val="15"/>
                <w:color w:val="auto"/>
              </w:rPr>
              <w:t>Cash used by investing activities</w:t>
            </w:r>
          </w:p>
        </w:tc>
        <w:tc>
          <w:tcPr>
            <w:tcW w:w="180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(8,009)</w:t>
            </w:r>
          </w:p>
        </w:tc>
        <w:tc>
          <w:tcPr>
            <w:tcW w:w="1320" w:type="dxa"/>
            <w:vAlign w:val="bottom"/>
          </w:tcPr>
          <w:p>
            <w:pPr>
              <w:ind w:left="500"/>
              <w:spacing w:after="0"/>
              <w:rPr>
                <w:sz w:val="20"/>
                <w:szCs w:val="20"/>
                <w:color w:val="auto"/>
              </w:rPr>
            </w:pPr>
            <w:r>
              <w:rPr>
                <w:rFonts w:ascii="Courier New" w:cs="Courier New" w:eastAsia="Courier New" w:hAnsi="Courier New"/>
                <w:sz w:val="15"/>
                <w:szCs w:val="15"/>
                <w:color w:val="auto"/>
              </w:rPr>
              <w:t>(11,831)</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Short-term borrowings, net</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12,939</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(33,062)</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80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57,800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543</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ind w:left="540"/>
              <w:spacing w:after="0"/>
              <w:rPr>
                <w:sz w:val="20"/>
                <w:szCs w:val="20"/>
                <w:color w:val="auto"/>
              </w:rPr>
            </w:pPr>
            <w:r>
              <w:rPr>
                <w:rFonts w:ascii="Courier New" w:cs="Courier New" w:eastAsia="Courier New" w:hAnsi="Courier New"/>
                <w:sz w:val="15"/>
                <w:szCs w:val="15"/>
                <w:color w:val="auto"/>
              </w:rPr>
              <w:t>Cash provided by financing activities</w:t>
            </w:r>
          </w:p>
        </w:tc>
        <w:tc>
          <w:tcPr>
            <w:tcW w:w="180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14,017</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24,773</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Increase(decrease)in cash and cash equivalents</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(1,302)</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16,679</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00" w:type="dxa"/>
            <w:vAlign w:val="bottom"/>
          </w:tcPr>
          <w:p>
            <w:pPr>
              <w:spacing w:after="0"/>
              <w:rPr>
                <w:sz w:val="24"/>
                <w:szCs w:val="2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3,023</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2,243</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80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1,721</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$ 18,922</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80"/>
          </w:cols>
          <w:pgMar w:left="240" w:top="811" w:right="1379" w:bottom="1440" w:gutter="0" w:footer="0" w:header="0"/>
        </w:sectPr>
      </w:pPr>
    </w:p>
    <w:bookmarkStart w:id="4" w:name="page5"/>
    <w:bookmarkEnd w:id="4"/>
    <w:p>
      <w:pPr>
        <w:jc w:val="center"/>
        <w:ind w:right="298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March 31, 1998</w:t>
      </w:r>
    </w:p>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tab/>
        <w:t>Basis of Presentation</w:t>
      </w:r>
    </w:p>
    <w:p>
      <w:pPr>
        <w:spacing w:after="0" w:line="178"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5"/>
          <w:szCs w:val="15"/>
          <w:color w:val="auto"/>
        </w:rPr>
        <w:t>The consolidated financial statements presented in this Form 10-Q are unaudited and reflect, in the opinion of management, all normal recurring adjustments necessary for a fair presentation of operations for the three month period ended March 31, 1998.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1997, as filed with the Securities and Exchange Commission on March 31, 1998.</w:t>
      </w:r>
    </w:p>
    <w:p>
      <w:pPr>
        <w:spacing w:after="0" w:line="180"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5"/>
          <w:szCs w:val="15"/>
          <w:color w:val="auto"/>
        </w:rPr>
        <w:t>The Company reports revenue in three categories: AMR (automatic meter reading) systems, Handheld systems (EMR or electronic meter reading), and Outsourcing. AMR and Handheld systems revenues include all product and other revenue associated with each business segment. Outsourcing includes revenues for contracts under which the Company installs, owns, and operates an AMR system to provide automated meter reading services over a period of time, typically 15 years.</w:t>
      </w:r>
    </w:p>
    <w:p>
      <w:pPr>
        <w:spacing w:after="0" w:line="178"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5"/>
          <w:szCs w:val="15"/>
          <w:color w:val="auto"/>
        </w:rPr>
        <w:t>The results of operations for the three month period ended March 31, 1998, are not necessarily indicative of the results expected for the full fiscal year or for any other fiscal period.</w:t>
      </w:r>
    </w:p>
    <w:p>
      <w:pPr>
        <w:spacing w:after="0" w:line="34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Balance Sheet Components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8"/>
          </w:tcPr>
          <w:p>
            <w:pPr>
              <w:spacing w:after="0"/>
              <w:rPr>
                <w:sz w:val="20"/>
                <w:szCs w:val="20"/>
                <w:color w:val="auto"/>
              </w:rPr>
            </w:pPr>
            <w:r>
              <w:rPr>
                <w:rFonts w:ascii="Courier New" w:cs="Courier New" w:eastAsia="Courier New" w:hAnsi="Courier New"/>
                <w:sz w:val="15"/>
                <w:szCs w:val="15"/>
                <w:color w:val="auto"/>
                <w:w w:val="99"/>
              </w:rPr>
              <w:t>Inventories (unaudited, in thousands):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March 31,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December 31,</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Material</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$14,418</w:t>
            </w:r>
          </w:p>
        </w:tc>
      </w:tr>
      <w:tr>
        <w:trPr>
          <w:trHeight w:val="173"/>
        </w:trPr>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w w:val="97"/>
              </w:rPr>
              <w:t>Work in process</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1,770</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3,138</w:t>
            </w:r>
          </w:p>
        </w:tc>
      </w:tr>
      <w:tr>
        <w:trPr>
          <w:trHeight w:val="173"/>
        </w:trPr>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Finished goods</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7,246</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7,304</w:t>
            </w:r>
          </w:p>
        </w:tc>
      </w:tr>
      <w:tr>
        <w:trPr>
          <w:trHeight w:val="173"/>
        </w:trPr>
        <w:tc>
          <w:tcPr>
            <w:tcW w:w="4280" w:type="dxa"/>
            <w:vAlign w:val="bottom"/>
            <w:gridSpan w:val="9"/>
          </w:tcPr>
          <w:p>
            <w:pPr>
              <w:spacing w:after="0"/>
              <w:rPr>
                <w:sz w:val="20"/>
                <w:szCs w:val="20"/>
                <w:color w:val="auto"/>
              </w:rPr>
            </w:pPr>
            <w:r>
              <w:rPr>
                <w:rFonts w:ascii="Courier New" w:cs="Courier New" w:eastAsia="Courier New" w:hAnsi="Courier New"/>
                <w:sz w:val="15"/>
                <w:szCs w:val="15"/>
                <w:color w:val="auto"/>
              </w:rPr>
              <w:t>Field inventories awaiting installation</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927</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5,178</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gridSpan w:val="7"/>
          </w:tcPr>
          <w:p>
            <w:pPr>
              <w:spacing w:after="0"/>
              <w:rPr>
                <w:sz w:val="20"/>
                <w:szCs w:val="20"/>
                <w:color w:val="auto"/>
              </w:rPr>
            </w:pPr>
            <w:r>
              <w:rPr>
                <w:rFonts w:ascii="Courier New" w:cs="Courier New" w:eastAsia="Courier New" w:hAnsi="Courier New"/>
                <w:sz w:val="15"/>
                <w:szCs w:val="15"/>
                <w:color w:val="auto"/>
              </w:rPr>
              <w:t>Total manufacturing inventories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23,522</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30,038</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2,249</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1,947</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3"/>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Total inventories</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$25,771</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$31,985</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694"/>
        </w:trPr>
        <w:tc>
          <w:tcPr>
            <w:tcW w:w="5040" w:type="dxa"/>
            <w:vAlign w:val="bottom"/>
            <w:gridSpan w:val="10"/>
          </w:tcPr>
          <w:p>
            <w:pPr>
              <w:spacing w:after="0"/>
              <w:rPr>
                <w:sz w:val="20"/>
                <w:szCs w:val="20"/>
                <w:color w:val="auto"/>
              </w:rPr>
            </w:pPr>
            <w:r>
              <w:rPr>
                <w:rFonts w:ascii="Courier New" w:cs="Courier New" w:eastAsia="Courier New" w:hAnsi="Courier New"/>
                <w:sz w:val="15"/>
                <w:szCs w:val="15"/>
                <w:color w:val="auto"/>
              </w:rPr>
              <w:t>Note 3:  Impact of Recent Accounting Pronouncements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Comprehensive Income</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7740" w:type="dxa"/>
            <w:vAlign w:val="bottom"/>
            <w:gridSpan w:val="15"/>
          </w:tcPr>
          <w:p>
            <w:pPr>
              <w:spacing w:after="0"/>
              <w:rPr>
                <w:sz w:val="20"/>
                <w:szCs w:val="20"/>
                <w:color w:val="auto"/>
              </w:rPr>
            </w:pPr>
            <w:r>
              <w:rPr>
                <w:rFonts w:ascii="Courier New" w:cs="Courier New" w:eastAsia="Courier New" w:hAnsi="Courier New"/>
                <w:sz w:val="15"/>
                <w:szCs w:val="15"/>
                <w:color w:val="auto"/>
              </w:rPr>
              <w:t>Effective January 1, 1998, the Company adopted Statement of Financial Accounting</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Standards</w:t>
            </w:r>
          </w:p>
        </w:tc>
        <w:tc>
          <w:tcPr>
            <w:tcW w:w="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No.</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130,</w:t>
            </w:r>
          </w:p>
        </w:tc>
        <w:tc>
          <w:tcPr>
            <w:tcW w:w="66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7"/>
              </w:rPr>
              <w:t>(SFAS</w:t>
            </w:r>
          </w:p>
        </w:tc>
        <w:tc>
          <w:tcPr>
            <w:tcW w:w="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130),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"Reporting</w:t>
            </w:r>
          </w:p>
        </w:tc>
        <w:tc>
          <w:tcPr>
            <w:tcW w:w="16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Comprehensive</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Income,"</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that</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940" w:type="dxa"/>
            <w:vAlign w:val="bottom"/>
            <w:gridSpan w:val="12"/>
          </w:tcPr>
          <w:p>
            <w:pPr>
              <w:spacing w:after="0"/>
              <w:rPr>
                <w:sz w:val="20"/>
                <w:szCs w:val="20"/>
                <w:color w:val="auto"/>
              </w:rPr>
            </w:pPr>
            <w:r>
              <w:rPr>
                <w:rFonts w:ascii="Courier New" w:cs="Courier New" w:eastAsia="Courier New" w:hAnsi="Courier New"/>
                <w:sz w:val="15"/>
                <w:szCs w:val="15"/>
                <w:color w:val="auto"/>
              </w:rPr>
              <w:t>establishes new rules for reporting and display of comprehensive</w:t>
            </w:r>
          </w:p>
        </w:tc>
        <w:tc>
          <w:tcPr>
            <w:tcW w:w="18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w w:val="98"/>
              </w:rPr>
              <w:t>income and its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components.</w:t>
            </w:r>
          </w:p>
        </w:tc>
        <w:tc>
          <w:tcPr>
            <w:tcW w:w="5400" w:type="dxa"/>
            <w:vAlign w:val="bottom"/>
            <w:gridSpan w:val="11"/>
          </w:tcPr>
          <w:p>
            <w:pPr>
              <w:ind w:left="80"/>
              <w:spacing w:after="0"/>
              <w:rPr>
                <w:sz w:val="20"/>
                <w:szCs w:val="20"/>
                <w:color w:val="auto"/>
              </w:rPr>
            </w:pPr>
            <w:r>
              <w:rPr>
                <w:rFonts w:ascii="Courier New" w:cs="Courier New" w:eastAsia="Courier New" w:hAnsi="Courier New"/>
                <w:sz w:val="15"/>
                <w:szCs w:val="15"/>
                <w:color w:val="auto"/>
                <w:w w:val="99"/>
              </w:rPr>
              <w:t>Adoption of SFAS 130 requires unrealized gains or losses on</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foreign</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currency</w:t>
            </w:r>
          </w:p>
        </w:tc>
        <w:tc>
          <w:tcPr>
            <w:tcW w:w="1040" w:type="dxa"/>
            <w:vAlign w:val="bottom"/>
            <w:gridSpan w:val="3"/>
          </w:tcPr>
          <w:p>
            <w:pPr>
              <w:spacing w:after="0"/>
              <w:rPr>
                <w:sz w:val="20"/>
                <w:szCs w:val="20"/>
                <w:color w:val="auto"/>
              </w:rPr>
            </w:pPr>
            <w:r>
              <w:rPr>
                <w:rFonts w:ascii="Courier New" w:cs="Courier New" w:eastAsia="Courier New" w:hAnsi="Courier New"/>
                <w:sz w:val="15"/>
                <w:szCs w:val="15"/>
                <w:color w:val="auto"/>
              </w:rPr>
              <w:t>translation</w:t>
            </w:r>
          </w:p>
        </w:tc>
        <w:tc>
          <w:tcPr>
            <w:tcW w:w="12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included in other</w:t>
            </w:r>
          </w:p>
        </w:tc>
        <w:tc>
          <w:tcPr>
            <w:tcW w:w="1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comprehensive</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income,</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which prior</w:t>
            </w:r>
          </w:p>
        </w:tc>
        <w:tc>
          <w:tcPr>
            <w:tcW w:w="2340" w:type="dxa"/>
            <w:vAlign w:val="bottom"/>
            <w:gridSpan w:val="6"/>
          </w:tcPr>
          <w:p>
            <w:pPr>
              <w:jc w:val="center"/>
              <w:ind w:right="25"/>
              <w:spacing w:after="0"/>
              <w:rPr>
                <w:sz w:val="20"/>
                <w:szCs w:val="20"/>
                <w:color w:val="auto"/>
              </w:rPr>
            </w:pPr>
            <w:r>
              <w:rPr>
                <w:rFonts w:ascii="Courier New" w:cs="Courier New" w:eastAsia="Courier New" w:hAnsi="Courier New"/>
                <w:sz w:val="15"/>
                <w:szCs w:val="15"/>
                <w:color w:val="auto"/>
                <w:w w:val="99"/>
              </w:rPr>
              <w:t>to adoption were reported</w:t>
            </w:r>
          </w:p>
        </w:tc>
        <w:tc>
          <w:tcPr>
            <w:tcW w:w="2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separately in stockholders'</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equity.</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The</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components</w:t>
            </w:r>
          </w:p>
        </w:tc>
        <w:tc>
          <w:tcPr>
            <w:tcW w:w="180" w:type="dxa"/>
            <w:vAlign w:val="bottom"/>
          </w:tcPr>
          <w:p>
            <w:pPr>
              <w:spacing w:after="0"/>
              <w:rPr>
                <w:sz w:val="15"/>
                <w:szCs w:val="15"/>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of</w:t>
            </w:r>
          </w:p>
        </w:tc>
        <w:tc>
          <w:tcPr>
            <w:tcW w:w="12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comprehensive</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income,</w:t>
            </w:r>
          </w:p>
        </w:tc>
        <w:tc>
          <w:tcPr>
            <w:tcW w:w="16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net of related</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tax,</w:t>
            </w:r>
          </w:p>
        </w:tc>
        <w:tc>
          <w:tcPr>
            <w:tcW w:w="230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are as follows (in</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thousands):</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694"/>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Three months ended March 31,</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040" w:type="dxa"/>
            <w:vAlign w:val="bottom"/>
            <w:gridSpan w:val="10"/>
          </w:tcPr>
          <w:p>
            <w:pPr>
              <w:spacing w:after="0"/>
              <w:rPr>
                <w:sz w:val="20"/>
                <w:szCs w:val="20"/>
                <w:color w:val="auto"/>
              </w:rPr>
            </w:pPr>
            <w:r>
              <w:rPr>
                <w:rFonts w:ascii="Courier New" w:cs="Courier New" w:eastAsia="Courier New" w:hAnsi="Courier New"/>
                <w:sz w:val="15"/>
                <w:szCs w:val="15"/>
                <w:color w:val="auto"/>
              </w:rPr>
              <w:t>Income (loss) attributable to common shareholders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$(3,259)</w:t>
            </w:r>
          </w:p>
        </w:tc>
      </w:tr>
      <w:tr>
        <w:trPr>
          <w:trHeight w:val="173"/>
        </w:trPr>
        <w:tc>
          <w:tcPr>
            <w:tcW w:w="4280" w:type="dxa"/>
            <w:vAlign w:val="bottom"/>
            <w:gridSpan w:val="9"/>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Comprehensive income</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$(3,269)</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Segment Reporting</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The Company</w:t>
            </w:r>
          </w:p>
        </w:tc>
        <w:tc>
          <w:tcPr>
            <w:tcW w:w="11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will adopt</w:t>
            </w:r>
          </w:p>
        </w:tc>
        <w:tc>
          <w:tcPr>
            <w:tcW w:w="2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Statement of Financial</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Accounting</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Standards</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7"/>
              </w:rPr>
              <w:t>No. 131,</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(SFAS  131),</w:t>
            </w:r>
          </w:p>
        </w:tc>
        <w:tc>
          <w:tcPr>
            <w:tcW w:w="2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Courier New" w:cs="Courier New" w:eastAsia="Courier New" w:hAnsi="Courier New"/>
                <w:sz w:val="15"/>
                <w:szCs w:val="15"/>
                <w:color w:val="auto"/>
              </w:rPr>
              <w:t>"Disclosures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About</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Segments</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an</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Enterprise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Related</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Information,"</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effective</w:t>
            </w:r>
          </w:p>
        </w:tc>
        <w:tc>
          <w:tcPr>
            <w:tcW w:w="5540" w:type="dxa"/>
            <w:vAlign w:val="bottom"/>
            <w:gridSpan w:val="10"/>
          </w:tcPr>
          <w:p>
            <w:pPr>
              <w:jc w:val="right"/>
              <w:ind w:right="465"/>
              <w:spacing w:after="0"/>
              <w:rPr>
                <w:sz w:val="20"/>
                <w:szCs w:val="20"/>
                <w:color w:val="auto"/>
              </w:rPr>
            </w:pPr>
            <w:r>
              <w:rPr>
                <w:rFonts w:ascii="Courier New" w:cs="Courier New" w:eastAsia="Courier New" w:hAnsi="Courier New"/>
                <w:sz w:val="15"/>
                <w:szCs w:val="15"/>
                <w:color w:val="auto"/>
              </w:rPr>
              <w:t>December 31, 1998.  SFAS 131 relates to the nature and</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disclosure</w:t>
            </w:r>
          </w:p>
        </w:tc>
        <w:tc>
          <w:tcPr>
            <w:tcW w:w="180" w:type="dxa"/>
            <w:vAlign w:val="bottom"/>
          </w:tcPr>
          <w:p>
            <w:pPr>
              <w:spacing w:after="0"/>
              <w:rPr>
                <w:sz w:val="15"/>
                <w:szCs w:val="15"/>
                <w:color w:val="auto"/>
              </w:rPr>
            </w:pPr>
          </w:p>
        </w:tc>
        <w:tc>
          <w:tcPr>
            <w:tcW w:w="6660" w:type="dxa"/>
            <w:vAlign w:val="bottom"/>
            <w:gridSpan w:val="13"/>
          </w:tcPr>
          <w:p>
            <w:pPr>
              <w:jc w:val="right"/>
              <w:ind w:right="465"/>
              <w:spacing w:after="0"/>
              <w:rPr>
                <w:sz w:val="20"/>
                <w:szCs w:val="20"/>
                <w:color w:val="auto"/>
              </w:rPr>
            </w:pPr>
            <w:r>
              <w:rPr>
                <w:rFonts w:ascii="Courier New" w:cs="Courier New" w:eastAsia="Courier New" w:hAnsi="Courier New"/>
                <w:sz w:val="15"/>
                <w:szCs w:val="15"/>
                <w:color w:val="auto"/>
                <w:w w:val="99"/>
              </w:rPr>
              <w:t>of  business  segment  results  and  financial  position  and is not</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6840" w:type="dxa"/>
            <w:vAlign w:val="bottom"/>
            <w:gridSpan w:val="14"/>
          </w:tcPr>
          <w:p>
            <w:pPr>
              <w:spacing w:after="0"/>
              <w:rPr>
                <w:sz w:val="20"/>
                <w:szCs w:val="20"/>
                <w:color w:val="auto"/>
              </w:rPr>
            </w:pPr>
            <w:r>
              <w:rPr>
                <w:rFonts w:ascii="Courier New" w:cs="Courier New" w:eastAsia="Courier New" w:hAnsi="Courier New"/>
                <w:sz w:val="15"/>
                <w:szCs w:val="15"/>
                <w:color w:val="auto"/>
                <w:w w:val="99"/>
              </w:rPr>
              <w:t>expected to have a significant impact on the Company's financial statements.</w:t>
            </w: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ectPr>
          <w:pgSz w:w="11900" w:h="16838" w:orient="portrait"/>
          <w:cols w:equalWidth="0" w:num="1">
            <w:col w:w="10280"/>
          </w:cols>
          <w:pgMar w:left="240" w:top="811" w:right="1379" w:bottom="728" w:gutter="0" w:footer="0" w:header="0"/>
        </w:sectPr>
      </w:pPr>
    </w:p>
    <w:bookmarkStart w:id="5" w:name="page6"/>
    <w:bookmarkEnd w:id="5"/>
    <w:p>
      <w:pPr>
        <w:spacing w:after="0"/>
        <w:tabs>
          <w:tab w:leader="none" w:pos="780" w:val="left"/>
        </w:tabs>
        <w:rPr>
          <w:sz w:val="20"/>
          <w:szCs w:val="20"/>
          <w:color w:val="auto"/>
        </w:rPr>
      </w:pPr>
      <w:r>
        <w:rPr>
          <w:rFonts w:ascii="Courier New" w:cs="Courier New" w:eastAsia="Courier New" w:hAnsi="Courier New"/>
          <w:sz w:val="15"/>
          <w:szCs w:val="15"/>
          <w:color w:val="auto"/>
        </w:rPr>
        <w:t>Note 4:</w:t>
        <w:tab/>
        <w:t>Contingencies</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The Company, together with certain directors and officers, is a defendant in two shareholder-initiated proposed class actions (one in Federal court and one in Washington State court), alleging securities and other statutory and common law violations arising out of alleged misleading disclosures or omissions made by the Company regarding its business and technology. The Company is also a defendant in a patent infringement lawsuit filed by CellNet Data Systems. The Company believes these actions are without merit and intends to vigorously defend against them. At this time, it is not possible to predict the ultimate outcome of these proceedings.</w:t>
      </w:r>
    </w:p>
    <w:p>
      <w:pPr>
        <w:sectPr>
          <w:pgSz w:w="11900" w:h="16838" w:orient="portrait"/>
          <w:cols w:equalWidth="0" w:num="1">
            <w:col w:w="10219"/>
          </w:cols>
          <w:pgMar w:left="240" w:top="811" w:right="1440" w:bottom="1440" w:gutter="0" w:footer="0" w:header="0"/>
        </w:sectPr>
      </w:pPr>
    </w:p>
    <w:bookmarkStart w:id="6" w:name="page7"/>
    <w:bookmarkEnd w:id="6"/>
    <w:p>
      <w:pPr>
        <w:ind w:right="3880"/>
        <w:spacing w:after="0" w:line="243"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jc w:val="both"/>
        <w:ind w:right="3260"/>
        <w:spacing w:after="0" w:line="244" w:lineRule="auto"/>
        <w:rPr>
          <w:sz w:val="20"/>
          <w:szCs w:val="20"/>
          <w:color w:val="auto"/>
        </w:rPr>
      </w:pPr>
      <w:r>
        <w:rPr>
          <w:rFonts w:ascii="Courier New" w:cs="Courier New" w:eastAsia="Courier New" w:hAnsi="Courier New"/>
          <w:sz w:val="15"/>
          <w:szCs w:val="15"/>
          <w:color w:val="auto"/>
        </w:rPr>
        <w:t>The following table summarizes the major components of operating income for the three months ended March 31, 1998 and 1997, and changes between those two periods: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31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Percentage of Total Revenue</w:t>
            </w:r>
          </w:p>
        </w:tc>
        <w:tc>
          <w:tcPr>
            <w:tcW w:w="1360" w:type="dxa"/>
            <w:vAlign w:val="bottom"/>
          </w:tcPr>
          <w:p>
            <w:pPr>
              <w:spacing w:after="0"/>
              <w:rPr>
                <w:sz w:val="14"/>
                <w:szCs w:val="14"/>
                <w:color w:val="auto"/>
              </w:rPr>
            </w:pPr>
          </w:p>
        </w:tc>
      </w:tr>
      <w:tr>
        <w:trPr>
          <w:trHeight w:val="173"/>
        </w:trPr>
        <w:tc>
          <w:tcPr>
            <w:tcW w:w="5940" w:type="dxa"/>
            <w:vAlign w:val="bottom"/>
          </w:tcPr>
          <w:p>
            <w:pPr>
              <w:spacing w:after="0"/>
              <w:rPr>
                <w:sz w:val="15"/>
                <w:szCs w:val="15"/>
                <w:color w:val="auto"/>
              </w:rPr>
            </w:pPr>
          </w:p>
        </w:tc>
        <w:tc>
          <w:tcPr>
            <w:tcW w:w="31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Three months ended March 31,</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16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Change</w:t>
            </w:r>
          </w:p>
        </w:tc>
      </w:tr>
      <w:tr>
        <w:trPr>
          <w:trHeight w:val="173"/>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w w:val="98"/>
              </w:rPr>
              <w:t>- ------------------------------------------------------------------ ---------------</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AMR systems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79%</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99%</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Handheld systems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24%</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Outsourcing</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w:t>
            </w:r>
          </w:p>
        </w:tc>
      </w:tr>
      <w:tr>
        <w:trPr>
          <w:trHeight w:val="173"/>
        </w:trPr>
        <w:tc>
          <w:tcPr>
            <w:tcW w:w="594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Total revenues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57%</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AMR systems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60%</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129%</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Handheld systems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73%</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Outsourcing</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82%</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84%</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(38%)</w:t>
            </w:r>
          </w:p>
        </w:tc>
      </w:tr>
      <w:tr>
        <w:trPr>
          <w:trHeight w:val="173"/>
        </w:trPr>
        <w:tc>
          <w:tcPr>
            <w:tcW w:w="594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Total cost of revenues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67%</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66%</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59%</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34%</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53%</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Sales and marketing</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Product development</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22%</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General and administrative</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24%</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intangibles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10%</w:t>
            </w:r>
          </w:p>
        </w:tc>
      </w:tr>
      <w:tr>
        <w:trPr>
          <w:trHeight w:val="173"/>
        </w:trPr>
        <w:tc>
          <w:tcPr>
            <w:tcW w:w="594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Total operating expenses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44%</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7%</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140%</w:t>
            </w:r>
          </w:p>
        </w:tc>
      </w:tr>
      <w:tr>
        <w:trPr>
          <w:trHeight w:val="173"/>
        </w:trPr>
        <w:tc>
          <w:tcPr>
            <w:tcW w:w="594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4" w:lineRule="exact"/>
        <w:rPr>
          <w:sz w:val="20"/>
          <w:szCs w:val="20"/>
          <w:color w:val="auto"/>
        </w:rPr>
      </w:pPr>
    </w:p>
    <w:p>
      <w:pPr>
        <w:jc w:val="both"/>
        <w:ind w:right="3260" w:firstLine="451"/>
        <w:spacing w:after="0" w:line="244" w:lineRule="auto"/>
        <w:rPr>
          <w:sz w:val="20"/>
          <w:szCs w:val="20"/>
          <w:color w:val="auto"/>
        </w:rPr>
      </w:pPr>
      <w:r>
        <w:rPr>
          <w:rFonts w:ascii="Courier New" w:cs="Courier New" w:eastAsia="Courier New" w:hAnsi="Courier New"/>
          <w:sz w:val="15"/>
          <w:szCs w:val="15"/>
          <w:color w:val="auto"/>
        </w:rPr>
        <w:t>The Company's total revenues increased $23.1 million, or 57%, to $63.7 million in the first quarter of 1998 from $40.6 million in the first quarter of 1997. AMR systems revenues nearly doubled in the quarter ended March 31, 1998 over the comparable quarter in 1997. Total meter module shipments for the current quarter exceeded 650,000 units, all of which were shipped under sales contracts. This compares to approximately 425,000 units shipped under sales contracts in the prior year's quarter, and 200,000 units shipped under outsourcing agreements. Equipment shipped and installed under a large fixed network system contract booked in 1997 generated approximately 60% of the quarter-to-quarter revenue growth. Shipments and installations of water meter modules for a single multi-year contract, also awarded in 1997, and slightly higher international AMR sales, accounted for most of the remaining revenue growth. The Company expects that AMR sales will grow over the longer term. However, much of the expected growth in AMR continues to be dependent upon the timing and resolution of industry regulatory reform issues in the United States, mergers and acquisitions in the utility industry, development of international markets, and various other factors.</w:t>
      </w:r>
    </w:p>
    <w:p>
      <w:pPr>
        <w:spacing w:after="0" w:line="184" w:lineRule="exact"/>
        <w:rPr>
          <w:sz w:val="20"/>
          <w:szCs w:val="20"/>
          <w:color w:val="auto"/>
        </w:rPr>
      </w:pPr>
    </w:p>
    <w:p>
      <w:pPr>
        <w:jc w:val="both"/>
        <w:ind w:right="3260"/>
        <w:spacing w:after="0" w:line="244" w:lineRule="auto"/>
        <w:rPr>
          <w:sz w:val="20"/>
          <w:szCs w:val="20"/>
          <w:color w:val="auto"/>
        </w:rPr>
      </w:pPr>
      <w:r>
        <w:rPr>
          <w:rFonts w:ascii="Courier New" w:cs="Courier New" w:eastAsia="Courier New" w:hAnsi="Courier New"/>
          <w:sz w:val="15"/>
          <w:szCs w:val="15"/>
          <w:color w:val="auto"/>
        </w:rPr>
        <w:t>Handheld systems revenue was level to the prior year's quarter at $9.7 million. However, the mix of revenues was quite different in the 1998 quarter. The first quarter of 1997 included significant handheld shipments to a Korean customer. Shipments to that customer were completed late in 1997. The absence of similar international handheld shipments in the 1998 quarter was offset by higher domestic revenues. The Company believes that handheld systems revenues will continue to decline as a percentage of total revenues as more utilities adopt and expand AMR system deployments. Future handheld systems revenues are expected to be derived primarily from domestic upgrade and replacement business and further penetration into international markets.</w:t>
      </w:r>
    </w:p>
    <w:p>
      <w:pPr>
        <w:spacing w:after="0" w:line="180" w:lineRule="exact"/>
        <w:rPr>
          <w:sz w:val="20"/>
          <w:szCs w:val="20"/>
          <w:color w:val="auto"/>
        </w:rPr>
      </w:pPr>
    </w:p>
    <w:p>
      <w:pPr>
        <w:jc w:val="both"/>
        <w:ind w:right="3260"/>
        <w:spacing w:after="0" w:line="263" w:lineRule="auto"/>
        <w:rPr>
          <w:sz w:val="20"/>
          <w:szCs w:val="20"/>
          <w:color w:val="auto"/>
        </w:rPr>
      </w:pPr>
      <w:r>
        <w:rPr>
          <w:rFonts w:ascii="Courier New" w:cs="Courier New" w:eastAsia="Courier New" w:hAnsi="Courier New"/>
          <w:sz w:val="14"/>
          <w:szCs w:val="14"/>
          <w:color w:val="auto"/>
        </w:rPr>
        <w:t>Outsourcing revenues declined 36% from $5.8 million in the 1997 quarter to $3.7 million in the 1998 quarter. Lower installation related expenses at Duquesne Light Company ("Duquesne"), which is substantially complete, resulted in lower reported revenues. At March 31, 1998, Itron had installed approximately 550,000 meter modules for this project out of an expected total of 615,000 modules. The Company's agreement with Duquesne provides for certain one-time monetary penalties for failure to meet specified milestones, including certain milestones that are designated as critical. There is one remaining critical milestone. The maximum penalty, should the Company fail to meet that milestone, is $10 million. The Company believes it will fully satisfy the future critical milestone. In addition, there is one remaining non-critical milestone that carries a $2 million penality should the company fail to meet that milestone. (For additional information see "Amended Duquesne Agreement," an exhibit to the Company's Form 10-Q filed on November 14, 1997, and "Description of Business--Certain Risk Factors--Dependence on the Installation, Operations and Maintenance of AMR</w:t>
      </w:r>
    </w:p>
    <w:p>
      <w:pPr>
        <w:sectPr>
          <w:pgSz w:w="11900" w:h="16838" w:orient="portrait"/>
          <w:cols w:equalWidth="0" w:num="1">
            <w:col w:w="10460"/>
          </w:cols>
          <w:pgMar w:left="240" w:top="812" w:right="1199" w:bottom="0" w:gutter="0" w:footer="0" w:header="0"/>
        </w:sectPr>
      </w:pPr>
    </w:p>
    <w:bookmarkStart w:id="7" w:name="page8"/>
    <w:bookmarkEnd w:id="7"/>
    <w:p>
      <w:pPr>
        <w:jc w:val="both"/>
        <w:ind w:right="3019"/>
        <w:spacing w:after="0" w:line="244" w:lineRule="auto"/>
        <w:rPr>
          <w:sz w:val="20"/>
          <w:szCs w:val="20"/>
          <w:color w:val="auto"/>
        </w:rPr>
      </w:pPr>
      <w:r>
        <w:rPr>
          <w:rFonts w:ascii="Courier New" w:cs="Courier New" w:eastAsia="Courier New" w:hAnsi="Courier New"/>
          <w:sz w:val="15"/>
          <w:szCs w:val="15"/>
          <w:color w:val="auto"/>
        </w:rPr>
        <w:t>Systems Pursuant to Outsourcing Contracts" in the Company's Annual Report on Form 10-K for the year ended December 31, 1997.) Outsourcing revenues are expected to decrease in 1998 from the level experienced in 1997, both in terms of absolute dollars and as a percentage of total revenues, as the Company did not sign any new outsourcing contracts during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Gross margin of 33% of revenues for the current quarter was slightly less than 1997's first quarter of 34%. AMR gross margins declined to 31% from 40% in the prior year's quarter due to a higher mix of fixed network revenues and a higher level of installation activities instead of product sales. Lower margins on fixed network products are caused, in part, by the early life cycle status of those products. Handheld systems gross margin increased to 47% of revenues due primarily to a lower mix of international business. Outsourcing gross margins remained approximately level for the comparative quarters. The Company expects overall gross margins for the full year 1998 may be slightly less than 1997 as a result of the large fixed network AMR order at below-average margin in 1998. Future gross margins may be affected by competitive price pressure, the Company's ability to utilize existing manufacturing capacity, the mix and volumes of meter modules shipped, the risks inherent in cost estimation for outsourcing contracts, potential performance-related contractual penalties and other factors.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Sales and marketing expenses of $6.6 million for the three month period ended March 31, 1998, decreased 12% from the comparable period in 1997 and also decreased as a percentage of revenue. Last year's first quarter sales and marketing expenses were unusually high from non-recurring consulting services. The Company expects that sales and marketing expenses will remain at approximately 10% to 12% of total revenues for the remainder of the year.</w:t>
      </w:r>
    </w:p>
    <w:p>
      <w:pPr>
        <w:spacing w:after="0" w:line="177"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Product development expenses of $8.9 million in the current quarter increased $1.6 million, or 22%, from the comparable quarter in 1997, but decreased as a percentage of revenues from 18% to 14%. The increased expenses for the 1998 quarter were due to the acquisition of DCI in 1997, and a higher level of development activities for products for the commercial and industrial segment of the utility marketplace. The Company expects that 1998 product development expenses will remain at approximately 13% to 15% of total revenues for the remainder of the year.</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General and administrative expenses of $3 million for the three months ended March 31, 1998, increased approximately $600,000, or 24%, over the first quarter of 1997, but decreased as a percentage of total revenues from 6% to 5%. The higher level of expenses resulted from the inclusion of DCI for the full quarter in 1998 and increased investments in corporate support functions. General and administrative expenses are expected to remain at 5% to 6% of total revenues for the remainder of the year.</w:t>
      </w:r>
    </w:p>
    <w:p>
      <w:pPr>
        <w:spacing w:after="0" w:line="178"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5"/>
          <w:szCs w:val="15"/>
          <w:color w:val="auto"/>
        </w:rPr>
        <w:t>Amortization of intangibles increased slightly in the 1998 quarter and are expected to remain approximately level over the remainder of the year.</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Net</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Net interest expense increased to $1.3 million for the first quarter of 1998 as compared to $1.0 million in the 1997 quarter from the full quarter affect of the $63.4 million subordinated debt offering completed in March and April of 1997, and from the project financing initially received in mid-1997. Interest capitalized in the first quarter of 1998 was $270,000 compared to $217,000 capitalized in the first quarter of 1997. Capitalized interest relates to construction costs for outsourcing agreements. The Company expects net interest expense to gradually increase over the course of the year, as outsourcing installations near completion, resulting in lower interest capitalization, and from expected additional drawings on the project financing facility.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The income tax provision for the current quarter was slightly less than 40% of pre-tax income compared to a tax benefit percentage of 38% in the first quarter of 1997. The Company's tax rate may vary because of varying foreign operating results, changes in tax jurisdictions in which the Company operates, and changes in tax legislation.</w:t>
      </w:r>
    </w:p>
    <w:p>
      <w:pPr>
        <w:sectPr>
          <w:pgSz w:w="11900" w:h="16838" w:orient="portrait"/>
          <w:cols w:equalWidth="0" w:num="1">
            <w:col w:w="10219"/>
          </w:cols>
          <w:pgMar w:left="240" w:top="14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FINANCIAL CONDITION</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Cash required for operating activities was $7.3 million for the first quarter of 1998 compared to cash provided from operating activities of $3.7 million in last year's first quarter. The shift in operating cash for the comparative quarters resulted primarily from increased accounts receivable. Most of this increase was due to a higher level of current year turnkey installations, which typically have deferred billing terms. The increase in the current portion of long-term contracts receivable caused by an excess of revenue recognition for outsourcing contracts over actual billings. Outsourcing revenues are recognized using the percentage-of-completion method of accounting while billing occurs when meters are read. Payment of 1997 performance incentives were also made in the first quarter of 1998.</w:t>
      </w:r>
    </w:p>
    <w:p>
      <w:pPr>
        <w:spacing w:after="0" w:line="180"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Investments totaled $8.0 million during the 1998 quarter, down from $11.8 million in the prior year's quarter due to a slowing of equipment needed for outsourcing installations. Overall 1998 investments are expected to be less than the full year 1997 as outsourcing installations near completion.</w:t>
      </w:r>
    </w:p>
    <w:p>
      <w:pPr>
        <w:spacing w:after="0" w:line="176"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Financing activities for the first quarter of 1998 consisted mostly of drawings on the Company's bank line of credit. Financing sources in the 1997 quarter included proceeds from the initial sale of the Company's $63.4 million subordinated debt.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Existing sources of liquidity at March 31, 1998 include $1.7 million of existing cash and cash equivalents and approximately $35 million of available borrowings under the Company's bank line of credit. The Company expects to renew this agreement upon its expiration on May 31, 1998. Cash requirements for the remainder of 1998 are expected to be provided from the bank line of credit, from operations, and from an existing project financing facility. The Company believes these sources of liquidity are sufficient to fund its operations for the next twelve months.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When included in this Quarterly Report on Form 10-Q, the words "expects," "intends," "anticipates," "plans," "projects" and "estimates," and analogous or similar expressions are intended to identify forward-looking statements. Such statements, which include, but are not limited to, statements contained in "Management's Discussion and Analysis of Financial Condition and Results of Operations" are inherently subject to a variety of risks and uncertainties that could cause actual results to differ materially from those reflected in such forward-looking statements. Such risks and uncertainties include, among others, changes in the utility regulatory environment, delays or difficulties in introducing new products, increased competition and various other matters, many of which are beyond the Company's control. These and other risks are described in more detail in "Description of Business -- Certain Risk Factors" in the Company's most recent Annual Report on Form 10-K, and such description is hereby incorporated herein by reference.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0219"/>
          </w:cols>
          <w:pgMar w:left="240" w:top="811" w:right="1440" w:bottom="1440" w:gutter="0" w:footer="0" w:header="0"/>
        </w:sectPr>
      </w:pPr>
    </w:p>
    <w:bookmarkStart w:id="9" w:name="page10"/>
    <w:bookmarkEnd w:id="9"/>
    <w:p>
      <w:pPr>
        <w:ind w:left="8"/>
        <w:spacing w:after="0"/>
        <w:tabs>
          <w:tab w:leader="none" w:pos="787" w:val="left"/>
        </w:tabs>
        <w:rPr>
          <w:sz w:val="20"/>
          <w:szCs w:val="20"/>
          <w:color w:val="auto"/>
        </w:rPr>
      </w:pPr>
      <w:r>
        <w:rPr>
          <w:rFonts w:ascii="Courier New" w:cs="Courier New" w:eastAsia="Courier New" w:hAnsi="Courier New"/>
          <w:sz w:val="15"/>
          <w:szCs w:val="15"/>
          <w:color w:val="auto"/>
        </w:rPr>
        <w:t>Part 2:</w:t>
        <w:tab/>
        <w:t>Other Information</w:t>
      </w:r>
    </w:p>
    <w:p>
      <w:pPr>
        <w:spacing w:after="0" w:line="17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7" w:lineRule="exact"/>
        <w:rPr>
          <w:sz w:val="20"/>
          <w:szCs w:val="20"/>
          <w:color w:val="auto"/>
        </w:rPr>
      </w:pPr>
    </w:p>
    <w:p>
      <w:pPr>
        <w:ind w:left="808"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rFonts w:ascii="Courier New" w:cs="Courier New" w:eastAsia="Courier New" w:hAnsi="Courier New"/>
          <w:sz w:val="15"/>
          <w:szCs w:val="15"/>
          <w:color w:val="auto"/>
        </w:rPr>
      </w:pPr>
    </w:p>
    <w:p>
      <w:pPr>
        <w:ind w:left="808" w:right="4099"/>
        <w:spacing w:after="0" w:line="48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11 - Statement re Computation of Earnings per Share Exhibit 27 - Financial Data Schedule</w:t>
      </w:r>
    </w:p>
    <w:p>
      <w:pPr>
        <w:spacing w:after="0" w:line="1"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8" w:lineRule="exact"/>
        <w:rPr>
          <w:sz w:val="20"/>
          <w:szCs w:val="20"/>
          <w:color w:val="auto"/>
        </w:rPr>
      </w:pPr>
    </w:p>
    <w:p>
      <w:pPr>
        <w:ind w:left="8" w:right="3019" w:firstLine="811"/>
        <w:spacing w:after="0" w:line="243" w:lineRule="auto"/>
        <w:rPr>
          <w:sz w:val="20"/>
          <w:szCs w:val="20"/>
          <w:color w:val="auto"/>
        </w:rPr>
      </w:pPr>
      <w:r>
        <w:rPr>
          <w:rFonts w:ascii="Courier New" w:cs="Courier New" w:eastAsia="Courier New" w:hAnsi="Courier New"/>
          <w:sz w:val="15"/>
          <w:szCs w:val="15"/>
          <w:color w:val="auto"/>
        </w:rPr>
        <w:t>No reports on Form 8-K were filed by the registrant during the quarter ended March 31, 1998.</w:t>
      </w:r>
    </w:p>
    <w:p>
      <w:pPr>
        <w:sectPr>
          <w:pgSz w:w="11900" w:h="16838" w:orient="portrait"/>
          <w:cols w:equalWidth="0" w:num="1">
            <w:col w:w="10227"/>
          </w:cols>
          <w:pgMar w:left="232" w:top="811" w:right="1440" w:bottom="1440" w:gutter="0" w:footer="0" w:header="0"/>
        </w:sectPr>
      </w:pPr>
    </w:p>
    <w:bookmarkStart w:id="10" w:name="page11"/>
    <w:bookmarkEnd w:id="10"/>
    <w:p>
      <w:pPr>
        <w:ind w:left="3240"/>
        <w:spacing w:after="0"/>
        <w:rPr>
          <w:sz w:val="20"/>
          <w:szCs w:val="20"/>
          <w:color w:val="auto"/>
        </w:rPr>
      </w:pPr>
      <w:r>
        <w:rPr>
          <w:rFonts w:ascii="Courier New" w:cs="Courier New" w:eastAsia="Courier New" w:hAnsi="Courier New"/>
          <w:sz w:val="15"/>
          <w:szCs w:val="15"/>
          <w:color w:val="auto"/>
        </w:rPr>
        <w:t>SIGNATURE</w:t>
      </w:r>
    </w:p>
    <w:p>
      <w:pPr>
        <w:spacing w:after="0" w:line="351"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34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24" w:lineRule="exact"/>
        <w:rPr>
          <w:sz w:val="20"/>
          <w:szCs w:val="20"/>
          <w:color w:val="auto"/>
        </w:rPr>
      </w:pPr>
    </w:p>
    <w:p>
      <w:pPr>
        <w:ind w:left="2420"/>
        <w:spacing w:after="0"/>
        <w:tabs>
          <w:tab w:leader="none" w:pos="3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G. REMINGTON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David G. Remington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(Authorized Officer and Principal Financial</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Officer)</w:t>
      </w:r>
    </w:p>
    <w:p>
      <w:pPr>
        <w:spacing w:after="0" w:line="35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May 15, 1998</w:t>
      </w:r>
    </w:p>
    <w:p>
      <w:pPr>
        <w:sectPr>
          <w:pgSz w:w="11900" w:h="16838" w:orient="portrait"/>
          <w:cols w:equalWidth="0" w:num="1">
            <w:col w:w="10219"/>
          </w:cols>
          <w:pgMar w:left="240" w:top="115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COMPUTATION OF EARNINGS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35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Three Months Ending March 31,</w:t>
      </w:r>
    </w:p>
    <w:p>
      <w:pPr>
        <w:spacing w:after="0" w:line="3" w:lineRule="exact"/>
        <w:rPr>
          <w:sz w:val="20"/>
          <w:szCs w:val="20"/>
          <w:color w:val="auto"/>
        </w:rPr>
      </w:pPr>
    </w:p>
    <w:p>
      <w:pPr>
        <w:ind w:left="86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80" w:type="dxa"/>
            <w:vAlign w:val="bottom"/>
          </w:tcPr>
          <w:p>
            <w:pPr>
              <w:spacing w:after="0"/>
              <w:rPr>
                <w:sz w:val="14"/>
                <w:szCs w:val="14"/>
                <w:color w:val="auto"/>
              </w:rPr>
            </w:pP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8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14,631</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280" w:type="dxa"/>
            <w:vAlign w:val="bottom"/>
          </w:tcPr>
          <w:p>
            <w:pPr>
              <w:ind w:left="80"/>
              <w:spacing w:after="0"/>
              <w:rPr>
                <w:sz w:val="20"/>
                <w:szCs w:val="20"/>
                <w:color w:val="auto"/>
              </w:rPr>
            </w:pPr>
            <w:r>
              <w:rPr>
                <w:rFonts w:ascii="Courier New" w:cs="Courier New" w:eastAsia="Courier New" w:hAnsi="Courier New"/>
                <w:sz w:val="15"/>
                <w:szCs w:val="15"/>
                <w:color w:val="auto"/>
              </w:rPr>
              <w:t>EPS based on average market price</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$0.01</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r>
      <w:tr>
        <w:trPr>
          <w:trHeight w:val="520"/>
        </w:trPr>
        <w:tc>
          <w:tcPr>
            <w:tcW w:w="8280" w:type="dxa"/>
            <w:vAlign w:val="bottom"/>
          </w:tcPr>
          <w:p>
            <w:pPr>
              <w:spacing w:after="0"/>
              <w:rPr>
                <w:sz w:val="24"/>
                <w:szCs w:val="24"/>
                <w:color w:val="auto"/>
              </w:rPr>
            </w:pPr>
          </w:p>
        </w:tc>
        <w:tc>
          <w:tcPr>
            <w:tcW w:w="172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1998</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14,631</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r>
        <w:trPr>
          <w:trHeight w:val="347"/>
        </w:trPr>
        <w:tc>
          <w:tcPr>
            <w:tcW w:w="8280" w:type="dxa"/>
            <w:vAlign w:val="bottom"/>
          </w:tcPr>
          <w:p>
            <w:pPr>
              <w:spacing w:after="0"/>
              <w:rPr>
                <w:sz w:val="20"/>
                <w:szCs w:val="20"/>
                <w:color w:val="auto"/>
              </w:rPr>
            </w:pPr>
            <w:r>
              <w:rPr>
                <w:rFonts w:ascii="Courier New" w:cs="Courier New" w:eastAsia="Courier New" w:hAnsi="Courier New"/>
                <w:sz w:val="15"/>
                <w:szCs w:val="15"/>
                <w:color w:val="auto"/>
              </w:rPr>
              <w:t>Dilutive effect of outstanding common stock options and warrants at average market price</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221</w:t>
            </w:r>
          </w:p>
        </w:tc>
        <w:tc>
          <w:tcPr>
            <w:tcW w:w="1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2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based on ending market price</w:t>
            </w: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14,852</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280" w:type="dxa"/>
            <w:vAlign w:val="bottom"/>
          </w:tcPr>
          <w:p>
            <w:pPr>
              <w:spacing w:after="0"/>
              <w:rPr>
                <w:sz w:val="20"/>
                <w:szCs w:val="20"/>
                <w:color w:val="auto"/>
              </w:rPr>
            </w:pPr>
            <w:r>
              <w:rPr>
                <w:rFonts w:ascii="Courier New" w:cs="Courier New" w:eastAsia="Courier New" w:hAnsi="Courier New"/>
                <w:sz w:val="15"/>
                <w:szCs w:val="15"/>
                <w:color w:val="auto"/>
              </w:rPr>
              <w:t>Diluted EPS based on average market price</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$0.01</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r>
    </w:tbl>
    <w:p>
      <w:pPr>
        <w:sectPr>
          <w:pgSz w:w="11900" w:h="16838" w:orient="portrait"/>
          <w:cols w:equalWidth="0" w:num="1">
            <w:col w:w="11440"/>
          </w:cols>
          <w:pgMar w:left="240" w:top="141" w:right="21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3-MOS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DEC-31-1998</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MAR-31-1998</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1,721</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68,765</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(736)</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25,771</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113,841</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140,488</w:t>
      </w:r>
    </w:p>
    <w:p>
      <w:pPr>
        <w:spacing w:after="0" w:line="3"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(45,093)</w:t>
      </w:r>
    </w:p>
    <w:p>
      <w:pPr>
        <w:spacing w:after="0" w:line="3"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245,977</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48,810</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105,736</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(1,226)</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245,977</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63,708</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63,708</w:t>
      </w:r>
    </w:p>
    <w:p>
      <w:pPr>
        <w:spacing w:after="0" w:line="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42,913</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42,913</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19,125</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(1,417)</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253</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(100)</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153</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153</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.01</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.01</w:t>
      </w:r>
    </w:p>
    <w:sectPr>
      <w:pgSz w:w="11900" w:h="16838" w:orient="portrait"/>
      <w:cols w:equalWidth="0" w:num="1">
        <w:col w:w="10139"/>
      </w:cols>
      <w:pgMar w:left="32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2019-12-13T15:42:46Z</dcterms:created>
  <dcterms:modified xsi:type="dcterms:W3CDTF">2019-12-13T15:42:46Z</dcterms:modified>
</cp:coreProperties>
</file>