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Washington</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000-22418</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91-1011792</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2111 N Molter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Liberty Lake, Washington 99019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(509) 924-9900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3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1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ITRI</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May 2, 2024, Itron, Inc. issued a press release announcing its financial results for the three months ended March 31, 2024. A copy of this press release and accompanying financial statements are attached as Exhibit 99.1.</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51"/>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Exhibit Number</w:t>
            </w:r>
          </w:p>
        </w:tc>
        <w:tc>
          <w:tcPr>
            <w:tcW w:w="140" w:type="dxa"/>
            <w:vAlign w:val="bottom"/>
          </w:tcPr>
          <w:p>
            <w:pPr>
              <w:spacing w:after="0"/>
              <w:rPr>
                <w:sz w:val="24"/>
                <w:szCs w:val="24"/>
                <w:color w:val="auto"/>
              </w:rPr>
            </w:pP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412"/>
        </w:trPr>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40" w:type="dxa"/>
            <w:vAlign w:val="bottom"/>
          </w:tcPr>
          <w:p>
            <w:pPr>
              <w:spacing w:after="0"/>
              <w:rPr>
                <w:sz w:val="24"/>
                <w:szCs w:val="24"/>
                <w:color w:val="auto"/>
              </w:rPr>
            </w:pP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0000EE"/>
              </w:rPr>
              <w:t>Press Release Dated May 2, 2024.*</w:t>
            </w:r>
          </w:p>
        </w:tc>
      </w:tr>
      <w:tr>
        <w:trPr>
          <w:trHeight w:val="20"/>
        </w:trPr>
        <w:tc>
          <w:tcPr>
            <w:tcW w:w="3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0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exhibit is intended to be furnished and shall not be deemed "filed" for purposes of the Exchange Act.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December 31, 2023 and other reports on file with the Securities and Exchange Commission. Itron undertakes no obligation to update or revise any information in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40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Itron, Inc.</w:t>
            </w:r>
          </w:p>
        </w:tc>
      </w:tr>
      <w:tr>
        <w:trPr>
          <w:trHeight w:val="68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40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Joan S. Hooper</w:t>
            </w:r>
          </w:p>
        </w:tc>
      </w:tr>
      <w:tr>
        <w:trPr>
          <w:trHeight w:val="237"/>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Joan S. Hooper</w:t>
            </w:r>
          </w:p>
        </w:tc>
      </w:tr>
    </w:tbl>
    <w:p>
      <w:pPr>
        <w:spacing w:after="0" w:line="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00"/>
          </w:cols>
          <w:pgMar w:left="320" w:top="536" w:right="379" w:bottom="1440" w:gutter="0" w:footer="0" w:header="0"/>
        </w:sectPr>
      </w:pPr>
    </w:p>
    <w:bookmarkStart w:id="3" w:name="page4"/>
    <w:bookmarkEnd w:id="3"/>
    <w:p>
      <w:pPr>
        <w:spacing w:after="0" w:line="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5875"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Itron Announces First Quarter 2024 Financial Results</w:t>
      </w:r>
    </w:p>
    <w:p>
      <w:pPr>
        <w:spacing w:after="0" w:line="2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LIBERTY LAKE, Wash., May 02, 2024 (GLOBE NEWSWIRE) -- Itron, Inc. (NASDAQ: ITRI), which is innovating the way utilities and cities manage energy and water, announced today financial results for its first quarter ended March 31, 2024. Key results for the quarter include (compared with the first quarter of 2023):</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of $603 million, increased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Gross profit of $205 million, increased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GAAP net income attributable to Itron, Inc. of $52 million, increased $64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GAAP diluted earnings per share of $1.12, increased $1.38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Non-GAAP diluted EPS of $1.24, increased $0.75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Adjusted EBITDA of $76 million, increased 94%;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Free cash flow of $34 million, increased $40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“Itron’s first quarter results reflect strong operational execution within constructive market conditions,” said Tom Deitrich, Itron’s president and CEO. “Revenue and profitability growth were above expectations due to performance in all segments. Record quarterly revenue for our Networked Solutions segment, increased smart water sales in our Device Solutions segment, and increased Outcomes activity resulted in total revenue growth of 22% over first quarter 2023.</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“Our commitment to deploying a solutions-oriented Grid Edge Intelligence platform that helps our customers address a wide range of challenges and reduced complexity related to management of energy and water resources has given Itron an excellent competitive position with a substantial pipeline of opportunities. Our first quarter results provide positive momentum for the Company and demonstrate the value of our focus on customer success and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Summary of First Quarter Consolidated Financial Results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 comparisons made are against the prior year period unless otherwise noted)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Revenue</w:t>
      </w:r>
    </w:p>
    <w:p>
      <w:pPr>
        <w:spacing w:after="0" w:line="14"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Total first quarter revenue increased 22%, to $603 million, primarily due to operational execution, conversion of previously constrained revenue, and constructive customer demand.</w:t>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Device Solutions revenue increased 7%, or 6% in constant currency, due primarily to growth in smart water and communication module sales.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Networked Solutions revenue increased 30%, due primarily to raw material availability, operational efficiencies and project scheduling alignment.</w:t>
      </w:r>
    </w:p>
    <w:p>
      <w:pPr>
        <w:spacing w:after="0" w:line="158" w:lineRule="exact"/>
        <w:rPr>
          <w:sz w:val="20"/>
          <w:szCs w:val="20"/>
          <w:color w:val="auto"/>
        </w:rPr>
      </w:pPr>
    </w:p>
    <w:p>
      <w:pPr>
        <w:ind w:right="1680"/>
        <w:spacing w:after="0" w:line="344" w:lineRule="auto"/>
        <w:rPr>
          <w:sz w:val="20"/>
          <w:szCs w:val="20"/>
          <w:color w:val="auto"/>
        </w:rPr>
      </w:pPr>
      <w:r>
        <w:rPr>
          <w:rFonts w:ascii="Times New Roman" w:cs="Times New Roman" w:eastAsia="Times New Roman" w:hAnsi="Times New Roman"/>
          <w:sz w:val="22"/>
          <w:szCs w:val="22"/>
          <w:color w:val="auto"/>
        </w:rPr>
        <w:t xml:space="preserve">Outcomes revenue increased 10%, due primarily to higher activity levels and an increase in recurring revenue. </w:t>
      </w:r>
      <w:r>
        <w:rPr>
          <w:rFonts w:ascii="Times New Roman" w:cs="Times New Roman" w:eastAsia="Times New Roman" w:hAnsi="Times New Roman"/>
          <w:sz w:val="22"/>
          <w:szCs w:val="22"/>
          <w:u w:val="single" w:color="auto"/>
          <w:color w:val="auto"/>
        </w:rPr>
        <w:t>Gross Margin</w:t>
      </w:r>
    </w:p>
    <w:p>
      <w:pPr>
        <w:spacing w:after="0" w:line="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Itron's first quarter gross margin of 34.0% increased 240 basis points from the prior year due to higher margin product mix and operational efficiencies.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Operating Expenses and Operating Income</w:t>
      </w:r>
    </w:p>
    <w:p>
      <w:pPr>
        <w:spacing w:after="0" w:line="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GAAP operating expenses of $143 million decreased $24 million from the prior year primarily due to a restructuring charge in the prior year. Non-GAAP operating expenses of $138 million increased $13 million.</w:t>
      </w:r>
    </w:p>
    <w:p>
      <w:pPr>
        <w:spacing w:after="0" w:line="1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GAAP operating income of $63 million was $73 million higher than the prior year due to higher gross profit and lower operating expenses. Non-GAAP operating income of $67 million was $36 million higher than the prior year due to higher gross profit, partially offset by higher operating expenses.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Net Income and Earnings per Share</w:t>
      </w:r>
    </w:p>
    <w:p>
      <w:pPr>
        <w:spacing w:after="0" w:line="1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Net income attributable to Itron, Inc. for the quarter was $52 million, or $1.12 per diluted share, compared with a net loss of $12 million, or $(0.26) per share in 2023. The increase was driven by higher GAAP operating income, partially offset by higher tax expense.</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Non-GAAP net income attributable to Itron, Inc., which excludes the expenses associated with amortization of intangible assets, amortization of debt placement fees, restructuring, loss on sale of business, acquisition and integration, and the tax effect of excluding these expenses, was $57 million, or $1.24 per diluted share, compared with $22 million, or $0.49 per diluted share, in 2023. The increase was due to higher non-GAAP operating income, partially offset by higher tax expense.</w:t>
      </w:r>
    </w:p>
    <w:p>
      <w:pPr>
        <w:sectPr>
          <w:pgSz w:w="11900" w:h="16913" w:orient="portrait"/>
          <w:cols w:equalWidth="0" w:num="1">
            <w:col w:w="11240"/>
          </w:cols>
          <w:pgMar w:left="320" w:top="108" w:right="339" w:bottom="0" w:gutter="0" w:footer="0" w:header="0"/>
        </w:sectPr>
      </w:pPr>
    </w:p>
    <w:bookmarkStart w:id="4" w:name="page5"/>
    <w:bookmarkEnd w:id="4"/>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Cash Flow</w:t>
      </w:r>
    </w:p>
    <w:p>
      <w:pPr>
        <w:spacing w:after="0" w:line="1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Net cash provided by operating activities was $41 million in the first quarter compared with $1 million in the prior year. Free cash flow was $34 million in the first quarter compared with $(5) million in the prior year. The increase in cash flow was due to higher earnings.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Measures</w:t>
      </w:r>
    </w:p>
    <w:p>
      <w:pPr>
        <w:spacing w:after="0" w:line="21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Total backlog at quarter end was $4.3 billion compared with $4.5 billion in the prior year. Bookings in the quarter totaled $361 million.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Q2 2024 Outlook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Outlook for the second quarter of 2024 is as follows:</w:t>
      </w: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Revenue between $595 and $605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Non-GAAP diluted EPS between $0.90 and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Earnings Conference Call</w:t>
      </w:r>
    </w:p>
    <w:p>
      <w:pPr>
        <w:spacing w:after="0" w:line="18" w:lineRule="exact"/>
        <w:rPr>
          <w:sz w:val="20"/>
          <w:szCs w:val="20"/>
          <w:color w:val="auto"/>
        </w:rPr>
      </w:pPr>
    </w:p>
    <w:p>
      <w:pPr>
        <w:ind w:right="180"/>
        <w:spacing w:after="0" w:line="233" w:lineRule="auto"/>
        <w:rPr>
          <w:sz w:val="20"/>
          <w:szCs w:val="20"/>
          <w:color w:val="auto"/>
        </w:rPr>
      </w:pPr>
      <w:r>
        <w:rPr>
          <w:rFonts w:ascii="Times New Roman" w:cs="Times New Roman" w:eastAsia="Times New Roman" w:hAnsi="Times New Roman"/>
          <w:sz w:val="22"/>
          <w:szCs w:val="22"/>
          <w:color w:val="auto"/>
        </w:rPr>
        <w:t xml:space="preserve">Itron will host a conference call to discuss the financial results contained in this release at 10 a.m. EDT on May 2, 2024. Interested parties may listen to the conference call on a live webcast. The webcast, along with a supplemental presentation, may be accessed from the company’s website at </w:t>
      </w:r>
      <w:r>
        <w:rPr>
          <w:rFonts w:ascii="Times New Roman" w:cs="Times New Roman" w:eastAsia="Times New Roman" w:hAnsi="Times New Roman"/>
          <w:sz w:val="22"/>
          <w:szCs w:val="22"/>
          <w:u w:val="single" w:color="auto"/>
          <w:color w:val="auto"/>
        </w:rPr>
        <w:t>https://investors.itron.com/events-presentations</w:t>
      </w:r>
      <w:r>
        <w:rPr>
          <w:rFonts w:ascii="Times New Roman" w:cs="Times New Roman" w:eastAsia="Times New Roman" w:hAnsi="Times New Roman"/>
          <w:sz w:val="22"/>
          <w:szCs w:val="22"/>
          <w:color w:val="auto"/>
        </w:rPr>
        <w:t xml:space="preserve">. Participants should access the webcast 10 minutes prior to the start of the call. A webcast replay of the conference call will be available through May 9, 2024 and may be accessed on the company's website at </w:t>
      </w:r>
      <w:r>
        <w:rPr>
          <w:rFonts w:ascii="Times New Roman" w:cs="Times New Roman" w:eastAsia="Times New Roman" w:hAnsi="Times New Roman"/>
          <w:sz w:val="22"/>
          <w:szCs w:val="22"/>
          <w:u w:val="single" w:color="auto"/>
          <w:color w:val="auto"/>
        </w:rPr>
        <w:t>https://investors.itron.com/events-presentations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Itron</w:t>
      </w:r>
    </w:p>
    <w:p>
      <w:pPr>
        <w:spacing w:after="0" w:line="18" w:lineRule="exact"/>
        <w:rPr>
          <w:sz w:val="20"/>
          <w:szCs w:val="20"/>
          <w:color w:val="auto"/>
        </w:rPr>
      </w:pPr>
    </w:p>
    <w:p>
      <w:pPr>
        <w:ind w:right="320"/>
        <w:spacing w:after="0" w:line="233" w:lineRule="auto"/>
        <w:rPr>
          <w:sz w:val="20"/>
          <w:szCs w:val="20"/>
          <w:color w:val="auto"/>
        </w:rPr>
      </w:pPr>
      <w:r>
        <w:rPr>
          <w:rFonts w:ascii="Times New Roman" w:cs="Times New Roman" w:eastAsia="Times New Roman" w:hAnsi="Times New Roman"/>
          <w:sz w:val="22"/>
          <w:szCs w:val="22"/>
          <w:color w:val="auto"/>
        </w:rPr>
        <w:t xml:space="preserve">Itron enables utilities and cities to safely, securely and reliably deliver critical infrastructure solutions to communities in more than 100 countries. Our portfolio of smart networks, software, services, meters and sensors helps our customers better manage electricity, gas and water resources for the people they serve. By working with our customers to ensure their success, we help improve the quality of life, ensure the safety and promote the well-being of millions of people around the globe. Itron is dedicated to creating a more resourceful world. Join us: </w:t>
      </w:r>
      <w:r>
        <w:rPr>
          <w:rFonts w:ascii="Times New Roman" w:cs="Times New Roman" w:eastAsia="Times New Roman" w:hAnsi="Times New Roman"/>
          <w:sz w:val="22"/>
          <w:szCs w:val="22"/>
          <w:u w:val="single" w:color="auto"/>
          <w:color w:val="auto"/>
        </w:rPr>
        <w:t>www.itron.com</w:t>
      </w:r>
      <w:r>
        <w:rPr>
          <w:rFonts w:ascii="Times New Roman" w:cs="Times New Roman" w:eastAsia="Times New Roman" w:hAnsi="Times New Roman"/>
          <w:sz w:val="22"/>
          <w:szCs w:val="22"/>
          <w:color w:val="auto"/>
        </w:rPr>
        <w:t>.</w:t>
      </w:r>
    </w:p>
    <w:p>
      <w:pPr>
        <w:spacing w:after="0" w:line="188" w:lineRule="exact"/>
        <w:rPr>
          <w:sz w:val="20"/>
          <w:szCs w:val="20"/>
          <w:color w:val="auto"/>
        </w:rPr>
      </w:pPr>
    </w:p>
    <w:p>
      <w:pPr>
        <w:ind w:right="360"/>
        <w:spacing w:after="0" w:line="208" w:lineRule="auto"/>
        <w:rPr>
          <w:sz w:val="20"/>
          <w:szCs w:val="20"/>
          <w:color w:val="auto"/>
        </w:rPr>
      </w:pPr>
      <w:r>
        <w:rPr>
          <w:rFonts w:ascii="Times New Roman" w:cs="Times New Roman" w:eastAsia="Times New Roman" w:hAnsi="Times New Roman"/>
          <w:sz w:val="22"/>
          <w:szCs w:val="22"/>
          <w:color w:val="auto"/>
        </w:rPr>
        <w:t>Itron</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is a registered trademark of Itron, Inc. All third-party trademarks are property of their respective owners and any usage herein does not suggest or imply any relationship between Itron and the third party unless expressly stated.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 Regarding Forward Looking Statements</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This release contains, and our officers and representatives may from time to time make, "forward-looking statements" within the meaning of the safe harbor provisions of the U.S. Private Securities Litigation Reform Act of 1995. Forward-looking statements are neither historical factors nor assurances of future performance. These statements are based on our expectations about, among others, revenues, operations, financial performance, earnings, liquidity, earnings per share, cash flows and restructuring activities including headcount reductions and other cost savings initiatives. This document reflects our current strategy, plans and expectations and is based on information currently available as of the date of this release. When we use words such as "expect", "intend", "anticipate", "believe", "plan", "goal", "seek", "project", "estimate", "future", "strategy", "objective", "may", "likely", "should", "will", "will continue", and similar expressions, including related to future periods, they are intended to identify forward-looking statements. Forward-looking statements rely on a number of assumptions and estimates. Although we believe the estimates and assumptions upon which these forward-looking statements are based are reasonable, any of these estimates or assumptions could prove to be inaccurate and the forward-looking statements based on these estimates and assumptions could be incorrect. Our operations involve risks and uncertainties, many of which are outside our control, and any one of which, or a combination of which, could materially affect our results of operations and whether the forward-looking statements ultimately prove to be correct. Actual results and trends in the future may differ materially from those suggested or implied by the forward-looking statements depending on a variety of factors. Therefore, you should not rely on any of these forward-looking statements. Some of the factors that we believe could affect our results include our ability to execute on our restructuring plans, our ability to achieve estimated cost savings, the rate and timing of customer demand for our products, rescheduling of current customer orders, changes in estimated liabilities for product warranties, adverse impacts of litigation, changes in laws and regulations, our dependence on new product development and intellectual property, future acquisitions, changes in estimates for stock-based and bonus compensation, increasing volatility in foreign exchange rates, international business risks, uncertainties caused by adverse economic conditions, including without limitation those resulting from extraordinary events or circumstances and other factors that are more fully described in Part I, Item 1A: Risk Factors included in our Annual Report on Form 10-K for the year ended Dec. 31, 2023 and other reports on file with the Securities and Exchange Commission. Itron undertakes no obligation to update or revise any information in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Information</w:t>
      </w:r>
    </w:p>
    <w:p>
      <w:pPr>
        <w:spacing w:after="0" w:line="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To supplement our consolidated financial statements, which are prepared in accordance with accounting principles generally accepted in the United States (GAAP), we use certain adjusted or non-GAAP financial measures, including non-GAAP operating expense, non-GAAP operating income, non-GAAP net income, non-GAAP diluted earnings per share (EPS), adjusted EBITDA, free cash flow, and constant currency. We provide these non-GAAP financial measures because we believe they provide greater transparency and represent supplemental information used by management in its financial and operational decision making. We exclude certain costs in our non-GAAP financial measures as we believe the net result is a measure of our core business. We believe these measures facilitate operating performance comparisons from period to period by eliminating potential differences caused by the existence and timing of certain expense items that would not otherwise be apparent on a GAAP basis. Non-GAAP</w:t>
      </w:r>
    </w:p>
    <w:p>
      <w:pPr>
        <w:sectPr>
          <w:pgSz w:w="11900" w:h="16900" w:orient="portrait"/>
          <w:cols w:equalWidth="0" w:num="1">
            <w:col w:w="11240"/>
          </w:cols>
          <w:pgMar w:left="320" w:top="112" w:right="339" w:bottom="0" w:gutter="0" w:footer="0" w:header="0"/>
        </w:sectPr>
      </w:pPr>
    </w:p>
    <w:bookmarkStart w:id="5" w:name="page6"/>
    <w:bookmarkEnd w:id="5"/>
    <w:p>
      <w:pPr>
        <w:jc w:val="both"/>
        <w:spacing w:after="0" w:line="234" w:lineRule="auto"/>
        <w:rPr>
          <w:sz w:val="20"/>
          <w:szCs w:val="20"/>
          <w:color w:val="auto"/>
        </w:rPr>
      </w:pPr>
      <w:r>
        <w:rPr>
          <w:rFonts w:ascii="Times New Roman" w:cs="Times New Roman" w:eastAsia="Times New Roman" w:hAnsi="Times New Roman"/>
          <w:sz w:val="22"/>
          <w:szCs w:val="22"/>
          <w:color w:val="auto"/>
        </w:rPr>
        <w:t>performance measures should be considered in addition to, and not as a substitute for, results prepared in accordance with GAAP. We strongly encourage investors and shareholders to review our financial statements and publicly-filed reports in their entirety and not to rely on any single financial measure. Our non-GAAP financial measures may be different from those reported by other companies. When providing future outlooks and/or earnings guidance, a reconciliation of forward-looking non-GAAP diluted EPS to the GAAP diluted EPS has not been provided because we are unable to predict with reasonable certainty the potential amount or timing of restructuring related expenses and their related tax effects without unreasonable effort. These costs are uncertain, depend on various factors and could have a material impact on GAAP results for the guidance period. A more detailed discussion of why we use non-GAAP financial measures, the limitations of using such measures, and reconciliations between non-GAAP and the nearest GAAP financial measures are included in this press release.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additional information, contact: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Paul Vincent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w:t>
      </w:r>
    </w:p>
    <w:p>
      <w:pPr>
        <w:spacing w:after="0"/>
        <w:rPr>
          <w:sz w:val="20"/>
          <w:szCs w:val="20"/>
          <w:color w:val="auto"/>
        </w:rPr>
      </w:pPr>
      <w:r>
        <w:rPr>
          <w:rFonts w:ascii="Times New Roman" w:cs="Times New Roman" w:eastAsia="Times New Roman" w:hAnsi="Times New Roman"/>
          <w:sz w:val="22"/>
          <w:szCs w:val="22"/>
          <w:color w:val="auto"/>
        </w:rPr>
        <w:t>(512) 560-1172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David Means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Director, Investor Relations</w:t>
      </w:r>
    </w:p>
    <w:p>
      <w:pPr>
        <w:jc w:val="center"/>
        <w:ind w:right="9400" w:firstLine="8"/>
        <w:spacing w:after="0" w:line="258" w:lineRule="auto"/>
        <w:tabs>
          <w:tab w:leader="none" w:pos="522" w:val="left"/>
        </w:tabs>
        <w:numPr>
          <w:ilvl w:val="0"/>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242-8448 Investors@itron.com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LinkedIn: https://www.linkedin.com/company/itroninc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X: https://twitter.com/ItronInc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-104140</wp:posOffset>
            </wp:positionV>
            <wp:extent cx="68580"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line="230" w:lineRule="auto"/>
        <w:rPr>
          <w:sz w:val="20"/>
          <w:szCs w:val="20"/>
          <w:color w:val="auto"/>
        </w:rPr>
      </w:pPr>
      <w:r>
        <w:rPr>
          <w:rFonts w:ascii="Times New Roman" w:cs="Times New Roman" w:eastAsia="Times New Roman" w:hAnsi="Times New Roman"/>
          <w:sz w:val="22"/>
          <w:szCs w:val="22"/>
          <w:color w:val="auto"/>
        </w:rPr>
        <w:t>Newsroom: https://itron.com/newsroom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-103505</wp:posOffset>
            </wp:positionV>
            <wp:extent cx="68580" cy="685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2"/>
          <w:szCs w:val="22"/>
          <w:color w:val="auto"/>
        </w:rPr>
        <w:t>Blog: https://itron.com/blog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-110490</wp:posOffset>
            </wp:positionV>
            <wp:extent cx="68580"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CONSOLIDATED STATEMENTS OF OPERATIONS</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(Unaudited, in thousands, except per share data)</w:t>
      </w:r>
    </w:p>
    <w:p>
      <w:pPr>
        <w:spacing w:after="0" w:line="29" w:lineRule="exact"/>
        <w:rPr>
          <w:sz w:val="20"/>
          <w:szCs w:val="20"/>
          <w:color w:val="auto"/>
        </w:rPr>
      </w:pPr>
    </w:p>
    <w:p>
      <w:pPr>
        <w:jc w:val="center"/>
        <w:ind w:left="7980"/>
        <w:spacing w:after="0"/>
        <w:rPr>
          <w:sz w:val="20"/>
          <w:szCs w:val="20"/>
          <w:color w:val="auto"/>
        </w:rPr>
      </w:pPr>
      <w:r>
        <w:rPr>
          <w:rFonts w:ascii="Times New Roman" w:cs="Times New Roman" w:eastAsia="Times New Roman" w:hAnsi="Times New Roman"/>
          <w:sz w:val="22"/>
          <w:szCs w:val="22"/>
          <w:b w:val="1"/>
          <w:bCs w:val="1"/>
          <w:color w:val="auto"/>
        </w:rPr>
        <w:t>Three Months Ended March 31,</w:t>
      </w:r>
    </w:p>
    <w:p>
      <w:pPr>
        <w:spacing w:after="0" w:line="17" w:lineRule="exact"/>
        <w:rPr>
          <w:sz w:val="20"/>
          <w:szCs w:val="20"/>
          <w:color w:val="auto"/>
        </w:rPr>
      </w:pPr>
    </w:p>
    <w:p>
      <w:pPr>
        <w:ind w:left="8580"/>
        <w:spacing w:after="0"/>
        <w:tabs>
          <w:tab w:leader="none" w:pos="10220" w:val="left"/>
        </w:tabs>
        <w:rPr>
          <w:sz w:val="20"/>
          <w:szCs w:val="20"/>
          <w:color w:val="auto"/>
        </w:rPr>
      </w:pPr>
      <w:r>
        <w:rPr>
          <w:rFonts w:ascii="Times New Roman" w:cs="Times New Roman" w:eastAsia="Times New Roman" w:hAnsi="Times New Roman"/>
          <w:sz w:val="22"/>
          <w:szCs w:val="22"/>
          <w:b w:val="1"/>
          <w:bCs w:val="1"/>
          <w:color w:val="auto"/>
        </w:rPr>
        <w:t>2024</w:t>
      </w:r>
      <w:r>
        <w:rPr>
          <w:sz w:val="20"/>
          <w:szCs w:val="20"/>
          <w:color w:val="auto"/>
        </w:rPr>
        <w:tab/>
      </w:r>
      <w:r>
        <w:rPr>
          <w:rFonts w:ascii="Times New Roman" w:cs="Times New Roman" w:eastAsia="Times New Roman" w:hAnsi="Times New Roman"/>
          <w:sz w:val="22"/>
          <w:szCs w:val="22"/>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-158750</wp:posOffset>
            </wp:positionV>
            <wp:extent cx="20574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sectPr>
      </w:pP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Revenues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Product revenues</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Service revenues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Total revenues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Cost of revenues</w:t>
      </w:r>
    </w:p>
    <w:p>
      <w:pPr>
        <w:spacing w:after="0" w:line="17" w:lineRule="exact"/>
        <w:rPr>
          <w:sz w:val="20"/>
          <w:szCs w:val="20"/>
          <w:color w:val="auto"/>
        </w:rPr>
      </w:pPr>
    </w:p>
    <w:p>
      <w:pPr>
        <w:jc w:val="center"/>
        <w:ind w:right="4860"/>
        <w:spacing w:after="0"/>
        <w:rPr>
          <w:sz w:val="20"/>
          <w:szCs w:val="20"/>
          <w:color w:val="auto"/>
        </w:rPr>
      </w:pPr>
      <w:r>
        <w:rPr>
          <w:rFonts w:ascii="Times New Roman" w:cs="Times New Roman" w:eastAsia="Times New Roman" w:hAnsi="Times New Roman"/>
          <w:sz w:val="22"/>
          <w:szCs w:val="22"/>
          <w:color w:val="auto"/>
        </w:rPr>
        <w:t>Product cost of revenues</w:t>
      </w:r>
    </w:p>
    <w:p>
      <w:pPr>
        <w:spacing w:after="0" w:line="17" w:lineRule="exact"/>
        <w:rPr>
          <w:sz w:val="20"/>
          <w:szCs w:val="20"/>
          <w:color w:val="auto"/>
        </w:rPr>
      </w:pPr>
    </w:p>
    <w:p>
      <w:pPr>
        <w:jc w:val="center"/>
        <w:ind w:right="4880"/>
        <w:spacing w:after="0"/>
        <w:rPr>
          <w:sz w:val="20"/>
          <w:szCs w:val="20"/>
          <w:color w:val="auto"/>
        </w:rPr>
      </w:pPr>
      <w:r>
        <w:rPr>
          <w:rFonts w:ascii="Times New Roman" w:cs="Times New Roman" w:eastAsia="Times New Roman" w:hAnsi="Times New Roman"/>
          <w:sz w:val="22"/>
          <w:szCs w:val="22"/>
          <w:color w:val="auto"/>
        </w:rPr>
        <w:t>Service cost of revenues</w:t>
      </w:r>
    </w:p>
    <w:p>
      <w:pPr>
        <w:spacing w:after="0" w:line="18" w:lineRule="exact"/>
        <w:rPr>
          <w:sz w:val="20"/>
          <w:szCs w:val="20"/>
          <w:color w:val="auto"/>
        </w:rPr>
      </w:pPr>
    </w:p>
    <w:p>
      <w:pPr>
        <w:jc w:val="center"/>
        <w:ind w:right="4860"/>
        <w:spacing w:after="0"/>
        <w:rPr>
          <w:sz w:val="20"/>
          <w:szCs w:val="20"/>
          <w:color w:val="auto"/>
        </w:rPr>
      </w:pPr>
      <w:r>
        <w:rPr>
          <w:rFonts w:ascii="Times New Roman" w:cs="Times New Roman" w:eastAsia="Times New Roman" w:hAnsi="Times New Roman"/>
          <w:sz w:val="22"/>
          <w:szCs w:val="22"/>
          <w:color w:val="auto"/>
        </w:rPr>
        <w:t>Total cost of revenues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Gross profit</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Operating expenses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Sales, general and administrative</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Research and development</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1"/>
          <w:szCs w:val="21"/>
          <w:color w:val="auto"/>
        </w:rPr>
        <w:t>Amortization of intangible assets</w:t>
      </w:r>
    </w:p>
    <w:p>
      <w:pPr>
        <w:spacing w:after="0" w:line="2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Restructuring</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Loss on sale of business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Total operating expenses</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Operating income (loss)</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Other income (expense)</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Interest income</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Interest expense</w:t>
      </w:r>
    </w:p>
    <w:p>
      <w:pPr>
        <w:spacing w:after="0" w:line="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2"/>
          <w:szCs w:val="22"/>
          <w:color w:val="auto"/>
        </w:rPr>
        <w:t>Other income (expense), net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Total other income (expense)</w:t>
      </w:r>
    </w:p>
    <w:p>
      <w:pPr>
        <w:spacing w:after="0" w:line="3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Income (loss) before income taxes</w:t>
      </w:r>
    </w:p>
    <w:p>
      <w:pPr>
        <w:spacing w:after="0" w:line="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Income tax benefit (provision)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Net income (loss)</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4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527,822</w:t>
            </w:r>
          </w:p>
        </w:tc>
        <w:tc>
          <w:tcPr>
            <w:tcW w:w="540" w:type="dxa"/>
            <w:vAlign w:val="bottom"/>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416,324</w:t>
            </w:r>
          </w:p>
        </w:tc>
      </w:tr>
      <w:tr>
        <w:trPr>
          <w:trHeight w:val="283"/>
        </w:trPr>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75,620</w:t>
            </w: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78,294</w:t>
            </w:r>
          </w:p>
        </w:tc>
      </w:tr>
      <w:tr>
        <w:trPr>
          <w:trHeight w:val="277"/>
        </w:trPr>
        <w:tc>
          <w:tcPr>
            <w:tcW w:w="44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603,442</w:t>
            </w: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494,618</w:t>
            </w:r>
          </w:p>
        </w:tc>
      </w:tr>
      <w:tr>
        <w:trPr>
          <w:trHeight w:val="514"/>
        </w:trPr>
        <w:tc>
          <w:tcPr>
            <w:tcW w:w="44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356,707</w:t>
            </w: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297,343</w:t>
            </w:r>
          </w:p>
        </w:tc>
      </w:tr>
      <w:tr>
        <w:trPr>
          <w:trHeight w:val="283"/>
        </w:trPr>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41,356</w:t>
            </w:r>
          </w:p>
        </w:tc>
        <w:tc>
          <w:tcPr>
            <w:tcW w:w="5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40,907</w:t>
            </w:r>
          </w:p>
        </w:tc>
      </w:tr>
      <w:tr>
        <w:trPr>
          <w:trHeight w:val="264"/>
        </w:trPr>
        <w:tc>
          <w:tcPr>
            <w:tcW w:w="4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398,063</w:t>
            </w:r>
          </w:p>
        </w:tc>
        <w:tc>
          <w:tcPr>
            <w:tcW w:w="5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338,250</w:t>
            </w:r>
          </w:p>
        </w:tc>
      </w:tr>
      <w:tr>
        <w:trPr>
          <w:trHeight w:val="276"/>
        </w:trPr>
        <w:tc>
          <w:tcPr>
            <w:tcW w:w="440" w:type="dxa"/>
            <w:vAlign w:val="bottom"/>
          </w:tcPr>
          <w:p>
            <w:pPr>
              <w:spacing w:after="0"/>
              <w:rPr>
                <w:sz w:val="23"/>
                <w:szCs w:val="23"/>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205,379</w:t>
            </w:r>
          </w:p>
        </w:tc>
        <w:tc>
          <w:tcPr>
            <w:tcW w:w="5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156,368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-1584325</wp:posOffset>
            </wp:positionV>
            <wp:extent cx="20574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860"/>
        <w:spacing w:after="0"/>
        <w:tabs>
          <w:tab w:leader="none" w:pos="2520" w:val="left"/>
        </w:tabs>
        <w:rPr>
          <w:sz w:val="20"/>
          <w:szCs w:val="20"/>
          <w:color w:val="auto"/>
        </w:rPr>
      </w:pPr>
      <w:r>
        <w:rPr>
          <w:rFonts w:ascii="Times New Roman" w:cs="Times New Roman" w:eastAsia="Times New Roman" w:hAnsi="Times New Roman"/>
          <w:sz w:val="22"/>
          <w:szCs w:val="22"/>
          <w:color w:val="auto"/>
        </w:rPr>
        <w:t>85,971</w:t>
      </w:r>
      <w:r>
        <w:rPr>
          <w:sz w:val="20"/>
          <w:szCs w:val="20"/>
          <w:color w:val="auto"/>
        </w:rPr>
        <w:tab/>
      </w:r>
      <w:r>
        <w:rPr>
          <w:rFonts w:ascii="Times New Roman" w:cs="Times New Roman" w:eastAsia="Times New Roman" w:hAnsi="Times New Roman"/>
          <w:sz w:val="22"/>
          <w:szCs w:val="22"/>
          <w:color w:val="auto"/>
        </w:rPr>
        <w:t>75,521</w:t>
      </w:r>
    </w:p>
    <w:p>
      <w:pPr>
        <w:spacing w:after="0" w:line="29" w:lineRule="exact"/>
        <w:rPr>
          <w:sz w:val="20"/>
          <w:szCs w:val="20"/>
          <w:color w:val="auto"/>
        </w:rPr>
      </w:pPr>
    </w:p>
    <w:p>
      <w:pPr>
        <w:ind w:left="860"/>
        <w:spacing w:after="0"/>
        <w:tabs>
          <w:tab w:leader="none" w:pos="2520" w:val="left"/>
        </w:tabs>
        <w:rPr>
          <w:sz w:val="20"/>
          <w:szCs w:val="20"/>
          <w:color w:val="auto"/>
        </w:rPr>
      </w:pPr>
      <w:r>
        <w:rPr>
          <w:rFonts w:ascii="Times New Roman" w:cs="Times New Roman" w:eastAsia="Times New Roman" w:hAnsi="Times New Roman"/>
          <w:sz w:val="22"/>
          <w:szCs w:val="22"/>
          <w:color w:val="auto"/>
        </w:rPr>
        <w:t>52,401</w:t>
      </w:r>
      <w:r>
        <w:rPr>
          <w:sz w:val="20"/>
          <w:szCs w:val="20"/>
          <w:color w:val="auto"/>
        </w:rPr>
        <w:tab/>
      </w:r>
      <w:r>
        <w:rPr>
          <w:rFonts w:ascii="Times New Roman" w:cs="Times New Roman" w:eastAsia="Times New Roman" w:hAnsi="Times New Roman"/>
          <w:sz w:val="22"/>
          <w:szCs w:val="22"/>
          <w:color w:val="auto"/>
        </w:rPr>
        <w:t>49,565</w:t>
      </w:r>
    </w:p>
    <w:p>
      <w:pPr>
        <w:spacing w:after="0" w:line="17"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22"/>
          <w:szCs w:val="22"/>
          <w:color w:val="auto"/>
        </w:rPr>
        <w:t>3,986</w:t>
      </w:r>
      <w:r>
        <w:rPr>
          <w:sz w:val="20"/>
          <w:szCs w:val="20"/>
          <w:color w:val="auto"/>
        </w:rPr>
        <w:tab/>
      </w:r>
      <w:r>
        <w:rPr>
          <w:rFonts w:ascii="Times New Roman" w:cs="Times New Roman" w:eastAsia="Times New Roman" w:hAnsi="Times New Roman"/>
          <w:sz w:val="22"/>
          <w:szCs w:val="22"/>
          <w:color w:val="auto"/>
        </w:rPr>
        <w:t>5,048</w:t>
      </w:r>
    </w:p>
    <w:p>
      <w:pPr>
        <w:spacing w:after="0" w:line="17" w:lineRule="exact"/>
        <w:rPr>
          <w:sz w:val="20"/>
          <w:szCs w:val="20"/>
          <w:color w:val="auto"/>
        </w:rPr>
      </w:pPr>
    </w:p>
    <w:p>
      <w:pPr>
        <w:ind w:left="2540" w:hanging="1406"/>
        <w:spacing w:after="0"/>
        <w:tabs>
          <w:tab w:leader="none" w:pos="25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36,609</w:t>
      </w:r>
    </w:p>
    <w:p>
      <w:pPr>
        <w:spacing w:after="0" w:line="17" w:lineRule="exact"/>
        <w:rPr>
          <w:rFonts w:ascii="Times New Roman" w:cs="Times New Roman" w:eastAsia="Times New Roman" w:hAnsi="Times New Roman"/>
          <w:sz w:val="22"/>
          <w:szCs w:val="22"/>
          <w:color w:val="auto"/>
        </w:rPr>
      </w:pPr>
    </w:p>
    <w:p>
      <w:pPr>
        <w:ind w:left="2920" w:hanging="1678"/>
        <w:spacing w:after="0"/>
        <w:tabs>
          <w:tab w:leader="none" w:pos="2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18</w:t>
      </w:r>
    </w:p>
    <w:p>
      <w:pPr>
        <w:spacing w:after="0" w:line="18" w:lineRule="exact"/>
        <w:rPr>
          <w:sz w:val="20"/>
          <w:szCs w:val="20"/>
          <w:color w:val="auto"/>
        </w:rPr>
      </w:pPr>
    </w:p>
    <w:p>
      <w:pPr>
        <w:ind w:left="760"/>
        <w:spacing w:after="0"/>
        <w:tabs>
          <w:tab w:leader="none" w:pos="2420" w:val="left"/>
        </w:tabs>
        <w:rPr>
          <w:sz w:val="20"/>
          <w:szCs w:val="20"/>
          <w:color w:val="auto"/>
        </w:rPr>
      </w:pPr>
      <w:r>
        <w:rPr>
          <w:rFonts w:ascii="Times New Roman" w:cs="Times New Roman" w:eastAsia="Times New Roman" w:hAnsi="Times New Roman"/>
          <w:sz w:val="22"/>
          <w:szCs w:val="22"/>
          <w:color w:val="auto"/>
        </w:rPr>
        <w:t>142,579</w:t>
      </w:r>
      <w:r>
        <w:rPr>
          <w:sz w:val="20"/>
          <w:szCs w:val="20"/>
          <w:color w:val="auto"/>
        </w:rPr>
        <w:tab/>
      </w:r>
      <w:r>
        <w:rPr>
          <w:rFonts w:ascii="Times New Roman" w:cs="Times New Roman" w:eastAsia="Times New Roman" w:hAnsi="Times New Roman"/>
          <w:sz w:val="22"/>
          <w:szCs w:val="22"/>
          <w:color w:val="auto"/>
        </w:rPr>
        <w:t>166,761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205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5740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205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81" w:lineRule="exact"/>
        <w:rPr>
          <w:sz w:val="20"/>
          <w:szCs w:val="20"/>
          <w:color w:val="auto"/>
        </w:rPr>
      </w:pPr>
    </w:p>
    <w:p>
      <w:pPr>
        <w:ind w:left="860"/>
        <w:spacing w:after="0"/>
        <w:tabs>
          <w:tab w:leader="none" w:pos="2440" w:val="left"/>
        </w:tabs>
        <w:rPr>
          <w:sz w:val="20"/>
          <w:szCs w:val="20"/>
          <w:color w:val="auto"/>
        </w:rPr>
      </w:pPr>
      <w:r>
        <w:rPr>
          <w:rFonts w:ascii="Times New Roman" w:cs="Times New Roman" w:eastAsia="Times New Roman" w:hAnsi="Times New Roman"/>
          <w:sz w:val="22"/>
          <w:szCs w:val="22"/>
          <w:color w:val="auto"/>
        </w:rPr>
        <w:t>62,800</w:t>
      </w:r>
      <w:r>
        <w:rPr>
          <w:sz w:val="20"/>
          <w:szCs w:val="20"/>
          <w:color w:val="auto"/>
        </w:rPr>
        <w:tab/>
      </w:r>
      <w:r>
        <w:rPr>
          <w:rFonts w:ascii="Times New Roman" w:cs="Times New Roman" w:eastAsia="Times New Roman" w:hAnsi="Times New Roman"/>
          <w:sz w:val="22"/>
          <w:szCs w:val="22"/>
          <w:color w:val="auto"/>
        </w:rPr>
        <w:t>(10,393)</w:t>
      </w:r>
    </w:p>
    <w:p>
      <w:pPr>
        <w:spacing w:after="0" w:line="287"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22"/>
          <w:szCs w:val="22"/>
          <w:color w:val="auto"/>
        </w:rPr>
        <w:t>3,846</w:t>
      </w:r>
      <w:r>
        <w:rPr>
          <w:sz w:val="20"/>
          <w:szCs w:val="20"/>
          <w:color w:val="auto"/>
        </w:rPr>
        <w:tab/>
      </w:r>
      <w:r>
        <w:rPr>
          <w:rFonts w:ascii="Times New Roman" w:cs="Times New Roman" w:eastAsia="Times New Roman" w:hAnsi="Times New Roman"/>
          <w:sz w:val="22"/>
          <w:szCs w:val="22"/>
          <w:color w:val="auto"/>
        </w:rPr>
        <w:t>1,818</w:t>
      </w:r>
    </w:p>
    <w:p>
      <w:pPr>
        <w:spacing w:after="0" w:line="29" w:lineRule="exact"/>
        <w:rPr>
          <w:sz w:val="20"/>
          <w:szCs w:val="20"/>
          <w:color w:val="auto"/>
        </w:rPr>
      </w:pPr>
    </w:p>
    <w:p>
      <w:pPr>
        <w:ind w:left="900"/>
        <w:spacing w:after="0"/>
        <w:tabs>
          <w:tab w:leader="none" w:pos="2560" w:val="left"/>
        </w:tabs>
        <w:rPr>
          <w:sz w:val="20"/>
          <w:szCs w:val="20"/>
          <w:color w:val="auto"/>
        </w:rPr>
      </w:pPr>
      <w:r>
        <w:rPr>
          <w:rFonts w:ascii="Times New Roman" w:cs="Times New Roman" w:eastAsia="Times New Roman" w:hAnsi="Times New Roman"/>
          <w:sz w:val="22"/>
          <w:szCs w:val="22"/>
          <w:color w:val="auto"/>
        </w:rPr>
        <w:t>(1,893)</w:t>
      </w:r>
      <w:r>
        <w:rPr>
          <w:sz w:val="20"/>
          <w:szCs w:val="20"/>
          <w:color w:val="auto"/>
        </w:rPr>
        <w:tab/>
      </w:r>
      <w:r>
        <w:rPr>
          <w:rFonts w:ascii="Times New Roman" w:cs="Times New Roman" w:eastAsia="Times New Roman" w:hAnsi="Times New Roman"/>
          <w:sz w:val="22"/>
          <w:szCs w:val="22"/>
          <w:color w:val="auto"/>
        </w:rPr>
        <w:t>(2,057)</w:t>
      </w:r>
    </w:p>
    <w:p>
      <w:pPr>
        <w:spacing w:after="0" w:line="17" w:lineRule="exact"/>
        <w:rPr>
          <w:sz w:val="20"/>
          <w:szCs w:val="20"/>
          <w:color w:val="auto"/>
        </w:rPr>
      </w:pPr>
    </w:p>
    <w:p>
      <w:pPr>
        <w:ind w:left="2580" w:hanging="1446"/>
        <w:spacing w:after="0"/>
        <w:tabs>
          <w:tab w:leader="none" w:pos="25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(1,475)</w:t>
      </w:r>
    </w:p>
    <w:p>
      <w:pPr>
        <w:spacing w:after="0" w:line="18" w:lineRule="exact"/>
        <w:rPr>
          <w:rFonts w:ascii="Times New Roman" w:cs="Times New Roman" w:eastAsia="Times New Roman" w:hAnsi="Times New Roman"/>
          <w:sz w:val="22"/>
          <w:szCs w:val="22"/>
          <w:color w:val="auto"/>
        </w:rPr>
      </w:pPr>
    </w:p>
    <w:p>
      <w:pPr>
        <w:ind w:left="9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2,416</w:t>
      </w:r>
      <w:r>
        <w:rPr>
          <w:rFonts w:ascii="Times New Roman" w:cs="Times New Roman" w:eastAsia="Times New Roman" w:hAnsi="Times New Roman"/>
          <w:sz w:val="21"/>
          <w:szCs w:val="21"/>
          <w:color w:val="auto"/>
        </w:rPr>
        <w:t>(1,714)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20574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74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-160020</wp:posOffset>
            </wp:positionV>
            <wp:extent cx="205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281" w:lineRule="exact"/>
        <w:rPr>
          <w:sz w:val="20"/>
          <w:szCs w:val="20"/>
          <w:color w:val="auto"/>
        </w:rPr>
      </w:pPr>
    </w:p>
    <w:p>
      <w:pPr>
        <w:ind w:left="860"/>
        <w:spacing w:after="0"/>
        <w:tabs>
          <w:tab w:leader="none" w:pos="2440" w:val="left"/>
        </w:tabs>
        <w:rPr>
          <w:sz w:val="20"/>
          <w:szCs w:val="20"/>
          <w:color w:val="auto"/>
        </w:rPr>
      </w:pPr>
      <w:r>
        <w:rPr>
          <w:rFonts w:ascii="Times New Roman" w:cs="Times New Roman" w:eastAsia="Times New Roman" w:hAnsi="Times New Roman"/>
          <w:sz w:val="22"/>
          <w:szCs w:val="22"/>
          <w:color w:val="auto"/>
        </w:rPr>
        <w:t>65,216</w:t>
      </w:r>
      <w:r>
        <w:rPr>
          <w:sz w:val="20"/>
          <w:szCs w:val="20"/>
          <w:color w:val="auto"/>
        </w:rPr>
        <w:tab/>
      </w:r>
      <w:r>
        <w:rPr>
          <w:rFonts w:ascii="Times New Roman" w:cs="Times New Roman" w:eastAsia="Times New Roman" w:hAnsi="Times New Roman"/>
          <w:sz w:val="22"/>
          <w:szCs w:val="22"/>
          <w:color w:val="auto"/>
        </w:rPr>
        <w:t>(12,107)</w:t>
      </w:r>
    </w:p>
    <w:p>
      <w:pPr>
        <w:spacing w:after="0" w:line="29" w:lineRule="exact"/>
        <w:rPr>
          <w:sz w:val="20"/>
          <w:szCs w:val="20"/>
          <w:color w:val="auto"/>
        </w:rPr>
      </w:pPr>
    </w:p>
    <w:p>
      <w:pPr>
        <w:ind w:left="800"/>
        <w:spacing w:after="0"/>
        <w:tabs>
          <w:tab w:leader="none" w:pos="2900" w:val="left"/>
        </w:tabs>
        <w:rPr>
          <w:sz w:val="20"/>
          <w:szCs w:val="20"/>
          <w:color w:val="auto"/>
        </w:rPr>
      </w:pPr>
      <w:r>
        <w:rPr>
          <w:rFonts w:ascii="Times New Roman" w:cs="Times New Roman" w:eastAsia="Times New Roman" w:hAnsi="Times New Roman"/>
          <w:sz w:val="22"/>
          <w:szCs w:val="22"/>
          <w:color w:val="auto"/>
        </w:rPr>
        <w:t>(13,429)</w:t>
      </w:r>
      <w:r>
        <w:rPr>
          <w:sz w:val="20"/>
          <w:szCs w:val="20"/>
          <w:color w:val="auto"/>
        </w:rPr>
        <w:tab/>
      </w:r>
      <w:r>
        <w:rPr>
          <w:rFonts w:ascii="Times New Roman" w:cs="Times New Roman" w:eastAsia="Times New Roman" w:hAnsi="Times New Roman"/>
          <w:sz w:val="22"/>
          <w:szCs w:val="22"/>
          <w:color w:val="auto"/>
        </w:rPr>
        <w:t>70</w:t>
      </w:r>
    </w:p>
    <w:p>
      <w:pPr>
        <w:spacing w:after="0" w:line="18" w:lineRule="exact"/>
        <w:rPr>
          <w:sz w:val="20"/>
          <w:szCs w:val="20"/>
          <w:color w:val="auto"/>
        </w:rPr>
      </w:pPr>
    </w:p>
    <w:p>
      <w:pPr>
        <w:ind w:left="860"/>
        <w:spacing w:after="0"/>
        <w:tabs>
          <w:tab w:leader="none" w:pos="2440" w:val="left"/>
        </w:tabs>
        <w:rPr>
          <w:sz w:val="20"/>
          <w:szCs w:val="20"/>
          <w:color w:val="auto"/>
        </w:rPr>
      </w:pPr>
      <w:r>
        <w:rPr>
          <w:rFonts w:ascii="Times New Roman" w:cs="Times New Roman" w:eastAsia="Times New Roman" w:hAnsi="Times New Roman"/>
          <w:sz w:val="22"/>
          <w:szCs w:val="22"/>
          <w:color w:val="auto"/>
        </w:rPr>
        <w:t>51,787</w:t>
      </w:r>
      <w:r>
        <w:rPr>
          <w:sz w:val="20"/>
          <w:szCs w:val="20"/>
          <w:color w:val="auto"/>
        </w:rPr>
        <w:tab/>
      </w:r>
      <w:r>
        <w:rPr>
          <w:rFonts w:ascii="Times New Roman" w:cs="Times New Roman" w:eastAsia="Times New Roman" w:hAnsi="Times New Roman"/>
          <w:sz w:val="22"/>
          <w:szCs w:val="22"/>
          <w:color w:val="auto"/>
        </w:rPr>
        <w:t>(12,037)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20574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ectPr>
          <w:pgSz w:w="11900" w:h="16838" w:orient="portrait"/>
          <w:cols w:equalWidth="0" w:num="2">
            <w:col w:w="7280" w:space="720"/>
            <w:col w:w="3240"/>
          </w:cols>
          <w:pgMar w:left="320" w:top="111" w:right="339" w:bottom="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83"/>
        </w:trPr>
        <w:tc>
          <w:tcPr>
            <w:tcW w:w="7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income (loss) attributable to noncontrolling interests</w:t>
            </w:r>
          </w:p>
        </w:tc>
        <w:tc>
          <w:tcPr>
            <w:tcW w:w="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66</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(201)</w:t>
            </w:r>
          </w:p>
        </w:tc>
        <w:tc>
          <w:tcPr>
            <w:tcW w:w="0" w:type="dxa"/>
            <w:vAlign w:val="bottom"/>
          </w:tcPr>
          <w:p>
            <w:pPr>
              <w:spacing w:after="0"/>
              <w:rPr>
                <w:sz w:val="1"/>
                <w:szCs w:val="1"/>
                <w:color w:val="auto"/>
              </w:rPr>
            </w:pPr>
          </w:p>
        </w:tc>
      </w:tr>
      <w:tr>
        <w:trPr>
          <w:trHeight w:val="265"/>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Net income (loss) attributable to Itron, Inc.</w:t>
            </w:r>
          </w:p>
        </w:tc>
        <w:tc>
          <w:tcPr>
            <w:tcW w:w="180" w:type="dxa"/>
            <w:vAlign w:val="bottom"/>
          </w:tcPr>
          <w:p>
            <w:pPr>
              <w:spacing w:after="0"/>
              <w:rPr>
                <w:sz w:val="23"/>
                <w:szCs w:val="23"/>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51,721</w:t>
            </w:r>
          </w:p>
        </w:tc>
        <w:tc>
          <w:tcPr>
            <w:tcW w:w="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(11,836)</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Net income (loss) per common share - Basic</w:t>
            </w:r>
          </w:p>
        </w:tc>
        <w:tc>
          <w:tcPr>
            <w:tcW w:w="46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(0.26)</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Net income (loss) per common share - Diluted</w:t>
            </w:r>
          </w:p>
        </w:tc>
        <w:tc>
          <w:tcPr>
            <w:tcW w:w="180" w:type="dxa"/>
            <w:vAlign w:val="bottom"/>
            <w:vMerge w:val="continue"/>
          </w:tcPr>
          <w:p>
            <w:pPr>
              <w:spacing w:after="0"/>
              <w:rPr>
                <w:sz w:val="22"/>
                <w:szCs w:val="22"/>
                <w:color w:val="auto"/>
              </w:rPr>
            </w:pPr>
          </w:p>
        </w:tc>
        <w:tc>
          <w:tcPr>
            <w:tcW w:w="2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22"/>
                <w:szCs w:val="22"/>
                <w:color w:val="auto"/>
                <w:w w:val="90"/>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1.12</w:t>
            </w:r>
          </w:p>
        </w:tc>
        <w:tc>
          <w:tcPr>
            <w:tcW w:w="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(0.26)</w:t>
            </w: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common shares outstanding - Basic</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45,652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45,281</w:t>
            </w:r>
          </w:p>
        </w:tc>
        <w:tc>
          <w:tcPr>
            <w:tcW w:w="0" w:type="dxa"/>
            <w:vAlign w:val="bottom"/>
          </w:tcPr>
          <w:p>
            <w:pPr>
              <w:spacing w:after="0"/>
              <w:rPr>
                <w:sz w:val="1"/>
                <w:szCs w:val="1"/>
                <w:color w:val="auto"/>
              </w:rPr>
            </w:pPr>
          </w:p>
        </w:tc>
      </w:t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Weighted average common shares outstanding - Diluted</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46,357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45,281</w:t>
            </w:r>
          </w:p>
        </w:tc>
        <w:tc>
          <w:tcPr>
            <w:tcW w:w="0" w:type="dxa"/>
            <w:vAlign w:val="bottom"/>
          </w:tcPr>
          <w:p>
            <w:pPr>
              <w:spacing w:after="0"/>
              <w:rPr>
                <w:sz w:val="1"/>
                <w:szCs w:val="1"/>
                <w:color w:val="auto"/>
              </w:rPr>
            </w:pPr>
          </w:p>
        </w:tc>
      </w:tr>
      <w:tr>
        <w:trPr>
          <w:trHeight w:val="929"/>
        </w:trPr>
        <w:tc>
          <w:tcPr>
            <w:tcW w:w="7800" w:type="dxa"/>
            <w:vAlign w:val="bottom"/>
          </w:tcPr>
          <w:p>
            <w:pPr>
              <w:jc w:val="center"/>
              <w:ind w:left="3312"/>
              <w:spacing w:after="0"/>
              <w:rPr>
                <w:sz w:val="20"/>
                <w:szCs w:val="20"/>
                <w:color w:val="auto"/>
              </w:rPr>
            </w:pPr>
            <w:r>
              <w:rPr>
                <w:rFonts w:ascii="Times New Roman" w:cs="Times New Roman" w:eastAsia="Times New Roman" w:hAnsi="Times New Roman"/>
                <w:sz w:val="22"/>
                <w:szCs w:val="22"/>
                <w:b w:val="1"/>
                <w:bCs w:val="1"/>
                <w:color w:val="auto"/>
                <w:w w:val="97"/>
              </w:rPr>
              <w:t>ITRON, INC.</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800" w:type="dxa"/>
            <w:vAlign w:val="bottom"/>
          </w:tcPr>
          <w:p>
            <w:pPr>
              <w:jc w:val="center"/>
              <w:ind w:left="3292"/>
              <w:spacing w:after="0"/>
              <w:rPr>
                <w:sz w:val="20"/>
                <w:szCs w:val="20"/>
                <w:color w:val="auto"/>
              </w:rPr>
            </w:pPr>
            <w:r>
              <w:rPr>
                <w:rFonts w:ascii="Times New Roman" w:cs="Times New Roman" w:eastAsia="Times New Roman" w:hAnsi="Times New Roman"/>
                <w:sz w:val="22"/>
                <w:szCs w:val="22"/>
                <w:b w:val="1"/>
                <w:bCs w:val="1"/>
                <w:color w:val="auto"/>
                <w:w w:val="97"/>
              </w:rPr>
              <w:t>SEGMENT INFORMATION</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180" w:type="dxa"/>
            <w:vAlign w:val="bottom"/>
          </w:tcPr>
          <w:p>
            <w:pPr>
              <w:spacing w:after="0"/>
              <w:rPr>
                <w:sz w:val="24"/>
                <w:szCs w:val="24"/>
                <w:color w:val="auto"/>
              </w:rPr>
            </w:pPr>
          </w:p>
        </w:tc>
        <w:tc>
          <w:tcPr>
            <w:tcW w:w="3240" w:type="dxa"/>
            <w:vAlign w:val="bottom"/>
            <w:gridSpan w:val="5"/>
            <w:vMerge w:val="restart"/>
          </w:tcPr>
          <w:p>
            <w:pPr>
              <w:jc w:val="right"/>
              <w:ind w:right="112"/>
              <w:spacing w:after="0"/>
              <w:rPr>
                <w:sz w:val="20"/>
                <w:szCs w:val="20"/>
                <w:color w:val="auto"/>
              </w:rPr>
            </w:pPr>
            <w:r>
              <w:rPr>
                <w:rFonts w:ascii="Times New Roman" w:cs="Times New Roman" w:eastAsia="Times New Roman" w:hAnsi="Times New Roman"/>
                <w:sz w:val="22"/>
                <w:szCs w:val="22"/>
                <w:b w:val="1"/>
                <w:bCs w:val="1"/>
                <w:color w:val="auto"/>
                <w:w w:val="99"/>
              </w:rPr>
              <w:t>Three Months Ended March 31,</w:t>
            </w:r>
          </w:p>
        </w:tc>
        <w:tc>
          <w:tcPr>
            <w:tcW w:w="0" w:type="dxa"/>
            <w:vAlign w:val="bottom"/>
          </w:tcPr>
          <w:p>
            <w:pPr>
              <w:spacing w:after="0"/>
              <w:rPr>
                <w:sz w:val="1"/>
                <w:szCs w:val="1"/>
                <w:color w:val="auto"/>
              </w:rPr>
            </w:pPr>
          </w:p>
        </w:tc>
      </w:tr>
      <w:tr>
        <w:trPr>
          <w:trHeight w:val="271"/>
        </w:trPr>
        <w:tc>
          <w:tcPr>
            <w:tcW w:w="78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240" w:type="dxa"/>
            <w:vAlign w:val="bottom"/>
            <w:tcBorders>
              <w:bottom w:val="single" w:sz="8" w:color="auto"/>
            </w:tcBorders>
            <w:gridSpan w:val="5"/>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78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Product revenues</w:t>
            </w: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0"/>
        </w:trPr>
        <w:tc>
          <w:tcPr>
            <w:tcW w:w="7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125,908</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117,451</w:t>
            </w: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381,305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281,470</w:t>
            </w:r>
          </w:p>
        </w:tc>
        <w:tc>
          <w:tcPr>
            <w:tcW w:w="0" w:type="dxa"/>
            <w:vAlign w:val="bottom"/>
          </w:tcPr>
          <w:p>
            <w:pPr>
              <w:spacing w:after="0"/>
              <w:rPr>
                <w:sz w:val="1"/>
                <w:szCs w:val="1"/>
                <w:color w:val="auto"/>
              </w:rPr>
            </w:pPr>
          </w:p>
        </w:tc>
      </w:tr>
      <w:tr>
        <w:trPr>
          <w:trHeight w:val="283"/>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20,609</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17,403</w:t>
            </w:r>
          </w:p>
        </w:tc>
        <w:tc>
          <w:tcPr>
            <w:tcW w:w="0" w:type="dxa"/>
            <w:vAlign w:val="bottom"/>
          </w:tcPr>
          <w:p>
            <w:pPr>
              <w:spacing w:after="0"/>
              <w:rPr>
                <w:sz w:val="1"/>
                <w:szCs w:val="1"/>
                <w:color w:val="auto"/>
              </w:rPr>
            </w:pPr>
          </w:p>
        </w:tc>
      </w:tr>
      <w:tr>
        <w:trPr>
          <w:trHeight w:val="264"/>
        </w:trPr>
        <w:tc>
          <w:tcPr>
            <w:tcW w:w="78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527,822</w:t>
            </w:r>
          </w:p>
        </w:tc>
        <w:tc>
          <w:tcPr>
            <w:tcW w:w="2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416,324</w:t>
            </w:r>
          </w:p>
        </w:tc>
        <w:tc>
          <w:tcPr>
            <w:tcW w:w="0" w:type="dxa"/>
            <w:vAlign w:val="bottom"/>
          </w:tcPr>
          <w:p>
            <w:pPr>
              <w:spacing w:after="0"/>
              <w:rPr>
                <w:sz w:val="1"/>
                <w:szCs w:val="1"/>
                <w:color w:val="auto"/>
              </w:rPr>
            </w:pPr>
          </w:p>
        </w:tc>
      </w:tr>
      <w:tr>
        <w:trPr>
          <w:trHeight w:val="21"/>
        </w:trPr>
        <w:tc>
          <w:tcPr>
            <w:tcW w:w="78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Service revenues</w:t>
            </w: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844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803</w:t>
            </w: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26,211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31,998</w:t>
            </w:r>
          </w:p>
        </w:tc>
        <w:tc>
          <w:tcPr>
            <w:tcW w:w="0" w:type="dxa"/>
            <w:vAlign w:val="bottom"/>
          </w:tcPr>
          <w:p>
            <w:pPr>
              <w:spacing w:after="0"/>
              <w:rPr>
                <w:sz w:val="1"/>
                <w:szCs w:val="1"/>
                <w:color w:val="auto"/>
              </w:rPr>
            </w:pPr>
          </w:p>
        </w:tc>
      </w:tr>
      <w:tr>
        <w:trPr>
          <w:trHeight w:val="283"/>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48,565</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45,493</w:t>
            </w:r>
          </w:p>
        </w:tc>
        <w:tc>
          <w:tcPr>
            <w:tcW w:w="0" w:type="dxa"/>
            <w:vAlign w:val="bottom"/>
          </w:tcPr>
          <w:p>
            <w:pPr>
              <w:spacing w:after="0"/>
              <w:rPr>
                <w:sz w:val="1"/>
                <w:szCs w:val="1"/>
                <w:color w:val="auto"/>
              </w:rPr>
            </w:pPr>
          </w:p>
        </w:tc>
      </w:tr>
      <w:tr>
        <w:trPr>
          <w:trHeight w:val="264"/>
        </w:trPr>
        <w:tc>
          <w:tcPr>
            <w:tcW w:w="78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75,620</w:t>
            </w:r>
          </w:p>
        </w:tc>
        <w:tc>
          <w:tcPr>
            <w:tcW w:w="2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78,294</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revenues</w:t>
            </w: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126,752</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118,254</w:t>
            </w: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407,516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313,468</w:t>
            </w:r>
          </w:p>
        </w:tc>
        <w:tc>
          <w:tcPr>
            <w:tcW w:w="0" w:type="dxa"/>
            <w:vAlign w:val="bottom"/>
          </w:tcPr>
          <w:p>
            <w:pPr>
              <w:spacing w:after="0"/>
              <w:rPr>
                <w:sz w:val="1"/>
                <w:szCs w:val="1"/>
                <w:color w:val="auto"/>
              </w:rPr>
            </w:pPr>
          </w:p>
        </w:tc>
      </w:tr>
      <w:tr>
        <w:trPr>
          <w:trHeight w:val="283"/>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69,174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62,896</w:t>
            </w:r>
          </w:p>
        </w:tc>
        <w:tc>
          <w:tcPr>
            <w:tcW w:w="0" w:type="dxa"/>
            <w:vAlign w:val="bottom"/>
          </w:tcPr>
          <w:p>
            <w:pPr>
              <w:spacing w:after="0"/>
              <w:rPr>
                <w:sz w:val="1"/>
                <w:szCs w:val="1"/>
                <w:color w:val="auto"/>
              </w:rPr>
            </w:pPr>
          </w:p>
        </w:tc>
      </w:tr>
      <w:tr>
        <w:trPr>
          <w:trHeight w:val="264"/>
        </w:trPr>
        <w:tc>
          <w:tcPr>
            <w:tcW w:w="78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603,442</w:t>
            </w:r>
          </w:p>
        </w:tc>
        <w:tc>
          <w:tcPr>
            <w:tcW w:w="2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494,618</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Gross profit</w:t>
            </w: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30,064</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23,713</w:t>
            </w: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151,025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105,776</w:t>
            </w:r>
          </w:p>
        </w:tc>
        <w:tc>
          <w:tcPr>
            <w:tcW w:w="0" w:type="dxa"/>
            <w:vAlign w:val="bottom"/>
          </w:tcPr>
          <w:p>
            <w:pPr>
              <w:spacing w:after="0"/>
              <w:rPr>
                <w:sz w:val="1"/>
                <w:szCs w:val="1"/>
                <w:color w:val="auto"/>
              </w:rPr>
            </w:pPr>
          </w:p>
        </w:tc>
      </w:tr>
      <w:tr>
        <w:trPr>
          <w:trHeight w:val="283"/>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24,290</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26,879</w:t>
            </w:r>
          </w:p>
        </w:tc>
        <w:tc>
          <w:tcPr>
            <w:tcW w:w="0" w:type="dxa"/>
            <w:vAlign w:val="bottom"/>
          </w:tcPr>
          <w:p>
            <w:pPr>
              <w:spacing w:after="0"/>
              <w:rPr>
                <w:sz w:val="1"/>
                <w:szCs w:val="1"/>
                <w:color w:val="auto"/>
              </w:rPr>
            </w:pPr>
          </w:p>
        </w:tc>
      </w:tr>
      <w:tr>
        <w:trPr>
          <w:trHeight w:val="264"/>
        </w:trPr>
        <w:tc>
          <w:tcPr>
            <w:tcW w:w="78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205,379</w:t>
            </w:r>
          </w:p>
        </w:tc>
        <w:tc>
          <w:tcPr>
            <w:tcW w:w="2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22"/>
                <w:szCs w:val="22"/>
                <w:color w:val="auto"/>
              </w:rPr>
              <w:t>156,368</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Operating income (loss)</w:t>
            </w: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Device Solutions</w:t>
            </w:r>
          </w:p>
        </w:tc>
        <w:tc>
          <w:tcPr>
            <w:tcW w:w="1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21,703</w:t>
            </w: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14,078</w:t>
            </w: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Networked Solutions</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116,678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74,956</w:t>
            </w:r>
          </w:p>
        </w:tc>
        <w:tc>
          <w:tcPr>
            <w:tcW w:w="0" w:type="dxa"/>
            <w:vAlign w:val="bottom"/>
          </w:tcPr>
          <w:p>
            <w:pPr>
              <w:spacing w:after="0"/>
              <w:rPr>
                <w:sz w:val="1"/>
                <w:szCs w:val="1"/>
                <w:color w:val="auto"/>
              </w:rPr>
            </w:pPr>
          </w:p>
        </w:tc>
      </w:tr>
      <w:tr>
        <w:trPr>
          <w:trHeight w:val="270"/>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Outcomes</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9,091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12,911</w:t>
            </w:r>
          </w:p>
        </w:tc>
        <w:tc>
          <w:tcPr>
            <w:tcW w:w="0" w:type="dxa"/>
            <w:vAlign w:val="bottom"/>
          </w:tcPr>
          <w:p>
            <w:pPr>
              <w:spacing w:after="0"/>
              <w:rPr>
                <w:sz w:val="1"/>
                <w:szCs w:val="1"/>
                <w:color w:val="auto"/>
              </w:rPr>
            </w:pPr>
          </w:p>
        </w:tc>
      </w:tr>
      <w:tr>
        <w:trPr>
          <w:trHeight w:val="283"/>
        </w:trPr>
        <w:tc>
          <w:tcPr>
            <w:tcW w:w="78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Corporate unallocated</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(84,672)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(112,338)</w:t>
            </w:r>
          </w:p>
        </w:tc>
        <w:tc>
          <w:tcPr>
            <w:tcW w:w="0" w:type="dxa"/>
            <w:vAlign w:val="bottom"/>
          </w:tcPr>
          <w:p>
            <w:pPr>
              <w:spacing w:after="0"/>
              <w:rPr>
                <w:sz w:val="1"/>
                <w:szCs w:val="1"/>
                <w:color w:val="auto"/>
              </w:rPr>
            </w:pPr>
          </w:p>
        </w:tc>
      </w:tr>
      <w:tr>
        <w:trPr>
          <w:trHeight w:val="264"/>
        </w:trPr>
        <w:tc>
          <w:tcPr>
            <w:tcW w:w="78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Total Company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22"/>
                <w:szCs w:val="22"/>
                <w:color w:val="auto"/>
              </w:rPr>
              <w:t>62,800</w:t>
            </w:r>
          </w:p>
        </w:tc>
        <w:tc>
          <w:tcPr>
            <w:tcW w:w="2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(10,393)</w:t>
            </w:r>
          </w:p>
        </w:tc>
        <w:tc>
          <w:tcPr>
            <w:tcW w:w="0" w:type="dxa"/>
            <w:vAlign w:val="bottom"/>
          </w:tcPr>
          <w:p>
            <w:pPr>
              <w:spacing w:after="0"/>
              <w:rPr>
                <w:sz w:val="1"/>
                <w:szCs w:val="1"/>
                <w:color w:val="auto"/>
              </w:rPr>
            </w:pPr>
          </w:p>
        </w:tc>
      </w:tr>
      <w:tr>
        <w:trPr>
          <w:trHeight w:val="21"/>
        </w:trPr>
        <w:tc>
          <w:tcPr>
            <w:tcW w:w="780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Total Gross Margin</w:t>
            </w: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2"/>
        </w:trPr>
        <w:tc>
          <w:tcPr>
            <w:tcW w:w="7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34.0%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31.6%</w:t>
            </w:r>
          </w:p>
        </w:tc>
        <w:tc>
          <w:tcPr>
            <w:tcW w:w="0" w:type="dxa"/>
            <w:vAlign w:val="bottom"/>
          </w:tcPr>
          <w:p>
            <w:pPr>
              <w:spacing w:after="0"/>
              <w:rPr>
                <w:sz w:val="1"/>
                <w:szCs w:val="1"/>
                <w:color w:val="auto"/>
              </w:rPr>
            </w:pPr>
          </w:p>
        </w:tc>
      </w:tr>
      <w:tr>
        <w:trPr>
          <w:trHeight w:val="929"/>
        </w:trPr>
        <w:tc>
          <w:tcPr>
            <w:tcW w:w="7800" w:type="dxa"/>
            <w:vAlign w:val="bottom"/>
          </w:tcPr>
          <w:p>
            <w:pPr>
              <w:jc w:val="center"/>
              <w:ind w:left="3312"/>
              <w:spacing w:after="0"/>
              <w:rPr>
                <w:sz w:val="20"/>
                <w:szCs w:val="20"/>
                <w:color w:val="auto"/>
              </w:rPr>
            </w:pPr>
            <w:r>
              <w:rPr>
                <w:rFonts w:ascii="Times New Roman" w:cs="Times New Roman" w:eastAsia="Times New Roman" w:hAnsi="Times New Roman"/>
                <w:sz w:val="22"/>
                <w:szCs w:val="22"/>
                <w:b w:val="1"/>
                <w:bCs w:val="1"/>
                <w:color w:val="auto"/>
                <w:w w:val="97"/>
              </w:rPr>
              <w:t>ITRON, INC.</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800" w:type="dxa"/>
            <w:vAlign w:val="bottom"/>
          </w:tcPr>
          <w:p>
            <w:pPr>
              <w:jc w:val="center"/>
              <w:ind w:left="3312"/>
              <w:spacing w:after="0"/>
              <w:rPr>
                <w:sz w:val="20"/>
                <w:szCs w:val="20"/>
                <w:color w:val="auto"/>
              </w:rPr>
            </w:pPr>
            <w:r>
              <w:rPr>
                <w:rFonts w:ascii="Times New Roman" w:cs="Times New Roman" w:eastAsia="Times New Roman" w:hAnsi="Times New Roman"/>
                <w:sz w:val="22"/>
                <w:szCs w:val="22"/>
                <w:b w:val="1"/>
                <w:bCs w:val="1"/>
                <w:color w:val="auto"/>
                <w:w w:val="97"/>
              </w:rPr>
              <w:t>CONSOLIDATED BALANCE SHEETS</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22"/>
                <w:szCs w:val="22"/>
                <w:b w:val="1"/>
                <w:bCs w:val="1"/>
                <w:color w:val="auto"/>
                <w:w w:val="96"/>
              </w:rPr>
              <w:t>December 31,</w:t>
            </w:r>
          </w:p>
        </w:tc>
        <w:tc>
          <w:tcPr>
            <w:tcW w:w="0" w:type="dxa"/>
            <w:vAlign w:val="bottom"/>
          </w:tcPr>
          <w:p>
            <w:pPr>
              <w:spacing w:after="0"/>
              <w:rPr>
                <w:sz w:val="1"/>
                <w:szCs w:val="1"/>
                <w:color w:val="auto"/>
              </w:rPr>
            </w:pPr>
          </w:p>
        </w:tc>
      </w:tr>
      <w:tr>
        <w:trPr>
          <w:trHeight w:val="286"/>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180" w:type="dxa"/>
            <w:vAlign w:val="bottom"/>
          </w:tcPr>
          <w:p>
            <w:pPr>
              <w:spacing w:after="0"/>
              <w:rPr>
                <w:sz w:val="24"/>
                <w:szCs w:val="24"/>
                <w:color w:val="auto"/>
              </w:rPr>
            </w:pPr>
          </w:p>
        </w:tc>
        <w:tc>
          <w:tcPr>
            <w:tcW w:w="1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March 31, 2024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1"/>
        </w:trPr>
        <w:tc>
          <w:tcPr>
            <w:tcW w:w="7800" w:type="dxa"/>
            <w:vAlign w:val="bottom"/>
          </w:tcPr>
          <w:p>
            <w:pPr>
              <w:ind w:left="3580"/>
              <w:spacing w:after="0" w:line="251" w:lineRule="exact"/>
              <w:rPr>
                <w:sz w:val="20"/>
                <w:szCs w:val="20"/>
                <w:color w:val="auto"/>
              </w:rPr>
            </w:pPr>
            <w:r>
              <w:rPr>
                <w:rFonts w:ascii="Times New Roman" w:cs="Times New Roman" w:eastAsia="Times New Roman" w:hAnsi="Times New Roman"/>
                <w:sz w:val="22"/>
                <w:szCs w:val="22"/>
                <w:b w:val="1"/>
                <w:bCs w:val="1"/>
                <w:color w:val="auto"/>
              </w:rPr>
              <w:t>ASSETS</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Current assets</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78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Cash and cash equivalents</w:t>
            </w:r>
          </w:p>
        </w:tc>
        <w:tc>
          <w:tcPr>
            <w:tcW w:w="460" w:type="dxa"/>
            <w:vAlign w:val="bottom"/>
            <w:gridSpan w:val="2"/>
          </w:tcPr>
          <w:p>
            <w:pPr>
              <w:jc w:val="right"/>
              <w:ind w:right="52"/>
              <w:spacing w:after="0"/>
              <w:rPr>
                <w:sz w:val="20"/>
                <w:szCs w:val="20"/>
                <w:color w:val="auto"/>
              </w:rPr>
            </w:pPr>
            <w:r>
              <w:rPr>
                <w:rFonts w:ascii="Times New Roman" w:cs="Times New Roman" w:eastAsia="Times New Roman" w:hAnsi="Times New Roman"/>
                <w:sz w:val="22"/>
                <w:szCs w:val="22"/>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300,606</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22"/>
                <w:szCs w:val="22"/>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302,049</w:t>
            </w:r>
          </w:p>
        </w:tc>
        <w:tc>
          <w:tcPr>
            <w:tcW w:w="0" w:type="dxa"/>
            <w:vAlign w:val="bottom"/>
          </w:tcPr>
          <w:p>
            <w:pPr>
              <w:spacing w:after="0"/>
              <w:rPr>
                <w:sz w:val="1"/>
                <w:szCs w:val="1"/>
                <w:color w:val="auto"/>
              </w:rPr>
            </w:pPr>
          </w:p>
        </w:tc>
      </w:tr>
    </w:tbl>
    <w:p>
      <w:pPr>
        <w:sectPr>
          <w:pgSz w:w="11900" w:h="16838" w:orient="portrait"/>
          <w:cols w:equalWidth="0" w:num="1">
            <w:col w:w="11220"/>
          </w:cols>
          <w:pgMar w:left="340" w:top="111" w:right="339" w:bottom="0" w:gutter="0" w:footer="0" w:header="0"/>
        </w:sectPr>
      </w:pPr>
    </w:p>
    <w:bookmarkStart w:id="7" w:name="page8"/>
    <w:bookmarkEnd w:id="7"/>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receivable, net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339,948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303,821</w:t>
            </w: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Inventories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287,220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283,686</w:t>
            </w:r>
          </w:p>
        </w:tc>
        <w:tc>
          <w:tcPr>
            <w:tcW w:w="0" w:type="dxa"/>
            <w:vAlign w:val="bottom"/>
          </w:tcPr>
          <w:p>
            <w:pPr>
              <w:spacing w:after="0"/>
              <w:rPr>
                <w:sz w:val="1"/>
                <w:szCs w:val="1"/>
                <w:color w:val="auto"/>
              </w:rPr>
            </w:pPr>
          </w:p>
        </w:tc>
      </w:tr>
      <w:tr>
        <w:trPr>
          <w:trHeight w:val="282"/>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current assets</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169,323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159,882</w:t>
            </w:r>
          </w:p>
        </w:tc>
        <w:tc>
          <w:tcPr>
            <w:tcW w:w="0" w:type="dxa"/>
            <w:vAlign w:val="bottom"/>
          </w:tcPr>
          <w:p>
            <w:pPr>
              <w:spacing w:after="0"/>
              <w:rPr>
                <w:sz w:val="1"/>
                <w:szCs w:val="1"/>
                <w:color w:val="auto"/>
              </w:rPr>
            </w:pPr>
          </w:p>
        </w:tc>
      </w:tr>
      <w:tr>
        <w:trPr>
          <w:trHeight w:val="277"/>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current assets</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1,097,097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1,049,438</w:t>
            </w:r>
          </w:p>
        </w:tc>
        <w:tc>
          <w:tcPr>
            <w:tcW w:w="0" w:type="dxa"/>
            <w:vAlign w:val="bottom"/>
          </w:tcPr>
          <w:p>
            <w:pPr>
              <w:spacing w:after="0"/>
              <w:rPr>
                <w:sz w:val="1"/>
                <w:szCs w:val="1"/>
                <w:color w:val="auto"/>
              </w:rPr>
            </w:pPr>
          </w:p>
        </w:tc>
      </w:tr>
      <w:tr>
        <w:trPr>
          <w:trHeight w:val="514"/>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Property, plant, and equipment, net</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124,979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128,806</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assets, net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249,694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247,211</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assets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42,397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38,836</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right-of-use assets, net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40,998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41,186</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Intangible assets, net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57,123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46,282</w:t>
            </w:r>
          </w:p>
        </w:tc>
        <w:tc>
          <w:tcPr>
            <w:tcW w:w="0" w:type="dxa"/>
            <w:vAlign w:val="bottom"/>
          </w:tcPr>
          <w:p>
            <w:pPr>
              <w:spacing w:after="0"/>
              <w:rPr>
                <w:sz w:val="1"/>
                <w:szCs w:val="1"/>
                <w:color w:val="auto"/>
              </w:rPr>
            </w:pPr>
          </w:p>
        </w:tc>
      </w:tr>
      <w:tr>
        <w:trPr>
          <w:trHeight w:val="283"/>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Goodwill</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1,064,275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1,052,504</w:t>
            </w:r>
          </w:p>
        </w:tc>
        <w:tc>
          <w:tcPr>
            <w:tcW w:w="0" w:type="dxa"/>
            <w:vAlign w:val="bottom"/>
          </w:tcPr>
          <w:p>
            <w:pPr>
              <w:spacing w:after="0"/>
              <w:rPr>
                <w:sz w:val="1"/>
                <w:szCs w:val="1"/>
                <w:color w:val="auto"/>
              </w:rPr>
            </w:pPr>
          </w:p>
        </w:tc>
      </w:tr>
      <w:tr>
        <w:trPr>
          <w:trHeight w:val="264"/>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2,676,563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2,604,263</w:t>
            </w:r>
          </w:p>
        </w:tc>
        <w:tc>
          <w:tcPr>
            <w:tcW w:w="0" w:type="dxa"/>
            <w:vAlign w:val="bottom"/>
          </w:tcPr>
          <w:p>
            <w:pPr>
              <w:spacing w:after="0"/>
              <w:rPr>
                <w:sz w:val="1"/>
                <w:szCs w:val="1"/>
                <w:color w:val="auto"/>
              </w:rPr>
            </w:pPr>
          </w:p>
        </w:tc>
      </w:tr>
      <w:tr>
        <w:trPr>
          <w:trHeight w:val="21"/>
        </w:trPr>
        <w:tc>
          <w:tcPr>
            <w:tcW w:w="7980" w:type="dxa"/>
            <w:vAlign w:val="bottom"/>
            <w:vMerge w:val="restart"/>
          </w:tcPr>
          <w:p>
            <w:pPr>
              <w:ind w:left="2600"/>
              <w:spacing w:after="0"/>
              <w:rPr>
                <w:sz w:val="20"/>
                <w:szCs w:val="20"/>
                <w:color w:val="auto"/>
              </w:rPr>
            </w:pPr>
            <w:r>
              <w:rPr>
                <w:rFonts w:ascii="Times New Roman" w:cs="Times New Roman" w:eastAsia="Times New Roman" w:hAnsi="Times New Roman"/>
                <w:sz w:val="22"/>
                <w:szCs w:val="22"/>
                <w:b w:val="1"/>
                <w:bCs w:val="1"/>
                <w:color w:val="auto"/>
              </w:rPr>
              <w:t>LIABILITIES AND EQUITY</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Current liabilities</w:t>
            </w: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223,575</w:t>
            </w: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199,520</w:t>
            </w: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current liabilities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59,621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54,407</w:t>
            </w: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Wages and benefits payable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94,318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135,803</w:t>
            </w: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Taxes payable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27,754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8,636</w:t>
            </w: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Current portion of warranty</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15,812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14,663</w:t>
            </w:r>
          </w:p>
        </w:tc>
        <w:tc>
          <w:tcPr>
            <w:tcW w:w="0" w:type="dxa"/>
            <w:vAlign w:val="bottom"/>
          </w:tcPr>
          <w:p>
            <w:pPr>
              <w:spacing w:after="0"/>
              <w:rPr>
                <w:sz w:val="1"/>
                <w:szCs w:val="1"/>
                <w:color w:val="auto"/>
              </w:rPr>
            </w:pPr>
          </w:p>
        </w:tc>
      </w:tr>
      <w:tr>
        <w:trPr>
          <w:trHeight w:val="282"/>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Unearned revenue</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157,237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124,207</w:t>
            </w:r>
          </w:p>
        </w:tc>
        <w:tc>
          <w:tcPr>
            <w:tcW w:w="0" w:type="dxa"/>
            <w:vAlign w:val="bottom"/>
          </w:tcPr>
          <w:p>
            <w:pPr>
              <w:spacing w:after="0"/>
              <w:rPr>
                <w:sz w:val="1"/>
                <w:szCs w:val="1"/>
                <w:color w:val="auto"/>
              </w:rPr>
            </w:pPr>
          </w:p>
        </w:tc>
      </w:tr>
      <w:tr>
        <w:trPr>
          <w:trHeight w:val="277"/>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current liabilities</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578,317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537,236</w:t>
            </w:r>
          </w:p>
        </w:tc>
        <w:tc>
          <w:tcPr>
            <w:tcW w:w="0" w:type="dxa"/>
            <w:vAlign w:val="bottom"/>
          </w:tcPr>
          <w:p>
            <w:pPr>
              <w:spacing w:after="0"/>
              <w:rPr>
                <w:sz w:val="1"/>
                <w:szCs w:val="1"/>
                <w:color w:val="auto"/>
              </w:rPr>
            </w:pPr>
          </w:p>
        </w:tc>
      </w:tr>
      <w:tr>
        <w:trPr>
          <w:trHeight w:val="514"/>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Long-term debt, net</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455,400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454,827</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Long-term warranty</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7,501</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Pension benefit obligation</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62,626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63,887</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Deferred tax liabilities, net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697</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Operating lease liabilities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31,702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32,656</w:t>
            </w:r>
          </w:p>
        </w:tc>
        <w:tc>
          <w:tcPr>
            <w:tcW w:w="0" w:type="dxa"/>
            <w:vAlign w:val="bottom"/>
          </w:tcPr>
          <w:p>
            <w:pPr>
              <w:spacing w:after="0"/>
              <w:rPr>
                <w:sz w:val="1"/>
                <w:szCs w:val="1"/>
                <w:color w:val="auto"/>
              </w:rPr>
            </w:pPr>
          </w:p>
        </w:tc>
      </w:tr>
      <w:tr>
        <w:trPr>
          <w:trHeight w:val="282"/>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Other long-term obligations</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154,767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176,028</w:t>
            </w:r>
          </w:p>
        </w:tc>
        <w:tc>
          <w:tcPr>
            <w:tcW w:w="0" w:type="dxa"/>
            <w:vAlign w:val="bottom"/>
          </w:tcPr>
          <w:p>
            <w:pPr>
              <w:spacing w:after="0"/>
              <w:rPr>
                <w:sz w:val="1"/>
                <w:szCs w:val="1"/>
                <w:color w:val="auto"/>
              </w:rPr>
            </w:pPr>
          </w:p>
        </w:tc>
      </w:tr>
      <w:tr>
        <w:trPr>
          <w:trHeight w:val="277"/>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liabilities</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1,291,253</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1,272,832</w:t>
            </w:r>
          </w:p>
        </w:tc>
        <w:tc>
          <w:tcPr>
            <w:tcW w:w="0" w:type="dxa"/>
            <w:vAlign w:val="bottom"/>
          </w:tcPr>
          <w:p>
            <w:pPr>
              <w:spacing w:after="0"/>
              <w:rPr>
                <w:sz w:val="1"/>
                <w:szCs w:val="1"/>
                <w:color w:val="auto"/>
              </w:rPr>
            </w:pPr>
          </w:p>
        </w:tc>
      </w:tr>
      <w:tr>
        <w:trPr>
          <w:trHeight w:val="514"/>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Equity</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Common stock</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1,833,510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1,820,510</w:t>
            </w: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Accumulated other comprehensive loss, net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(92,098)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(81,190)</w:t>
            </w:r>
          </w:p>
        </w:tc>
        <w:tc>
          <w:tcPr>
            <w:tcW w:w="0" w:type="dxa"/>
            <w:vAlign w:val="bottom"/>
          </w:tcPr>
          <w:p>
            <w:pPr>
              <w:spacing w:after="0"/>
              <w:rPr>
                <w:sz w:val="1"/>
                <w:szCs w:val="1"/>
                <w:color w:val="auto"/>
              </w:rPr>
            </w:pPr>
          </w:p>
        </w:tc>
      </w:tr>
      <w:tr>
        <w:trPr>
          <w:trHeight w:val="282"/>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Accumulated deficit</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(376,688)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(428,409)</w:t>
            </w:r>
          </w:p>
        </w:tc>
        <w:tc>
          <w:tcPr>
            <w:tcW w:w="0" w:type="dxa"/>
            <w:vAlign w:val="bottom"/>
          </w:tcPr>
          <w:p>
            <w:pPr>
              <w:spacing w:after="0"/>
              <w:rPr>
                <w:sz w:val="1"/>
                <w:szCs w:val="1"/>
                <w:color w:val="auto"/>
              </w:rPr>
            </w:pPr>
          </w:p>
        </w:tc>
      </w:tr>
      <w:tr>
        <w:trPr>
          <w:trHeight w:val="251"/>
        </w:trPr>
        <w:tc>
          <w:tcPr>
            <w:tcW w:w="7980" w:type="dxa"/>
            <w:vAlign w:val="bottom"/>
          </w:tcPr>
          <w:p>
            <w:pPr>
              <w:ind w:left="240"/>
              <w:spacing w:after="0" w:line="251" w:lineRule="exact"/>
              <w:rPr>
                <w:sz w:val="20"/>
                <w:szCs w:val="20"/>
                <w:color w:val="auto"/>
              </w:rPr>
            </w:pPr>
            <w:r>
              <w:rPr>
                <w:rFonts w:ascii="Times New Roman" w:cs="Times New Roman" w:eastAsia="Times New Roman" w:hAnsi="Times New Roman"/>
                <w:sz w:val="22"/>
                <w:szCs w:val="22"/>
                <w:color w:val="auto"/>
              </w:rPr>
              <w:t>Total Itron, Inc. shareholders' equity</w:t>
            </w:r>
          </w:p>
        </w:tc>
        <w:tc>
          <w:tcPr>
            <w:tcW w:w="140" w:type="dxa"/>
            <w:vAlign w:val="bottom"/>
          </w:tcPr>
          <w:p>
            <w:pPr>
              <w:spacing w:after="0"/>
              <w:rPr>
                <w:sz w:val="21"/>
                <w:szCs w:val="21"/>
                <w:color w:val="auto"/>
              </w:rPr>
            </w:pPr>
          </w:p>
        </w:tc>
        <w:tc>
          <w:tcPr>
            <w:tcW w:w="14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1,364,724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1,310,911</w:t>
            </w:r>
          </w:p>
        </w:tc>
        <w:tc>
          <w:tcPr>
            <w:tcW w:w="0" w:type="dxa"/>
            <w:vAlign w:val="bottom"/>
          </w:tcPr>
          <w:p>
            <w:pPr>
              <w:spacing w:after="0"/>
              <w:rPr>
                <w:sz w:val="1"/>
                <w:szCs w:val="1"/>
                <w:color w:val="auto"/>
              </w:rPr>
            </w:pPr>
          </w:p>
        </w:tc>
      </w:tr>
      <w:tr>
        <w:trPr>
          <w:trHeight w:val="282"/>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Noncontrolling interests</w:t>
            </w:r>
          </w:p>
        </w:tc>
        <w:tc>
          <w:tcPr>
            <w:tcW w:w="1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20,586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20,520</w:t>
            </w:r>
          </w:p>
        </w:tc>
        <w:tc>
          <w:tcPr>
            <w:tcW w:w="0" w:type="dxa"/>
            <w:vAlign w:val="bottom"/>
          </w:tcPr>
          <w:p>
            <w:pPr>
              <w:spacing w:after="0"/>
              <w:rPr>
                <w:sz w:val="1"/>
                <w:szCs w:val="1"/>
                <w:color w:val="auto"/>
              </w:rPr>
            </w:pPr>
          </w:p>
        </w:tc>
      </w:tr>
      <w:tr>
        <w:trPr>
          <w:trHeight w:val="265"/>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equity</w:t>
            </w: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1,385,310</w:t>
            </w:r>
          </w:p>
        </w:tc>
        <w:tc>
          <w:tcPr>
            <w:tcW w:w="1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1,331,431</w:t>
            </w:r>
          </w:p>
        </w:tc>
        <w:tc>
          <w:tcPr>
            <w:tcW w:w="0" w:type="dxa"/>
            <w:vAlign w:val="bottom"/>
          </w:tcPr>
          <w:p>
            <w:pPr>
              <w:spacing w:after="0"/>
              <w:rPr>
                <w:sz w:val="1"/>
                <w:szCs w:val="1"/>
                <w:color w:val="auto"/>
              </w:rPr>
            </w:pPr>
          </w:p>
        </w:tc>
      </w:tr>
      <w:tr>
        <w:trPr>
          <w:trHeight w:val="263"/>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2,676,563</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2,604,263</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980"/>
              <w:spacing w:after="0"/>
              <w:rPr>
                <w:sz w:val="20"/>
                <w:szCs w:val="20"/>
                <w:color w:val="auto"/>
              </w:rPr>
            </w:pPr>
            <w:r>
              <w:rPr>
                <w:rFonts w:ascii="Times New Roman" w:cs="Times New Roman" w:eastAsia="Times New Roman" w:hAnsi="Times New Roman"/>
                <w:sz w:val="22"/>
                <w:szCs w:val="22"/>
                <w:b w:val="1"/>
                <w:bCs w:val="1"/>
                <w:color w:val="auto"/>
              </w:rPr>
              <w:t>ITRON, INC.</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1"/>
        </w:trPr>
        <w:tc>
          <w:tcPr>
            <w:tcW w:w="7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9660" w:type="dxa"/>
            <w:vAlign w:val="bottom"/>
            <w:gridSpan w:val="4"/>
          </w:tcPr>
          <w:p>
            <w:pPr>
              <w:ind w:left="306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(Unaudited, in thousands)</w:t>
            </w: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7"/>
              </w:rPr>
              <w:t>Three Months Ended March 31,</w:t>
            </w:r>
          </w:p>
        </w:tc>
        <w:tc>
          <w:tcPr>
            <w:tcW w:w="0" w:type="dxa"/>
            <w:vAlign w:val="bottom"/>
          </w:tcPr>
          <w:p>
            <w:pPr>
              <w:spacing w:after="0"/>
              <w:rPr>
                <w:sz w:val="1"/>
                <w:szCs w:val="1"/>
                <w:color w:val="auto"/>
              </w:rPr>
            </w:pPr>
          </w:p>
        </w:tc>
      </w:tr>
      <w:tr>
        <w:trPr>
          <w:trHeight w:val="264"/>
        </w:trPr>
        <w:tc>
          <w:tcPr>
            <w:tcW w:w="79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2024</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0"/>
        </w:trPr>
        <w:tc>
          <w:tcPr>
            <w:tcW w:w="7980" w:type="dxa"/>
            <w:vAlign w:val="bottom"/>
          </w:tcPr>
          <w:p>
            <w:pPr>
              <w:spacing w:after="0" w:line="249" w:lineRule="exact"/>
              <w:rPr>
                <w:sz w:val="20"/>
                <w:szCs w:val="20"/>
                <w:color w:val="auto"/>
              </w:rPr>
            </w:pPr>
            <w:r>
              <w:rPr>
                <w:rFonts w:ascii="Times New Roman" w:cs="Times New Roman" w:eastAsia="Times New Roman" w:hAnsi="Times New Roman"/>
                <w:sz w:val="22"/>
                <w:szCs w:val="22"/>
                <w:color w:val="auto"/>
              </w:rPr>
              <w:t>Operating activities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51,787</w:t>
            </w:r>
          </w:p>
        </w:tc>
        <w:tc>
          <w:tcPr>
            <w:tcW w:w="120" w:type="dxa"/>
            <w:vAlign w:val="bottom"/>
          </w:tcPr>
          <w:p>
            <w:pPr>
              <w:spacing w:after="0"/>
              <w:rPr>
                <w:sz w:val="23"/>
                <w:szCs w:val="23"/>
                <w:color w:val="auto"/>
              </w:rPr>
            </w:pPr>
          </w:p>
        </w:tc>
        <w:tc>
          <w:tcPr>
            <w:tcW w:w="34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(12,037)</w:t>
            </w: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Adjustments to reconcile net income (loss) to net cash provided by operating activities:</w:t>
            </w: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Depreciation and amortization of intangible assets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12,744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14,463</w:t>
            </w:r>
          </w:p>
        </w:tc>
        <w:tc>
          <w:tcPr>
            <w:tcW w:w="0" w:type="dxa"/>
            <w:vAlign w:val="bottom"/>
          </w:tcPr>
          <w:p>
            <w:pPr>
              <w:spacing w:after="0"/>
              <w:rPr>
                <w:sz w:val="1"/>
                <w:szCs w:val="1"/>
                <w:color w:val="auto"/>
              </w:rPr>
            </w:pPr>
          </w:p>
        </w:tc>
      </w:tr>
      <w:tr>
        <w:trPr>
          <w:trHeight w:val="270"/>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Non-cash operating lease expense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3,972</w:t>
            </w:r>
          </w:p>
        </w:tc>
        <w:tc>
          <w:tcPr>
            <w:tcW w:w="0" w:type="dxa"/>
            <w:vAlign w:val="bottom"/>
          </w:tcPr>
          <w:p>
            <w:pPr>
              <w:spacing w:after="0"/>
              <w:rPr>
                <w:sz w:val="1"/>
                <w:szCs w:val="1"/>
                <w:color w:val="auto"/>
              </w:rPr>
            </w:pPr>
          </w:p>
        </w:tc>
      </w:tr>
      <w:tr>
        <w:trPr>
          <w:trHeight w:val="270"/>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Stock-based compensation</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11,429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6,919</w:t>
            </w:r>
          </w:p>
        </w:tc>
        <w:tc>
          <w:tcPr>
            <w:tcW w:w="0" w:type="dxa"/>
            <w:vAlign w:val="bottom"/>
          </w:tcPr>
          <w:p>
            <w:pPr>
              <w:spacing w:after="0"/>
              <w:rPr>
                <w:sz w:val="1"/>
                <w:szCs w:val="1"/>
                <w:color w:val="auto"/>
              </w:rPr>
            </w:pPr>
          </w:p>
        </w:tc>
      </w:tr>
      <w:tr>
        <w:trPr>
          <w:trHeight w:val="270"/>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Amortization of prepaid debt fees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889</w:t>
            </w:r>
          </w:p>
        </w:tc>
        <w:tc>
          <w:tcPr>
            <w:tcW w:w="0" w:type="dxa"/>
            <w:vAlign w:val="bottom"/>
          </w:tcPr>
          <w:p>
            <w:pPr>
              <w:spacing w:after="0"/>
              <w:rPr>
                <w:sz w:val="1"/>
                <w:szCs w:val="1"/>
                <w:color w:val="auto"/>
              </w:rPr>
            </w:pPr>
          </w:p>
        </w:tc>
      </w:tr>
      <w:tr>
        <w:trPr>
          <w:trHeight w:val="270"/>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Deferred taxes, net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(4,272)</w:t>
            </w:r>
          </w:p>
        </w:tc>
        <w:tc>
          <w:tcPr>
            <w:tcW w:w="0" w:type="dxa"/>
            <w:vAlign w:val="bottom"/>
          </w:tcPr>
          <w:p>
            <w:pPr>
              <w:spacing w:after="0"/>
              <w:rPr>
                <w:sz w:val="1"/>
                <w:szCs w:val="1"/>
                <w:color w:val="auto"/>
              </w:rPr>
            </w:pPr>
          </w:p>
        </w:tc>
      </w:tr>
      <w:tr>
        <w:trPr>
          <w:trHeight w:val="270"/>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Loss on sale of business</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Restructuring, non-cash</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1,070</w:t>
            </w:r>
          </w:p>
        </w:tc>
        <w:tc>
          <w:tcPr>
            <w:tcW w:w="0" w:type="dxa"/>
            <w:vAlign w:val="bottom"/>
          </w:tcPr>
          <w:p>
            <w:pPr>
              <w:spacing w:after="0"/>
              <w:rPr>
                <w:sz w:val="1"/>
                <w:szCs w:val="1"/>
                <w:color w:val="auto"/>
              </w:rPr>
            </w:pPr>
          </w:p>
        </w:tc>
      </w:tr>
      <w:tr>
        <w:trPr>
          <w:trHeight w:val="270"/>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Other adjustments, net</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70"/>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Changes in operating assets and liabilities, net of acquisition and sale of business:</w:t>
            </w: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receivable</w:t>
            </w:r>
          </w:p>
        </w:tc>
        <w:tc>
          <w:tcPr>
            <w:tcW w:w="14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(36,826)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(22,497)</w:t>
            </w:r>
          </w:p>
        </w:tc>
        <w:tc>
          <w:tcPr>
            <w:tcW w:w="0" w:type="dxa"/>
            <w:vAlign w:val="bottom"/>
          </w:tcPr>
          <w:p>
            <w:pPr>
              <w:spacing w:after="0"/>
              <w:rPr>
                <w:sz w:val="1"/>
                <w:szCs w:val="1"/>
                <w:color w:val="auto"/>
              </w:rPr>
            </w:pPr>
          </w:p>
        </w:tc>
      </w:tr>
      <w:tr>
        <w:trPr>
          <w:trHeight w:val="282"/>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Inventories</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(5,559)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(34,791)</w:t>
            </w:r>
          </w:p>
        </w:tc>
        <w:tc>
          <w:tcPr>
            <w:tcW w:w="0" w:type="dxa"/>
            <w:vAlign w:val="bottom"/>
          </w:tcPr>
          <w:p>
            <w:pPr>
              <w:spacing w:after="0"/>
              <w:rPr>
                <w:sz w:val="1"/>
                <w:szCs w:val="1"/>
                <w:color w:val="auto"/>
              </w:rPr>
            </w:pPr>
          </w:p>
        </w:tc>
      </w:tr>
    </w:tbl>
    <w:p>
      <w:pPr>
        <w:sectPr>
          <w:pgSz w:w="11900" w:h="16889" w:orient="portrait"/>
          <w:cols w:equalWidth="0" w:num="1">
            <w:col w:w="11220"/>
          </w:cols>
          <w:pgMar w:left="340" w:top="111" w:right="339" w:bottom="0" w:gutter="0" w:footer="0" w:header="0"/>
        </w:sectPr>
      </w:pPr>
    </w:p>
    <w:bookmarkStart w:id="8" w:name="page9"/>
    <w:bookmarkEnd w:id="8"/>
    <w:p>
      <w:pPr>
        <w:spacing w:after="0" w:line="58"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current assets</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(9,690)</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(17,129)</w:t>
            </w: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long-term assets</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(4,824)</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3,002</w:t>
            </w: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Accounts payable, other current liabilities, and taxes payable</w:t>
            </w:r>
          </w:p>
        </w:tc>
        <w:tc>
          <w:tcPr>
            <w:tcW w:w="44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48,412</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15,113</w:t>
            </w: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Wages and benefits payable</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(40,561)</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(12,895)</w:t>
            </w: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Unearned revenue</w:t>
            </w:r>
          </w:p>
        </w:tc>
        <w:tc>
          <w:tcPr>
            <w:tcW w:w="44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35,738</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34,471</w:t>
            </w: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Warranty</w:t>
            </w:r>
          </w:p>
        </w:tc>
        <w:tc>
          <w:tcPr>
            <w:tcW w:w="44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1,489</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(1,041)</w:t>
            </w: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Restructuring</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(7,166)</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33,209</w:t>
            </w:r>
          </w:p>
        </w:tc>
      </w:tr>
      <w:tr>
        <w:trPr>
          <w:trHeight w:val="282"/>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operating, net</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(18,295)</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(7,091)</w:t>
            </w:r>
          </w:p>
        </w:tc>
      </w:tr>
      <w:tr>
        <w:trPr>
          <w:trHeight w:val="277"/>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4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41,308</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1,429</w:t>
            </w:r>
          </w:p>
        </w:tc>
      </w:tr>
      <w:tr>
        <w:trPr>
          <w:trHeight w:val="514"/>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Investing activities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proceeds (payments) related to the sale of business</w:t>
            </w:r>
          </w:p>
        </w:tc>
        <w:tc>
          <w:tcPr>
            <w:tcW w:w="44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(772)</w:t>
            </w: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Acquisitions of property, plant, and equipment</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(7,145)</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(6,902)</w:t>
            </w: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Business acquisitions, net of cash and cash equivalents acquired</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(34,126)</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r>
      <w:tr>
        <w:trPr>
          <w:trHeight w:val="282"/>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investing, net</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125</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7"/>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cash used in investing activities</w:t>
            </w:r>
          </w:p>
        </w:tc>
        <w:tc>
          <w:tcPr>
            <w:tcW w:w="4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(41,146)</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(7,658)</w:t>
            </w:r>
          </w:p>
        </w:tc>
      </w:tr>
      <w:tr>
        <w:trPr>
          <w:trHeight w:val="514"/>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Financing activities</w:t>
            </w: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Issuance of common stock</w:t>
            </w:r>
          </w:p>
        </w:tc>
        <w:tc>
          <w:tcPr>
            <w:tcW w:w="440" w:type="dxa"/>
            <w:vAlign w:val="bottom"/>
          </w:tcPr>
          <w:p>
            <w:pPr>
              <w:spacing w:after="0"/>
              <w:rPr>
                <w:sz w:val="23"/>
                <w:szCs w:val="23"/>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1,564</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607</w:t>
            </w:r>
          </w:p>
        </w:tc>
      </w:tr>
      <w:tr>
        <w:trPr>
          <w:trHeight w:val="270"/>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Prepaid debt fees</w:t>
            </w:r>
          </w:p>
        </w:tc>
        <w:tc>
          <w:tcPr>
            <w:tcW w:w="4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(206)</w:t>
            </w:r>
          </w:p>
        </w:tc>
        <w:tc>
          <w:tcPr>
            <w:tcW w:w="5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(517)</w:t>
            </w:r>
          </w:p>
        </w:tc>
      </w:tr>
      <w:tr>
        <w:trPr>
          <w:trHeight w:val="282"/>
        </w:trPr>
        <w:tc>
          <w:tcPr>
            <w:tcW w:w="79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Other financing, net</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(281)</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(185)</w:t>
            </w:r>
          </w:p>
        </w:tc>
      </w:tr>
      <w:tr>
        <w:trPr>
          <w:trHeight w:val="277"/>
        </w:trPr>
        <w:tc>
          <w:tcPr>
            <w:tcW w:w="798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Net cash provided by (used in) financing activities</w:t>
            </w:r>
          </w:p>
        </w:tc>
        <w:tc>
          <w:tcPr>
            <w:tcW w:w="44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1,077</w:t>
            </w:r>
          </w:p>
        </w:tc>
        <w:tc>
          <w:tcPr>
            <w:tcW w:w="5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(95)</w:t>
            </w:r>
          </w:p>
        </w:tc>
      </w:tr>
      <w:tr>
        <w:trPr>
          <w:trHeight w:val="526"/>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Effect of foreign exchange rate changes on cash and cash equivalents</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(2,682)</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330</w:t>
            </w:r>
          </w:p>
        </w:tc>
      </w:tr>
      <w:tr>
        <w:trPr>
          <w:trHeight w:val="251"/>
        </w:trPr>
        <w:tc>
          <w:tcPr>
            <w:tcW w:w="7980" w:type="dxa"/>
            <w:vAlign w:val="bottom"/>
          </w:tcPr>
          <w:p>
            <w:pPr>
              <w:spacing w:after="0" w:line="251" w:lineRule="exact"/>
              <w:rPr>
                <w:sz w:val="20"/>
                <w:szCs w:val="20"/>
                <w:color w:val="auto"/>
              </w:rPr>
            </w:pPr>
            <w:r>
              <w:rPr>
                <w:rFonts w:ascii="Times New Roman" w:cs="Times New Roman" w:eastAsia="Times New Roman" w:hAnsi="Times New Roman"/>
                <w:sz w:val="22"/>
                <w:szCs w:val="22"/>
                <w:color w:val="auto"/>
              </w:rPr>
              <w:t>Decrease in cash and cash equivalents</w:t>
            </w:r>
          </w:p>
        </w:tc>
        <w:tc>
          <w:tcPr>
            <w:tcW w:w="440" w:type="dxa"/>
            <w:vAlign w:val="bottom"/>
          </w:tcPr>
          <w:p>
            <w:pPr>
              <w:spacing w:after="0"/>
              <w:rPr>
                <w:sz w:val="21"/>
                <w:szCs w:val="21"/>
                <w:color w:val="auto"/>
              </w:rPr>
            </w:pPr>
          </w:p>
        </w:tc>
        <w:tc>
          <w:tcPr>
            <w:tcW w:w="116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(1,443)</w:t>
            </w:r>
          </w:p>
        </w:tc>
        <w:tc>
          <w:tcPr>
            <w:tcW w:w="520" w:type="dxa"/>
            <w:vAlign w:val="bottom"/>
          </w:tcPr>
          <w:p>
            <w:pPr>
              <w:spacing w:after="0"/>
              <w:rPr>
                <w:sz w:val="21"/>
                <w:szCs w:val="21"/>
                <w:color w:val="auto"/>
              </w:rPr>
            </w:pPr>
          </w:p>
        </w:tc>
        <w:tc>
          <w:tcPr>
            <w:tcW w:w="1120" w:type="dxa"/>
            <w:vAlign w:val="bottom"/>
          </w:tcPr>
          <w:p>
            <w:pPr>
              <w:jc w:val="right"/>
              <w:spacing w:after="0" w:line="251" w:lineRule="exact"/>
              <w:rPr>
                <w:sz w:val="20"/>
                <w:szCs w:val="20"/>
                <w:color w:val="auto"/>
              </w:rPr>
            </w:pPr>
            <w:r>
              <w:rPr>
                <w:rFonts w:ascii="Times New Roman" w:cs="Times New Roman" w:eastAsia="Times New Roman" w:hAnsi="Times New Roman"/>
                <w:sz w:val="22"/>
                <w:szCs w:val="22"/>
                <w:color w:val="auto"/>
              </w:rPr>
              <w:t>(5,994)</w:t>
            </w:r>
          </w:p>
        </w:tc>
      </w:tr>
      <w:tr>
        <w:trPr>
          <w:trHeight w:val="283"/>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beginning of period</w:t>
            </w:r>
          </w:p>
        </w:tc>
        <w:tc>
          <w:tcPr>
            <w:tcW w:w="4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302,049</w:t>
            </w:r>
          </w:p>
        </w:tc>
        <w:tc>
          <w:tcPr>
            <w:tcW w:w="5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202,007</w:t>
            </w:r>
          </w:p>
        </w:tc>
      </w:tr>
      <w:tr>
        <w:trPr>
          <w:trHeight w:val="264"/>
        </w:trPr>
        <w:tc>
          <w:tcPr>
            <w:tcW w:w="7980" w:type="dxa"/>
            <w:vAlign w:val="bottom"/>
          </w:tcPr>
          <w:p>
            <w:pPr>
              <w:spacing w:after="0"/>
              <w:rPr>
                <w:sz w:val="20"/>
                <w:szCs w:val="20"/>
                <w:color w:val="auto"/>
              </w:rPr>
            </w:pPr>
            <w:r>
              <w:rPr>
                <w:rFonts w:ascii="Times New Roman" w:cs="Times New Roman" w:eastAsia="Times New Roman" w:hAnsi="Times New Roman"/>
                <w:sz w:val="22"/>
                <w:szCs w:val="22"/>
                <w:color w:val="auto"/>
              </w:rPr>
              <w:t>Cash and cash equivalents at end of period</w:t>
            </w:r>
          </w:p>
        </w:tc>
        <w:tc>
          <w:tcPr>
            <w:tcW w:w="4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w w:val="90"/>
              </w:rPr>
              <w:t>$</w:t>
            </w: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300,606</w:t>
            </w:r>
          </w:p>
        </w:tc>
        <w:tc>
          <w:tcPr>
            <w:tcW w:w="5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196,013</w:t>
            </w:r>
          </w:p>
        </w:tc>
      </w:tr>
      <w:tr>
        <w:trPr>
          <w:trHeight w:val="21"/>
        </w:trPr>
        <w:tc>
          <w:tcPr>
            <w:tcW w:w="7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About Non-GAAP Financial Measures</w:t>
      </w:r>
    </w:p>
    <w:p>
      <w:pPr>
        <w:spacing w:after="0" w:line="21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To supplement our consolidated financial statements, which are prepared in accordance with GAAP, we use certain non-GAAP financial measures, including non-GAAP operating expense, non-GAAP operating income, non-GAAP net income, non-GAAP diluted EPS, adjusted EBITDA, free cash flow, and constant currency. The presentation of this financial information is not intended to be considered in isolation or as a substitute for, or superior to, the financial information prepared and presented in accordance with GAAP, and other companies may define such measures differently. For a reconciliation of each non-GAAP measure to the most comparable financial measure prepared and presented in accordance with GAAP, please see the table captioned Reconciliations of Non-GAAP Financial Measures to the Most Directly Comparable GAAP Financial Measures.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We use these non-GAAP financial measures for financial and operational decision making and/or as a means for determining executive compensation. Management believes that these non-GAAP financial measures provide meaningful supplemental information regarding our performance and ability to service debt by excluding certain expenses that may not be indicative of our recurring core operating results. These non-GAAP financial measures facilitate management's internal comparisons to our historical performance, as well as comparisons to our competitors' operating results. Our executive compensation plans exclude non-cash charges related to amortization of intangibles and certain discrete cash and non-cash charges, such as restructuring, loss on sale of business, or acquisition and integration related expenses. We believe that both management and investors benefit from referring to these non-GAAP financial measures in assessing our performance and when planning, forecasting and analyzing future periods. We believe these non-GAAP financial measures are useful to investors because they provide greater transparency with respect to key metrics used by management in its financial and operational decision making and because they are used by our institutional investors and the analyst community to analyze the health of our business.</w:t>
      </w:r>
    </w:p>
    <w:p>
      <w:pPr>
        <w:spacing w:after="0" w:line="1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i w:val="1"/>
          <w:iCs w:val="1"/>
          <w:u w:val="single" w:color="auto"/>
          <w:color w:val="auto"/>
        </w:rPr>
        <w:t>Non-GAAP operating expenses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non-GAAP operating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non-GAAP operating expenses as 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expenses excluding certain expenses related to the amortization of intangible assets, restructuring, loss on sale of business, and acquisition and integration related expenses. We define non-GAAP operating income as operating income (loss) excluding the expenses related to the amortization of intangible assets, restructuring, loss on sale of business, and acquisition and integration related expenses. Acquisition and integration related expenses include costs, which are incurred to affect and integrate business combinations, such as professional fees, certain employee retention and salaries related to integration, severances, contract terminations, travel costs related to knowledge transfer, system conversion costs, and asset impairment charges. We consider these non-GAAP financial measures to be useful metrics for management and investors because they exclude the effect of expenses that are not related to our core operating results. By excluding these expenses, we believe that it is easier for management and investors to compare our financial results over multiple periods and analyze trends in our operations. For example, in certain periods, expenses related to amortization of intangible assets may decrease, which would improve GAAP operating margins, yet the improvement in GAAP operating margins due to this lower expense is not necessarily reflective of an improvement in our core business. There are some limitations related to the use of non-GAAP operating expenses and non-GAAP operating income versus operating expenses and operating income (loss) calculated in accordance with GAAP. We</w:t>
      </w:r>
    </w:p>
    <w:p>
      <w:pPr>
        <w:sectPr>
          <w:pgSz w:w="11900" w:h="16896" w:orient="portrait"/>
          <w:cols w:equalWidth="0" w:num="1">
            <w:col w:w="11240"/>
          </w:cols>
          <w:pgMar w:left="320" w:top="111" w:right="339" w:bottom="0" w:gutter="0" w:footer="0" w:header="0"/>
        </w:sectPr>
      </w:pPr>
    </w:p>
    <w:bookmarkStart w:id="9" w:name="page10"/>
    <w:bookmarkEnd w:id="9"/>
    <w:p>
      <w:pPr>
        <w:jc w:val="both"/>
        <w:spacing w:after="0" w:line="244" w:lineRule="auto"/>
        <w:rPr>
          <w:sz w:val="20"/>
          <w:szCs w:val="20"/>
          <w:color w:val="auto"/>
        </w:rPr>
      </w:pPr>
      <w:r>
        <w:rPr>
          <w:rFonts w:ascii="Times New Roman" w:cs="Times New Roman" w:eastAsia="Times New Roman" w:hAnsi="Times New Roman"/>
          <w:sz w:val="22"/>
          <w:szCs w:val="22"/>
          <w:color w:val="auto"/>
        </w:rPr>
        <w:t>compensate for these limitations by providing specific information about the GAAP amounts excluded from non-GAAP operating expense and non-GAAP operating income and evaluating non-GAAP operating expense and non-GAAP operating income together with GAAP operating expense and operating income (loss).</w:t>
      </w:r>
    </w:p>
    <w:p>
      <w:pPr>
        <w:spacing w:after="0" w:line="17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i w:val="1"/>
          <w:iCs w:val="1"/>
          <w:u w:val="single" w:color="auto"/>
          <w:color w:val="auto"/>
        </w:rPr>
        <w:t>Non-GAAP net income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non-GAAP diluted EPS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non-GAAP net income as net income (loss) attributable to Itron,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 excluding the expenses associated with amortization of intangible assets, amortization of debt placement fees, restructuring, loss on sale of business, acquisition and integration related expenses, and the tax effect of excluding these expenses. We define non-GAAP diluted EPS as non-GAAP net income divided by diluted weighted-average shares outstanding during the period calculated on a GAAP basis and then reduced to reflect the anti-dilutive impact of the convertible note hedge transactions entered into in connection with the 0% convertible notes due 2026 issued in March 2021. We consider these financial measures to be useful metrics for management and investors for the same reasons that we use non-GAAP operating income. The same limitations described above regarding our use of non-GAAP operating income apply to our use of non-GAAP net income and non-GAAP diluted EPS. We compensate for these limitations by providing specific information regarding the GAAP amounts excluded from these non-GAAP measures and evaluating non-GAAP net income and non-GAAP diluted EPS together with GAAP net income (loss) attributable to Itron, Inc. and GAAP diluted EPS.</w:t>
      </w:r>
    </w:p>
    <w:p>
      <w:pPr>
        <w:spacing w:after="0" w:line="1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For interim periods the budgeted annual effective tax rate (AETR) is used, adjusted for any discrete items, as defined in Accounting Standards Codification (ASC) 740 - Income Taxes. The budgeted AETR is determined at the beginning of the fiscal year. The AETR is revised throughout the year based on changes to our full-year forecast. If the revised AETR increases or decreases by 200 basis points or more from the budgeted AETR due to changes in the full-year forecast during the year, the revised AETR is used in place of the budgeted AETR beginning with the quarter the 200 basis point threshold is exceeded and going forward for all subsequent interim quarters in the year. We continue to assess the AETR based on latest forecast throughout the year and use the most recent AETR anytime it increases or decreases by 200 basis points or more from the prior interim period.</w:t>
      </w:r>
    </w:p>
    <w:p>
      <w:pPr>
        <w:spacing w:after="0" w:line="17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i w:val="1"/>
          <w:iCs w:val="1"/>
          <w:u w:val="single" w:color="auto"/>
          <w:color w:val="auto"/>
        </w:rPr>
        <w:t>Adjusted EBITDA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We define adjusted EBITDA as net income (loss) (a) minus interest income, (b) plus interest expense,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depreciation and amortization, restructuring, loss on sale of business, acquisition and integration related expenses, and (c) excluding income tax provision or benefit. Management uses adjusted EBITDA as a performance measure for executive compensation. A limitation to using adjusted EBITDA is that it does not represent the total increase or decrease in the cash balance for the period and the measure includes some non-cash items and excludes other non-cash items. Additionally, the items that we exclude in our calculation of adjusted EBITDA may differ from the items that our peer companies exclude when they report their results. We compensate for these limitations by providing a reconciliation of this measure to GAAP net income (loss).</w:t>
      </w:r>
    </w:p>
    <w:p>
      <w:pPr>
        <w:spacing w:after="0" w:line="17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i w:val="1"/>
          <w:iCs w:val="1"/>
          <w:u w:val="single" w:color="auto"/>
          <w:color w:val="auto"/>
        </w:rPr>
        <w:t>Free cash flow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define free cash flow as net cash provided by operating activities less cash used for acquisitions of property,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plant and equipment. We believe free cash flow provides investors with a relevant measure of liquidity and a useful basis for assessing our ability to fund our operations and repay our debt. The same limitations described above regarding our use of adjusted EBITDA apply to our use of free cash flow. We compensate for these limitations by providing specific information regarding the GAAP amounts in the reconciliation.</w:t>
      </w:r>
    </w:p>
    <w:p>
      <w:pPr>
        <w:spacing w:after="0" w:line="17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i w:val="1"/>
          <w:iCs w:val="1"/>
          <w:u w:val="single" w:color="auto"/>
          <w:color w:val="auto"/>
        </w:rPr>
        <w:t>Constant currency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We refer to the impact of foreign currency exchange rate fluctuations in our discussions of financial results,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references the differences between the foreign currency exchange rates used to translate operating results from the entity's functional currency into U.S. dollars for financial reporting purposes. We also use the term "constant currency", which represents financial results adjusted to exclude changes in foreign currency exchange rates as compared with the rates in the comparable prior year period. We calculate the constant currency change as the difference between the current period results and the comparable prior period's results restated using current period foreign currency exchange rates.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tables below reconcile the non-GAAP financial measures of operating expenses, operating income, net income, diluted EPS, adjusted EBITDA, and free cash flow with the most directly comparable GAAP financial measures.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ITRON,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RECONCILIATIONS OF NON-GAAP FINANCIAL MEASURES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MOST DIRECTLY COMPARABLE GAAP FINANCIAL MEASURES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0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(Unaudited, in thousands, except per share data)</w:t>
            </w:r>
          </w:p>
        </w:tc>
        <w:tc>
          <w:tcPr>
            <w:tcW w:w="1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b w:val="1"/>
                <w:bCs w:val="1"/>
                <w:color w:val="auto"/>
              </w:rPr>
              <w:t>TOTAL COMPANY RECONCILIATIONS</w:t>
            </w: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22"/>
                <w:szCs w:val="22"/>
                <w:b w:val="1"/>
                <w:bCs w:val="1"/>
                <w:color w:val="auto"/>
                <w:w w:val="97"/>
              </w:rPr>
              <w:t>Three Months Ended March 31,</w:t>
            </w:r>
          </w:p>
        </w:tc>
        <w:tc>
          <w:tcPr>
            <w:tcW w:w="0" w:type="dxa"/>
            <w:vAlign w:val="bottom"/>
          </w:tcPr>
          <w:p>
            <w:pPr>
              <w:spacing w:after="0"/>
              <w:rPr>
                <w:sz w:val="1"/>
                <w:szCs w:val="1"/>
                <w:color w:val="auto"/>
              </w:rPr>
            </w:pPr>
          </w:p>
        </w:tc>
      </w:tr>
      <w:tr>
        <w:trPr>
          <w:trHeight w:val="264"/>
        </w:trPr>
        <w:tc>
          <w:tcPr>
            <w:tcW w:w="8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NON-GAAP OPERATING EXPENSES</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22"/>
                <w:szCs w:val="22"/>
                <w:b w:val="1"/>
                <w:bCs w:val="1"/>
                <w:color w:val="auto"/>
              </w:rPr>
              <w:t>2024</w:t>
            </w:r>
          </w:p>
        </w:tc>
        <w:tc>
          <w:tcPr>
            <w:tcW w:w="4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22"/>
                <w:szCs w:val="22"/>
                <w:b w:val="1"/>
                <w:bCs w:val="1"/>
                <w:color w:val="auto"/>
              </w:rPr>
              <w:t>2023</w:t>
            </w:r>
          </w:p>
        </w:tc>
        <w:tc>
          <w:tcPr>
            <w:tcW w:w="0" w:type="dxa"/>
            <w:vAlign w:val="bottom"/>
          </w:tcPr>
          <w:p>
            <w:pPr>
              <w:spacing w:after="0"/>
              <w:rPr>
                <w:sz w:val="1"/>
                <w:szCs w:val="1"/>
                <w:color w:val="auto"/>
              </w:rPr>
            </w:pPr>
          </w:p>
        </w:tc>
      </w:tr>
      <w:tr>
        <w:trPr>
          <w:trHeight w:val="250"/>
        </w:trPr>
        <w:tc>
          <w:tcPr>
            <w:tcW w:w="80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142,579</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166,761</w:t>
            </w:r>
          </w:p>
        </w:tc>
        <w:tc>
          <w:tcPr>
            <w:tcW w:w="0" w:type="dxa"/>
            <w:vAlign w:val="bottom"/>
          </w:tcPr>
          <w:p>
            <w:pPr>
              <w:spacing w:after="0"/>
              <w:rPr>
                <w:sz w:val="1"/>
                <w:szCs w:val="1"/>
                <w:color w:val="auto"/>
              </w:rPr>
            </w:pPr>
          </w:p>
        </w:tc>
      </w:tr>
      <w:tr>
        <w:trPr>
          <w:trHeight w:val="270"/>
        </w:trPr>
        <w:tc>
          <w:tcPr>
            <w:tcW w:w="8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(3,986)</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(5,048)</w:t>
            </w:r>
          </w:p>
        </w:tc>
        <w:tc>
          <w:tcPr>
            <w:tcW w:w="0" w:type="dxa"/>
            <w:vAlign w:val="bottom"/>
          </w:tcPr>
          <w:p>
            <w:pPr>
              <w:spacing w:after="0"/>
              <w:rPr>
                <w:sz w:val="1"/>
                <w:szCs w:val="1"/>
                <w:color w:val="auto"/>
              </w:rPr>
            </w:pPr>
          </w:p>
        </w:tc>
      </w:tr>
      <w:tr>
        <w:trPr>
          <w:trHeight w:val="270"/>
        </w:trPr>
        <w:tc>
          <w:tcPr>
            <w:tcW w:w="8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Restructuring</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(198)</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(36,609)</w:t>
            </w:r>
          </w:p>
        </w:tc>
        <w:tc>
          <w:tcPr>
            <w:tcW w:w="0" w:type="dxa"/>
            <w:vAlign w:val="bottom"/>
          </w:tcPr>
          <w:p>
            <w:pPr>
              <w:spacing w:after="0"/>
              <w:rPr>
                <w:sz w:val="1"/>
                <w:szCs w:val="1"/>
                <w:color w:val="auto"/>
              </w:rPr>
            </w:pPr>
          </w:p>
        </w:tc>
      </w:tr>
      <w:tr>
        <w:trPr>
          <w:trHeight w:val="270"/>
        </w:trPr>
        <w:tc>
          <w:tcPr>
            <w:tcW w:w="8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Loss on sale of business</w:t>
            </w:r>
          </w:p>
        </w:tc>
        <w:tc>
          <w:tcPr>
            <w:tcW w:w="14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c>
          <w:tcPr>
            <w:tcW w:w="4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83"/>
        </w:trPr>
        <w:tc>
          <w:tcPr>
            <w:tcW w:w="8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(318)</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64"/>
        </w:trPr>
        <w:tc>
          <w:tcPr>
            <w:tcW w:w="8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Non-GAAP operating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138,054</w:t>
            </w:r>
          </w:p>
        </w:tc>
        <w:tc>
          <w:tcPr>
            <w:tcW w:w="4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125,041</w:t>
            </w:r>
          </w:p>
        </w:tc>
        <w:tc>
          <w:tcPr>
            <w:tcW w:w="0" w:type="dxa"/>
            <w:vAlign w:val="bottom"/>
          </w:tcPr>
          <w:p>
            <w:pPr>
              <w:spacing w:after="0"/>
              <w:rPr>
                <w:sz w:val="1"/>
                <w:szCs w:val="1"/>
                <w:color w:val="auto"/>
              </w:rPr>
            </w:pPr>
          </w:p>
        </w:tc>
      </w:tr>
      <w:tr>
        <w:trPr>
          <w:trHeight w:val="21"/>
        </w:trPr>
        <w:tc>
          <w:tcPr>
            <w:tcW w:w="80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NON-GAAP OPERATING INCOME</w:t>
            </w: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00" w:type="dxa"/>
            <w:vAlign w:val="bottom"/>
          </w:tcPr>
          <w:p>
            <w:pPr>
              <w:ind w:left="260"/>
              <w:spacing w:after="0"/>
              <w:rPr>
                <w:sz w:val="20"/>
                <w:szCs w:val="20"/>
                <w:color w:val="auto"/>
              </w:rPr>
            </w:pPr>
            <w:r>
              <w:rPr>
                <w:rFonts w:ascii="Times New Roman" w:cs="Times New Roman" w:eastAsia="Times New Roman" w:hAnsi="Times New Roman"/>
                <w:sz w:val="22"/>
                <w:szCs w:val="22"/>
                <w:color w:val="auto"/>
              </w:rPr>
              <w:t>GAAP operating income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0"/>
              </w:rPr>
              <w:t>$</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62,800</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(10,393)</w:t>
            </w:r>
          </w:p>
        </w:tc>
        <w:tc>
          <w:tcPr>
            <w:tcW w:w="0" w:type="dxa"/>
            <w:vAlign w:val="bottom"/>
          </w:tcPr>
          <w:p>
            <w:pPr>
              <w:spacing w:after="0"/>
              <w:rPr>
                <w:sz w:val="1"/>
                <w:szCs w:val="1"/>
                <w:color w:val="auto"/>
              </w:rPr>
            </w:pPr>
          </w:p>
        </w:tc>
      </w:tr>
      <w:tr>
        <w:trPr>
          <w:trHeight w:val="282"/>
        </w:trPr>
        <w:tc>
          <w:tcPr>
            <w:tcW w:w="80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140" w:type="dxa"/>
            <w:vAlign w:val="bottom"/>
          </w:tcPr>
          <w:p>
            <w:pPr>
              <w:spacing w:after="0"/>
              <w:rPr>
                <w:sz w:val="24"/>
                <w:szCs w:val="24"/>
                <w:color w:val="auto"/>
              </w:rPr>
            </w:pP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3,986</w:t>
            </w:r>
          </w:p>
        </w:tc>
        <w:tc>
          <w:tcPr>
            <w:tcW w:w="4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5,048</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Restructuring</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198</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36,609</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Loss on sale of business</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23</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83"/>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318</w:t>
            </w: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64"/>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Non-GAAP operating income</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67,325</w:t>
            </w:r>
          </w:p>
        </w:tc>
        <w:tc>
          <w:tcPr>
            <w:tcW w:w="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31,327</w:t>
            </w: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NON-GAAP NET INCOME &amp; DILUTED EPS</w:t>
            </w: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GAAP net income (loss) attributable to Itron, Inc.</w:t>
            </w: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51,721</w:t>
            </w: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(11,836)</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Amortization of intangible assets</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3,986</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5,048</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Amortization of debt placement fees</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844</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845</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Restructuring</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198</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36,609</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Loss on sale of business</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23</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318</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83"/>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Income tax effect of non-GAAP adjustments</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201</w:t>
            </w: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(8,347)</w:t>
            </w:r>
          </w:p>
        </w:tc>
        <w:tc>
          <w:tcPr>
            <w:tcW w:w="0" w:type="dxa"/>
            <w:vAlign w:val="bottom"/>
          </w:tcPr>
          <w:p>
            <w:pPr>
              <w:spacing w:after="0"/>
              <w:rPr>
                <w:sz w:val="1"/>
                <w:szCs w:val="1"/>
                <w:color w:val="auto"/>
              </w:rPr>
            </w:pPr>
          </w:p>
        </w:tc>
      </w:tr>
      <w:tr>
        <w:trPr>
          <w:trHeight w:val="264"/>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Non-GAAP net income attributable to Itron, Inc.</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57,291</w:t>
            </w:r>
          </w:p>
        </w:tc>
        <w:tc>
          <w:tcPr>
            <w:tcW w:w="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22,382</w:t>
            </w:r>
          </w:p>
        </w:tc>
        <w:tc>
          <w:tcPr>
            <w:tcW w:w="0" w:type="dxa"/>
            <w:vAlign w:val="bottom"/>
          </w:tcPr>
          <w:p>
            <w:pPr>
              <w:spacing w:after="0"/>
              <w:rPr>
                <w:sz w:val="1"/>
                <w:szCs w:val="1"/>
                <w:color w:val="auto"/>
              </w:rPr>
            </w:pPr>
          </w:p>
        </w:tc>
      </w:tr>
      <w:tr>
        <w:trPr>
          <w:trHeight w:val="21"/>
        </w:trPr>
        <w:tc>
          <w:tcPr>
            <w:tcW w:w="7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Non-GAAP diluted EPS</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1.24</w:t>
            </w:r>
          </w:p>
        </w:tc>
        <w:tc>
          <w:tcPr>
            <w:tcW w:w="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0.49</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Non-GAAP weighted average common shares outstanding - Diluted</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46,357</w:t>
            </w: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45,572</w:t>
            </w: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ADJUSTED EBITDA</w:t>
            </w: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GAAP net income (loss) attributable to Itron, Inc.</w:t>
            </w: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51,721</w:t>
            </w: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(11,836)</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Interest income</w:t>
            </w:r>
          </w:p>
        </w:tc>
        <w:tc>
          <w:tcPr>
            <w:tcW w:w="5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(3,846)</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(1,818)</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Interest expense</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1,893</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2,057</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Income tax provision (benefit)</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13,429</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Depreciation and amortization</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12,744</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14,463</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Restructuring</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198</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36,609</w:t>
            </w:r>
          </w:p>
        </w:tc>
        <w:tc>
          <w:tcPr>
            <w:tcW w:w="0" w:type="dxa"/>
            <w:vAlign w:val="bottom"/>
          </w:tcPr>
          <w:p>
            <w:pPr>
              <w:spacing w:after="0"/>
              <w:rPr>
                <w:sz w:val="1"/>
                <w:szCs w:val="1"/>
                <w:color w:val="auto"/>
              </w:rPr>
            </w:pPr>
          </w:p>
        </w:tc>
      </w:tr>
      <w:tr>
        <w:trPr>
          <w:trHeight w:val="270"/>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Loss on sale of business</w:t>
            </w:r>
          </w:p>
        </w:tc>
        <w:tc>
          <w:tcPr>
            <w:tcW w:w="500" w:type="dxa"/>
            <w:vAlign w:val="bottom"/>
          </w:tcPr>
          <w:p>
            <w:pPr>
              <w:spacing w:after="0"/>
              <w:rPr>
                <w:sz w:val="23"/>
                <w:szCs w:val="23"/>
                <w:color w:val="auto"/>
              </w:rPr>
            </w:pP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23</w:t>
            </w:r>
          </w:p>
        </w:tc>
        <w:tc>
          <w:tcPr>
            <w:tcW w:w="5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c>
          <w:tcPr>
            <w:tcW w:w="0" w:type="dxa"/>
            <w:vAlign w:val="bottom"/>
          </w:tcPr>
          <w:p>
            <w:pPr>
              <w:spacing w:after="0"/>
              <w:rPr>
                <w:sz w:val="1"/>
                <w:szCs w:val="1"/>
                <w:color w:val="auto"/>
              </w:rPr>
            </w:pPr>
          </w:p>
        </w:tc>
      </w:tr>
      <w:tr>
        <w:trPr>
          <w:trHeight w:val="283"/>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Acquisition and integration</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318</w:t>
            </w: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45</w:t>
            </w:r>
          </w:p>
        </w:tc>
        <w:tc>
          <w:tcPr>
            <w:tcW w:w="0" w:type="dxa"/>
            <w:vAlign w:val="bottom"/>
          </w:tcPr>
          <w:p>
            <w:pPr>
              <w:spacing w:after="0"/>
              <w:rPr>
                <w:sz w:val="1"/>
                <w:szCs w:val="1"/>
                <w:color w:val="auto"/>
              </w:rPr>
            </w:pPr>
          </w:p>
        </w:tc>
      </w:tr>
      <w:tr>
        <w:trPr>
          <w:trHeight w:val="264"/>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Adjusted EBITDA</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76,480</w:t>
            </w:r>
          </w:p>
        </w:tc>
        <w:tc>
          <w:tcPr>
            <w:tcW w:w="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39,468</w:t>
            </w:r>
          </w:p>
        </w:tc>
        <w:tc>
          <w:tcPr>
            <w:tcW w:w="0" w:type="dxa"/>
            <w:vAlign w:val="bottom"/>
          </w:tcPr>
          <w:p>
            <w:pPr>
              <w:spacing w:after="0"/>
              <w:rPr>
                <w:sz w:val="1"/>
                <w:szCs w:val="1"/>
                <w:color w:val="auto"/>
              </w:rPr>
            </w:pPr>
          </w:p>
        </w:tc>
      </w:tr>
      <w:tr>
        <w:trPr>
          <w:trHeight w:val="21"/>
        </w:trPr>
        <w:tc>
          <w:tcPr>
            <w:tcW w:w="786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rPr>
              <w:t>FREE CASH FLOW</w:t>
            </w: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8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Net cash provided by operating activities</w:t>
            </w:r>
          </w:p>
        </w:tc>
        <w:tc>
          <w:tcPr>
            <w:tcW w:w="50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41,308</w:t>
            </w:r>
          </w:p>
        </w:tc>
        <w:tc>
          <w:tcPr>
            <w:tcW w:w="54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1,429</w:t>
            </w:r>
          </w:p>
        </w:tc>
        <w:tc>
          <w:tcPr>
            <w:tcW w:w="0" w:type="dxa"/>
            <w:vAlign w:val="bottom"/>
          </w:tcPr>
          <w:p>
            <w:pPr>
              <w:spacing w:after="0"/>
              <w:rPr>
                <w:sz w:val="1"/>
                <w:szCs w:val="1"/>
                <w:color w:val="auto"/>
              </w:rPr>
            </w:pPr>
          </w:p>
        </w:tc>
      </w:tr>
      <w:tr>
        <w:trPr>
          <w:trHeight w:val="283"/>
        </w:trPr>
        <w:tc>
          <w:tcPr>
            <w:tcW w:w="78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Acquisitions of property, plant, and equipment</w:t>
            </w:r>
          </w:p>
        </w:tc>
        <w:tc>
          <w:tcPr>
            <w:tcW w:w="5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(7,145)</w:t>
            </w:r>
          </w:p>
        </w:tc>
        <w:tc>
          <w:tcPr>
            <w:tcW w:w="5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(6,902)</w:t>
            </w:r>
          </w:p>
        </w:tc>
        <w:tc>
          <w:tcPr>
            <w:tcW w:w="0" w:type="dxa"/>
            <w:vAlign w:val="bottom"/>
          </w:tcPr>
          <w:p>
            <w:pPr>
              <w:spacing w:after="0"/>
              <w:rPr>
                <w:sz w:val="1"/>
                <w:szCs w:val="1"/>
                <w:color w:val="auto"/>
              </w:rPr>
            </w:pPr>
          </w:p>
        </w:tc>
      </w:tr>
      <w:tr>
        <w:trPr>
          <w:trHeight w:val="264"/>
        </w:trPr>
        <w:tc>
          <w:tcPr>
            <w:tcW w:w="78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Free Cash Flow</w:t>
            </w:r>
          </w:p>
        </w:tc>
        <w:tc>
          <w:tcPr>
            <w:tcW w:w="5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22"/>
                <w:szCs w:val="22"/>
                <w:color w:val="auto"/>
                <w:w w:val="90"/>
              </w:rPr>
              <w:t>$</w:t>
            </w:r>
          </w:p>
        </w:tc>
        <w:tc>
          <w:tcPr>
            <w:tcW w:w="11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22"/>
                <w:szCs w:val="22"/>
                <w:color w:val="auto"/>
              </w:rPr>
              <w:t>34,163</w:t>
            </w:r>
          </w:p>
        </w:tc>
        <w:tc>
          <w:tcPr>
            <w:tcW w:w="5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(5,473)</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00"/>
      </w:cols>
      <w:pgMar w:left="46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737"/>
    </w:lvl>
  </w:abstractNum>
  <w:abstractNum w:abstractNumId="2">
    <w:nsid w:val="625558EC"/>
    <w:multiLevelType w:val="hybridMultilevel"/>
    <w:lvl w:ilvl="0">
      <w:lvlJc w:val="left"/>
      <w:lvlText w:val="%1"/>
      <w:numFmt w:val="decimal"/>
      <w:start w:val="198"/>
    </w:lvl>
  </w:abstractNum>
  <w:abstractNum w:abstractNumId="3">
    <w:nsid w:val="238E1F29"/>
    <w:multiLevelType w:val="hybridMultilevel"/>
    <w:lvl w:ilvl="0">
      <w:lvlJc w:val="left"/>
      <w:lvlText w:val="%1"/>
      <w:numFmt w:val="decimal"/>
      <w:start w:val="23"/>
    </w:lvl>
  </w:abstractNum>
  <w:abstractNum w:abstractNumId="4">
    <w:nsid w:val="46E87CCD"/>
    <w:multiLevelType w:val="hybridMultilevel"/>
    <w:lvl w:ilvl="0">
      <w:lvlJc w:val="left"/>
      <w:lvlText w:val="%1"/>
      <w:numFmt w:val="decimal"/>
      <w:start w:val="46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2024-05-02T07:39:07Z</dcterms:created>
  <dcterms:modified xsi:type="dcterms:W3CDTF">2024-05-02T07:39:07Z</dcterms:modified>
</cp:coreProperties>
</file>