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19)*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Itron, Inc.</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(Name of Issuer)</w:t>
      </w:r>
    </w:p>
    <w:p>
      <w:pPr>
        <w:spacing w:after="0" w:line="39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Common Stock, no par value per share</w:t>
      </w: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and Class of Securities)</w:t>
      </w:r>
    </w:p>
    <w:p>
      <w:pPr>
        <w:spacing w:after="0" w:line="39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465741106</w:t>
      </w: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39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Samantha Nasello</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Scopia Capital Management LP</w:t>
      </w:r>
    </w:p>
    <w:p>
      <w:pPr>
        <w:jc w:val="center"/>
        <w:ind w:right="-99"/>
        <w:spacing w:after="0" w:line="230" w:lineRule="auto"/>
        <w:rPr>
          <w:sz w:val="20"/>
          <w:szCs w:val="20"/>
          <w:color w:val="auto"/>
        </w:rPr>
      </w:pPr>
      <w:r>
        <w:rPr>
          <w:rFonts w:ascii="Arial" w:cs="Arial" w:eastAsia="Arial" w:hAnsi="Arial"/>
          <w:sz w:val="22"/>
          <w:szCs w:val="22"/>
          <w:b w:val="1"/>
          <w:bCs w:val="1"/>
          <w:color w:val="auto"/>
        </w:rPr>
        <w:t>152 West 57th St., 33rd Floor</w:t>
      </w:r>
    </w:p>
    <w:p>
      <w:pPr>
        <w:jc w:val="center"/>
        <w:ind w:right="-99"/>
        <w:spacing w:after="0" w:line="231" w:lineRule="auto"/>
        <w:rPr>
          <w:sz w:val="20"/>
          <w:szCs w:val="20"/>
          <w:color w:val="auto"/>
        </w:rPr>
      </w:pPr>
      <w:r>
        <w:rPr>
          <w:rFonts w:ascii="Arial" w:cs="Arial" w:eastAsia="Arial" w:hAnsi="Arial"/>
          <w:sz w:val="22"/>
          <w:szCs w:val="22"/>
          <w:b w:val="1"/>
          <w:bCs w:val="1"/>
          <w:color w:val="auto"/>
        </w:rPr>
        <w:t>New York, NY 10019</w:t>
      </w:r>
    </w:p>
    <w:p>
      <w:pPr>
        <w:jc w:val="center"/>
        <w:ind w:right="-99"/>
        <w:spacing w:after="0" w:line="227" w:lineRule="auto"/>
        <w:rPr>
          <w:sz w:val="20"/>
          <w:szCs w:val="20"/>
          <w:color w:val="auto"/>
        </w:rPr>
      </w:pPr>
      <w:r>
        <w:rPr>
          <w:rFonts w:ascii="Arial" w:cs="Arial" w:eastAsia="Arial" w:hAnsi="Arial"/>
          <w:sz w:val="22"/>
          <w:szCs w:val="22"/>
          <w:b w:val="1"/>
          <w:bCs w:val="1"/>
          <w:color w:val="auto"/>
        </w:rPr>
        <w:t>(212) 370-0303</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39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January 3, 2020</w:t>
      </w: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right="240"/>
        <w:spacing w:after="0" w:line="328" w:lineRule="auto"/>
        <w:rPr>
          <w:sz w:val="20"/>
          <w:szCs w:val="20"/>
          <w:color w:val="auto"/>
        </w:rPr>
      </w:pPr>
      <w:r>
        <w:rPr>
          <w:rFonts w:ascii="Arial" w:cs="Arial" w:eastAsia="Arial" w:hAnsi="Arial"/>
          <w:sz w:val="19"/>
          <w:szCs w:val="19"/>
          <w:color w:val="auto"/>
        </w:rPr>
        <w:t>If the filing person has previously filed a statement on Schedule 13G to report the acquisition that is the subject of this Schedule 13D, and is filing this schedule because of Rule 13d-1(e), Rule 13d-1(f) or Rule 13d-1(g), check the following box. [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right="340"/>
        <w:spacing w:after="0" w:line="256" w:lineRule="auto"/>
        <w:rPr>
          <w:sz w:val="20"/>
          <w:szCs w:val="20"/>
          <w:color w:val="auto"/>
        </w:rPr>
      </w:pPr>
      <w:r>
        <w:rPr>
          <w:rFonts w:ascii="Arial" w:cs="Arial" w:eastAsia="Arial" w:hAnsi="Arial"/>
          <w:sz w:val="22"/>
          <w:szCs w:val="22"/>
          <w:b w:val="1"/>
          <w:bCs w:val="1"/>
          <w:color w:val="auto"/>
        </w:rPr>
        <w:t xml:space="preserve">Note. </w:t>
      </w:r>
      <w:r>
        <w:rPr>
          <w:rFonts w:ascii="Arial" w:cs="Arial" w:eastAsia="Arial" w:hAnsi="Arial"/>
          <w:sz w:val="22"/>
          <w:szCs w:val="22"/>
          <w:color w:val="auto"/>
        </w:rPr>
        <w:t>Schedules filed in paper format shall include a signed original and five copies of the schedule, including all exhibits. See</w:t>
      </w:r>
      <w:r>
        <w:rPr>
          <w:rFonts w:ascii="Arial" w:cs="Arial" w:eastAsia="Arial" w:hAnsi="Arial"/>
          <w:sz w:val="22"/>
          <w:szCs w:val="22"/>
          <w:b w:val="1"/>
          <w:bCs w:val="1"/>
          <w:color w:val="auto"/>
        </w:rPr>
        <w:t xml:space="preserve"> </w:t>
      </w:r>
      <w:r>
        <w:rPr>
          <w:rFonts w:ascii="Arial" w:cs="Arial" w:eastAsia="Arial" w:hAnsi="Arial"/>
          <w:sz w:val="22"/>
          <w:szCs w:val="22"/>
          <w:color w:val="auto"/>
        </w:rPr>
        <w:t>Rule 13d-7(b) for other parties to whom copies are to be sent.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460" w:right="2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3"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20"/>
          </w:cols>
          <w:pgMar w:left="240" w:top="1192" w:right="339" w:bottom="46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577850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Schedule 13D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No. 465741106</w:t>
      </w:r>
    </w:p>
    <w:p>
      <w:pPr>
        <w:spacing w:after="0" w:line="378" w:lineRule="exact"/>
        <w:rPr>
          <w:sz w:val="20"/>
          <w:szCs w:val="20"/>
          <w:color w:val="auto"/>
        </w:rPr>
      </w:pPr>
    </w:p>
    <w:p>
      <w:pPr>
        <w:ind w:left="1080" w:hanging="98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4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Scopia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 w:lineRule="exact"/>
        <w:rPr>
          <w:sz w:val="20"/>
          <w:szCs w:val="20"/>
          <w:color w:val="auto"/>
        </w:rPr>
      </w:pPr>
    </w:p>
    <w:p>
      <w:pPr>
        <w:ind w:left="1080" w:hanging="98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1080"/>
        <w:spacing w:after="0" w:line="207" w:lineRule="exact"/>
        <w:tabs>
          <w:tab w:leader="none" w:pos="188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ind w:left="1080" w:hanging="98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1080" w:hanging="98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080" w:hanging="982"/>
        <w:spacing w:after="0" w:line="207" w:lineRule="exact"/>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1080" w:hanging="98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Delaware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(7)</w:t>
            </w:r>
          </w:p>
        </w:tc>
        <w:tc>
          <w:tcPr>
            <w:tcW w:w="86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9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840" w:type="dxa"/>
            <w:vAlign w:val="bottom"/>
          </w:tcPr>
          <w:p>
            <w:pPr>
              <w:spacing w:after="0"/>
              <w:rPr>
                <w:sz w:val="24"/>
                <w:szCs w:val="24"/>
                <w:color w:val="auto"/>
              </w:rPr>
            </w:pPr>
          </w:p>
        </w:tc>
        <w:tc>
          <w:tcPr>
            <w:tcW w:w="8620" w:type="dxa"/>
            <w:vAlign w:val="bottom"/>
          </w:tcPr>
          <w:p>
            <w:pPr>
              <w:ind w:left="3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35"/>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840" w:type="dxa"/>
            <w:vAlign w:val="bottom"/>
            <w:tcBorders>
              <w:bottom w:val="single" w:sz="8" w:color="auto"/>
            </w:tcBorders>
          </w:tcPr>
          <w:p>
            <w:pPr>
              <w:spacing w:after="0"/>
              <w:rPr>
                <w:sz w:val="3"/>
                <w:szCs w:val="3"/>
                <w:color w:val="auto"/>
              </w:rPr>
            </w:pPr>
          </w:p>
        </w:tc>
        <w:tc>
          <w:tcPr>
            <w:tcW w:w="8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960" w:type="dxa"/>
            <w:vAlign w:val="bottom"/>
            <w:vMerge w:val="continue"/>
          </w:tcPr>
          <w:p>
            <w:pPr>
              <w:spacing w:after="0"/>
              <w:rPr>
                <w:sz w:val="14"/>
                <w:szCs w:val="14"/>
                <w:color w:val="auto"/>
              </w:rPr>
            </w:pPr>
          </w:p>
        </w:tc>
        <w:tc>
          <w:tcPr>
            <w:tcW w:w="840" w:type="dxa"/>
            <w:vAlign w:val="bottom"/>
          </w:tcPr>
          <w:p>
            <w:pPr>
              <w:jc w:val="right"/>
              <w:ind w:right="270"/>
              <w:spacing w:after="0" w:line="162" w:lineRule="exact"/>
              <w:rPr>
                <w:sz w:val="20"/>
                <w:szCs w:val="20"/>
                <w:color w:val="auto"/>
              </w:rPr>
            </w:pPr>
            <w:r>
              <w:rPr>
                <w:rFonts w:ascii="Arial" w:cs="Arial" w:eastAsia="Arial" w:hAnsi="Arial"/>
                <w:sz w:val="18"/>
                <w:szCs w:val="18"/>
                <w:color w:val="auto"/>
              </w:rPr>
              <w:t>(8)</w:t>
            </w:r>
          </w:p>
        </w:tc>
        <w:tc>
          <w:tcPr>
            <w:tcW w:w="8620" w:type="dxa"/>
            <w:vAlign w:val="bottom"/>
          </w:tcPr>
          <w:p>
            <w:pPr>
              <w:ind w:left="360"/>
              <w:spacing w:after="0" w:line="16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96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84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22"/>
                <w:szCs w:val="22"/>
                <w:color w:val="auto"/>
              </w:rPr>
              <w:t>1,808,059</w:t>
            </w:r>
          </w:p>
        </w:tc>
        <w:tc>
          <w:tcPr>
            <w:tcW w:w="0" w:type="dxa"/>
            <w:vAlign w:val="bottom"/>
          </w:tcPr>
          <w:p>
            <w:pPr>
              <w:spacing w:after="0"/>
              <w:rPr>
                <w:sz w:val="1"/>
                <w:szCs w:val="1"/>
                <w:color w:val="auto"/>
              </w:rPr>
            </w:pPr>
          </w:p>
        </w:tc>
      </w:tr>
      <w:tr>
        <w:trPr>
          <w:trHeight w:val="116"/>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840" w:type="dxa"/>
            <w:vAlign w:val="bottom"/>
            <w:tcBorders>
              <w:bottom w:val="single" w:sz="8" w:color="auto"/>
            </w:tcBorders>
          </w:tcPr>
          <w:p>
            <w:pPr>
              <w:spacing w:after="0"/>
              <w:rPr>
                <w:sz w:val="10"/>
                <w:szCs w:val="10"/>
                <w:color w:val="auto"/>
              </w:rPr>
            </w:pPr>
          </w:p>
        </w:tc>
        <w:tc>
          <w:tcPr>
            <w:tcW w:w="86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960" w:type="dxa"/>
            <w:vAlign w:val="bottom"/>
            <w:vMerge w:val="continue"/>
          </w:tcPr>
          <w:p>
            <w:pPr>
              <w:spacing w:after="0"/>
              <w:rPr>
                <w:sz w:val="6"/>
                <w:szCs w:val="6"/>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(9)</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840" w:type="dxa"/>
            <w:vAlign w:val="bottom"/>
            <w:vMerge w:val="continue"/>
          </w:tcPr>
          <w:p>
            <w:pPr>
              <w:spacing w:after="0"/>
              <w:rPr>
                <w:sz w:val="13"/>
                <w:szCs w:val="13"/>
                <w:color w:val="auto"/>
              </w:rPr>
            </w:pPr>
          </w:p>
        </w:tc>
        <w:tc>
          <w:tcPr>
            <w:tcW w:w="8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9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8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97"/>
        </w:trPr>
        <w:tc>
          <w:tcPr>
            <w:tcW w:w="1960" w:type="dxa"/>
            <w:vAlign w:val="bottom"/>
          </w:tcPr>
          <w:p>
            <w:pPr>
              <w:jc w:val="center"/>
              <w:spacing w:after="0" w:line="190" w:lineRule="exact"/>
              <w:rPr>
                <w:sz w:val="20"/>
                <w:szCs w:val="20"/>
                <w:color w:val="auto"/>
              </w:rPr>
            </w:pPr>
            <w:r>
              <w:rPr>
                <w:rFonts w:ascii="Arial" w:cs="Arial" w:eastAsia="Arial" w:hAnsi="Arial"/>
                <w:sz w:val="18"/>
                <w:szCs w:val="18"/>
                <w:color w:val="auto"/>
              </w:rPr>
              <w:t>WITH:</w:t>
            </w:r>
          </w:p>
        </w:tc>
        <w:tc>
          <w:tcPr>
            <w:tcW w:w="840" w:type="dxa"/>
            <w:vAlign w:val="bottom"/>
            <w:tcBorders>
              <w:bottom w:val="single" w:sz="8" w:color="auto"/>
            </w:tcBorders>
          </w:tcPr>
          <w:p>
            <w:pPr>
              <w:spacing w:after="0"/>
              <w:rPr>
                <w:sz w:val="17"/>
                <w:szCs w:val="17"/>
                <w:color w:val="auto"/>
              </w:rPr>
            </w:pPr>
          </w:p>
        </w:tc>
        <w:tc>
          <w:tcPr>
            <w:tcW w:w="8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(10)</w:t>
            </w:r>
          </w:p>
        </w:tc>
        <w:tc>
          <w:tcPr>
            <w:tcW w:w="8620" w:type="dxa"/>
            <w:vAlign w:val="bottom"/>
          </w:tcPr>
          <w:p>
            <w:pPr>
              <w:ind w:left="3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1,808,059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 w:lineRule="exact"/>
        <w:rPr>
          <w:sz w:val="20"/>
          <w:szCs w:val="20"/>
          <w:color w:val="auto"/>
        </w:rPr>
      </w:pPr>
    </w:p>
    <w:p>
      <w:pPr>
        <w:ind w:left="1080" w:hanging="107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1,808,059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080" w:hanging="1072"/>
        <w:spacing w:after="0" w:line="207" w:lineRule="exact"/>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1080" w:hanging="107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 w:lineRule="exact"/>
        <w:rPr>
          <w:sz w:val="20"/>
          <w:szCs w:val="20"/>
          <w:color w:val="auto"/>
        </w:rPr>
      </w:pPr>
    </w:p>
    <w:p>
      <w:pPr>
        <w:ind w:left="1080" w:hanging="107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PN,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7" w:lineRule="exact"/>
        <w:rPr>
          <w:sz w:val="20"/>
          <w:szCs w:val="20"/>
          <w:color w:val="auto"/>
        </w:rPr>
      </w:pPr>
    </w:p>
    <w:p>
      <w:pPr>
        <w:ind w:left="240" w:right="100" w:hanging="232"/>
        <w:spacing w:after="0" w:line="277" w:lineRule="auto"/>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39,568,376 shares of Common Stock of Itron, Inc. (the “Issuer”) outstanding as of October 31, 2019, as reported in the Issuer’s Form 10-Q filed with the Securities and Exchange Commission (“SEC”) on November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Schedule 13D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No. 465741106</w:t>
      </w:r>
    </w:p>
    <w:p>
      <w:pPr>
        <w:spacing w:after="0" w:line="378" w:lineRule="exact"/>
        <w:rPr>
          <w:sz w:val="20"/>
          <w:szCs w:val="20"/>
          <w:color w:val="auto"/>
        </w:rPr>
      </w:pPr>
    </w:p>
    <w:p>
      <w:pPr>
        <w:ind w:left="1080" w:hanging="98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4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Scopia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 w:lineRule="exact"/>
        <w:rPr>
          <w:sz w:val="20"/>
          <w:szCs w:val="20"/>
          <w:color w:val="auto"/>
        </w:rPr>
      </w:pPr>
    </w:p>
    <w:p>
      <w:pPr>
        <w:ind w:left="1080" w:hanging="98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1080"/>
        <w:spacing w:after="0" w:line="207" w:lineRule="exact"/>
        <w:tabs>
          <w:tab w:leader="none" w:pos="188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ind w:left="1080" w:hanging="98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1080" w:hanging="98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080" w:hanging="982"/>
        <w:spacing w:after="0" w:line="207" w:lineRule="exact"/>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1080" w:hanging="98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New York</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(7)</w:t>
            </w:r>
          </w:p>
        </w:tc>
        <w:tc>
          <w:tcPr>
            <w:tcW w:w="86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9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840" w:type="dxa"/>
            <w:vAlign w:val="bottom"/>
          </w:tcPr>
          <w:p>
            <w:pPr>
              <w:spacing w:after="0"/>
              <w:rPr>
                <w:sz w:val="24"/>
                <w:szCs w:val="24"/>
                <w:color w:val="auto"/>
              </w:rPr>
            </w:pPr>
          </w:p>
        </w:tc>
        <w:tc>
          <w:tcPr>
            <w:tcW w:w="8620" w:type="dxa"/>
            <w:vAlign w:val="bottom"/>
          </w:tcPr>
          <w:p>
            <w:pPr>
              <w:ind w:left="3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35"/>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840" w:type="dxa"/>
            <w:vAlign w:val="bottom"/>
            <w:tcBorders>
              <w:bottom w:val="single" w:sz="8" w:color="auto"/>
            </w:tcBorders>
          </w:tcPr>
          <w:p>
            <w:pPr>
              <w:spacing w:after="0"/>
              <w:rPr>
                <w:sz w:val="3"/>
                <w:szCs w:val="3"/>
                <w:color w:val="auto"/>
              </w:rPr>
            </w:pPr>
          </w:p>
        </w:tc>
        <w:tc>
          <w:tcPr>
            <w:tcW w:w="8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960" w:type="dxa"/>
            <w:vAlign w:val="bottom"/>
            <w:vMerge w:val="continue"/>
          </w:tcPr>
          <w:p>
            <w:pPr>
              <w:spacing w:after="0"/>
              <w:rPr>
                <w:sz w:val="14"/>
                <w:szCs w:val="14"/>
                <w:color w:val="auto"/>
              </w:rPr>
            </w:pPr>
          </w:p>
        </w:tc>
        <w:tc>
          <w:tcPr>
            <w:tcW w:w="840" w:type="dxa"/>
            <w:vAlign w:val="bottom"/>
          </w:tcPr>
          <w:p>
            <w:pPr>
              <w:jc w:val="right"/>
              <w:ind w:right="270"/>
              <w:spacing w:after="0" w:line="162" w:lineRule="exact"/>
              <w:rPr>
                <w:sz w:val="20"/>
                <w:szCs w:val="20"/>
                <w:color w:val="auto"/>
              </w:rPr>
            </w:pPr>
            <w:r>
              <w:rPr>
                <w:rFonts w:ascii="Arial" w:cs="Arial" w:eastAsia="Arial" w:hAnsi="Arial"/>
                <w:sz w:val="18"/>
                <w:szCs w:val="18"/>
                <w:color w:val="auto"/>
              </w:rPr>
              <w:t>(8)</w:t>
            </w:r>
          </w:p>
        </w:tc>
        <w:tc>
          <w:tcPr>
            <w:tcW w:w="8620" w:type="dxa"/>
            <w:vAlign w:val="bottom"/>
          </w:tcPr>
          <w:p>
            <w:pPr>
              <w:ind w:left="360"/>
              <w:spacing w:after="0" w:line="16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96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84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22"/>
                <w:szCs w:val="22"/>
                <w:color w:val="auto"/>
              </w:rPr>
              <w:t>1,808,059</w:t>
            </w:r>
          </w:p>
        </w:tc>
        <w:tc>
          <w:tcPr>
            <w:tcW w:w="0" w:type="dxa"/>
            <w:vAlign w:val="bottom"/>
          </w:tcPr>
          <w:p>
            <w:pPr>
              <w:spacing w:after="0"/>
              <w:rPr>
                <w:sz w:val="1"/>
                <w:szCs w:val="1"/>
                <w:color w:val="auto"/>
              </w:rPr>
            </w:pPr>
          </w:p>
        </w:tc>
      </w:tr>
      <w:tr>
        <w:trPr>
          <w:trHeight w:val="116"/>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840" w:type="dxa"/>
            <w:vAlign w:val="bottom"/>
            <w:tcBorders>
              <w:bottom w:val="single" w:sz="8" w:color="auto"/>
            </w:tcBorders>
          </w:tcPr>
          <w:p>
            <w:pPr>
              <w:spacing w:after="0"/>
              <w:rPr>
                <w:sz w:val="10"/>
                <w:szCs w:val="10"/>
                <w:color w:val="auto"/>
              </w:rPr>
            </w:pPr>
          </w:p>
        </w:tc>
        <w:tc>
          <w:tcPr>
            <w:tcW w:w="86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960" w:type="dxa"/>
            <w:vAlign w:val="bottom"/>
            <w:vMerge w:val="continue"/>
          </w:tcPr>
          <w:p>
            <w:pPr>
              <w:spacing w:after="0"/>
              <w:rPr>
                <w:sz w:val="6"/>
                <w:szCs w:val="6"/>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(9)</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840" w:type="dxa"/>
            <w:vAlign w:val="bottom"/>
            <w:vMerge w:val="continue"/>
          </w:tcPr>
          <w:p>
            <w:pPr>
              <w:spacing w:after="0"/>
              <w:rPr>
                <w:sz w:val="13"/>
                <w:szCs w:val="13"/>
                <w:color w:val="auto"/>
              </w:rPr>
            </w:pPr>
          </w:p>
        </w:tc>
        <w:tc>
          <w:tcPr>
            <w:tcW w:w="8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9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8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97"/>
        </w:trPr>
        <w:tc>
          <w:tcPr>
            <w:tcW w:w="1960" w:type="dxa"/>
            <w:vAlign w:val="bottom"/>
          </w:tcPr>
          <w:p>
            <w:pPr>
              <w:jc w:val="center"/>
              <w:spacing w:after="0" w:line="190" w:lineRule="exact"/>
              <w:rPr>
                <w:sz w:val="20"/>
                <w:szCs w:val="20"/>
                <w:color w:val="auto"/>
              </w:rPr>
            </w:pPr>
            <w:r>
              <w:rPr>
                <w:rFonts w:ascii="Arial" w:cs="Arial" w:eastAsia="Arial" w:hAnsi="Arial"/>
                <w:sz w:val="18"/>
                <w:szCs w:val="18"/>
                <w:color w:val="auto"/>
              </w:rPr>
              <w:t>WITH:</w:t>
            </w:r>
          </w:p>
        </w:tc>
        <w:tc>
          <w:tcPr>
            <w:tcW w:w="840" w:type="dxa"/>
            <w:vAlign w:val="bottom"/>
            <w:tcBorders>
              <w:bottom w:val="single" w:sz="8" w:color="auto"/>
            </w:tcBorders>
          </w:tcPr>
          <w:p>
            <w:pPr>
              <w:spacing w:after="0"/>
              <w:rPr>
                <w:sz w:val="17"/>
                <w:szCs w:val="17"/>
                <w:color w:val="auto"/>
              </w:rPr>
            </w:pPr>
          </w:p>
        </w:tc>
        <w:tc>
          <w:tcPr>
            <w:tcW w:w="8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(10)</w:t>
            </w:r>
          </w:p>
        </w:tc>
        <w:tc>
          <w:tcPr>
            <w:tcW w:w="8620" w:type="dxa"/>
            <w:vAlign w:val="bottom"/>
          </w:tcPr>
          <w:p>
            <w:pPr>
              <w:ind w:left="3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1,808,059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 w:lineRule="exact"/>
        <w:rPr>
          <w:sz w:val="20"/>
          <w:szCs w:val="20"/>
          <w:color w:val="auto"/>
        </w:rPr>
      </w:pPr>
    </w:p>
    <w:p>
      <w:pPr>
        <w:ind w:left="1080" w:hanging="107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1,808,059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080" w:hanging="1072"/>
        <w:spacing w:after="0" w:line="207" w:lineRule="exact"/>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1080" w:hanging="107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 w:lineRule="exact"/>
        <w:rPr>
          <w:sz w:val="20"/>
          <w:szCs w:val="20"/>
          <w:color w:val="auto"/>
        </w:rPr>
      </w:pPr>
    </w:p>
    <w:p>
      <w:pPr>
        <w:ind w:left="1080" w:hanging="107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CO,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7" w:lineRule="exact"/>
        <w:rPr>
          <w:sz w:val="20"/>
          <w:szCs w:val="20"/>
          <w:color w:val="auto"/>
        </w:rPr>
      </w:pPr>
    </w:p>
    <w:p>
      <w:pPr>
        <w:ind w:left="240" w:right="120" w:hanging="232"/>
        <w:spacing w:after="0" w:line="277" w:lineRule="auto"/>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39,568,376 shares of Common Stock of the Issuer outstanding as of October 31, 2019, as reported in the Issuer’s Form 10-Q filed with the SEC on November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Schedule 13D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No. 465741106</w:t>
      </w:r>
    </w:p>
    <w:p>
      <w:pPr>
        <w:spacing w:after="0" w:line="378" w:lineRule="exact"/>
        <w:rPr>
          <w:sz w:val="20"/>
          <w:szCs w:val="20"/>
          <w:color w:val="auto"/>
        </w:rPr>
      </w:pPr>
    </w:p>
    <w:p>
      <w:pPr>
        <w:ind w:left="1080" w:hanging="98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4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Matthew Sirovich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 w:lineRule="exact"/>
        <w:rPr>
          <w:sz w:val="20"/>
          <w:szCs w:val="20"/>
          <w:color w:val="auto"/>
        </w:rPr>
      </w:pPr>
    </w:p>
    <w:p>
      <w:pPr>
        <w:ind w:left="1080" w:hanging="98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1080"/>
        <w:spacing w:after="0" w:line="207" w:lineRule="exact"/>
        <w:tabs>
          <w:tab w:leader="none" w:pos="188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ind w:left="1080" w:hanging="98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1080" w:hanging="98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080" w:hanging="982"/>
        <w:spacing w:after="0" w:line="207" w:lineRule="exact"/>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1080" w:hanging="98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United States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(7)</w:t>
            </w:r>
          </w:p>
        </w:tc>
        <w:tc>
          <w:tcPr>
            <w:tcW w:w="86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9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840" w:type="dxa"/>
            <w:vAlign w:val="bottom"/>
          </w:tcPr>
          <w:p>
            <w:pPr>
              <w:spacing w:after="0"/>
              <w:rPr>
                <w:sz w:val="24"/>
                <w:szCs w:val="24"/>
                <w:color w:val="auto"/>
              </w:rPr>
            </w:pPr>
          </w:p>
        </w:tc>
        <w:tc>
          <w:tcPr>
            <w:tcW w:w="8620" w:type="dxa"/>
            <w:vAlign w:val="bottom"/>
          </w:tcPr>
          <w:p>
            <w:pPr>
              <w:ind w:left="360"/>
              <w:spacing w:after="0"/>
              <w:rPr>
                <w:sz w:val="20"/>
                <w:szCs w:val="20"/>
                <w:color w:val="auto"/>
              </w:rPr>
            </w:pPr>
            <w:r>
              <w:rPr>
                <w:rFonts w:ascii="Arial" w:cs="Arial" w:eastAsia="Arial" w:hAnsi="Arial"/>
                <w:sz w:val="22"/>
                <w:szCs w:val="22"/>
                <w:color w:val="auto"/>
              </w:rPr>
              <w:t>1,202</w:t>
            </w:r>
          </w:p>
        </w:tc>
        <w:tc>
          <w:tcPr>
            <w:tcW w:w="0" w:type="dxa"/>
            <w:vAlign w:val="bottom"/>
          </w:tcPr>
          <w:p>
            <w:pPr>
              <w:spacing w:after="0"/>
              <w:rPr>
                <w:sz w:val="1"/>
                <w:szCs w:val="1"/>
                <w:color w:val="auto"/>
              </w:rPr>
            </w:pPr>
          </w:p>
        </w:tc>
      </w:tr>
      <w:tr>
        <w:trPr>
          <w:trHeight w:val="35"/>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840" w:type="dxa"/>
            <w:vAlign w:val="bottom"/>
            <w:tcBorders>
              <w:bottom w:val="single" w:sz="8" w:color="auto"/>
            </w:tcBorders>
          </w:tcPr>
          <w:p>
            <w:pPr>
              <w:spacing w:after="0"/>
              <w:rPr>
                <w:sz w:val="3"/>
                <w:szCs w:val="3"/>
                <w:color w:val="auto"/>
              </w:rPr>
            </w:pPr>
          </w:p>
        </w:tc>
        <w:tc>
          <w:tcPr>
            <w:tcW w:w="8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960" w:type="dxa"/>
            <w:vAlign w:val="bottom"/>
            <w:vMerge w:val="continue"/>
          </w:tcPr>
          <w:p>
            <w:pPr>
              <w:spacing w:after="0"/>
              <w:rPr>
                <w:sz w:val="14"/>
                <w:szCs w:val="14"/>
                <w:color w:val="auto"/>
              </w:rPr>
            </w:pPr>
          </w:p>
        </w:tc>
        <w:tc>
          <w:tcPr>
            <w:tcW w:w="840" w:type="dxa"/>
            <w:vAlign w:val="bottom"/>
          </w:tcPr>
          <w:p>
            <w:pPr>
              <w:jc w:val="right"/>
              <w:ind w:right="270"/>
              <w:spacing w:after="0" w:line="162" w:lineRule="exact"/>
              <w:rPr>
                <w:sz w:val="20"/>
                <w:szCs w:val="20"/>
                <w:color w:val="auto"/>
              </w:rPr>
            </w:pPr>
            <w:r>
              <w:rPr>
                <w:rFonts w:ascii="Arial" w:cs="Arial" w:eastAsia="Arial" w:hAnsi="Arial"/>
                <w:sz w:val="18"/>
                <w:szCs w:val="18"/>
                <w:color w:val="auto"/>
              </w:rPr>
              <w:t>(8)</w:t>
            </w:r>
          </w:p>
        </w:tc>
        <w:tc>
          <w:tcPr>
            <w:tcW w:w="8620" w:type="dxa"/>
            <w:vAlign w:val="bottom"/>
          </w:tcPr>
          <w:p>
            <w:pPr>
              <w:ind w:left="360"/>
              <w:spacing w:after="0" w:line="16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96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84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22"/>
                <w:szCs w:val="22"/>
                <w:color w:val="auto"/>
              </w:rPr>
              <w:t>1,808,059</w:t>
            </w:r>
          </w:p>
        </w:tc>
        <w:tc>
          <w:tcPr>
            <w:tcW w:w="0" w:type="dxa"/>
            <w:vAlign w:val="bottom"/>
          </w:tcPr>
          <w:p>
            <w:pPr>
              <w:spacing w:after="0"/>
              <w:rPr>
                <w:sz w:val="1"/>
                <w:szCs w:val="1"/>
                <w:color w:val="auto"/>
              </w:rPr>
            </w:pPr>
          </w:p>
        </w:tc>
      </w:tr>
      <w:tr>
        <w:trPr>
          <w:trHeight w:val="116"/>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840" w:type="dxa"/>
            <w:vAlign w:val="bottom"/>
            <w:tcBorders>
              <w:bottom w:val="single" w:sz="8" w:color="auto"/>
            </w:tcBorders>
          </w:tcPr>
          <w:p>
            <w:pPr>
              <w:spacing w:after="0"/>
              <w:rPr>
                <w:sz w:val="10"/>
                <w:szCs w:val="10"/>
                <w:color w:val="auto"/>
              </w:rPr>
            </w:pPr>
          </w:p>
        </w:tc>
        <w:tc>
          <w:tcPr>
            <w:tcW w:w="86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960" w:type="dxa"/>
            <w:vAlign w:val="bottom"/>
            <w:vMerge w:val="continue"/>
          </w:tcPr>
          <w:p>
            <w:pPr>
              <w:spacing w:after="0"/>
              <w:rPr>
                <w:sz w:val="6"/>
                <w:szCs w:val="6"/>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(9)</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840" w:type="dxa"/>
            <w:vAlign w:val="bottom"/>
            <w:vMerge w:val="continue"/>
          </w:tcPr>
          <w:p>
            <w:pPr>
              <w:spacing w:after="0"/>
              <w:rPr>
                <w:sz w:val="13"/>
                <w:szCs w:val="13"/>
                <w:color w:val="auto"/>
              </w:rPr>
            </w:pPr>
          </w:p>
        </w:tc>
        <w:tc>
          <w:tcPr>
            <w:tcW w:w="8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9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8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22"/>
                <w:szCs w:val="22"/>
                <w:color w:val="auto"/>
              </w:rPr>
              <w:t>1,202</w:t>
            </w:r>
          </w:p>
        </w:tc>
        <w:tc>
          <w:tcPr>
            <w:tcW w:w="0" w:type="dxa"/>
            <w:vAlign w:val="bottom"/>
          </w:tcPr>
          <w:p>
            <w:pPr>
              <w:spacing w:after="0"/>
              <w:rPr>
                <w:sz w:val="1"/>
                <w:szCs w:val="1"/>
                <w:color w:val="auto"/>
              </w:rPr>
            </w:pPr>
          </w:p>
        </w:tc>
      </w:tr>
      <w:tr>
        <w:trPr>
          <w:trHeight w:val="197"/>
        </w:trPr>
        <w:tc>
          <w:tcPr>
            <w:tcW w:w="1960" w:type="dxa"/>
            <w:vAlign w:val="bottom"/>
          </w:tcPr>
          <w:p>
            <w:pPr>
              <w:jc w:val="center"/>
              <w:spacing w:after="0" w:line="190" w:lineRule="exact"/>
              <w:rPr>
                <w:sz w:val="20"/>
                <w:szCs w:val="20"/>
                <w:color w:val="auto"/>
              </w:rPr>
            </w:pPr>
            <w:r>
              <w:rPr>
                <w:rFonts w:ascii="Arial" w:cs="Arial" w:eastAsia="Arial" w:hAnsi="Arial"/>
                <w:sz w:val="18"/>
                <w:szCs w:val="18"/>
                <w:color w:val="auto"/>
              </w:rPr>
              <w:t>WITH:</w:t>
            </w:r>
          </w:p>
        </w:tc>
        <w:tc>
          <w:tcPr>
            <w:tcW w:w="840" w:type="dxa"/>
            <w:vAlign w:val="bottom"/>
            <w:tcBorders>
              <w:bottom w:val="single" w:sz="8" w:color="auto"/>
            </w:tcBorders>
          </w:tcPr>
          <w:p>
            <w:pPr>
              <w:spacing w:after="0"/>
              <w:rPr>
                <w:sz w:val="17"/>
                <w:szCs w:val="17"/>
                <w:color w:val="auto"/>
              </w:rPr>
            </w:pPr>
          </w:p>
        </w:tc>
        <w:tc>
          <w:tcPr>
            <w:tcW w:w="8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(10)</w:t>
            </w:r>
          </w:p>
        </w:tc>
        <w:tc>
          <w:tcPr>
            <w:tcW w:w="8620" w:type="dxa"/>
            <w:vAlign w:val="bottom"/>
          </w:tcPr>
          <w:p>
            <w:pPr>
              <w:ind w:left="3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1,808,059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 w:lineRule="exact"/>
        <w:rPr>
          <w:sz w:val="20"/>
          <w:szCs w:val="20"/>
          <w:color w:val="auto"/>
        </w:rPr>
      </w:pPr>
    </w:p>
    <w:p>
      <w:pPr>
        <w:ind w:left="1080" w:hanging="107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1,809,261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080" w:hanging="1072"/>
        <w:spacing w:after="0" w:line="207" w:lineRule="exact"/>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1080" w:hanging="107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 w:lineRule="exact"/>
        <w:rPr>
          <w:sz w:val="20"/>
          <w:szCs w:val="20"/>
          <w:color w:val="auto"/>
        </w:rPr>
      </w:pPr>
    </w:p>
    <w:p>
      <w:pPr>
        <w:ind w:left="1080" w:hanging="107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7" w:lineRule="exact"/>
        <w:rPr>
          <w:sz w:val="20"/>
          <w:szCs w:val="20"/>
          <w:color w:val="auto"/>
        </w:rPr>
      </w:pPr>
    </w:p>
    <w:p>
      <w:pPr>
        <w:ind w:left="240" w:right="120" w:hanging="232"/>
        <w:spacing w:after="0" w:line="277" w:lineRule="auto"/>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39,568,376 shares of Common Stock of the Issuer outstanding as of October 31, 2019, as reported in the Issuer’s Form 10-Q filed with the SEC on November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Schedule 13D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No. 465741106</w:t>
      </w:r>
    </w:p>
    <w:p>
      <w:pPr>
        <w:spacing w:after="0" w:line="378" w:lineRule="exact"/>
        <w:rPr>
          <w:sz w:val="20"/>
          <w:szCs w:val="20"/>
          <w:color w:val="auto"/>
        </w:rPr>
      </w:pPr>
    </w:p>
    <w:p>
      <w:pPr>
        <w:ind w:left="1080" w:hanging="98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4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Jeremy Mindich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 w:lineRule="exact"/>
        <w:rPr>
          <w:sz w:val="20"/>
          <w:szCs w:val="20"/>
          <w:color w:val="auto"/>
        </w:rPr>
      </w:pPr>
    </w:p>
    <w:p>
      <w:pPr>
        <w:ind w:left="1080" w:hanging="98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1080"/>
        <w:spacing w:after="0" w:line="207" w:lineRule="exact"/>
        <w:tabs>
          <w:tab w:leader="none" w:pos="188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ind w:left="1080" w:hanging="98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1080" w:hanging="98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080" w:hanging="982"/>
        <w:spacing w:after="0" w:line="207" w:lineRule="exact"/>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1080" w:hanging="98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United States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(7)</w:t>
            </w:r>
          </w:p>
        </w:tc>
        <w:tc>
          <w:tcPr>
            <w:tcW w:w="86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9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840" w:type="dxa"/>
            <w:vAlign w:val="bottom"/>
          </w:tcPr>
          <w:p>
            <w:pPr>
              <w:spacing w:after="0"/>
              <w:rPr>
                <w:sz w:val="24"/>
                <w:szCs w:val="24"/>
                <w:color w:val="auto"/>
              </w:rPr>
            </w:pPr>
          </w:p>
        </w:tc>
        <w:tc>
          <w:tcPr>
            <w:tcW w:w="8620" w:type="dxa"/>
            <w:vAlign w:val="bottom"/>
          </w:tcPr>
          <w:p>
            <w:pPr>
              <w:ind w:left="360"/>
              <w:spacing w:after="0"/>
              <w:rPr>
                <w:sz w:val="20"/>
                <w:szCs w:val="20"/>
                <w:color w:val="auto"/>
              </w:rPr>
            </w:pPr>
            <w:r>
              <w:rPr>
                <w:rFonts w:ascii="Arial" w:cs="Arial" w:eastAsia="Arial" w:hAnsi="Arial"/>
                <w:sz w:val="22"/>
                <w:szCs w:val="22"/>
                <w:color w:val="auto"/>
              </w:rPr>
              <w:t>653</w:t>
            </w:r>
          </w:p>
        </w:tc>
        <w:tc>
          <w:tcPr>
            <w:tcW w:w="0" w:type="dxa"/>
            <w:vAlign w:val="bottom"/>
          </w:tcPr>
          <w:p>
            <w:pPr>
              <w:spacing w:after="0"/>
              <w:rPr>
                <w:sz w:val="1"/>
                <w:szCs w:val="1"/>
                <w:color w:val="auto"/>
              </w:rPr>
            </w:pPr>
          </w:p>
        </w:tc>
      </w:tr>
      <w:tr>
        <w:trPr>
          <w:trHeight w:val="35"/>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840" w:type="dxa"/>
            <w:vAlign w:val="bottom"/>
            <w:tcBorders>
              <w:bottom w:val="single" w:sz="8" w:color="auto"/>
            </w:tcBorders>
          </w:tcPr>
          <w:p>
            <w:pPr>
              <w:spacing w:after="0"/>
              <w:rPr>
                <w:sz w:val="3"/>
                <w:szCs w:val="3"/>
                <w:color w:val="auto"/>
              </w:rPr>
            </w:pPr>
          </w:p>
        </w:tc>
        <w:tc>
          <w:tcPr>
            <w:tcW w:w="8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960" w:type="dxa"/>
            <w:vAlign w:val="bottom"/>
            <w:vMerge w:val="continue"/>
          </w:tcPr>
          <w:p>
            <w:pPr>
              <w:spacing w:after="0"/>
              <w:rPr>
                <w:sz w:val="14"/>
                <w:szCs w:val="14"/>
                <w:color w:val="auto"/>
              </w:rPr>
            </w:pPr>
          </w:p>
        </w:tc>
        <w:tc>
          <w:tcPr>
            <w:tcW w:w="840" w:type="dxa"/>
            <w:vAlign w:val="bottom"/>
          </w:tcPr>
          <w:p>
            <w:pPr>
              <w:jc w:val="right"/>
              <w:ind w:right="270"/>
              <w:spacing w:after="0" w:line="162" w:lineRule="exact"/>
              <w:rPr>
                <w:sz w:val="20"/>
                <w:szCs w:val="20"/>
                <w:color w:val="auto"/>
              </w:rPr>
            </w:pPr>
            <w:r>
              <w:rPr>
                <w:rFonts w:ascii="Arial" w:cs="Arial" w:eastAsia="Arial" w:hAnsi="Arial"/>
                <w:sz w:val="18"/>
                <w:szCs w:val="18"/>
                <w:color w:val="auto"/>
              </w:rPr>
              <w:t>(8)</w:t>
            </w:r>
          </w:p>
        </w:tc>
        <w:tc>
          <w:tcPr>
            <w:tcW w:w="8620" w:type="dxa"/>
            <w:vAlign w:val="bottom"/>
          </w:tcPr>
          <w:p>
            <w:pPr>
              <w:ind w:left="360"/>
              <w:spacing w:after="0" w:line="16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96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84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22"/>
                <w:szCs w:val="22"/>
                <w:color w:val="auto"/>
              </w:rPr>
              <w:t>1,808,059</w:t>
            </w:r>
          </w:p>
        </w:tc>
        <w:tc>
          <w:tcPr>
            <w:tcW w:w="0" w:type="dxa"/>
            <w:vAlign w:val="bottom"/>
          </w:tcPr>
          <w:p>
            <w:pPr>
              <w:spacing w:after="0"/>
              <w:rPr>
                <w:sz w:val="1"/>
                <w:szCs w:val="1"/>
                <w:color w:val="auto"/>
              </w:rPr>
            </w:pPr>
          </w:p>
        </w:tc>
      </w:tr>
      <w:tr>
        <w:trPr>
          <w:trHeight w:val="116"/>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840" w:type="dxa"/>
            <w:vAlign w:val="bottom"/>
            <w:tcBorders>
              <w:bottom w:val="single" w:sz="8" w:color="auto"/>
            </w:tcBorders>
          </w:tcPr>
          <w:p>
            <w:pPr>
              <w:spacing w:after="0"/>
              <w:rPr>
                <w:sz w:val="10"/>
                <w:szCs w:val="10"/>
                <w:color w:val="auto"/>
              </w:rPr>
            </w:pPr>
          </w:p>
        </w:tc>
        <w:tc>
          <w:tcPr>
            <w:tcW w:w="86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960" w:type="dxa"/>
            <w:vAlign w:val="bottom"/>
            <w:vMerge w:val="continue"/>
          </w:tcPr>
          <w:p>
            <w:pPr>
              <w:spacing w:after="0"/>
              <w:rPr>
                <w:sz w:val="6"/>
                <w:szCs w:val="6"/>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(9)</w:t>
            </w:r>
          </w:p>
        </w:tc>
        <w:tc>
          <w:tcPr>
            <w:tcW w:w="8620" w:type="dxa"/>
            <w:vAlign w:val="bottom"/>
            <w:vMerge w:val="restart"/>
          </w:tcPr>
          <w:p>
            <w:pPr>
              <w:ind w:left="3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840" w:type="dxa"/>
            <w:vAlign w:val="bottom"/>
            <w:vMerge w:val="continue"/>
          </w:tcPr>
          <w:p>
            <w:pPr>
              <w:spacing w:after="0"/>
              <w:rPr>
                <w:sz w:val="13"/>
                <w:szCs w:val="13"/>
                <w:color w:val="auto"/>
              </w:rPr>
            </w:pPr>
          </w:p>
        </w:tc>
        <w:tc>
          <w:tcPr>
            <w:tcW w:w="8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9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8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Arial" w:cs="Arial" w:eastAsia="Arial" w:hAnsi="Arial"/>
                <w:sz w:val="22"/>
                <w:szCs w:val="22"/>
                <w:color w:val="auto"/>
              </w:rPr>
              <w:t>653</w:t>
            </w:r>
          </w:p>
        </w:tc>
        <w:tc>
          <w:tcPr>
            <w:tcW w:w="0" w:type="dxa"/>
            <w:vAlign w:val="bottom"/>
          </w:tcPr>
          <w:p>
            <w:pPr>
              <w:spacing w:after="0"/>
              <w:rPr>
                <w:sz w:val="1"/>
                <w:szCs w:val="1"/>
                <w:color w:val="auto"/>
              </w:rPr>
            </w:pPr>
          </w:p>
        </w:tc>
      </w:tr>
      <w:tr>
        <w:trPr>
          <w:trHeight w:val="197"/>
        </w:trPr>
        <w:tc>
          <w:tcPr>
            <w:tcW w:w="1960" w:type="dxa"/>
            <w:vAlign w:val="bottom"/>
          </w:tcPr>
          <w:p>
            <w:pPr>
              <w:jc w:val="center"/>
              <w:spacing w:after="0" w:line="190" w:lineRule="exact"/>
              <w:rPr>
                <w:sz w:val="20"/>
                <w:szCs w:val="20"/>
                <w:color w:val="auto"/>
              </w:rPr>
            </w:pPr>
            <w:r>
              <w:rPr>
                <w:rFonts w:ascii="Arial" w:cs="Arial" w:eastAsia="Arial" w:hAnsi="Arial"/>
                <w:sz w:val="18"/>
                <w:szCs w:val="18"/>
                <w:color w:val="auto"/>
              </w:rPr>
              <w:t>WITH:</w:t>
            </w:r>
          </w:p>
        </w:tc>
        <w:tc>
          <w:tcPr>
            <w:tcW w:w="840" w:type="dxa"/>
            <w:vAlign w:val="bottom"/>
            <w:tcBorders>
              <w:bottom w:val="single" w:sz="8" w:color="auto"/>
            </w:tcBorders>
          </w:tcPr>
          <w:p>
            <w:pPr>
              <w:spacing w:after="0"/>
              <w:rPr>
                <w:sz w:val="17"/>
                <w:szCs w:val="17"/>
                <w:color w:val="auto"/>
              </w:rPr>
            </w:pPr>
          </w:p>
        </w:tc>
        <w:tc>
          <w:tcPr>
            <w:tcW w:w="8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(10)</w:t>
            </w:r>
          </w:p>
        </w:tc>
        <w:tc>
          <w:tcPr>
            <w:tcW w:w="8620" w:type="dxa"/>
            <w:vAlign w:val="bottom"/>
          </w:tcPr>
          <w:p>
            <w:pPr>
              <w:ind w:left="3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1,808,059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 w:lineRule="exact"/>
        <w:rPr>
          <w:sz w:val="20"/>
          <w:szCs w:val="20"/>
          <w:color w:val="auto"/>
        </w:rPr>
      </w:pPr>
    </w:p>
    <w:p>
      <w:pPr>
        <w:ind w:left="1080" w:hanging="107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1,808,712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080" w:hanging="1072"/>
        <w:spacing w:after="0" w:line="207" w:lineRule="exact"/>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1080" w:hanging="107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 w:lineRule="exact"/>
        <w:rPr>
          <w:sz w:val="20"/>
          <w:szCs w:val="20"/>
          <w:color w:val="auto"/>
        </w:rPr>
      </w:pPr>
    </w:p>
    <w:p>
      <w:pPr>
        <w:ind w:left="1080" w:hanging="107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7" w:lineRule="exact"/>
        <w:rPr>
          <w:sz w:val="20"/>
          <w:szCs w:val="20"/>
          <w:color w:val="auto"/>
        </w:rPr>
      </w:pPr>
    </w:p>
    <w:p>
      <w:pPr>
        <w:ind w:left="240" w:right="120" w:hanging="232"/>
        <w:spacing w:after="0" w:line="277" w:lineRule="auto"/>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39,568,376 shares of Common Stock of the Issuer outstanding as of October 31, 2019, as reported in the Issuer’s Form 10-Q filed with the SEC on November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22"/>
          <w:szCs w:val="22"/>
          <w:b w:val="1"/>
          <w:bCs w:val="1"/>
          <w:color w:val="auto"/>
        </w:rPr>
        <w:t>Amendment No. 19 to Schedule 13D</w:t>
      </w:r>
    </w:p>
    <w:p>
      <w:pPr>
        <w:spacing w:after="0" w:line="213" w:lineRule="exact"/>
        <w:rPr>
          <w:sz w:val="20"/>
          <w:szCs w:val="20"/>
          <w:color w:val="auto"/>
        </w:rPr>
      </w:pPr>
    </w:p>
    <w:p>
      <w:pPr>
        <w:ind w:right="820"/>
        <w:spacing w:after="0" w:line="251" w:lineRule="auto"/>
        <w:rPr>
          <w:sz w:val="20"/>
          <w:szCs w:val="20"/>
          <w:color w:val="auto"/>
        </w:rPr>
      </w:pPr>
      <w:r>
        <w:rPr>
          <w:rFonts w:ascii="Arial" w:cs="Arial" w:eastAsia="Arial" w:hAnsi="Arial"/>
          <w:sz w:val="22"/>
          <w:szCs w:val="22"/>
          <w:color w:val="auto"/>
        </w:rPr>
        <w:t>The following constitutes Amendment No. 19 to the Schedule 13D filed by the undersigned (“Amendment No. 19”). This Amendment No. 19 amends the Schedule 13D as specifically set forth herein.</w:t>
      </w:r>
    </w:p>
    <w:p>
      <w:pPr>
        <w:spacing w:after="0" w:line="173" w:lineRule="exact"/>
        <w:rPr>
          <w:sz w:val="20"/>
          <w:szCs w:val="20"/>
          <w:color w:val="auto"/>
        </w:rPr>
      </w:pPr>
    </w:p>
    <w:p>
      <w:pPr>
        <w:ind w:right="360"/>
        <w:spacing w:after="0"/>
        <w:rPr>
          <w:sz w:val="20"/>
          <w:szCs w:val="20"/>
          <w:color w:val="auto"/>
        </w:rPr>
      </w:pPr>
      <w:r>
        <w:rPr>
          <w:rFonts w:ascii="Arial" w:cs="Arial" w:eastAsia="Arial" w:hAnsi="Arial"/>
          <w:sz w:val="22"/>
          <w:szCs w:val="22"/>
          <w:color w:val="auto"/>
        </w:rPr>
        <w:t>All capitalized terms contained herein but not otherwise defined shall have the meanings ascribed to such terms in the Schedule 13D, as amended. Information given in response to each item shall be deemed incorporated by reference in all other items, as applicable.</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3.SOURCE AND AMOUNT OF FUNDS OR OTHER CONSIDERATION</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Item 3 of the Schedule 13D is hereby amended and restated as follows:</w:t>
      </w:r>
    </w:p>
    <w:p>
      <w:pPr>
        <w:spacing w:after="0" w:line="98"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The aggregate purchase price of the shares of common stock, no par value per share, of the Issuer (“Common Stock”) directly held by the Investment Vehicles reported herein was $66,751,405.87. The shares of Common Stock directly held by the Investment Vehicles were purchased with the working capital of the Investment Vehicles (which may, at any given time, include margin loans made by brokerage firms in the ordinary course of business). All shares of Common Stock reported herein were purchased in open market transactions through a broker unless as otherwise previously disclosed in this Schedule 13D, as amended.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4.PURPOSE OF TRANSACTION</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Item 4 of Schedule 13D is supplemented and superseded, as the case may be, as follows:</w:t>
      </w:r>
    </w:p>
    <w:p>
      <w:pPr>
        <w:spacing w:after="0" w:line="98" w:lineRule="exact"/>
        <w:rPr>
          <w:sz w:val="20"/>
          <w:szCs w:val="20"/>
          <w:color w:val="auto"/>
        </w:rPr>
      </w:pPr>
    </w:p>
    <w:p>
      <w:pPr>
        <w:ind w:right="160"/>
        <w:spacing w:after="0" w:line="279" w:lineRule="auto"/>
        <w:rPr>
          <w:sz w:val="20"/>
          <w:szCs w:val="20"/>
          <w:color w:val="auto"/>
        </w:rPr>
      </w:pPr>
      <w:r>
        <w:rPr>
          <w:rFonts w:ascii="Arial" w:cs="Arial" w:eastAsia="Arial" w:hAnsi="Arial"/>
          <w:sz w:val="19"/>
          <w:szCs w:val="19"/>
          <w:color w:val="auto"/>
        </w:rPr>
        <w:t>This Amendment No. 19 is being filed to report dispositions of beneficial ownership of shares of Common Stock in an amount equal to one percent or more of the Issuer’s outstanding Common Stock since the Reporting Persons’ previous Schedule 13D amendment. The disclosure in Item 5(c) below regarding transactions in the Issuer’s Common Stock effected during the previous 60 days is incorporated by reference herein. Consistent with their investment purpose, the Reporting Persons may make, or cause, further dispositions of Common Stock from time to time and may acquire, or cause to be acquired, additional shares of Common Stock, in each case depending on market conditions and other factors.</w:t>
      </w:r>
    </w:p>
    <w:p>
      <w:pPr>
        <w:spacing w:after="0" w:line="151"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The Reporting Persons intend to review their investment in the Issuer on a continuing basis and may from time to time and at any time in the future depending on various factors, including, without limitation, the outcome of any discussions with directors and officers of the Issuer, the Issuer’s financial position and strategic direction, actions taken by the Board, price levels of the Issuer’s securities, other investment opportunities available to the Reporting Persons, conditions in the securities market and general economic and industry conditions, take such actions with respect to the investment in the Issuer as they deem appropriate. These actions may include: (i) acquiring additional shares of Common Stock and/or other equity, debt, notes, other securities, or derivative or other instruments that are based upon or relate to the value of securities of the Issuer (collectively, “Securities”) in the open market or otherwise; (ii) disposing of any or all of their Securities in the open market or otherwise; (iii) engaging in any hedging or similar transactions with respect to the Securities; or (iv) proposing or considering one or more of the actions described in subsections (a) through (j) of Item 4 of Schedule 13D.</w:t>
      </w:r>
    </w:p>
    <w:p>
      <w:pPr>
        <w:spacing w:after="0" w:line="162" w:lineRule="exact"/>
        <w:rPr>
          <w:sz w:val="20"/>
          <w:szCs w:val="20"/>
          <w:color w:val="auto"/>
        </w:rPr>
      </w:pPr>
    </w:p>
    <w:p>
      <w:pPr>
        <w:ind w:right="60"/>
        <w:spacing w:after="0"/>
        <w:rPr>
          <w:sz w:val="20"/>
          <w:szCs w:val="20"/>
          <w:color w:val="auto"/>
        </w:rPr>
      </w:pPr>
      <w:r>
        <w:rPr>
          <w:rFonts w:ascii="Arial" w:cs="Arial" w:eastAsia="Arial" w:hAnsi="Arial"/>
          <w:sz w:val="22"/>
          <w:szCs w:val="22"/>
          <w:color w:val="auto"/>
        </w:rPr>
        <w:t>Except as set forth herein or previously disclosed in the Schedule 13D, the Reporting Persons do not have present plans or proposals at this time that relate to or would result in any of the transactions described in subparagraphs (a) through (j) of Item 4 of Schedule 13D.</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5.INTEREST IN SECURITIES OF THE ISSUER</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Item 5 of the Schedule 13D is hereby amended and restated as follows:</w:t>
      </w:r>
    </w:p>
    <w:p>
      <w:pPr>
        <w:spacing w:after="0" w:line="98" w:lineRule="exact"/>
        <w:rPr>
          <w:sz w:val="20"/>
          <w:szCs w:val="20"/>
          <w:color w:val="auto"/>
        </w:rPr>
      </w:pPr>
    </w:p>
    <w:p>
      <w:pPr>
        <w:jc w:val="both"/>
        <w:ind w:right="240" w:firstLine="8"/>
        <w:spacing w:after="0"/>
        <w:tabs>
          <w:tab w:leader="none" w:pos="294" w:val="left"/>
        </w:tabs>
        <w:numPr>
          <w:ilvl w:val="0"/>
          <w:numId w:val="34"/>
        </w:numPr>
        <w:rPr>
          <w:rFonts w:ascii="Arial" w:cs="Arial" w:eastAsia="Arial" w:hAnsi="Arial"/>
          <w:sz w:val="22"/>
          <w:szCs w:val="22"/>
          <w:color w:val="auto"/>
        </w:rPr>
      </w:pPr>
      <w:r>
        <w:rPr>
          <w:rFonts w:ascii="Arial" w:cs="Arial" w:eastAsia="Arial" w:hAnsi="Arial"/>
          <w:sz w:val="22"/>
          <w:szCs w:val="22"/>
          <w:color w:val="auto"/>
        </w:rPr>
        <w:t>and (b) Items 7 through 11 and 13 of each of the cover pages of this Schedule 13D are incorporated herein by reference. Such information is based on 39,568,376 shares of Common Stock of the Issuer outstanding as of October 31, 2019, as reported in the Issuer’s Form 10-Q filed with SEC on November 5, 2019.</w:t>
      </w:r>
    </w:p>
    <w:p>
      <w:pPr>
        <w:spacing w:after="0" w:line="78"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The Investment Vehicles have delegated to Scopia Capital sole voting and investment power over the securities held by the Investment Vehicles pursuant to their respective Investment Management Agreements with Scopia Capital. As a result, each of Scopia Capital, Scopia Management, as the general partner of Scopia Capital, and Messrs. Sirovich and Mindich, as Managing Directors of Scopia Management, may be deemed to exercise voting and investment power over the shares of Common Stock directly held by the Investment Vehicles. The Investment Vehicles specifically disclaim beneficial ownership of the securities of the Issuer directly held by them by virtue of their inability to vote or dispose of such securities as a result of their respective Investment Management Agreements with Scopia Capital.</w:t>
      </w:r>
    </w:p>
    <w:p>
      <w:pPr>
        <w:spacing w:after="0" w:line="178" w:lineRule="exact"/>
        <w:rPr>
          <w:sz w:val="20"/>
          <w:szCs w:val="20"/>
          <w:color w:val="auto"/>
        </w:rPr>
      </w:pPr>
    </w:p>
    <w:p>
      <w:pPr>
        <w:jc w:val="both"/>
        <w:ind w:right="300" w:firstLine="8"/>
        <w:spacing w:after="0"/>
        <w:tabs>
          <w:tab w:leader="none" w:pos="294" w:val="left"/>
        </w:tabs>
        <w:numPr>
          <w:ilvl w:val="0"/>
          <w:numId w:val="35"/>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attached hereto, there have been no transactions in shares of Common Stock during the 60 days prior to the date hereof by any of the Reporting Persons. The information set forth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is incorporated herein by reference.</w:t>
      </w:r>
    </w:p>
    <w:p>
      <w:pPr>
        <w:spacing w:after="0" w:line="186" w:lineRule="exact"/>
        <w:rPr>
          <w:rFonts w:ascii="Arial" w:cs="Arial" w:eastAsia="Arial" w:hAnsi="Arial"/>
          <w:sz w:val="22"/>
          <w:szCs w:val="22"/>
          <w:color w:val="auto"/>
        </w:rPr>
      </w:pPr>
    </w:p>
    <w:p>
      <w:pPr>
        <w:ind w:right="20" w:firstLine="8"/>
        <w:spacing w:after="0" w:line="248" w:lineRule="auto"/>
        <w:tabs>
          <w:tab w:leader="none" w:pos="306" w:val="left"/>
        </w:tabs>
        <w:numPr>
          <w:ilvl w:val="0"/>
          <w:numId w:val="35"/>
        </w:numPr>
        <w:rPr>
          <w:rFonts w:ascii="Arial" w:cs="Arial" w:eastAsia="Arial" w:hAnsi="Arial"/>
          <w:sz w:val="21"/>
          <w:szCs w:val="21"/>
          <w:color w:val="auto"/>
        </w:rPr>
      </w:pPr>
      <w:r>
        <w:rPr>
          <w:rFonts w:ascii="Arial" w:cs="Arial" w:eastAsia="Arial" w:hAnsi="Arial"/>
          <w:sz w:val="21"/>
          <w:szCs w:val="21"/>
          <w:color w:val="auto"/>
        </w:rPr>
        <w:t>Except as otherwise disclosed, all securities reported in this Schedule 13D are directly held by the Investment Vehicles, all of which are investment management clients of Scopia Capital. None of the Investment Vehicles individually directly holds more than 5% of the Issuer’s outstanding shares of Common Stock. The limited partners of (or investors in) each of the Investment Vehicles have the right to participate in the receipt of dividends from, or proceeds from the sale of, the shares of Common Stock held for the accounts of their respective Investment Vehicles in accordance with their respective limited partnership interests (or investment percentages) in their respective Investment Vehicles.</w:t>
      </w:r>
    </w:p>
    <w:p>
      <w:pPr>
        <w:sectPr>
          <w:pgSz w:w="11900" w:h="16838" w:orient="portrait"/>
          <w:cols w:equalWidth="0" w:num="1">
            <w:col w:w="11400"/>
          </w:cols>
          <w:pgMar w:left="240" w:top="111" w:right="259" w:bottom="0" w:gutter="0" w:footer="0" w:header="0"/>
        </w:sectPr>
      </w:pPr>
    </w:p>
    <w:bookmarkStart w:id="7" w:name="page8"/>
    <w:bookmarkEnd w:id="7"/>
    <w:p>
      <w:pPr>
        <w:ind w:left="-8" w:firstLine="8"/>
        <w:spacing w:after="0" w:line="251" w:lineRule="auto"/>
        <w:tabs>
          <w:tab w:leader="none" w:pos="286"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Reporting Persons ceased to be the beneficial owners of more than five percent of the Issuer’s outstanding Common Stock on September 20,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544195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72"/>
          </w:cols>
          <w:pgMar w:left="248" w:top="118" w:right="37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After reasonable inquiry and to the best of my knowledge and belief, each of the undersigned certifies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 as of January 7, 2020</w:t>
      </w: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SCOPIA CAPITAL MANAGEMENT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ind w:left="5720"/>
              <w:spacing w:after="0"/>
              <w:rPr>
                <w:sz w:val="20"/>
                <w:szCs w:val="20"/>
                <w:color w:val="auto"/>
              </w:rPr>
            </w:pPr>
            <w:r>
              <w:rPr>
                <w:rFonts w:ascii="Arial" w:cs="Arial" w:eastAsia="Arial" w:hAnsi="Arial"/>
                <w:sz w:val="18"/>
                <w:szCs w:val="18"/>
                <w:color w:val="auto"/>
              </w:rPr>
              <w:t>By:</w:t>
            </w:r>
          </w:p>
        </w:tc>
        <w:tc>
          <w:tcPr>
            <w:tcW w:w="4860" w:type="dxa"/>
            <w:vAlign w:val="bottom"/>
            <w:gridSpan w:val="3"/>
          </w:tcPr>
          <w:p>
            <w:pPr>
              <w:spacing w:after="0"/>
              <w:rPr>
                <w:sz w:val="20"/>
                <w:szCs w:val="20"/>
                <w:color w:val="auto"/>
              </w:rPr>
            </w:pPr>
            <w:r>
              <w:rPr>
                <w:rFonts w:ascii="Arial" w:cs="Arial" w:eastAsia="Arial" w:hAnsi="Arial"/>
                <w:sz w:val="18"/>
                <w:szCs w:val="18"/>
                <w:color w:val="auto"/>
              </w:rPr>
              <w:t>Scopia Management, Inc., its general partner</w:t>
            </w:r>
          </w:p>
        </w:tc>
      </w:tr>
      <w:tr>
        <w:trPr>
          <w:trHeight w:val="392"/>
        </w:trPr>
        <w:tc>
          <w:tcPr>
            <w:tcW w:w="6560" w:type="dxa"/>
            <w:vAlign w:val="bottom"/>
          </w:tcPr>
          <w:p>
            <w:pPr>
              <w:ind w:left="5720"/>
              <w:spacing w:after="0"/>
              <w:rPr>
                <w:sz w:val="20"/>
                <w:szCs w:val="20"/>
                <w:color w:val="auto"/>
              </w:rPr>
            </w:pPr>
            <w:r>
              <w:rPr>
                <w:rFonts w:ascii="Arial" w:cs="Arial" w:eastAsia="Arial" w:hAnsi="Arial"/>
                <w:sz w:val="18"/>
                <w:szCs w:val="18"/>
                <w:color w:val="auto"/>
              </w:rPr>
              <w:t>By:</w:t>
            </w:r>
          </w:p>
        </w:tc>
        <w:tc>
          <w:tcPr>
            <w:tcW w:w="4860" w:type="dxa"/>
            <w:vAlign w:val="bottom"/>
            <w:gridSpan w:val="3"/>
          </w:tcPr>
          <w:p>
            <w:pPr>
              <w:spacing w:after="0"/>
              <w:rPr>
                <w:sz w:val="20"/>
                <w:szCs w:val="20"/>
                <w:color w:val="auto"/>
              </w:rPr>
            </w:pPr>
            <w:r>
              <w:rPr>
                <w:rFonts w:ascii="Arial" w:cs="Arial" w:eastAsia="Arial" w:hAnsi="Arial"/>
                <w:sz w:val="18"/>
                <w:szCs w:val="18"/>
                <w:color w:val="auto"/>
              </w:rPr>
              <w:t>/s/ Matthew Sirovich</w:t>
            </w:r>
          </w:p>
        </w:tc>
      </w:tr>
      <w:tr>
        <w:trPr>
          <w:trHeight w:val="222"/>
        </w:trPr>
        <w:tc>
          <w:tcPr>
            <w:tcW w:w="6560" w:type="dxa"/>
            <w:vAlign w:val="bottom"/>
          </w:tcPr>
          <w:p>
            <w:pPr>
              <w:ind w:left="5720"/>
              <w:spacing w:after="0"/>
              <w:rPr>
                <w:sz w:val="20"/>
                <w:szCs w:val="20"/>
                <w:color w:val="auto"/>
              </w:rPr>
            </w:pPr>
            <w:r>
              <w:rPr>
                <w:rFonts w:ascii="Arial" w:cs="Arial" w:eastAsia="Arial" w:hAnsi="Arial"/>
                <w:sz w:val="18"/>
                <w:szCs w:val="18"/>
                <w:color w:val="auto"/>
              </w:rPr>
              <w:t>Name:</w:t>
            </w:r>
          </w:p>
        </w:tc>
        <w:tc>
          <w:tcPr>
            <w:tcW w:w="1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Matthew Sirovich</w:t>
            </w:r>
          </w:p>
        </w:tc>
        <w:tc>
          <w:tcPr>
            <w:tcW w:w="3360" w:type="dxa"/>
            <w:vAlign w:val="bottom"/>
          </w:tcPr>
          <w:p>
            <w:pPr>
              <w:spacing w:after="0"/>
              <w:rPr>
                <w:sz w:val="19"/>
                <w:szCs w:val="19"/>
                <w:color w:val="auto"/>
              </w:rPr>
            </w:pPr>
          </w:p>
        </w:tc>
      </w:tr>
      <w:tr>
        <w:trPr>
          <w:trHeight w:val="230"/>
        </w:trPr>
        <w:tc>
          <w:tcPr>
            <w:tcW w:w="6560" w:type="dxa"/>
            <w:vAlign w:val="bottom"/>
          </w:tcPr>
          <w:p>
            <w:pPr>
              <w:ind w:left="5720"/>
              <w:spacing w:after="0"/>
              <w:rPr>
                <w:sz w:val="20"/>
                <w:szCs w:val="20"/>
                <w:color w:val="auto"/>
              </w:rPr>
            </w:pPr>
            <w:r>
              <w:rPr>
                <w:rFonts w:ascii="Arial" w:cs="Arial" w:eastAsia="Arial" w:hAnsi="Arial"/>
                <w:sz w:val="18"/>
                <w:szCs w:val="18"/>
                <w:color w:val="auto"/>
              </w:rPr>
              <w:t>Title:</w:t>
            </w:r>
          </w:p>
        </w:tc>
        <w:tc>
          <w:tcPr>
            <w:tcW w:w="4860" w:type="dxa"/>
            <w:vAlign w:val="bottom"/>
            <w:gridSpan w:val="3"/>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11420" w:type="dxa"/>
            <w:vAlign w:val="bottom"/>
            <w:gridSpan w:val="4"/>
          </w:tcPr>
          <w:p>
            <w:pPr>
              <w:ind w:left="5720"/>
              <w:spacing w:after="0"/>
              <w:rPr>
                <w:sz w:val="20"/>
                <w:szCs w:val="20"/>
                <w:color w:val="auto"/>
              </w:rPr>
            </w:pPr>
            <w:r>
              <w:rPr>
                <w:rFonts w:ascii="Arial" w:cs="Arial" w:eastAsia="Arial" w:hAnsi="Arial"/>
                <w:sz w:val="18"/>
                <w:szCs w:val="18"/>
                <w:b w:val="1"/>
                <w:bCs w:val="1"/>
                <w:color w:val="auto"/>
              </w:rPr>
              <w:t>SCOPIA MANAGEMENT, INC.</w:t>
            </w:r>
          </w:p>
        </w:tc>
      </w:tr>
      <w:tr>
        <w:trPr>
          <w:trHeight w:val="392"/>
        </w:trPr>
        <w:tc>
          <w:tcPr>
            <w:tcW w:w="6560" w:type="dxa"/>
            <w:vAlign w:val="bottom"/>
          </w:tcPr>
          <w:p>
            <w:pPr>
              <w:ind w:left="5720"/>
              <w:spacing w:after="0"/>
              <w:rPr>
                <w:sz w:val="20"/>
                <w:szCs w:val="20"/>
                <w:color w:val="auto"/>
              </w:rPr>
            </w:pPr>
            <w:r>
              <w:rPr>
                <w:rFonts w:ascii="Arial" w:cs="Arial" w:eastAsia="Arial" w:hAnsi="Arial"/>
                <w:sz w:val="18"/>
                <w:szCs w:val="18"/>
                <w:color w:val="auto"/>
              </w:rPr>
              <w:t>By:</w:t>
            </w:r>
          </w:p>
        </w:tc>
        <w:tc>
          <w:tcPr>
            <w:tcW w:w="4860" w:type="dxa"/>
            <w:vAlign w:val="bottom"/>
            <w:gridSpan w:val="3"/>
          </w:tcPr>
          <w:p>
            <w:pPr>
              <w:spacing w:after="0"/>
              <w:rPr>
                <w:sz w:val="20"/>
                <w:szCs w:val="20"/>
                <w:color w:val="auto"/>
              </w:rPr>
            </w:pPr>
            <w:r>
              <w:rPr>
                <w:rFonts w:ascii="Arial" w:cs="Arial" w:eastAsia="Arial" w:hAnsi="Arial"/>
                <w:sz w:val="18"/>
                <w:szCs w:val="18"/>
                <w:color w:val="auto"/>
              </w:rPr>
              <w:t>/s/ Matthew Sirovich</w:t>
            </w:r>
          </w:p>
        </w:tc>
      </w:tr>
      <w:tr>
        <w:trPr>
          <w:trHeight w:val="222"/>
        </w:trPr>
        <w:tc>
          <w:tcPr>
            <w:tcW w:w="6560" w:type="dxa"/>
            <w:vAlign w:val="bottom"/>
          </w:tcPr>
          <w:p>
            <w:pPr>
              <w:ind w:left="5720"/>
              <w:spacing w:after="0"/>
              <w:rPr>
                <w:sz w:val="20"/>
                <w:szCs w:val="20"/>
                <w:color w:val="auto"/>
              </w:rPr>
            </w:pPr>
            <w:r>
              <w:rPr>
                <w:rFonts w:ascii="Arial" w:cs="Arial" w:eastAsia="Arial" w:hAnsi="Arial"/>
                <w:sz w:val="18"/>
                <w:szCs w:val="18"/>
                <w:color w:val="auto"/>
              </w:rPr>
              <w:t>Name:</w:t>
            </w:r>
          </w:p>
        </w:tc>
        <w:tc>
          <w:tcPr>
            <w:tcW w:w="1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Matthew Sirovich</w:t>
            </w:r>
          </w:p>
        </w:tc>
        <w:tc>
          <w:tcPr>
            <w:tcW w:w="3360" w:type="dxa"/>
            <w:vAlign w:val="bottom"/>
          </w:tcPr>
          <w:p>
            <w:pPr>
              <w:spacing w:after="0"/>
              <w:rPr>
                <w:sz w:val="19"/>
                <w:szCs w:val="19"/>
                <w:color w:val="auto"/>
              </w:rPr>
            </w:pPr>
          </w:p>
        </w:tc>
      </w:tr>
      <w:tr>
        <w:trPr>
          <w:trHeight w:val="230"/>
        </w:trPr>
        <w:tc>
          <w:tcPr>
            <w:tcW w:w="6560" w:type="dxa"/>
            <w:vAlign w:val="bottom"/>
          </w:tcPr>
          <w:p>
            <w:pPr>
              <w:ind w:left="5720"/>
              <w:spacing w:after="0"/>
              <w:rPr>
                <w:sz w:val="20"/>
                <w:szCs w:val="20"/>
                <w:color w:val="auto"/>
              </w:rPr>
            </w:pPr>
            <w:r>
              <w:rPr>
                <w:rFonts w:ascii="Arial" w:cs="Arial" w:eastAsia="Arial" w:hAnsi="Arial"/>
                <w:sz w:val="18"/>
                <w:szCs w:val="18"/>
                <w:color w:val="auto"/>
              </w:rPr>
              <w:t>Title:</w:t>
            </w:r>
          </w:p>
        </w:tc>
        <w:tc>
          <w:tcPr>
            <w:tcW w:w="4860" w:type="dxa"/>
            <w:vAlign w:val="bottom"/>
            <w:gridSpan w:val="3"/>
          </w:tcPr>
          <w:p>
            <w:pPr>
              <w:spacing w:after="0"/>
              <w:rPr>
                <w:sz w:val="20"/>
                <w:szCs w:val="20"/>
                <w:color w:val="auto"/>
              </w:rPr>
            </w:pPr>
            <w:r>
              <w:rPr>
                <w:rFonts w:ascii="Arial" w:cs="Arial" w:eastAsia="Arial" w:hAnsi="Arial"/>
                <w:sz w:val="18"/>
                <w:szCs w:val="18"/>
                <w:color w:val="auto"/>
              </w:rPr>
              <w:t>Managing Director</w:t>
            </w:r>
          </w:p>
        </w:tc>
      </w:tr>
      <w:tr>
        <w:trPr>
          <w:trHeight w:val="392"/>
        </w:trPr>
        <w:tc>
          <w:tcPr>
            <w:tcW w:w="6560" w:type="dxa"/>
            <w:vAlign w:val="bottom"/>
          </w:tcPr>
          <w:p>
            <w:pPr>
              <w:ind w:left="5720"/>
              <w:spacing w:after="0"/>
              <w:rPr>
                <w:sz w:val="20"/>
                <w:szCs w:val="20"/>
                <w:color w:val="auto"/>
              </w:rPr>
            </w:pPr>
            <w:r>
              <w:rPr>
                <w:rFonts w:ascii="Arial" w:cs="Arial" w:eastAsia="Arial" w:hAnsi="Arial"/>
                <w:sz w:val="18"/>
                <w:szCs w:val="18"/>
                <w:color w:val="auto"/>
              </w:rPr>
              <w:t>By:</w:t>
            </w:r>
          </w:p>
        </w:tc>
        <w:tc>
          <w:tcPr>
            <w:tcW w:w="4860" w:type="dxa"/>
            <w:vAlign w:val="bottom"/>
            <w:gridSpan w:val="3"/>
          </w:tcPr>
          <w:p>
            <w:pPr>
              <w:spacing w:after="0"/>
              <w:rPr>
                <w:sz w:val="20"/>
                <w:szCs w:val="20"/>
                <w:color w:val="auto"/>
              </w:rPr>
            </w:pPr>
            <w:r>
              <w:rPr>
                <w:rFonts w:ascii="Arial" w:cs="Arial" w:eastAsia="Arial" w:hAnsi="Arial"/>
                <w:sz w:val="18"/>
                <w:szCs w:val="18"/>
                <w:color w:val="auto"/>
              </w:rPr>
              <w:t>/s/ Matthew Sirovich</w:t>
            </w:r>
          </w:p>
        </w:tc>
      </w:tr>
      <w:tr>
        <w:trPr>
          <w:trHeight w:val="412"/>
        </w:trPr>
        <w:tc>
          <w:tcPr>
            <w:tcW w:w="6560" w:type="dxa"/>
            <w:vAlign w:val="bottom"/>
          </w:tcPr>
          <w:p>
            <w:pPr>
              <w:ind w:left="5720"/>
              <w:spacing w:after="0"/>
              <w:rPr>
                <w:sz w:val="20"/>
                <w:szCs w:val="20"/>
                <w:color w:val="auto"/>
              </w:rPr>
            </w:pPr>
            <w:r>
              <w:rPr>
                <w:rFonts w:ascii="Arial" w:cs="Arial" w:eastAsia="Arial" w:hAnsi="Arial"/>
                <w:sz w:val="18"/>
                <w:szCs w:val="18"/>
                <w:color w:val="auto"/>
              </w:rPr>
              <w:t>By:</w:t>
            </w:r>
          </w:p>
        </w:tc>
        <w:tc>
          <w:tcPr>
            <w:tcW w:w="1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/s/ Jeremy Mindich</w:t>
            </w:r>
          </w:p>
        </w:tc>
        <w:tc>
          <w:tcPr>
            <w:tcW w:w="3360" w:type="dxa"/>
            <w:vAlign w:val="bottom"/>
          </w:tcPr>
          <w:p>
            <w:pPr>
              <w:spacing w:after="0"/>
              <w:rPr>
                <w:sz w:val="24"/>
                <w:szCs w:val="24"/>
                <w:color w:val="auto"/>
              </w:rPr>
            </w:pPr>
          </w:p>
        </w:tc>
      </w:tr>
      <w:tr>
        <w:trPr>
          <w:trHeight w:val="446"/>
        </w:trPr>
        <w:tc>
          <w:tcPr>
            <w:tcW w:w="6560" w:type="dxa"/>
            <w:vAlign w:val="bottom"/>
            <w:tcBorders>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1" w:right="239" w:bottom="1440" w:gutter="0" w:footer="0" w:header="0"/>
        </w:sectPr>
      </w:pPr>
    </w:p>
    <w:bookmarkStart w:id="9" w:name="page10"/>
    <w:bookmarkEnd w:id="9"/>
    <w:p>
      <w:pPr>
        <w:ind w:left="5040"/>
        <w:spacing w:after="0"/>
        <w:rPr>
          <w:sz w:val="20"/>
          <w:szCs w:val="20"/>
          <w:color w:val="auto"/>
        </w:rPr>
      </w:pPr>
      <w:r>
        <w:rPr>
          <w:rFonts w:ascii="Arial" w:cs="Arial" w:eastAsia="Arial" w:hAnsi="Arial"/>
          <w:sz w:val="22"/>
          <w:szCs w:val="22"/>
          <w:b w:val="1"/>
          <w:bCs w:val="1"/>
          <w:color w:val="auto"/>
        </w:rPr>
        <w:t>SCHEDULE A</w:t>
      </w:r>
    </w:p>
    <w:p>
      <w:pPr>
        <w:spacing w:after="0" w:line="207"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TRANSACTIONS</w:t>
      </w:r>
    </w:p>
    <w:p>
      <w:pPr>
        <w:spacing w:after="0" w:line="212"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The following table sets forth all transactions by the Reporting Persons (on behalf of the Investment Vehicles) with respect to shares of Common Stock effected in the last 60 days, inclusive of any transactions effected through 4:00 p.m., New York City time, on January 6, 2020. Except as otherwise noted below, all such transactions were sales of Common Stock effected in the open market, and the table excludes commissions paid in per share prices.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Scopia Capital Management LP</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6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7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0"/>
              </w:rPr>
              <w:t>Shares of Common</w:t>
            </w:r>
          </w:p>
        </w:tc>
        <w:tc>
          <w:tcPr>
            <w:tcW w:w="42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vMerge w:val="restart"/>
          </w:tcPr>
          <w:p>
            <w:pPr>
              <w:jc w:val="right"/>
              <w:ind w:right="435"/>
              <w:spacing w:after="0"/>
              <w:rPr>
                <w:sz w:val="20"/>
                <w:szCs w:val="20"/>
                <w:color w:val="auto"/>
              </w:rPr>
            </w:pPr>
            <w:r>
              <w:rPr>
                <w:rFonts w:ascii="Arial" w:cs="Arial" w:eastAsia="Arial" w:hAnsi="Arial"/>
                <w:sz w:val="14"/>
                <w:szCs w:val="14"/>
                <w:b w:val="1"/>
                <w:bCs w:val="1"/>
                <w:color w:val="auto"/>
              </w:rPr>
              <w:t>Price Per</w:t>
            </w:r>
          </w:p>
        </w:tc>
        <w:tc>
          <w:tcPr>
            <w:tcW w:w="440" w:type="dxa"/>
            <w:vAlign w:val="bottom"/>
            <w:tcBorders>
              <w:top w:val="single" w:sz="8" w:color="auto"/>
            </w:tcBorders>
          </w:tcPr>
          <w:p>
            <w:pPr>
              <w:spacing w:after="0"/>
              <w:rPr>
                <w:sz w:val="11"/>
                <w:szCs w:val="11"/>
                <w:color w:val="auto"/>
              </w:rPr>
            </w:pPr>
          </w:p>
        </w:tc>
        <w:tc>
          <w:tcPr>
            <w:tcW w:w="21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0" w:type="dxa"/>
            <w:vAlign w:val="bottom"/>
          </w:tcPr>
          <w:p>
            <w:pPr>
              <w:spacing w:after="0"/>
              <w:rPr>
                <w:sz w:val="1"/>
                <w:szCs w:val="1"/>
                <w:color w:val="auto"/>
              </w:rPr>
            </w:pPr>
          </w:p>
        </w:tc>
      </w:tr>
      <w:tr>
        <w:trPr>
          <w:trHeight w:val="149"/>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Nature of Transaction</w:t>
            </w:r>
          </w:p>
        </w:tc>
        <w:tc>
          <w:tcPr>
            <w:tcW w:w="360" w:type="dxa"/>
            <w:vAlign w:val="bottom"/>
          </w:tcPr>
          <w:p>
            <w:pPr>
              <w:spacing w:after="0"/>
              <w:rPr>
                <w:sz w:val="12"/>
                <w:szCs w:val="12"/>
                <w:color w:val="auto"/>
              </w:rPr>
            </w:pPr>
          </w:p>
        </w:tc>
        <w:tc>
          <w:tcPr>
            <w:tcW w:w="2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4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60" w:type="dxa"/>
            <w:vAlign w:val="bottom"/>
            <w:tcBorders>
              <w:bottom w:val="single" w:sz="8" w:color="auto"/>
            </w:tcBorders>
            <w:vMerge w:val="continue"/>
          </w:tcPr>
          <w:p>
            <w:pPr>
              <w:spacing w:after="0"/>
              <w:rPr>
                <w:sz w:val="15"/>
                <w:szCs w:val="15"/>
                <w:color w:val="auto"/>
              </w:rPr>
            </w:pPr>
          </w:p>
        </w:tc>
        <w:tc>
          <w:tcPr>
            <w:tcW w:w="360" w:type="dxa"/>
            <w:vAlign w:val="bottom"/>
          </w:tcPr>
          <w:p>
            <w:pPr>
              <w:spacing w:after="0"/>
              <w:rPr>
                <w:sz w:val="15"/>
                <w:szCs w:val="15"/>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Purchased/(Sold)</w:t>
            </w:r>
          </w:p>
        </w:tc>
        <w:tc>
          <w:tcPr>
            <w:tcW w:w="420" w:type="dxa"/>
            <w:vAlign w:val="bottom"/>
          </w:tcPr>
          <w:p>
            <w:pPr>
              <w:spacing w:after="0"/>
              <w:rPr>
                <w:sz w:val="15"/>
                <w:szCs w:val="15"/>
                <w:color w:val="auto"/>
              </w:rPr>
            </w:pPr>
          </w:p>
        </w:tc>
        <w:tc>
          <w:tcPr>
            <w:tcW w:w="16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Share ($)</w:t>
            </w:r>
          </w:p>
        </w:tc>
        <w:tc>
          <w:tcPr>
            <w:tcW w:w="44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Purchase / Sale</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(12,543)</w:t>
            </w: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87"/>
              </w:rPr>
              <w:t>$79.1749</w:t>
            </w:r>
          </w:p>
        </w:tc>
        <w:tc>
          <w:tcPr>
            <w:tcW w:w="44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11/7/2019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(648)</w:t>
            </w:r>
          </w:p>
        </w:tc>
        <w:tc>
          <w:tcPr>
            <w:tcW w:w="2040" w:type="dxa"/>
            <w:vAlign w:val="bottom"/>
            <w:gridSpan w:val="2"/>
            <w:shd w:val="clear" w:color="auto" w:fill="CCEEFF"/>
          </w:tcPr>
          <w:p>
            <w:pPr>
              <w:jc w:val="right"/>
              <w:ind w:right="855"/>
              <w:spacing w:after="0"/>
              <w:rPr>
                <w:sz w:val="20"/>
                <w:szCs w:val="20"/>
                <w:color w:val="auto"/>
              </w:rPr>
            </w:pPr>
            <w:r>
              <w:rPr>
                <w:rFonts w:ascii="Arial" w:cs="Arial" w:eastAsia="Arial" w:hAnsi="Arial"/>
                <w:sz w:val="18"/>
                <w:szCs w:val="18"/>
                <w:color w:val="auto"/>
              </w:rPr>
              <w:t>$79.0192</w:t>
            </w:r>
          </w:p>
        </w:tc>
        <w:tc>
          <w:tcPr>
            <w:tcW w:w="26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11/8/2019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(24,809)</w:t>
            </w:r>
          </w:p>
        </w:tc>
        <w:tc>
          <w:tcPr>
            <w:tcW w:w="2040" w:type="dxa"/>
            <w:vAlign w:val="bottom"/>
            <w:gridSpan w:val="2"/>
            <w:shd w:val="clear" w:color="auto" w:fill="CCEEFF"/>
          </w:tcPr>
          <w:p>
            <w:pPr>
              <w:jc w:val="right"/>
              <w:ind w:right="855"/>
              <w:spacing w:after="0"/>
              <w:rPr>
                <w:sz w:val="20"/>
                <w:szCs w:val="20"/>
                <w:color w:val="auto"/>
              </w:rPr>
            </w:pPr>
            <w:r>
              <w:rPr>
                <w:rFonts w:ascii="Arial" w:cs="Arial" w:eastAsia="Arial" w:hAnsi="Arial"/>
                <w:sz w:val="18"/>
                <w:szCs w:val="18"/>
                <w:color w:val="auto"/>
              </w:rPr>
              <w:t>$76.6891</w:t>
            </w:r>
          </w:p>
        </w:tc>
        <w:tc>
          <w:tcPr>
            <w:tcW w:w="26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8"/>
              </w:rPr>
              <w:t>11/13/2019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(600)</w:t>
            </w:r>
          </w:p>
        </w:tc>
        <w:tc>
          <w:tcPr>
            <w:tcW w:w="2040" w:type="dxa"/>
            <w:vAlign w:val="bottom"/>
            <w:gridSpan w:val="2"/>
            <w:shd w:val="clear" w:color="auto" w:fill="CCEEFF"/>
          </w:tcPr>
          <w:p>
            <w:pPr>
              <w:jc w:val="right"/>
              <w:ind w:right="855"/>
              <w:spacing w:after="0"/>
              <w:rPr>
                <w:sz w:val="20"/>
                <w:szCs w:val="20"/>
                <w:color w:val="auto"/>
              </w:rPr>
            </w:pPr>
            <w:r>
              <w:rPr>
                <w:rFonts w:ascii="Arial" w:cs="Arial" w:eastAsia="Arial" w:hAnsi="Arial"/>
                <w:sz w:val="18"/>
                <w:szCs w:val="18"/>
                <w:color w:val="auto"/>
              </w:rPr>
              <w:t>$76.5233</w:t>
            </w:r>
          </w:p>
        </w:tc>
        <w:tc>
          <w:tcPr>
            <w:tcW w:w="26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8"/>
              </w:rPr>
              <w:t>11/14/2019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(19,273)</w:t>
            </w:r>
          </w:p>
        </w:tc>
        <w:tc>
          <w:tcPr>
            <w:tcW w:w="2040" w:type="dxa"/>
            <w:vAlign w:val="bottom"/>
            <w:gridSpan w:val="2"/>
            <w:shd w:val="clear" w:color="auto" w:fill="CCEEFF"/>
          </w:tcPr>
          <w:p>
            <w:pPr>
              <w:jc w:val="right"/>
              <w:ind w:right="855"/>
              <w:spacing w:after="0"/>
              <w:rPr>
                <w:sz w:val="20"/>
                <w:szCs w:val="20"/>
                <w:color w:val="auto"/>
              </w:rPr>
            </w:pPr>
            <w:r>
              <w:rPr>
                <w:rFonts w:ascii="Arial" w:cs="Arial" w:eastAsia="Arial" w:hAnsi="Arial"/>
                <w:sz w:val="18"/>
                <w:szCs w:val="18"/>
                <w:color w:val="auto"/>
              </w:rPr>
              <w:t>$75.3384</w:t>
            </w:r>
          </w:p>
        </w:tc>
        <w:tc>
          <w:tcPr>
            <w:tcW w:w="26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8"/>
              </w:rPr>
              <w:t>11/15/2019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(5,746)</w:t>
            </w: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87"/>
              </w:rPr>
              <w:t>$74.8645</w:t>
            </w:r>
          </w:p>
        </w:tc>
        <w:tc>
          <w:tcPr>
            <w:tcW w:w="26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8"/>
              </w:rPr>
              <w:t>11/18/2019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(15,199)</w:t>
            </w: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87"/>
              </w:rPr>
              <w:t>$83.7224</w:t>
            </w:r>
          </w:p>
        </w:tc>
        <w:tc>
          <w:tcPr>
            <w:tcW w:w="26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1"/>
              </w:rPr>
              <w:t>1/2/2020</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(17,126)</w:t>
            </w: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87"/>
              </w:rPr>
              <w:t>$84.2725</w:t>
            </w:r>
          </w:p>
        </w:tc>
        <w:tc>
          <w:tcPr>
            <w:tcW w:w="26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1"/>
              </w:rPr>
              <w:t>1/3/2020</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3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(16,537)</w:t>
            </w: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87"/>
              </w:rPr>
              <w:t>$83.7387</w:t>
            </w:r>
          </w:p>
        </w:tc>
        <w:tc>
          <w:tcPr>
            <w:tcW w:w="26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1"/>
              </w:rPr>
              <w:t>1/6/2020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1)"/>
      <w:numFmt w:val="decimal"/>
      <w:start w:val="1"/>
    </w:lvl>
  </w:abstractNum>
  <w:abstractNum w:abstractNumId="2">
    <w:nsid w:val="257130A3"/>
    <w:multiLevelType w:val="hybridMultilevel"/>
    <w:lvl w:ilvl="0">
      <w:lvlJc w:val="left"/>
      <w:lvlText w:val="(%1)"/>
      <w:numFmt w:val="decimal"/>
      <w:start w:val="2"/>
    </w:lvl>
  </w:abstractNum>
  <w:abstractNum w:abstractNumId="3">
    <w:nsid w:val="62BBD95A"/>
    <w:multiLevelType w:val="hybridMultilevel"/>
    <w:lvl w:ilvl="0">
      <w:lvlJc w:val="left"/>
      <w:lvlText w:val="(%1)"/>
      <w:numFmt w:val="decimal"/>
      <w:start w:val="3"/>
    </w:lvl>
  </w:abstractNum>
  <w:abstractNum w:abstractNumId="4">
    <w:nsid w:val="436C6125"/>
    <w:multiLevelType w:val="hybridMultilevel"/>
    <w:lvl w:ilvl="0">
      <w:lvlJc w:val="left"/>
      <w:lvlText w:val="(%1)"/>
      <w:numFmt w:val="decimal"/>
      <w:start w:val="5"/>
    </w:lvl>
  </w:abstractNum>
  <w:abstractNum w:abstractNumId="5">
    <w:nsid w:val="628C895D"/>
    <w:multiLevelType w:val="hybridMultilevel"/>
    <w:lvl w:ilvl="0">
      <w:lvlJc w:val="left"/>
      <w:lvlText w:val="(%1)"/>
      <w:numFmt w:val="decimal"/>
      <w:start w:val="11"/>
    </w:lvl>
  </w:abstractNum>
  <w:abstractNum w:abstractNumId="6">
    <w:nsid w:val="333AB105"/>
    <w:multiLevelType w:val="hybridMultilevel"/>
    <w:lvl w:ilvl="0">
      <w:lvlJc w:val="left"/>
      <w:lvlText w:val="(%1)"/>
      <w:numFmt w:val="decimal"/>
      <w:start w:val="12"/>
    </w:lvl>
  </w:abstractNum>
  <w:abstractNum w:abstractNumId="7">
    <w:nsid w:val="721DA317"/>
    <w:multiLevelType w:val="hybridMultilevel"/>
    <w:lvl w:ilvl="0">
      <w:lvlJc w:val="left"/>
      <w:lvlText w:val="(%1)"/>
      <w:numFmt w:val="decimal"/>
      <w:start w:val="14"/>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2"/>
    </w:lvl>
  </w:abstractNum>
  <w:abstractNum w:abstractNumId="11">
    <w:nsid w:val="75A2A8D4"/>
    <w:multiLevelType w:val="hybridMultilevel"/>
    <w:lvl w:ilvl="0">
      <w:lvlJc w:val="left"/>
      <w:lvlText w:val="(%1)"/>
      <w:numFmt w:val="decimal"/>
      <w:start w:val="3"/>
    </w:lvl>
  </w:abstractNum>
  <w:abstractNum w:abstractNumId="12">
    <w:nsid w:val="8EDBDAB"/>
    <w:multiLevelType w:val="hybridMultilevel"/>
    <w:lvl w:ilvl="0">
      <w:lvlJc w:val="left"/>
      <w:lvlText w:val="(%1)"/>
      <w:numFmt w:val="decimal"/>
      <w:start w:val="5"/>
    </w:lvl>
  </w:abstractNum>
  <w:abstractNum w:abstractNumId="13">
    <w:nsid w:val="79838CB2"/>
    <w:multiLevelType w:val="hybridMultilevel"/>
    <w:lvl w:ilvl="0">
      <w:lvlJc w:val="left"/>
      <w:lvlText w:val="(%1)"/>
      <w:numFmt w:val="decimal"/>
      <w:start w:val="11"/>
    </w:lvl>
  </w:abstractNum>
  <w:abstractNum w:abstractNumId="14">
    <w:nsid w:val="4353D0CD"/>
    <w:multiLevelType w:val="hybridMultilevel"/>
    <w:lvl w:ilvl="0">
      <w:lvlJc w:val="left"/>
      <w:lvlText w:val="(%1)"/>
      <w:numFmt w:val="decimal"/>
      <w:start w:val="12"/>
    </w:lvl>
  </w:abstractNum>
  <w:abstractNum w:abstractNumId="15">
    <w:nsid w:val="B03E0C6"/>
    <w:multiLevelType w:val="hybridMultilevel"/>
    <w:lvl w:ilvl="0">
      <w:lvlJc w:val="left"/>
      <w:lvlText w:val="(%1)"/>
      <w:numFmt w:val="decimal"/>
      <w:start w:val="14"/>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2"/>
    </w:lvl>
  </w:abstractNum>
  <w:abstractNum w:abstractNumId="19">
    <w:nsid w:val="2CA88611"/>
    <w:multiLevelType w:val="hybridMultilevel"/>
    <w:lvl w:ilvl="0">
      <w:lvlJc w:val="left"/>
      <w:lvlText w:val="(%1)"/>
      <w:numFmt w:val="decimal"/>
      <w:start w:val="3"/>
    </w:lvl>
  </w:abstractNum>
  <w:abstractNum w:abstractNumId="20">
    <w:nsid w:val="836C40E"/>
    <w:multiLevelType w:val="hybridMultilevel"/>
    <w:lvl w:ilvl="0">
      <w:lvlJc w:val="left"/>
      <w:lvlText w:val="(%1)"/>
      <w:numFmt w:val="decimal"/>
      <w:start w:val="5"/>
    </w:lvl>
  </w:abstractNum>
  <w:abstractNum w:abstractNumId="21">
    <w:nsid w:val="2901D82"/>
    <w:multiLevelType w:val="hybridMultilevel"/>
    <w:lvl w:ilvl="0">
      <w:lvlJc w:val="left"/>
      <w:lvlText w:val="(%1)"/>
      <w:numFmt w:val="decimal"/>
      <w:start w:val="11"/>
    </w:lvl>
  </w:abstractNum>
  <w:abstractNum w:abstractNumId="22">
    <w:nsid w:val="3A95F874"/>
    <w:multiLevelType w:val="hybridMultilevel"/>
    <w:lvl w:ilvl="0">
      <w:lvlJc w:val="left"/>
      <w:lvlText w:val="(%1)"/>
      <w:numFmt w:val="decimal"/>
      <w:start w:val="12"/>
    </w:lvl>
  </w:abstractNum>
  <w:abstractNum w:abstractNumId="23">
    <w:nsid w:val="8138641"/>
    <w:multiLevelType w:val="hybridMultilevel"/>
    <w:lvl w:ilvl="0">
      <w:lvlJc w:val="left"/>
      <w:lvlText w:val="(%1)"/>
      <w:numFmt w:val="decimal"/>
      <w:start w:val="14"/>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2"/>
    </w:lvl>
  </w:abstractNum>
  <w:abstractNum w:abstractNumId="27">
    <w:nsid w:val="6CEAF087"/>
    <w:multiLevelType w:val="hybridMultilevel"/>
    <w:lvl w:ilvl="0">
      <w:lvlJc w:val="left"/>
      <w:lvlText w:val="(%1)"/>
      <w:numFmt w:val="decimal"/>
      <w:start w:val="3"/>
    </w:lvl>
  </w:abstractNum>
  <w:abstractNum w:abstractNumId="28">
    <w:nsid w:val="22221A70"/>
    <w:multiLevelType w:val="hybridMultilevel"/>
    <w:lvl w:ilvl="0">
      <w:lvlJc w:val="left"/>
      <w:lvlText w:val="(%1)"/>
      <w:numFmt w:val="decimal"/>
      <w:start w:val="5"/>
    </w:lvl>
  </w:abstractNum>
  <w:abstractNum w:abstractNumId="29">
    <w:nsid w:val="4516DDE9"/>
    <w:multiLevelType w:val="hybridMultilevel"/>
    <w:lvl w:ilvl="0">
      <w:lvlJc w:val="left"/>
      <w:lvlText w:val="(%1)"/>
      <w:numFmt w:val="decimal"/>
      <w:start w:val="11"/>
    </w:lvl>
  </w:abstractNum>
  <w:abstractNum w:abstractNumId="30">
    <w:nsid w:val="3006C83E"/>
    <w:multiLevelType w:val="hybridMultilevel"/>
    <w:lvl w:ilvl="0">
      <w:lvlJc w:val="left"/>
      <w:lvlText w:val="(%1)"/>
      <w:numFmt w:val="decimal"/>
      <w:start w:val="12"/>
    </w:lvl>
  </w:abstractNum>
  <w:abstractNum w:abstractNumId="31">
    <w:nsid w:val="614FD4A1"/>
    <w:multiLevelType w:val="hybridMultilevel"/>
    <w:lvl w:ilvl="0">
      <w:lvlJc w:val="left"/>
      <w:lvlText w:val="(%1)"/>
      <w:numFmt w:val="decimal"/>
      <w:start w:val="14"/>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1)"/>
      <w:numFmt w:val="lowerLetter"/>
      <w:start w:val="3"/>
    </w:lvl>
  </w:abstractNum>
  <w:abstractNum w:abstractNumId="35">
    <w:nsid w:val="5072367"/>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2020-01-07T15:53:04Z</dcterms:created>
  <dcterms:modified xsi:type="dcterms:W3CDTF">2020-01-07T15:53:04Z</dcterms:modified>
</cp:coreProperties>
</file>