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As filed with the Securities and Exchange Commission on June 28, 2000</w:t>
      </w:r>
    </w:p>
    <w:p>
      <w:pPr>
        <w:spacing w:after="0" w:line="179" w:lineRule="exact"/>
        <w:rPr>
          <w:sz w:val="24"/>
          <w:szCs w:val="24"/>
          <w:color w:val="auto"/>
        </w:rPr>
      </w:pPr>
    </w:p>
    <w:p>
      <w:pPr>
        <w:ind w:left="5444"/>
        <w:spacing w:after="0"/>
        <w:rPr>
          <w:sz w:val="20"/>
          <w:szCs w:val="20"/>
          <w:color w:val="auto"/>
        </w:rPr>
      </w:pPr>
      <w:r>
        <w:rPr>
          <w:rFonts w:ascii="Courier New" w:cs="Courier New" w:eastAsia="Courier New" w:hAnsi="Courier New"/>
          <w:sz w:val="16"/>
          <w:szCs w:val="16"/>
          <w:color w:val="auto"/>
        </w:rPr>
        <w:t>Registration No. 333-</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4016"/>
        <w:spacing w:after="0"/>
        <w:rPr>
          <w:sz w:val="20"/>
          <w:szCs w:val="20"/>
          <w:color w:val="auto"/>
        </w:rPr>
      </w:pPr>
      <w:r>
        <w:rPr>
          <w:rFonts w:ascii="Courier New" w:cs="Courier New" w:eastAsia="Courier New" w:hAnsi="Courier New"/>
          <w:sz w:val="16"/>
          <w:szCs w:val="16"/>
          <w:color w:val="auto"/>
        </w:rPr>
        <w:t>Washington, D.C. 20549</w:t>
      </w:r>
    </w:p>
    <w:p>
      <w:pPr>
        <w:jc w:val="center"/>
        <w:ind w:right="4016"/>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S-8</w:t>
      </w:r>
    </w:p>
    <w:p>
      <w:pPr>
        <w:ind w:left="2724"/>
        <w:spacing w:after="0"/>
        <w:rPr>
          <w:sz w:val="20"/>
          <w:szCs w:val="20"/>
          <w:color w:val="auto"/>
        </w:rPr>
      </w:pPr>
      <w:r>
        <w:rPr>
          <w:rFonts w:ascii="Courier New" w:cs="Courier New" w:eastAsia="Courier New" w:hAnsi="Courier New"/>
          <w:sz w:val="16"/>
          <w:szCs w:val="16"/>
          <w:color w:val="auto"/>
        </w:rPr>
        <w:t>REGISTRATION STATEMENT</w:t>
      </w:r>
    </w:p>
    <w:p>
      <w:pPr>
        <w:ind w:left="3564"/>
        <w:spacing w:after="0" w:line="237" w:lineRule="auto"/>
        <w:rPr>
          <w:sz w:val="20"/>
          <w:szCs w:val="20"/>
          <w:color w:val="auto"/>
        </w:rPr>
      </w:pPr>
      <w:r>
        <w:rPr>
          <w:rFonts w:ascii="Courier New" w:cs="Courier New" w:eastAsia="Courier New" w:hAnsi="Courier New"/>
          <w:sz w:val="16"/>
          <w:szCs w:val="16"/>
          <w:color w:val="auto"/>
        </w:rPr>
        <w:t>UNDER</w:t>
      </w:r>
    </w:p>
    <w:p>
      <w:pPr>
        <w:ind w:left="2524"/>
        <w:spacing w:after="0"/>
        <w:rPr>
          <w:sz w:val="20"/>
          <w:szCs w:val="20"/>
          <w:color w:val="auto"/>
        </w:rPr>
      </w:pPr>
      <w:r>
        <w:rPr>
          <w:rFonts w:ascii="Courier New" w:cs="Courier New" w:eastAsia="Courier New" w:hAnsi="Courier New"/>
          <w:sz w:val="16"/>
          <w:szCs w:val="16"/>
          <w:color w:val="auto"/>
        </w:rPr>
        <w:t>THE SECURITIES ACT OF 1933</w:t>
      </w:r>
    </w:p>
    <w:p>
      <w:pPr>
        <w:ind w:left="2724"/>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jc w:val="center"/>
        <w:ind w:right="3916"/>
        <w:spacing w:after="0"/>
        <w:rPr>
          <w:sz w:val="20"/>
          <w:szCs w:val="20"/>
          <w:color w:val="auto"/>
        </w:rPr>
      </w:pPr>
      <w:r>
        <w:rPr>
          <w:rFonts w:ascii="Courier New" w:cs="Courier New" w:eastAsia="Courier New" w:hAnsi="Courier New"/>
          <w:sz w:val="16"/>
          <w:szCs w:val="16"/>
          <w:color w:val="auto"/>
        </w:rPr>
        <w:t>ITRON, INC.</w:t>
      </w:r>
    </w:p>
    <w:p>
      <w:pPr>
        <w:jc w:val="center"/>
        <w:ind w:right="4016"/>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4"/>
          </w:cols>
          <w:pgMar w:left="236" w:top="593" w:right="139" w:bottom="1440" w:gutter="0" w:footer="0" w:header="0"/>
        </w:sectPr>
      </w:pPr>
    </w:p>
    <w:p>
      <w:pPr>
        <w:spacing w:after="0" w:line="179" w:lineRule="exact"/>
        <w:rPr>
          <w:sz w:val="24"/>
          <w:szCs w:val="24"/>
          <w:color w:val="auto"/>
        </w:rPr>
      </w:pPr>
    </w:p>
    <w:p>
      <w:pPr>
        <w:ind w:left="944"/>
        <w:spacing w:after="0"/>
        <w:rPr>
          <w:sz w:val="20"/>
          <w:szCs w:val="20"/>
          <w:color w:val="auto"/>
        </w:rPr>
      </w:pPr>
      <w:r>
        <w:rPr>
          <w:rFonts w:ascii="Courier New" w:cs="Courier New" w:eastAsia="Courier New" w:hAnsi="Courier New"/>
          <w:sz w:val="16"/>
          <w:szCs w:val="16"/>
          <w:color w:val="auto"/>
        </w:rPr>
        <w:t>Washington</w:t>
      </w:r>
    </w:p>
    <w:p>
      <w:pPr>
        <w:ind w:left="4"/>
        <w:spacing w:after="0"/>
        <w:rPr>
          <w:sz w:val="20"/>
          <w:szCs w:val="20"/>
          <w:color w:val="auto"/>
        </w:rPr>
      </w:pPr>
      <w:r>
        <w:rPr>
          <w:rFonts w:ascii="Courier New" w:cs="Courier New" w:eastAsia="Courier New" w:hAnsi="Courier New"/>
          <w:sz w:val="16"/>
          <w:szCs w:val="16"/>
          <w:color w:val="auto"/>
        </w:rPr>
        <w:t>(State or other jurisdiction</w:t>
      </w:r>
    </w:p>
    <w:p>
      <w:pPr>
        <w:spacing w:after="0" w:line="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1320"/>
        <w:spacing w:after="0"/>
        <w:rPr>
          <w:sz w:val="20"/>
          <w:szCs w:val="20"/>
          <w:color w:val="auto"/>
        </w:rPr>
      </w:pPr>
      <w:r>
        <w:rPr>
          <w:rFonts w:ascii="Courier New" w:cs="Courier New" w:eastAsia="Courier New" w:hAnsi="Courier New"/>
          <w:sz w:val="16"/>
          <w:szCs w:val="16"/>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80" w:lineRule="exact"/>
        <w:rPr>
          <w:sz w:val="24"/>
          <w:szCs w:val="24"/>
          <w:color w:val="auto"/>
        </w:rPr>
      </w:pPr>
    </w:p>
    <w:p>
      <w:pPr>
        <w:sectPr>
          <w:pgSz w:w="11900" w:h="16838" w:orient="portrait"/>
          <w:cols w:equalWidth="0" w:num="2">
            <w:col w:w="3404" w:space="720"/>
            <w:col w:w="7400"/>
          </w:cols>
          <w:pgMar w:left="236" w:top="593" w:right="139" w:bottom="1440" w:gutter="0" w:footer="0" w:header="0"/>
          <w:type w:val="continuous"/>
        </w:sectPr>
      </w:pPr>
    </w:p>
    <w:p>
      <w:pPr>
        <w:spacing w:after="0" w:line="166" w:lineRule="exact"/>
        <w:rPr>
          <w:sz w:val="24"/>
          <w:szCs w:val="24"/>
          <w:color w:val="auto"/>
        </w:rPr>
      </w:pPr>
    </w:p>
    <w:p>
      <w:pPr>
        <w:ind w:left="2824"/>
        <w:spacing w:after="0"/>
        <w:rPr>
          <w:sz w:val="20"/>
          <w:szCs w:val="20"/>
          <w:color w:val="auto"/>
        </w:rPr>
      </w:pPr>
      <w:r>
        <w:rPr>
          <w:rFonts w:ascii="Courier New" w:cs="Courier New" w:eastAsia="Courier New" w:hAnsi="Courier New"/>
          <w:sz w:val="16"/>
          <w:szCs w:val="16"/>
          <w:color w:val="auto"/>
        </w:rPr>
        <w:t>2818 N. Sullivan Road</w:t>
      </w:r>
    </w:p>
    <w:p>
      <w:pPr>
        <w:ind w:left="2344"/>
        <w:spacing w:after="0"/>
        <w:rPr>
          <w:sz w:val="20"/>
          <w:szCs w:val="20"/>
          <w:color w:val="auto"/>
        </w:rPr>
      </w:pPr>
      <w:r>
        <w:rPr>
          <w:rFonts w:ascii="Courier New" w:cs="Courier New" w:eastAsia="Courier New" w:hAnsi="Courier New"/>
          <w:sz w:val="16"/>
          <w:szCs w:val="16"/>
          <w:color w:val="auto"/>
        </w:rPr>
        <w:t>Spokane, Washington 99216-1897</w:t>
      </w:r>
    </w:p>
    <w:p>
      <w:pPr>
        <w:ind w:left="944"/>
        <w:spacing w:after="0" w:line="237" w:lineRule="auto"/>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80"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ITRON, INC. 2000 STOCK INCENTIVE COMPENSATION PLAN</w:t>
      </w:r>
    </w:p>
    <w:p>
      <w:pPr>
        <w:jc w:val="center"/>
        <w:ind w:right="4016"/>
        <w:spacing w:after="0"/>
        <w:rPr>
          <w:sz w:val="20"/>
          <w:szCs w:val="20"/>
          <w:color w:val="auto"/>
        </w:rPr>
      </w:pPr>
      <w:r>
        <w:rPr>
          <w:rFonts w:ascii="Courier New" w:cs="Courier New" w:eastAsia="Courier New" w:hAnsi="Courier New"/>
          <w:sz w:val="16"/>
          <w:szCs w:val="16"/>
          <w:color w:val="auto"/>
        </w:rPr>
        <w:t>(Full title of the plan)</w:t>
      </w:r>
    </w:p>
    <w:p>
      <w:pPr>
        <w:spacing w:after="0" w:line="359"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LeRoy D. Nosbaum</w:t>
      </w:r>
    </w:p>
    <w:p>
      <w:pPr>
        <w:ind w:left="2064"/>
        <w:spacing w:after="0"/>
        <w:rPr>
          <w:sz w:val="20"/>
          <w:szCs w:val="20"/>
          <w:color w:val="auto"/>
        </w:rPr>
      </w:pPr>
      <w:r>
        <w:rPr>
          <w:rFonts w:ascii="Courier New" w:cs="Courier New" w:eastAsia="Courier New" w:hAnsi="Courier New"/>
          <w:sz w:val="16"/>
          <w:szCs w:val="16"/>
          <w:color w:val="auto"/>
        </w:rPr>
        <w:t>President and Chief Executive Officer</w:t>
      </w:r>
    </w:p>
    <w:p>
      <w:pPr>
        <w:ind w:left="3284"/>
        <w:spacing w:after="0" w:line="237" w:lineRule="auto"/>
        <w:rPr>
          <w:sz w:val="20"/>
          <w:szCs w:val="20"/>
          <w:color w:val="auto"/>
        </w:rPr>
      </w:pPr>
      <w:r>
        <w:rPr>
          <w:rFonts w:ascii="Courier New" w:cs="Courier New" w:eastAsia="Courier New" w:hAnsi="Courier New"/>
          <w:sz w:val="16"/>
          <w:szCs w:val="16"/>
          <w:color w:val="auto"/>
        </w:rPr>
        <w:t>Itron, Inc.</w:t>
      </w:r>
    </w:p>
    <w:p>
      <w:pPr>
        <w:ind w:left="2824"/>
        <w:spacing w:after="0"/>
        <w:rPr>
          <w:sz w:val="20"/>
          <w:szCs w:val="20"/>
          <w:color w:val="auto"/>
        </w:rPr>
      </w:pPr>
      <w:r>
        <w:rPr>
          <w:rFonts w:ascii="Courier New" w:cs="Courier New" w:eastAsia="Courier New" w:hAnsi="Courier New"/>
          <w:sz w:val="16"/>
          <w:szCs w:val="16"/>
          <w:color w:val="auto"/>
        </w:rPr>
        <w:t>2818 N. Sullivan Road</w:t>
      </w:r>
    </w:p>
    <w:p>
      <w:pPr>
        <w:ind w:left="2344"/>
        <w:spacing w:after="0" w:line="238" w:lineRule="auto"/>
        <w:rPr>
          <w:sz w:val="20"/>
          <w:szCs w:val="20"/>
          <w:color w:val="auto"/>
        </w:rPr>
      </w:pPr>
      <w:r>
        <w:rPr>
          <w:rFonts w:ascii="Courier New" w:cs="Courier New" w:eastAsia="Courier New" w:hAnsi="Courier New"/>
          <w:sz w:val="16"/>
          <w:szCs w:val="16"/>
          <w:color w:val="auto"/>
        </w:rPr>
        <w:t>Spokane, Washington 99216-1897</w:t>
      </w:r>
    </w:p>
    <w:p>
      <w:pPr>
        <w:ind w:left="3104"/>
        <w:spacing w:after="0"/>
        <w:rPr>
          <w:sz w:val="20"/>
          <w:szCs w:val="20"/>
          <w:color w:val="auto"/>
        </w:rPr>
      </w:pPr>
      <w:r>
        <w:rPr>
          <w:rFonts w:ascii="Courier New" w:cs="Courier New" w:eastAsia="Courier New" w:hAnsi="Courier New"/>
          <w:sz w:val="16"/>
          <w:szCs w:val="16"/>
          <w:color w:val="auto"/>
        </w:rPr>
        <w:t>(509) 924-9900</w:t>
      </w:r>
    </w:p>
    <w:p>
      <w:pPr>
        <w:ind w:left="104"/>
        <w:spacing w:after="0" w:line="238" w:lineRule="auto"/>
        <w:rPr>
          <w:sz w:val="20"/>
          <w:szCs w:val="20"/>
          <w:color w:val="auto"/>
        </w:rPr>
      </w:pPr>
      <w:r>
        <w:rPr>
          <w:rFonts w:ascii="Courier New" w:cs="Courier New" w:eastAsia="Courier New" w:hAnsi="Courier New"/>
          <w:sz w:val="16"/>
          <w:szCs w:val="16"/>
          <w:color w:val="auto"/>
        </w:rPr>
        <w:t>(Name, address and telephone number, including area code, of agent for service)</w:t>
      </w:r>
    </w:p>
    <w:p>
      <w:pPr>
        <w:ind w:left="2724"/>
        <w:spacing w:after="0"/>
        <w:rPr>
          <w:sz w:val="20"/>
          <w:szCs w:val="20"/>
          <w:color w:val="auto"/>
        </w:rPr>
      </w:pPr>
      <w:r>
        <w:rPr>
          <w:rFonts w:ascii="Courier New" w:cs="Courier New" w:eastAsia="Courier New" w:hAnsi="Courier New"/>
          <w:sz w:val="16"/>
          <w:szCs w:val="16"/>
          <w:color w:val="auto"/>
        </w:rPr>
        <w:t>----------------------</w:t>
      </w:r>
    </w:p>
    <w:p>
      <w:pPr>
        <w:ind w:left="3384"/>
        <w:spacing w:after="0" w:line="237" w:lineRule="auto"/>
        <w:rPr>
          <w:sz w:val="20"/>
          <w:szCs w:val="20"/>
          <w:color w:val="auto"/>
        </w:rPr>
      </w:pPr>
      <w:r>
        <w:rPr>
          <w:rFonts w:ascii="Courier New" w:cs="Courier New" w:eastAsia="Courier New" w:hAnsi="Courier New"/>
          <w:sz w:val="16"/>
          <w:szCs w:val="16"/>
          <w:color w:val="auto"/>
        </w:rPr>
        <w:t>Copy to:</w:t>
      </w:r>
    </w:p>
    <w:p>
      <w:pPr>
        <w:spacing w:after="0" w:line="180"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LINDA A. SCHOEMAKER</w:t>
      </w:r>
    </w:p>
    <w:p>
      <w:pPr>
        <w:ind w:left="3004"/>
        <w:spacing w:after="0"/>
        <w:rPr>
          <w:sz w:val="20"/>
          <w:szCs w:val="20"/>
          <w:color w:val="auto"/>
        </w:rPr>
      </w:pPr>
      <w:r>
        <w:rPr>
          <w:rFonts w:ascii="Courier New" w:cs="Courier New" w:eastAsia="Courier New" w:hAnsi="Courier New"/>
          <w:sz w:val="16"/>
          <w:szCs w:val="16"/>
          <w:color w:val="auto"/>
        </w:rPr>
        <w:t>Perkins Coie LLP</w:t>
      </w:r>
    </w:p>
    <w:p>
      <w:pPr>
        <w:ind w:left="2444"/>
        <w:spacing w:after="0" w:line="237" w:lineRule="auto"/>
        <w:rPr>
          <w:sz w:val="20"/>
          <w:szCs w:val="20"/>
          <w:color w:val="auto"/>
        </w:rPr>
      </w:pPr>
      <w:r>
        <w:rPr>
          <w:rFonts w:ascii="Courier New" w:cs="Courier New" w:eastAsia="Courier New" w:hAnsi="Courier New"/>
          <w:sz w:val="16"/>
          <w:szCs w:val="16"/>
          <w:color w:val="auto"/>
        </w:rPr>
        <w:t>1201 Third Avenue, 48th Floor</w:t>
      </w:r>
    </w:p>
    <w:p>
      <w:pPr>
        <w:ind w:left="2344"/>
        <w:spacing w:after="0"/>
        <w:rPr>
          <w:sz w:val="20"/>
          <w:szCs w:val="20"/>
          <w:color w:val="auto"/>
        </w:rPr>
      </w:pPr>
      <w:r>
        <w:rPr>
          <w:rFonts w:ascii="Courier New" w:cs="Courier New" w:eastAsia="Courier New" w:hAnsi="Courier New"/>
          <w:sz w:val="16"/>
          <w:szCs w:val="16"/>
          <w:color w:val="auto"/>
        </w:rPr>
        <w:t>Seattle, Washington 98101-3099</w:t>
      </w:r>
    </w:p>
    <w:p>
      <w:pPr>
        <w:ind w:left="2724"/>
        <w:spacing w:after="0" w:line="238" w:lineRule="auto"/>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736"/>
        <w:spacing w:after="0"/>
        <w:rPr>
          <w:sz w:val="20"/>
          <w:szCs w:val="20"/>
          <w:color w:val="auto"/>
        </w:rPr>
      </w:pPr>
      <w:r>
        <w:rPr>
          <w:rFonts w:ascii="Courier New" w:cs="Courier New" w:eastAsia="Courier New" w:hAnsi="Courier New"/>
          <w:sz w:val="16"/>
          <w:szCs w:val="16"/>
          <w:color w:val="auto"/>
        </w:rPr>
        <w:t>CALCULATION OF REGISTRATION FEE</w:t>
      </w:r>
    </w:p>
    <w:p>
      <w:pPr>
        <w:spacing w:after="0" w:line="4" w:lineRule="exact"/>
        <w:rPr>
          <w:sz w:val="24"/>
          <w:szCs w:val="24"/>
          <w:color w:val="auto"/>
        </w:rPr>
      </w:pPr>
    </w:p>
    <w:p>
      <w:pPr>
        <w:jc w:val="center"/>
        <w:ind w:right="1016"/>
        <w:spacing w:after="0"/>
        <w:rPr>
          <w:sz w:val="20"/>
          <w:szCs w:val="20"/>
          <w:color w:val="auto"/>
        </w:rPr>
      </w:pPr>
      <w:r>
        <w:rPr>
          <w:rFonts w:ascii="Courier New" w:cs="Courier New" w:eastAsia="Courier New" w:hAnsi="Courier New"/>
          <w:sz w:val="15"/>
          <w:szCs w:val="15"/>
          <w:color w:val="auto"/>
        </w:rPr>
        <w:t>- ------------------------------------------ ----------- -------------------- ------------------- --------------</w:t>
      </w:r>
    </w:p>
    <w:p>
      <w:pPr>
        <w:sectPr>
          <w:pgSz w:w="11900" w:h="16838" w:orient="portrait"/>
          <w:cols w:equalWidth="0" w:num="1">
            <w:col w:w="11524"/>
          </w:cols>
          <w:pgMar w:left="236" w:top="593" w:right="139" w:bottom="1440" w:gutter="0" w:footer="0" w:header="0"/>
          <w:type w:val="continuous"/>
        </w:sectPr>
      </w:pPr>
    </w:p>
    <w:p>
      <w:pPr>
        <w:spacing w:after="0" w:line="191"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Title of Securities</w:t>
      </w:r>
    </w:p>
    <w:p>
      <w:pPr>
        <w:spacing w:after="0" w:line="5"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to Be Registered</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Number to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line="254" w:lineRule="auto"/>
        <w:rPr>
          <w:sz w:val="20"/>
          <w:szCs w:val="20"/>
          <w:color w:val="auto"/>
        </w:rPr>
      </w:pPr>
      <w:r>
        <w:rPr>
          <w:rFonts w:ascii="Courier New" w:cs="Courier New" w:eastAsia="Courier New" w:hAnsi="Courier New"/>
          <w:sz w:val="15"/>
          <w:szCs w:val="15"/>
          <w:color w:val="auto"/>
        </w:rPr>
        <w:t>Proposed Maximum Offering Price</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line="254" w:lineRule="auto"/>
        <w:rPr>
          <w:sz w:val="20"/>
          <w:szCs w:val="20"/>
          <w:color w:val="auto"/>
        </w:rPr>
      </w:pPr>
      <w:r>
        <w:rPr>
          <w:rFonts w:ascii="Courier New" w:cs="Courier New" w:eastAsia="Courier New" w:hAnsi="Courier New"/>
          <w:sz w:val="15"/>
          <w:szCs w:val="15"/>
          <w:color w:val="auto"/>
        </w:rPr>
        <w:t>Proposed Maximum Aggregate</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right="360"/>
        <w:spacing w:after="0" w:line="254" w:lineRule="auto"/>
        <w:rPr>
          <w:sz w:val="20"/>
          <w:szCs w:val="20"/>
          <w:color w:val="auto"/>
        </w:rPr>
      </w:pPr>
      <w:r>
        <w:rPr>
          <w:rFonts w:ascii="Courier New" w:cs="Courier New" w:eastAsia="Courier New" w:hAnsi="Courier New"/>
          <w:sz w:val="15"/>
          <w:szCs w:val="15"/>
          <w:color w:val="auto"/>
        </w:rPr>
        <w:t>Amount of Registration</w:t>
      </w:r>
    </w:p>
    <w:p>
      <w:pPr>
        <w:spacing w:after="0" w:line="1" w:lineRule="exact"/>
        <w:rPr>
          <w:sz w:val="24"/>
          <w:szCs w:val="24"/>
          <w:color w:val="auto"/>
        </w:rPr>
      </w:pPr>
    </w:p>
    <w:p>
      <w:pPr>
        <w:sectPr>
          <w:pgSz w:w="11900" w:h="16838" w:orient="portrait"/>
          <w:cols w:equalWidth="0" w:num="5">
            <w:col w:w="3504" w:space="720"/>
            <w:col w:w="880" w:space="720"/>
            <w:col w:w="1500" w:space="640"/>
            <w:col w:w="1500" w:space="580"/>
            <w:col w:w="1480"/>
          </w:cols>
          <w:pgMar w:left="236" w:top="593" w:right="139"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Registered(1)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Offering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Fee</w:t>
      </w:r>
    </w:p>
    <w:p>
      <w:pPr>
        <w:spacing w:after="0" w:line="10" w:lineRule="exact"/>
        <w:rPr>
          <w:sz w:val="24"/>
          <w:szCs w:val="24"/>
          <w:color w:val="auto"/>
        </w:rPr>
      </w:pPr>
    </w:p>
    <w:p>
      <w:pPr>
        <w:sectPr>
          <w:pgSz w:w="11900" w:h="16838" w:orient="portrait"/>
          <w:cols w:equalWidth="0" w:num="3">
            <w:col w:w="3504" w:space="720"/>
            <w:col w:w="1320" w:space="280"/>
            <w:col w:w="5700"/>
          </w:cols>
          <w:pgMar w:left="236" w:top="593" w:right="139"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5">
            <w:col w:w="4124" w:space="280"/>
            <w:col w:w="1320" w:space="280"/>
            <w:col w:w="1880" w:space="280"/>
            <w:col w:w="1780" w:space="280"/>
            <w:col w:w="1300"/>
          </w:cols>
          <w:pgMar w:left="236" w:top="593" w:right="139" w:bottom="1440" w:gutter="0" w:footer="0" w:header="0"/>
          <w:type w:val="continuous"/>
        </w:sectPr>
      </w:pPr>
    </w:p>
    <w:p>
      <w:pPr>
        <w:spacing w:after="0" w:line="171"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Common Stock, par value $0.01 per share,</w:t>
      </w:r>
    </w:p>
    <w:p>
      <w:pPr>
        <w:spacing w:after="0" w:line="10"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subject to outstanding options underthe:</w:t>
      </w:r>
    </w:p>
    <w:p>
      <w:pPr>
        <w:sectPr>
          <w:pgSz w:w="11900" w:h="16838" w:orient="portrait"/>
          <w:cols w:equalWidth="0" w:num="1">
            <w:col w:w="11524"/>
          </w:cols>
          <w:pgMar w:left="236" w:top="593" w:right="139" w:bottom="1440" w:gutter="0" w:footer="0" w:header="0"/>
          <w:type w:val="continuous"/>
        </w:sectPr>
      </w:pPr>
    </w:p>
    <w:p>
      <w:pPr>
        <w:spacing w:after="0" w:line="10"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Itron, Inc. 2000 Stock Incentive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1,800,000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13,725,000(2)$</w:t>
      </w:r>
    </w:p>
    <w:p>
      <w:pPr>
        <w:spacing w:after="0" w:line="20" w:lineRule="exact"/>
        <w:rPr>
          <w:sz w:val="24"/>
          <w:szCs w:val="24"/>
          <w:color w:val="auto"/>
        </w:rPr>
      </w:pPr>
      <w:r>
        <w:rPr>
          <w:sz w:val="24"/>
          <w:szCs w:val="24"/>
          <w:color w:val="auto"/>
        </w:rPr>
        <w:br w:type="column"/>
      </w:r>
    </w:p>
    <w:p>
      <w:pPr>
        <w:jc w:val="center"/>
        <w:ind w:right="40"/>
        <w:spacing w:after="0"/>
        <w:rPr>
          <w:sz w:val="20"/>
          <w:szCs w:val="20"/>
          <w:color w:val="auto"/>
        </w:rPr>
      </w:pPr>
      <w:r>
        <w:rPr>
          <w:rFonts w:ascii="Courier New" w:cs="Courier New" w:eastAsia="Courier New" w:hAnsi="Courier New"/>
          <w:sz w:val="15"/>
          <w:szCs w:val="15"/>
          <w:color w:val="auto"/>
        </w:rPr>
        <w:t>13,725,000(2)$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3,624</w:t>
      </w:r>
    </w:p>
    <w:p>
      <w:pPr>
        <w:spacing w:after="0" w:line="10" w:lineRule="exact"/>
        <w:rPr>
          <w:sz w:val="24"/>
          <w:szCs w:val="24"/>
          <w:color w:val="auto"/>
        </w:rPr>
      </w:pPr>
    </w:p>
    <w:p>
      <w:pPr>
        <w:sectPr>
          <w:pgSz w:w="11900" w:h="16838" w:orient="portrait"/>
          <w:cols w:equalWidth="0" w:num="6">
            <w:col w:w="3964" w:space="720"/>
            <w:col w:w="860" w:space="280"/>
            <w:col w:w="200" w:space="720"/>
            <w:col w:w="1360" w:space="720"/>
            <w:col w:w="1340" w:space="720"/>
            <w:col w:w="640"/>
          </w:cols>
          <w:pgMar w:left="236" w:top="593" w:right="139"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Compensation Plan</w:t>
      </w:r>
    </w:p>
    <w:p>
      <w:pPr>
        <w:sectPr>
          <w:pgSz w:w="11900" w:h="16838" w:orient="portrait"/>
          <w:cols w:equalWidth="0" w:num="1">
            <w:col w:w="11524"/>
          </w:cols>
          <w:pgMar w:left="236" w:top="593" w:right="139" w:bottom="1440" w:gutter="0" w:footer="0" w:header="0"/>
          <w:type w:val="continuous"/>
        </w:sectPr>
      </w:pPr>
    </w:p>
    <w:p>
      <w:pPr>
        <w:spacing w:after="0" w:line="10"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5">
            <w:col w:w="4124" w:space="280"/>
            <w:col w:w="1320" w:space="280"/>
            <w:col w:w="1880" w:space="280"/>
            <w:col w:w="1780" w:space="280"/>
            <w:col w:w="1300"/>
          </w:cols>
          <w:pgMar w:left="236" w:top="593" w:right="139" w:bottom="1440" w:gutter="0" w:footer="0" w:header="0"/>
          <w:type w:val="continuous"/>
        </w:sectPr>
      </w:pPr>
    </w:p>
    <w:p>
      <w:pPr>
        <w:spacing w:after="0" w:line="171" w:lineRule="exact"/>
        <w:rPr>
          <w:sz w:val="24"/>
          <w:szCs w:val="24"/>
          <w:color w:val="auto"/>
        </w:rPr>
      </w:pPr>
    </w:p>
    <w:p>
      <w:pPr>
        <w:jc w:val="both"/>
        <w:ind w:left="844" w:right="4020" w:hanging="844"/>
        <w:spacing w:after="0" w:line="237" w:lineRule="auto"/>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Together with an indeterminate number of additional shares that may be necessary to adjust the number of shares reserved for issuance pursuant to such employee benegit plan as the result of any future stock split, stock dividend or similar adjustment of the Registrant's outstanding Common Stock.</w:t>
      </w:r>
    </w:p>
    <w:p>
      <w:pPr>
        <w:spacing w:after="0" w:line="187" w:lineRule="exact"/>
        <w:rPr>
          <w:rFonts w:ascii="Courier New" w:cs="Courier New" w:eastAsia="Courier New" w:hAnsi="Courier New"/>
          <w:sz w:val="16"/>
          <w:szCs w:val="16"/>
          <w:color w:val="auto"/>
        </w:rPr>
      </w:pPr>
    </w:p>
    <w:p>
      <w:pPr>
        <w:jc w:val="both"/>
        <w:ind w:left="844" w:right="4020" w:hanging="844"/>
        <w:spacing w:after="0" w:line="237" w:lineRule="auto"/>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457(c) under the Securities Act of 1933, as amended, based on the average of high and low sales prices for the Common Stock on June 26, 2000, as reported for such date on the Nasdaq National Market.</w:t>
      </w:r>
    </w:p>
    <w:p>
      <w:pPr>
        <w:sectPr>
          <w:pgSz w:w="11900" w:h="16838" w:orient="portrait"/>
          <w:cols w:equalWidth="0" w:num="1">
            <w:col w:w="11524"/>
          </w:cols>
          <w:pgMar w:left="236" w:top="593" w:right="139" w:bottom="1440" w:gutter="0" w:footer="0" w:header="0"/>
          <w:type w:val="continuous"/>
        </w:sectPr>
      </w:pPr>
    </w:p>
    <w:bookmarkStart w:id="1" w:name="page2"/>
    <w:bookmarkEnd w:id="1"/>
    <w:p>
      <w:pPr>
        <w:spacing w:after="0" w:line="7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PART II</w:t>
      </w:r>
    </w:p>
    <w:p>
      <w:pPr>
        <w:spacing w:after="0" w:line="18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INFORMATION REQUIRED IN REGISTRATION STATEMENT</w:t>
      </w:r>
    </w:p>
    <w:p>
      <w:pPr>
        <w:spacing w:after="0" w:line="18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CERTAIN DOCUMENTS BY REFERENCE</w:t>
      </w:r>
    </w:p>
    <w:p>
      <w:pPr>
        <w:sectPr>
          <w:pgSz w:w="11900" w:h="16914" w:orient="portrait"/>
          <w:cols w:equalWidth="0" w:num="1">
            <w:col w:w="10219"/>
          </w:cols>
          <w:pgMar w:left="240" w:top="1014" w:right="1440" w:bottom="0" w:gutter="0" w:footer="0" w:header="0"/>
        </w:sectPr>
      </w:pPr>
    </w:p>
    <w:p>
      <w:pPr>
        <w:spacing w:after="0" w:line="185" w:lineRule="exact"/>
        <w:rPr>
          <w:sz w:val="20"/>
          <w:szCs w:val="20"/>
          <w:color w:val="auto"/>
        </w:rPr>
      </w:pPr>
    </w:p>
    <w:p>
      <w:pPr>
        <w:ind w:firstLine="844"/>
        <w:spacing w:after="0" w:line="237" w:lineRule="auto"/>
        <w:rPr>
          <w:sz w:val="20"/>
          <w:szCs w:val="20"/>
          <w:color w:val="auto"/>
        </w:rPr>
      </w:pPr>
      <w:r>
        <w:rPr>
          <w:rFonts w:ascii="Courier New" w:cs="Courier New" w:eastAsia="Courier New" w:hAnsi="Courier New"/>
          <w:sz w:val="16"/>
          <w:szCs w:val="16"/>
          <w:color w:val="auto"/>
        </w:rPr>
        <w:t>The following documents filed Commission (the "Commission") are hereby Registration Statement: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ind w:right="2719"/>
        <w:spacing w:after="0" w:line="263" w:lineRule="auto"/>
        <w:rPr>
          <w:sz w:val="20"/>
          <w:szCs w:val="20"/>
          <w:color w:val="auto"/>
        </w:rPr>
      </w:pPr>
      <w:r>
        <w:rPr>
          <w:rFonts w:ascii="Courier New" w:cs="Courier New" w:eastAsia="Courier New" w:hAnsi="Courier New"/>
          <w:sz w:val="15"/>
          <w:szCs w:val="15"/>
          <w:color w:val="auto"/>
        </w:rPr>
        <w:t>with  the  Securities  and  Exchange incorporated  by  reference in this</w:t>
      </w:r>
    </w:p>
    <w:p>
      <w:pPr>
        <w:spacing w:after="0" w:line="349" w:lineRule="exact"/>
        <w:rPr>
          <w:sz w:val="20"/>
          <w:szCs w:val="20"/>
          <w:color w:val="auto"/>
        </w:rPr>
      </w:pPr>
    </w:p>
    <w:p>
      <w:pPr>
        <w:sectPr>
          <w:pgSz w:w="11900" w:h="16914" w:orient="portrait"/>
          <w:cols w:equalWidth="0" w:num="2">
            <w:col w:w="4020" w:space="100"/>
            <w:col w:w="6099"/>
          </w:cols>
          <w:pgMar w:left="240" w:top="1014" w:right="1440" w:bottom="0" w:gutter="0" w:footer="0" w:header="0"/>
          <w:type w:val="continuous"/>
        </w:sectPr>
      </w:pPr>
    </w:p>
    <w:p>
      <w:pPr>
        <w:jc w:val="both"/>
        <w:ind w:right="2719" w:firstLine="1684"/>
        <w:spacing w:after="0" w:line="237" w:lineRule="auto"/>
        <w:tabs>
          <w:tab w:leader="none" w:pos="20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annual report on Form 10-K for the year ended December 31, 1999 filed on March 30, 2000, which contains audited financial statements for the most recent fiscal year for which such statements have been filed;</w:t>
      </w:r>
    </w:p>
    <w:p>
      <w:pPr>
        <w:spacing w:after="0" w:line="185" w:lineRule="exact"/>
        <w:rPr>
          <w:rFonts w:ascii="Courier New" w:cs="Courier New" w:eastAsia="Courier New" w:hAnsi="Courier New"/>
          <w:sz w:val="16"/>
          <w:szCs w:val="16"/>
          <w:color w:val="auto"/>
        </w:rPr>
      </w:pPr>
    </w:p>
    <w:p>
      <w:pPr>
        <w:ind w:right="3099" w:firstLine="1684"/>
        <w:spacing w:after="0" w:line="236" w:lineRule="auto"/>
        <w:tabs>
          <w:tab w:leader="none" w:pos="20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quarterly report on Form 10-Q for the quarter ended March 31, 2000 filed on May 15, 2000;</w:t>
      </w:r>
    </w:p>
    <w:p>
      <w:pPr>
        <w:spacing w:after="0" w:line="184" w:lineRule="exact"/>
        <w:rPr>
          <w:rFonts w:ascii="Courier New" w:cs="Courier New" w:eastAsia="Courier New" w:hAnsi="Courier New"/>
          <w:sz w:val="16"/>
          <w:szCs w:val="16"/>
          <w:color w:val="auto"/>
        </w:rPr>
      </w:pPr>
    </w:p>
    <w:p>
      <w:pPr>
        <w:jc w:val="both"/>
        <w:ind w:right="2719" w:firstLine="1684"/>
        <w:spacing w:after="0" w:line="237" w:lineRule="auto"/>
        <w:tabs>
          <w:tab w:leader="none" w:pos="20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the registrant pursuant to Section 13(a) or 15(d) of the Securites Exchange Act of 1934, as amended (the "Exchange Act"), since the end of the fiscal year covered by the Annual Report on Form 10-K referred to in (a) above; and</w:t>
      </w:r>
    </w:p>
    <w:p>
      <w:pPr>
        <w:spacing w:after="0" w:line="185" w:lineRule="exact"/>
        <w:rPr>
          <w:rFonts w:ascii="Courier New" w:cs="Courier New" w:eastAsia="Courier New" w:hAnsi="Courier New"/>
          <w:sz w:val="16"/>
          <w:szCs w:val="16"/>
          <w:color w:val="auto"/>
        </w:rPr>
      </w:pPr>
    </w:p>
    <w:p>
      <w:pPr>
        <w:jc w:val="both"/>
        <w:ind w:right="2719" w:firstLine="1684"/>
        <w:spacing w:after="0" w:line="237" w:lineRule="auto"/>
        <w:tabs>
          <w:tab w:leader="none" w:pos="20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registrant's common stock contained in the registration statement on Form 8-A filed on September 18, 1993, under Section 12(g) of the Exchange Act, including any amendments or reports filed for the purpose of updating such description.</w:t>
      </w:r>
    </w:p>
    <w:p>
      <w:pPr>
        <w:spacing w:after="0" w:line="186"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All documents filed by the registrant pursuant to Sections 13(a), 13(c), 14 and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80" w:lineRule="exact"/>
        <w:rPr>
          <w:sz w:val="20"/>
          <w:szCs w:val="20"/>
          <w:color w:val="auto"/>
        </w:rPr>
      </w:pPr>
    </w:p>
    <w:p>
      <w:pPr>
        <w:jc w:val="center"/>
        <w:ind w:right="7039"/>
        <w:spacing w:after="0"/>
        <w:tabs>
          <w:tab w:leader="none" w:pos="1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Sections 23B.08.500 through 23B.08.600 of the Washington Business Corporation Act (the "WBCA") authorize a court to award, or a corporation's board of directors to grant, indemnification to directors and officers on terms sufficiently broad to permit indemnification under certain circumstances for liabilities arising under the Securities Act of 1933, as amended (the "Securities Act"). Section 10 of the registrant's Restated Bylaws (the "Bylaws") provides for indemnification of the registrant's directors and officers and, with Board approval, the registrant's employees and agents to the maximum extent permitted by Washington law. Certain of the directors of the registrant, who are affiliated with principal shareholders of the registrant, also may be indemnified against liability they may incur in their capacity as a director of the registrant, including pursuant to a liability insurance policy for such purpose.</w:t>
      </w:r>
    </w:p>
    <w:p>
      <w:pPr>
        <w:spacing w:after="0" w:line="189"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Section 23B.08.320 of the WBCA authorizes a corporation to limit a director's liability to the corporation or its shareholders for monetary damages for acts or omissions as a director, except in certain circumstances involving intentional misconduct, knowing violations of law or unlawful distributions, or any transaction from which the director personally receives a benefit in money, property or services to which the director is not legally entitled. Article 9 of the registrant's Restated Articles of Incorporation (the "Articles") contains provisions implementing, to the fullest extent permitted by Washington law, such limitations on a director's liability to the registrant and its shareholders.</w:t>
      </w:r>
    </w:p>
    <w:p>
      <w:pPr>
        <w:spacing w:after="0" w:line="179"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Any repeal of or modification to the Bylaws and Articles may not adversely affect any right of indemnification under the Bylaws or Articles of a director or officer who is or was a director or officer of the registrant at the time of such repeal or modification.</w:t>
      </w:r>
    </w:p>
    <w:p>
      <w:pPr>
        <w:spacing w:after="0" w:line="186"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The registrant has entered into an indemnification agreement with each of its executive officers and directors in which the registrant agrees to hold harmless and indemnify the officer or director to the fullest extent permitted by Washington law. In addition, the registrant agrees to indemnify the officer or director against any and all losses, claims, damages, liabilities or expenses incurred in connection with any actual, pending or threatened action, suit, claim or proceeding, whether civil, criminal, administrative or investigative and whether formal or informal, in which the officer or director is, was or becomes involved by reason of the fact that the officer or director is or was a director, officer, employee or agent of the registrant, or that being or having been such a director, officer, employee or agent, such director is or was serving at the request of the registrant as a director, officer, employee,</w:t>
      </w:r>
    </w:p>
    <w:p>
      <w:pPr>
        <w:sectPr>
          <w:pgSz w:w="11900" w:h="16914" w:orient="portrait"/>
          <w:cols w:equalWidth="0" w:num="1">
            <w:col w:w="10219"/>
          </w:cols>
          <w:pgMar w:left="240" w:top="1014" w:right="1440" w:bottom="0" w:gutter="0" w:footer="0" w:header="0"/>
          <w:type w:val="continuous"/>
        </w:sectPr>
      </w:pPr>
    </w:p>
    <w:bookmarkStart w:id="2" w:name="page3"/>
    <w:bookmarkEnd w:id="2"/>
    <w:p>
      <w:pPr>
        <w:jc w:val="both"/>
        <w:ind w:left="4" w:right="2719"/>
        <w:spacing w:after="0" w:line="255" w:lineRule="auto"/>
        <w:rPr>
          <w:sz w:val="20"/>
          <w:szCs w:val="20"/>
          <w:color w:val="auto"/>
        </w:rPr>
      </w:pPr>
      <w:r>
        <w:rPr>
          <w:rFonts w:ascii="Courier New" w:cs="Courier New" w:eastAsia="Courier New" w:hAnsi="Courier New"/>
          <w:sz w:val="15"/>
          <w:szCs w:val="15"/>
          <w:color w:val="auto"/>
        </w:rPr>
        <w:t>trustee or agent of another corporation or of a partnership, joint venture, trust or other enterprise, including service with respect to an employee benefit plan, whether the basis of such proceeding is alleged action (or inaction) by the officer or director in an official capacity as a director, officer, employee, trustee or agent. The officer or director is not indemnified for any action, suit, claim or proceeding instituted by or at the direction of the officer or director unless such action, suit, claim or proceeding is or was authorized by the registrant's Board of Directors or unless the action is to enforce the provisions of the indemnification agreement.</w:t>
      </w:r>
    </w:p>
    <w:p>
      <w:pPr>
        <w:spacing w:after="0" w:line="179" w:lineRule="exact"/>
        <w:rPr>
          <w:sz w:val="20"/>
          <w:szCs w:val="20"/>
          <w:color w:val="auto"/>
        </w:rPr>
      </w:pPr>
    </w:p>
    <w:p>
      <w:pPr>
        <w:jc w:val="both"/>
        <w:ind w:left="4" w:right="2719" w:firstLine="844"/>
        <w:spacing w:after="0" w:line="256" w:lineRule="auto"/>
        <w:rPr>
          <w:sz w:val="20"/>
          <w:szCs w:val="20"/>
          <w:color w:val="auto"/>
        </w:rPr>
      </w:pPr>
      <w:r>
        <w:rPr>
          <w:rFonts w:ascii="Courier New" w:cs="Courier New" w:eastAsia="Courier New" w:hAnsi="Courier New"/>
          <w:sz w:val="15"/>
          <w:szCs w:val="15"/>
          <w:color w:val="auto"/>
        </w:rPr>
        <w:t>No indemnity pursuant to the indemnification agreements may be provided by the registrant on account of any suit in which a final, unappealable judgment is rendered against an officer or director for an accounting of profits made from the purchase or sale by the officer or director of securities of the registrant in violation of the provisions of Section 16(b) of the Exchange Act, and amendments thereto, or for damages that have been paid directly to the executive officer or director by an insurance carrier under a policy of directors' and officers' liability insurance maintained by the registrant.</w:t>
      </w:r>
    </w:p>
    <w:p>
      <w:pPr>
        <w:spacing w:after="0" w:line="173" w:lineRule="exact"/>
        <w:rPr>
          <w:sz w:val="20"/>
          <w:szCs w:val="20"/>
          <w:color w:val="auto"/>
        </w:rPr>
      </w:pPr>
    </w:p>
    <w:p>
      <w:pPr>
        <w:jc w:val="both"/>
        <w:ind w:left="4" w:right="2719" w:firstLine="844"/>
        <w:spacing w:after="0" w:line="237" w:lineRule="auto"/>
        <w:rPr>
          <w:sz w:val="20"/>
          <w:szCs w:val="20"/>
          <w:color w:val="auto"/>
        </w:rPr>
      </w:pPr>
      <w:r>
        <w:rPr>
          <w:rFonts w:ascii="Courier New" w:cs="Courier New" w:eastAsia="Courier New" w:hAnsi="Courier New"/>
          <w:sz w:val="16"/>
          <w:szCs w:val="16"/>
          <w:color w:val="auto"/>
        </w:rPr>
        <w:t>Officers and directors of the registrant are covered by insurance (with certain exceptions and certain limitations) that indemnifies them against losses and liabilites arising from certain alleged "wrongful acts," including alleged errors or misstatements, or certain other alleged wrongful acts or omissions constituting neglect or breach of duty.</w:t>
      </w:r>
    </w:p>
    <w:p>
      <w:pPr>
        <w:spacing w:after="0" w:line="182"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7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Item 8.  EXHIBITS</w:t>
            </w:r>
          </w:p>
        </w:tc>
        <w:tc>
          <w:tcPr>
            <w:tcW w:w="5260" w:type="dxa"/>
            <w:vAlign w:val="bottom"/>
          </w:tcPr>
          <w:p>
            <w:pPr>
              <w:spacing w:after="0"/>
              <w:rPr>
                <w:sz w:val="15"/>
                <w:szCs w:val="15"/>
                <w:color w:val="auto"/>
              </w:rPr>
            </w:pPr>
          </w:p>
        </w:tc>
      </w:tr>
      <w:tr>
        <w:trPr>
          <w:trHeight w:val="361"/>
        </w:trPr>
        <w:tc>
          <w:tcPr>
            <w:tcW w:w="1780" w:type="dxa"/>
            <w:vAlign w:val="bottom"/>
          </w:tcPr>
          <w:p>
            <w:pPr>
              <w:ind w:left="560"/>
              <w:spacing w:after="0"/>
              <w:rPr>
                <w:sz w:val="20"/>
                <w:szCs w:val="20"/>
                <w:color w:val="auto"/>
              </w:rPr>
            </w:pPr>
            <w:r>
              <w:rPr>
                <w:rFonts w:ascii="Courier New" w:cs="Courier New" w:eastAsia="Courier New" w:hAnsi="Courier New"/>
                <w:sz w:val="16"/>
                <w:szCs w:val="16"/>
                <w:color w:val="auto"/>
              </w:rPr>
              <w:t>Exhibit</w:t>
            </w:r>
          </w:p>
        </w:tc>
        <w:tc>
          <w:tcPr>
            <w:tcW w:w="5260" w:type="dxa"/>
            <w:vAlign w:val="bottom"/>
          </w:tcPr>
          <w:p>
            <w:pPr>
              <w:spacing w:after="0"/>
              <w:rPr>
                <w:sz w:val="24"/>
                <w:szCs w:val="24"/>
                <w:color w:val="auto"/>
              </w:rPr>
            </w:pPr>
          </w:p>
        </w:tc>
      </w:tr>
      <w:tr>
        <w:trPr>
          <w:trHeight w:val="180"/>
        </w:trPr>
        <w:tc>
          <w:tcPr>
            <w:tcW w:w="1780" w:type="dxa"/>
            <w:vAlign w:val="bottom"/>
          </w:tcPr>
          <w:p>
            <w:pPr>
              <w:ind w:left="560"/>
              <w:spacing w:after="0"/>
              <w:rPr>
                <w:sz w:val="20"/>
                <w:szCs w:val="20"/>
                <w:color w:val="auto"/>
              </w:rPr>
            </w:pPr>
            <w:r>
              <w:rPr>
                <w:rFonts w:ascii="Courier New" w:cs="Courier New" w:eastAsia="Courier New" w:hAnsi="Courier New"/>
                <w:sz w:val="16"/>
                <w:szCs w:val="16"/>
                <w:color w:val="auto"/>
              </w:rPr>
              <w:t>Number</w:t>
            </w:r>
          </w:p>
        </w:tc>
        <w:tc>
          <w:tcPr>
            <w:tcW w:w="5260" w:type="dxa"/>
            <w:vAlign w:val="bottom"/>
          </w:tcPr>
          <w:p>
            <w:pPr>
              <w:ind w:left="2160"/>
              <w:spacing w:after="0"/>
              <w:rPr>
                <w:sz w:val="20"/>
                <w:szCs w:val="20"/>
                <w:color w:val="auto"/>
              </w:rPr>
            </w:pPr>
            <w:r>
              <w:rPr>
                <w:rFonts w:ascii="Courier New" w:cs="Courier New" w:eastAsia="Courier New" w:hAnsi="Courier New"/>
                <w:sz w:val="16"/>
                <w:szCs w:val="16"/>
                <w:color w:val="auto"/>
              </w:rPr>
              <w:t>Description</w:t>
            </w:r>
          </w:p>
        </w:tc>
      </w:tr>
      <w:tr>
        <w:trPr>
          <w:trHeight w:val="361"/>
        </w:trPr>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5.1</w:t>
            </w:r>
          </w:p>
        </w:tc>
        <w:tc>
          <w:tcPr>
            <w:tcW w:w="5260" w:type="dxa"/>
            <w:vAlign w:val="bottom"/>
          </w:tcPr>
          <w:p>
            <w:pPr>
              <w:ind w:left="180"/>
              <w:spacing w:after="0"/>
              <w:rPr>
                <w:sz w:val="20"/>
                <w:szCs w:val="20"/>
                <w:color w:val="auto"/>
              </w:rPr>
            </w:pPr>
            <w:r>
              <w:rPr>
                <w:rFonts w:ascii="Courier New" w:cs="Courier New" w:eastAsia="Courier New" w:hAnsi="Courier New"/>
                <w:sz w:val="16"/>
                <w:szCs w:val="16"/>
                <w:color w:val="auto"/>
                <w:w w:val="99"/>
              </w:rPr>
              <w:t>Opinion of Perkins Coie LLP regarding legality of the</w:t>
            </w:r>
          </w:p>
        </w:tc>
      </w:tr>
      <w:tr>
        <w:trPr>
          <w:trHeight w:val="180"/>
        </w:trPr>
        <w:tc>
          <w:tcPr>
            <w:tcW w:w="1780" w:type="dxa"/>
            <w:vAlign w:val="bottom"/>
          </w:tcPr>
          <w:p>
            <w:pPr>
              <w:spacing w:after="0"/>
              <w:rPr>
                <w:sz w:val="15"/>
                <w:szCs w:val="15"/>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6"/>
                <w:szCs w:val="16"/>
                <w:color w:val="auto"/>
              </w:rPr>
              <w:t>Common Stock being registered</w:t>
            </w:r>
          </w:p>
        </w:tc>
      </w:tr>
      <w:tr>
        <w:trPr>
          <w:trHeight w:val="361"/>
        </w:trPr>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23.1</w:t>
            </w:r>
          </w:p>
        </w:tc>
        <w:tc>
          <w:tcPr>
            <w:tcW w:w="5260" w:type="dxa"/>
            <w:vAlign w:val="bottom"/>
          </w:tcPr>
          <w:p>
            <w:pPr>
              <w:ind w:left="180"/>
              <w:spacing w:after="0"/>
              <w:rPr>
                <w:sz w:val="20"/>
                <w:szCs w:val="20"/>
                <w:color w:val="auto"/>
              </w:rPr>
            </w:pPr>
            <w:r>
              <w:rPr>
                <w:rFonts w:ascii="Courier New" w:cs="Courier New" w:eastAsia="Courier New" w:hAnsi="Courier New"/>
                <w:sz w:val="16"/>
                <w:szCs w:val="16"/>
                <w:color w:val="auto"/>
                <w:w w:val="97"/>
              </w:rPr>
              <w:t>Consent of Deloitte &amp; Touche LLP, Independent Auditors</w:t>
            </w:r>
          </w:p>
        </w:tc>
      </w:tr>
      <w:tr>
        <w:trPr>
          <w:trHeight w:val="361"/>
        </w:trPr>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23.2</w:t>
            </w:r>
          </w:p>
        </w:tc>
        <w:tc>
          <w:tcPr>
            <w:tcW w:w="5260" w:type="dxa"/>
            <w:vAlign w:val="bottom"/>
          </w:tcPr>
          <w:p>
            <w:pPr>
              <w:ind w:left="180"/>
              <w:spacing w:after="0"/>
              <w:rPr>
                <w:sz w:val="20"/>
                <w:szCs w:val="20"/>
                <w:color w:val="auto"/>
              </w:rPr>
            </w:pPr>
            <w:r>
              <w:rPr>
                <w:rFonts w:ascii="Courier New" w:cs="Courier New" w:eastAsia="Courier New" w:hAnsi="Courier New"/>
                <w:sz w:val="16"/>
                <w:szCs w:val="16"/>
                <w:color w:val="auto"/>
                <w:w w:val="97"/>
              </w:rPr>
              <w:t>Consent of Perkins Coie LLP (included in opinion filed</w:t>
            </w:r>
          </w:p>
        </w:tc>
      </w:tr>
      <w:tr>
        <w:trPr>
          <w:trHeight w:val="180"/>
        </w:trPr>
        <w:tc>
          <w:tcPr>
            <w:tcW w:w="1780" w:type="dxa"/>
            <w:vAlign w:val="bottom"/>
          </w:tcPr>
          <w:p>
            <w:pPr>
              <w:spacing w:after="0"/>
              <w:rPr>
                <w:sz w:val="15"/>
                <w:szCs w:val="15"/>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6"/>
                <w:szCs w:val="16"/>
                <w:color w:val="auto"/>
              </w:rPr>
              <w:t>as Exhibit 5.1)</w:t>
            </w:r>
          </w:p>
        </w:tc>
      </w:tr>
      <w:tr>
        <w:trPr>
          <w:trHeight w:val="361"/>
        </w:trPr>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24.1</w:t>
            </w:r>
          </w:p>
        </w:tc>
        <w:tc>
          <w:tcPr>
            <w:tcW w:w="5260" w:type="dxa"/>
            <w:vAlign w:val="bottom"/>
          </w:tcPr>
          <w:p>
            <w:pPr>
              <w:ind w:left="180"/>
              <w:spacing w:after="0"/>
              <w:rPr>
                <w:sz w:val="20"/>
                <w:szCs w:val="20"/>
                <w:color w:val="auto"/>
              </w:rPr>
            </w:pPr>
            <w:r>
              <w:rPr>
                <w:rFonts w:ascii="Courier New" w:cs="Courier New" w:eastAsia="Courier New" w:hAnsi="Courier New"/>
                <w:sz w:val="16"/>
                <w:szCs w:val="16"/>
                <w:color w:val="auto"/>
              </w:rPr>
              <w:t>Power of Attorney (see signature page)</w:t>
            </w:r>
          </w:p>
        </w:tc>
      </w:tr>
      <w:tr>
        <w:trPr>
          <w:trHeight w:val="361"/>
        </w:trPr>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99.1</w:t>
            </w:r>
          </w:p>
        </w:tc>
        <w:tc>
          <w:tcPr>
            <w:tcW w:w="5260" w:type="dxa"/>
            <w:vAlign w:val="bottom"/>
          </w:tcPr>
          <w:p>
            <w:pPr>
              <w:ind w:left="180"/>
              <w:spacing w:after="0"/>
              <w:rPr>
                <w:sz w:val="20"/>
                <w:szCs w:val="20"/>
                <w:color w:val="auto"/>
              </w:rPr>
            </w:pPr>
            <w:r>
              <w:rPr>
                <w:rFonts w:ascii="Courier New" w:cs="Courier New" w:eastAsia="Courier New" w:hAnsi="Courier New"/>
                <w:sz w:val="16"/>
                <w:szCs w:val="16"/>
                <w:color w:val="auto"/>
              </w:rPr>
              <w:t>Itron, Inc. 2000 Stock Incentive Compensation Plan</w:t>
            </w:r>
          </w:p>
        </w:tc>
      </w:tr>
    </w:tbl>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UNDERTAKINGS</w:t>
      </w:r>
    </w:p>
    <w:p>
      <w:pPr>
        <w:spacing w:after="0" w:line="179" w:lineRule="exact"/>
        <w:rPr>
          <w:sz w:val="20"/>
          <w:szCs w:val="20"/>
          <w:color w:val="auto"/>
        </w:rPr>
      </w:pPr>
    </w:p>
    <w:p>
      <w:pPr>
        <w:ind w:left="844" w:hanging="844"/>
        <w:spacing w:after="0"/>
        <w:tabs>
          <w:tab w:leader="none" w:pos="8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4" w:right="2719" w:firstLine="840"/>
        <w:spacing w:after="0" w:line="236" w:lineRule="auto"/>
        <w:tabs>
          <w:tab w:leader="none" w:pos="1223"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79" w:lineRule="exact"/>
        <w:rPr>
          <w:rFonts w:ascii="Courier New" w:cs="Courier New" w:eastAsia="Courier New" w:hAnsi="Courier New"/>
          <w:sz w:val="16"/>
          <w:szCs w:val="16"/>
          <w:color w:val="auto"/>
        </w:rPr>
      </w:pPr>
    </w:p>
    <w:p>
      <w:pPr>
        <w:ind w:left="2164" w:hanging="476"/>
        <w:spacing w:after="0"/>
        <w:tabs>
          <w:tab w:leader="none" w:pos="2164"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Act;</w:t>
      </w:r>
    </w:p>
    <w:p>
      <w:pPr>
        <w:spacing w:after="0" w:line="183" w:lineRule="exact"/>
        <w:rPr>
          <w:rFonts w:ascii="Courier New" w:cs="Courier New" w:eastAsia="Courier New" w:hAnsi="Courier New"/>
          <w:sz w:val="16"/>
          <w:szCs w:val="16"/>
          <w:color w:val="auto"/>
        </w:rPr>
      </w:pPr>
    </w:p>
    <w:p>
      <w:pPr>
        <w:jc w:val="both"/>
        <w:ind w:left="4" w:right="2719" w:firstLine="1684"/>
        <w:spacing w:after="0" w:line="237" w:lineRule="auto"/>
        <w:tabs>
          <w:tab w:leader="none" w:pos="2161"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7" w:lineRule="exact"/>
        <w:rPr>
          <w:rFonts w:ascii="Courier New" w:cs="Courier New" w:eastAsia="Courier New" w:hAnsi="Courier New"/>
          <w:sz w:val="16"/>
          <w:szCs w:val="16"/>
          <w:color w:val="auto"/>
        </w:rPr>
      </w:pPr>
    </w:p>
    <w:p>
      <w:pPr>
        <w:jc w:val="both"/>
        <w:ind w:left="4" w:right="2719" w:firstLine="1684"/>
        <w:spacing w:after="0" w:line="259" w:lineRule="auto"/>
        <w:tabs>
          <w:tab w:leader="none" w:pos="2255" w:val="left"/>
        </w:tabs>
        <w:numPr>
          <w:ilvl w:val="2"/>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1" w:lineRule="exact"/>
        <w:rPr>
          <w:sz w:val="20"/>
          <w:szCs w:val="20"/>
          <w:color w:val="auto"/>
        </w:rPr>
      </w:pPr>
    </w:p>
    <w:p>
      <w:pPr>
        <w:jc w:val="both"/>
        <w:ind w:left="4" w:right="2719"/>
        <w:spacing w:after="0" w:line="237" w:lineRule="auto"/>
        <w:rPr>
          <w:sz w:val="20"/>
          <w:szCs w:val="20"/>
          <w:color w:val="auto"/>
        </w:rPr>
      </w:pPr>
      <w:r>
        <w:rPr>
          <w:rFonts w:ascii="Courier New" w:cs="Courier New" w:eastAsia="Courier New" w:hAnsi="Courier New"/>
          <w:sz w:val="16"/>
          <w:szCs w:val="16"/>
          <w:color w:val="auto"/>
        </w:rPr>
        <w:t>provided, however, that paragraphs (1)(i) and (1)(ii) above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187" w:lineRule="exact"/>
        <w:rPr>
          <w:sz w:val="20"/>
          <w:szCs w:val="20"/>
          <w:color w:val="auto"/>
        </w:rPr>
      </w:pPr>
    </w:p>
    <w:p>
      <w:pPr>
        <w:jc w:val="both"/>
        <w:ind w:left="4" w:right="2719" w:firstLine="840"/>
        <w:spacing w:after="0" w:line="237" w:lineRule="auto"/>
        <w:tabs>
          <w:tab w:leader="none" w:pos="12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jc w:val="both"/>
        <w:ind w:left="4" w:right="2719" w:firstLine="840"/>
        <w:spacing w:after="0" w:line="237" w:lineRule="auto"/>
        <w:tabs>
          <w:tab w:leader="none" w:pos="122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jc w:val="both"/>
        <w:ind w:left="4" w:right="2719" w:hanging="4"/>
        <w:spacing w:after="0" w:line="238" w:lineRule="auto"/>
        <w:tabs>
          <w:tab w:leader="none" w:pos="37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benefits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23"/>
          </w:cols>
          <w:pgMar w:left="236" w:top="142" w:right="1440" w:bottom="0" w:gutter="0" w:footer="0" w:header="0"/>
        </w:sectPr>
      </w:pPr>
    </w:p>
    <w:bookmarkStart w:id="3" w:name="page4"/>
    <w:bookmarkEnd w:id="3"/>
    <w:p>
      <w:pPr>
        <w:jc w:val="both"/>
        <w:ind w:right="2719"/>
        <w:spacing w:after="0" w:line="238" w:lineRule="auto"/>
        <w:rPr>
          <w:sz w:val="20"/>
          <w:szCs w:val="20"/>
          <w:color w:val="auto"/>
        </w:rPr>
      </w:pPr>
      <w:r>
        <w:rPr>
          <w:rFonts w:ascii="Courier New" w:cs="Courier New" w:eastAsia="Courier New" w:hAnsi="Courier New"/>
          <w:sz w:val="16"/>
          <w:szCs w:val="16"/>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322" w:right="1440" w:bottom="1440" w:gutter="0" w:footer="0" w:header="0"/>
        </w:sectPr>
      </w:pPr>
    </w:p>
    <w:bookmarkStart w:id="4" w:name="page5"/>
    <w:bookmarkEnd w:id="4"/>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jc w:val="both"/>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Spokane, State of Washington, on the 28th day of June, 2000.</w:t>
      </w:r>
    </w:p>
    <w:p>
      <w:pPr>
        <w:spacing w:after="0" w:line="184" w:lineRule="exact"/>
        <w:rPr>
          <w:sz w:val="20"/>
          <w:szCs w:val="20"/>
          <w:color w:val="auto"/>
        </w:rPr>
      </w:pPr>
    </w:p>
    <w:p>
      <w:pPr>
        <w:ind w:left="5064"/>
        <w:spacing w:after="0"/>
        <w:rPr>
          <w:sz w:val="20"/>
          <w:szCs w:val="20"/>
          <w:color w:val="auto"/>
        </w:rPr>
      </w:pPr>
      <w:r>
        <w:rPr>
          <w:rFonts w:ascii="Courier New" w:cs="Courier New" w:eastAsia="Courier New" w:hAnsi="Courier New"/>
          <w:sz w:val="16"/>
          <w:szCs w:val="16"/>
          <w:color w:val="auto"/>
        </w:rPr>
        <w:t>ITRON, INC.</w:t>
      </w:r>
    </w:p>
    <w:p>
      <w:pPr>
        <w:spacing w:after="0" w:line="179" w:lineRule="exact"/>
        <w:rPr>
          <w:sz w:val="20"/>
          <w:szCs w:val="20"/>
          <w:color w:val="auto"/>
        </w:rPr>
      </w:pPr>
    </w:p>
    <w:p>
      <w:pPr>
        <w:ind w:left="4224"/>
        <w:spacing w:after="0"/>
        <w:rPr>
          <w:sz w:val="20"/>
          <w:szCs w:val="20"/>
          <w:color w:val="auto"/>
        </w:rPr>
      </w:pPr>
      <w:r>
        <w:rPr>
          <w:rFonts w:ascii="Courier New" w:cs="Courier New" w:eastAsia="Courier New" w:hAnsi="Courier New"/>
          <w:sz w:val="16"/>
          <w:szCs w:val="16"/>
          <w:color w:val="auto"/>
        </w:rPr>
        <w:t>By: /s/ LEROY D. NOSBAUM</w:t>
      </w:r>
    </w:p>
    <w:p>
      <w:pPr>
        <w:ind w:left="4964"/>
        <w:spacing w:after="0"/>
        <w:rPr>
          <w:sz w:val="20"/>
          <w:szCs w:val="20"/>
          <w:color w:val="auto"/>
        </w:rPr>
      </w:pPr>
      <w:r>
        <w:rPr>
          <w:rFonts w:ascii="Courier New" w:cs="Courier New" w:eastAsia="Courier New" w:hAnsi="Courier New"/>
          <w:sz w:val="16"/>
          <w:szCs w:val="16"/>
          <w:color w:val="auto"/>
        </w:rPr>
        <w:t>---------------------</w:t>
      </w:r>
    </w:p>
    <w:p>
      <w:pPr>
        <w:ind w:left="4964"/>
        <w:spacing w:after="0" w:line="237" w:lineRule="auto"/>
        <w:rPr>
          <w:sz w:val="20"/>
          <w:szCs w:val="20"/>
          <w:color w:val="auto"/>
        </w:rPr>
      </w:pPr>
      <w:r>
        <w:rPr>
          <w:rFonts w:ascii="Courier New" w:cs="Courier New" w:eastAsia="Courier New" w:hAnsi="Courier New"/>
          <w:sz w:val="16"/>
          <w:szCs w:val="16"/>
          <w:color w:val="auto"/>
        </w:rPr>
        <w:t>LeRoy D. Nosbaum</w:t>
      </w:r>
    </w:p>
    <w:p>
      <w:pPr>
        <w:ind w:left="4964"/>
        <w:spacing w:after="0"/>
        <w:rPr>
          <w:sz w:val="20"/>
          <w:szCs w:val="20"/>
          <w:color w:val="auto"/>
        </w:rPr>
      </w:pPr>
      <w:r>
        <w:rPr>
          <w:rFonts w:ascii="Courier New" w:cs="Courier New" w:eastAsia="Courier New" w:hAnsi="Courier New"/>
          <w:sz w:val="16"/>
          <w:szCs w:val="16"/>
          <w:color w:val="auto"/>
        </w:rPr>
        <w:t>President and</w:t>
      </w:r>
    </w:p>
    <w:p>
      <w:pPr>
        <w:ind w:left="4964"/>
        <w:spacing w:after="0" w:line="238" w:lineRule="auto"/>
        <w:rPr>
          <w:sz w:val="20"/>
          <w:szCs w:val="20"/>
          <w:color w:val="auto"/>
        </w:rPr>
      </w:pPr>
      <w:r>
        <w:rPr>
          <w:rFonts w:ascii="Courier New" w:cs="Courier New" w:eastAsia="Courier New" w:hAnsi="Courier New"/>
          <w:sz w:val="16"/>
          <w:szCs w:val="16"/>
          <w:color w:val="auto"/>
        </w:rPr>
        <w:t>Chief Executive Officer</w:t>
      </w:r>
    </w:p>
    <w:p>
      <w:pPr>
        <w:spacing w:after="0" w:line="360"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POWER OF ATTORNEY</w:t>
      </w:r>
    </w:p>
    <w:p>
      <w:pPr>
        <w:spacing w:after="0" w:line="185" w:lineRule="exact"/>
        <w:rPr>
          <w:sz w:val="20"/>
          <w:szCs w:val="20"/>
          <w:color w:val="auto"/>
        </w:rPr>
      </w:pPr>
    </w:p>
    <w:p>
      <w:pPr>
        <w:jc w:val="both"/>
        <w:ind w:left="4" w:right="2719" w:firstLine="844"/>
        <w:spacing w:after="0" w:line="237" w:lineRule="auto"/>
        <w:rPr>
          <w:sz w:val="20"/>
          <w:szCs w:val="20"/>
          <w:color w:val="auto"/>
        </w:rPr>
      </w:pPr>
      <w:r>
        <w:rPr>
          <w:rFonts w:ascii="Courier New" w:cs="Courier New" w:eastAsia="Courier New" w:hAnsi="Courier New"/>
          <w:sz w:val="16"/>
          <w:szCs w:val="16"/>
          <w:color w:val="auto"/>
        </w:rPr>
        <w:t>Each person whose individual signature appears below hereby authorizes LeRoy D. Nosbaum and David G. Remington,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189" w:lineRule="exact"/>
        <w:rPr>
          <w:sz w:val="20"/>
          <w:szCs w:val="20"/>
          <w:color w:val="auto"/>
        </w:rPr>
      </w:pPr>
    </w:p>
    <w:p>
      <w:pPr>
        <w:jc w:val="both"/>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below on the 28th day of June, 2000.</w:t>
      </w:r>
    </w:p>
    <w:p>
      <w:pPr>
        <w:sectPr>
          <w:pgSz w:w="11900" w:h="16838" w:orient="portrait"/>
          <w:cols w:equalWidth="0" w:num="1">
            <w:col w:w="10223"/>
          </w:cols>
          <w:pgMar w:left="236" w:top="834" w:right="1440" w:bottom="828" w:gutter="0" w:footer="0" w:header="0"/>
        </w:sectPr>
      </w:pPr>
    </w:p>
    <w:p>
      <w:pPr>
        <w:spacing w:after="0" w:line="185" w:lineRule="exact"/>
        <w:rPr>
          <w:sz w:val="20"/>
          <w:szCs w:val="20"/>
          <w:color w:val="auto"/>
        </w:rPr>
      </w:pPr>
    </w:p>
    <w:p>
      <w:pPr>
        <w:ind w:left="744"/>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6" w:lineRule="exact"/>
        <w:rPr>
          <w:sz w:val="20"/>
          <w:szCs w:val="20"/>
          <w:color w:val="auto"/>
        </w:rPr>
      </w:pPr>
    </w:p>
    <w:p>
      <w:pPr>
        <w:sectPr>
          <w:pgSz w:w="11900" w:h="16838" w:orient="portrait"/>
          <w:cols w:equalWidth="0" w:num="2">
            <w:col w:w="4164" w:space="720"/>
            <w:col w:w="5339"/>
          </w:cols>
          <w:pgMar w:left="236" w:top="834" w:right="1440" w:bottom="828"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/s/ LEROY D. NOSBAUM</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LeRoy D. Nosbaum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Executive Officer)</w:t>
      </w:r>
    </w:p>
    <w:p>
      <w:pPr>
        <w:spacing w:after="0" w:line="380" w:lineRule="exact"/>
        <w:rPr>
          <w:sz w:val="20"/>
          <w:szCs w:val="20"/>
          <w:color w:val="auto"/>
        </w:rPr>
      </w:pPr>
    </w:p>
    <w:p>
      <w:pPr>
        <w:sectPr>
          <w:pgSz w:w="11900" w:h="16838" w:orient="portrait"/>
          <w:cols w:equalWidth="0" w:num="2">
            <w:col w:w="2664" w:space="720"/>
            <w:col w:w="6839"/>
          </w:cols>
          <w:pgMar w:left="236" w:top="834" w:right="1440" w:bottom="828" w:gutter="0" w:footer="0" w:header="0"/>
          <w:type w:val="continuous"/>
        </w:sectPr>
      </w:pPr>
    </w:p>
    <w:p>
      <w:pPr>
        <w:spacing w:after="0" w:line="1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DAVID G. REMINGTON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David G. Remington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386" w:lineRule="exact"/>
        <w:rPr>
          <w:sz w:val="20"/>
          <w:szCs w:val="20"/>
          <w:color w:val="auto"/>
        </w:rPr>
      </w:pPr>
    </w:p>
    <w:p>
      <w:pPr>
        <w:sectPr>
          <w:pgSz w:w="11900" w:h="16838" w:orient="portrait"/>
          <w:cols w:equalWidth="0" w:num="2">
            <w:col w:w="2664" w:space="720"/>
            <w:col w:w="6839"/>
          </w:cols>
          <w:pgMar w:left="236" w:top="834" w:right="1440" w:bottom="828" w:gutter="0" w:footer="0" w:header="0"/>
          <w:type w:val="continuous"/>
        </w:sectPr>
      </w:pPr>
    </w:p>
    <w:p>
      <w:pPr>
        <w:spacing w:after="0" w:line="1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S. EDWARD WHITE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S. Edward White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567" w:lineRule="exact"/>
        <w:rPr>
          <w:sz w:val="20"/>
          <w:szCs w:val="20"/>
          <w:color w:val="auto"/>
        </w:rPr>
      </w:pPr>
    </w:p>
    <w:p>
      <w:pPr>
        <w:sectPr>
          <w:pgSz w:w="11900" w:h="16838" w:orient="portrait"/>
          <w:cols w:equalWidth="0" w:num="2">
            <w:col w:w="2664" w:space="720"/>
            <w:col w:w="6839"/>
          </w:cols>
          <w:pgMar w:left="236" w:top="834" w:right="1440" w:bottom="828" w:gutter="0" w:footer="0" w:header="0"/>
          <w:type w:val="continuous"/>
        </w:sectPr>
      </w:pPr>
    </w:p>
    <w:p>
      <w:pPr>
        <w:spacing w:after="0" w:line="160" w:lineRule="exact"/>
        <w:rPr>
          <w:sz w:val="20"/>
          <w:szCs w:val="20"/>
          <w:color w:val="auto"/>
        </w:rPr>
      </w:pPr>
    </w:p>
    <w:p>
      <w:pPr>
        <w:ind w:left="4"/>
        <w:spacing w:after="0"/>
        <w:tabs>
          <w:tab w:leader="none" w:pos="3363" w:val="left"/>
        </w:tabs>
        <w:rPr>
          <w:sz w:val="20"/>
          <w:szCs w:val="20"/>
          <w:color w:val="auto"/>
        </w:rPr>
      </w:pPr>
      <w:r>
        <w:rPr>
          <w:rFonts w:ascii="Courier New" w:cs="Courier New" w:eastAsia="Courier New" w:hAnsi="Courier New"/>
          <w:sz w:val="16"/>
          <w:szCs w:val="16"/>
          <w:color w:val="auto"/>
        </w:rPr>
        <w:t>/s/ MICHAEL B. BRACY</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B. Bracy</w:t>
      </w:r>
    </w:p>
    <w:p>
      <w:pPr>
        <w:spacing w:after="0" w:line="359" w:lineRule="exact"/>
        <w:rPr>
          <w:sz w:val="20"/>
          <w:szCs w:val="20"/>
          <w:color w:val="auto"/>
        </w:rPr>
      </w:pPr>
    </w:p>
    <w:p>
      <w:pPr>
        <w:ind w:left="4"/>
        <w:spacing w:after="0"/>
        <w:tabs>
          <w:tab w:leader="none" w:pos="3363" w:val="left"/>
        </w:tabs>
        <w:rPr>
          <w:sz w:val="20"/>
          <w:szCs w:val="20"/>
          <w:color w:val="auto"/>
        </w:rPr>
      </w:pPr>
      <w:r>
        <w:rPr>
          <w:rFonts w:ascii="Courier New" w:cs="Courier New" w:eastAsia="Courier New" w:hAnsi="Courier New"/>
          <w:sz w:val="16"/>
          <w:szCs w:val="16"/>
          <w:color w:val="auto"/>
        </w:rPr>
        <w:t>/s/ MICHAEL J. CHESSER</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J. Chesser</w:t>
      </w:r>
    </w:p>
    <w:p>
      <w:pPr>
        <w:spacing w:after="0" w:line="359" w:lineRule="exact"/>
        <w:rPr>
          <w:sz w:val="20"/>
          <w:szCs w:val="20"/>
          <w:color w:val="auto"/>
        </w:rPr>
      </w:pPr>
    </w:p>
    <w:p>
      <w:pPr>
        <w:ind w:left="4"/>
        <w:spacing w:after="0"/>
        <w:tabs>
          <w:tab w:leader="none" w:pos="3363" w:val="left"/>
        </w:tabs>
        <w:rPr>
          <w:sz w:val="20"/>
          <w:szCs w:val="20"/>
          <w:color w:val="auto"/>
        </w:rPr>
      </w:pPr>
      <w:r>
        <w:rPr>
          <w:rFonts w:ascii="Courier New" w:cs="Courier New" w:eastAsia="Courier New" w:hAnsi="Courier New"/>
          <w:sz w:val="16"/>
          <w:szCs w:val="16"/>
          <w:color w:val="auto"/>
        </w:rPr>
        <w:t>/s/ TED C. DEMERRITT</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Ted C. DeMerritt</w:t>
      </w:r>
    </w:p>
    <w:p>
      <w:pPr>
        <w:spacing w:after="0" w:line="359" w:lineRule="exact"/>
        <w:rPr>
          <w:sz w:val="20"/>
          <w:szCs w:val="20"/>
          <w:color w:val="auto"/>
        </w:rPr>
      </w:pPr>
    </w:p>
    <w:p>
      <w:pPr>
        <w:ind w:left="4"/>
        <w:spacing w:after="0"/>
        <w:tabs>
          <w:tab w:leader="none" w:pos="3363" w:val="left"/>
        </w:tabs>
        <w:rPr>
          <w:sz w:val="20"/>
          <w:szCs w:val="20"/>
          <w:color w:val="auto"/>
        </w:rPr>
      </w:pPr>
      <w:r>
        <w:rPr>
          <w:rFonts w:ascii="Courier New" w:cs="Courier New" w:eastAsia="Courier New" w:hAnsi="Courier New"/>
          <w:sz w:val="16"/>
          <w:szCs w:val="16"/>
          <w:color w:val="auto"/>
        </w:rPr>
        <w:t>/s/ JON E. ELIASSEN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Jon E. Eliassen</w:t>
      </w:r>
    </w:p>
    <w:p>
      <w:pPr>
        <w:spacing w:after="0" w:line="359" w:lineRule="exact"/>
        <w:rPr>
          <w:sz w:val="20"/>
          <w:szCs w:val="20"/>
          <w:color w:val="auto"/>
        </w:rPr>
      </w:pPr>
    </w:p>
    <w:p>
      <w:pPr>
        <w:ind w:left="4"/>
        <w:spacing w:after="0"/>
        <w:tabs>
          <w:tab w:leader="none" w:pos="3363" w:val="left"/>
        </w:tabs>
        <w:rPr>
          <w:sz w:val="20"/>
          <w:szCs w:val="20"/>
          <w:color w:val="auto"/>
        </w:rPr>
      </w:pPr>
      <w:r>
        <w:rPr>
          <w:rFonts w:ascii="Courier New" w:cs="Courier New" w:eastAsia="Courier New" w:hAnsi="Courier New"/>
          <w:sz w:val="16"/>
          <w:szCs w:val="16"/>
          <w:color w:val="auto"/>
        </w:rPr>
        <w:t>/s/ MARY ANN PETERS</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Mary Ann Peters</w:t>
      </w:r>
    </w:p>
    <w:p>
      <w:pPr>
        <w:spacing w:after="0" w:line="359" w:lineRule="exact"/>
        <w:rPr>
          <w:sz w:val="20"/>
          <w:szCs w:val="20"/>
          <w:color w:val="auto"/>
        </w:rPr>
      </w:pPr>
    </w:p>
    <w:p>
      <w:pPr>
        <w:ind w:left="4"/>
        <w:spacing w:after="0"/>
        <w:tabs>
          <w:tab w:leader="none" w:pos="3363" w:val="left"/>
        </w:tabs>
        <w:rPr>
          <w:sz w:val="20"/>
          <w:szCs w:val="20"/>
          <w:color w:val="auto"/>
        </w:rPr>
      </w:pPr>
      <w:r>
        <w:rPr>
          <w:rFonts w:ascii="Courier New" w:cs="Courier New" w:eastAsia="Courier New" w:hAnsi="Courier New"/>
          <w:sz w:val="16"/>
          <w:szCs w:val="16"/>
          <w:color w:val="auto"/>
        </w:rPr>
        <w:t>/s/ PAUL A. REDMOND</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A. Redmond</w:t>
      </w:r>
    </w:p>
    <w:p>
      <w:pPr>
        <w:spacing w:after="0" w:line="359" w:lineRule="exact"/>
        <w:rPr>
          <w:sz w:val="20"/>
          <w:szCs w:val="20"/>
          <w:color w:val="auto"/>
        </w:rPr>
      </w:pPr>
    </w:p>
    <w:p>
      <w:pPr>
        <w:ind w:left="4"/>
        <w:spacing w:after="0"/>
        <w:tabs>
          <w:tab w:leader="none" w:pos="3363" w:val="left"/>
        </w:tabs>
        <w:rPr>
          <w:sz w:val="20"/>
          <w:szCs w:val="20"/>
          <w:color w:val="auto"/>
        </w:rPr>
      </w:pPr>
      <w:r>
        <w:rPr>
          <w:rFonts w:ascii="Courier New" w:cs="Courier New" w:eastAsia="Courier New" w:hAnsi="Courier New"/>
          <w:sz w:val="16"/>
          <w:szCs w:val="16"/>
          <w:color w:val="auto"/>
        </w:rPr>
        <w:t>/s/ GRAHAM M. WILSON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Graham M. Wilson</w:t>
      </w:r>
    </w:p>
    <w:p>
      <w:pPr>
        <w:sectPr>
          <w:pgSz w:w="11900" w:h="16838" w:orient="portrait"/>
          <w:cols w:equalWidth="0" w:num="1">
            <w:col w:w="10223"/>
          </w:cols>
          <w:pgMar w:left="236" w:top="834" w:right="1440" w:bottom="82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5440" w:type="dxa"/>
            <w:vAlign w:val="bottom"/>
          </w:tcPr>
          <w:p>
            <w:pPr>
              <w:ind w:left="1400"/>
              <w:spacing w:after="0"/>
              <w:rPr>
                <w:sz w:val="20"/>
                <w:szCs w:val="20"/>
                <w:color w:val="auto"/>
              </w:rPr>
            </w:pPr>
            <w:r>
              <w:rPr>
                <w:rFonts w:ascii="Courier New" w:cs="Courier New" w:eastAsia="Courier New" w:hAnsi="Courier New"/>
                <w:sz w:val="16"/>
                <w:szCs w:val="16"/>
                <w:color w:val="auto"/>
              </w:rPr>
              <w:t>INDEX TO EXHIBITS</w:t>
            </w:r>
          </w:p>
        </w:tc>
      </w:tr>
      <w:tr>
        <w:trPr>
          <w:trHeight w:val="361"/>
        </w:trPr>
        <w:tc>
          <w:tcPr>
            <w:tcW w:w="10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440" w:type="dxa"/>
            <w:vAlign w:val="bottom"/>
          </w:tcPr>
          <w:p>
            <w:pPr>
              <w:spacing w:after="0"/>
              <w:rPr>
                <w:sz w:val="24"/>
                <w:szCs w:val="24"/>
                <w:color w:val="auto"/>
              </w:rPr>
            </w:pPr>
          </w:p>
        </w:tc>
      </w:tr>
      <w:tr>
        <w:trPr>
          <w:trHeight w:val="180"/>
        </w:trPr>
        <w:tc>
          <w:tcPr>
            <w:tcW w:w="10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440" w:type="dxa"/>
            <w:vAlign w:val="bottom"/>
          </w:tcPr>
          <w:p>
            <w:pPr>
              <w:ind w:left="2240"/>
              <w:spacing w:after="0"/>
              <w:rPr>
                <w:sz w:val="20"/>
                <w:szCs w:val="20"/>
                <w:color w:val="auto"/>
              </w:rPr>
            </w:pPr>
            <w:r>
              <w:rPr>
                <w:rFonts w:ascii="Courier New" w:cs="Courier New" w:eastAsia="Courier New" w:hAnsi="Courier New"/>
                <w:sz w:val="16"/>
                <w:szCs w:val="16"/>
                <w:color w:val="auto"/>
              </w:rPr>
              <w:t>Description</w:t>
            </w:r>
          </w:p>
        </w:tc>
      </w:tr>
      <w:tr>
        <w:trPr>
          <w:trHeight w:val="361"/>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5.1</w:t>
            </w:r>
          </w:p>
        </w:tc>
        <w:tc>
          <w:tcPr>
            <w:tcW w:w="5440" w:type="dxa"/>
            <w:vAlign w:val="bottom"/>
          </w:tcPr>
          <w:p>
            <w:pPr>
              <w:ind w:left="360"/>
              <w:spacing w:after="0"/>
              <w:rPr>
                <w:sz w:val="20"/>
                <w:szCs w:val="20"/>
                <w:color w:val="auto"/>
              </w:rPr>
            </w:pPr>
            <w:r>
              <w:rPr>
                <w:rFonts w:ascii="Courier New" w:cs="Courier New" w:eastAsia="Courier New" w:hAnsi="Courier New"/>
                <w:sz w:val="16"/>
                <w:szCs w:val="16"/>
                <w:color w:val="auto"/>
                <w:w w:val="99"/>
              </w:rPr>
              <w:t>Opinion of Perkins Coie LLP regarding legality of the</w:t>
            </w:r>
          </w:p>
        </w:tc>
      </w:tr>
      <w:tr>
        <w:trPr>
          <w:trHeight w:val="180"/>
        </w:trPr>
        <w:tc>
          <w:tcPr>
            <w:tcW w:w="1040" w:type="dxa"/>
            <w:vAlign w:val="bottom"/>
          </w:tcPr>
          <w:p>
            <w:pPr>
              <w:spacing w:after="0"/>
              <w:rPr>
                <w:sz w:val="15"/>
                <w:szCs w:val="15"/>
                <w:color w:val="auto"/>
              </w:rPr>
            </w:pPr>
          </w:p>
        </w:tc>
        <w:tc>
          <w:tcPr>
            <w:tcW w:w="5440" w:type="dxa"/>
            <w:vAlign w:val="bottom"/>
          </w:tcPr>
          <w:p>
            <w:pPr>
              <w:ind w:left="360"/>
              <w:spacing w:after="0"/>
              <w:rPr>
                <w:sz w:val="20"/>
                <w:szCs w:val="20"/>
                <w:color w:val="auto"/>
              </w:rPr>
            </w:pPr>
            <w:r>
              <w:rPr>
                <w:rFonts w:ascii="Courier New" w:cs="Courier New" w:eastAsia="Courier New" w:hAnsi="Courier New"/>
                <w:sz w:val="16"/>
                <w:szCs w:val="16"/>
                <w:color w:val="auto"/>
              </w:rPr>
              <w:t>Common Stock being registered</w:t>
            </w:r>
          </w:p>
        </w:tc>
      </w:tr>
      <w:tr>
        <w:trPr>
          <w:trHeight w:val="361"/>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23.1</w:t>
            </w:r>
          </w:p>
        </w:tc>
        <w:tc>
          <w:tcPr>
            <w:tcW w:w="5440" w:type="dxa"/>
            <w:vAlign w:val="bottom"/>
          </w:tcPr>
          <w:p>
            <w:pPr>
              <w:ind w:left="360"/>
              <w:spacing w:after="0"/>
              <w:rPr>
                <w:sz w:val="20"/>
                <w:szCs w:val="20"/>
                <w:color w:val="auto"/>
              </w:rPr>
            </w:pPr>
            <w:r>
              <w:rPr>
                <w:rFonts w:ascii="Courier New" w:cs="Courier New" w:eastAsia="Courier New" w:hAnsi="Courier New"/>
                <w:sz w:val="16"/>
                <w:szCs w:val="16"/>
                <w:color w:val="auto"/>
              </w:rPr>
              <w:t>Independent Auditors Consent</w:t>
            </w:r>
          </w:p>
        </w:tc>
      </w:tr>
      <w:tr>
        <w:trPr>
          <w:trHeight w:val="361"/>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23.2</w:t>
            </w:r>
          </w:p>
        </w:tc>
        <w:tc>
          <w:tcPr>
            <w:tcW w:w="5440" w:type="dxa"/>
            <w:vAlign w:val="bottom"/>
          </w:tcPr>
          <w:p>
            <w:pPr>
              <w:ind w:left="360"/>
              <w:spacing w:after="0"/>
              <w:rPr>
                <w:sz w:val="20"/>
                <w:szCs w:val="20"/>
                <w:color w:val="auto"/>
              </w:rPr>
            </w:pPr>
            <w:r>
              <w:rPr>
                <w:rFonts w:ascii="Courier New" w:cs="Courier New" w:eastAsia="Courier New" w:hAnsi="Courier New"/>
                <w:sz w:val="16"/>
                <w:szCs w:val="16"/>
                <w:color w:val="auto"/>
                <w:w w:val="97"/>
              </w:rPr>
              <w:t>Consent of Perkins Coie LLP (included in opinion filed</w:t>
            </w:r>
          </w:p>
        </w:tc>
      </w:tr>
      <w:tr>
        <w:trPr>
          <w:trHeight w:val="180"/>
        </w:trPr>
        <w:tc>
          <w:tcPr>
            <w:tcW w:w="1040" w:type="dxa"/>
            <w:vAlign w:val="bottom"/>
          </w:tcPr>
          <w:p>
            <w:pPr>
              <w:spacing w:after="0"/>
              <w:rPr>
                <w:sz w:val="15"/>
                <w:szCs w:val="15"/>
                <w:color w:val="auto"/>
              </w:rPr>
            </w:pPr>
          </w:p>
        </w:tc>
        <w:tc>
          <w:tcPr>
            <w:tcW w:w="5440" w:type="dxa"/>
            <w:vAlign w:val="bottom"/>
          </w:tcPr>
          <w:p>
            <w:pPr>
              <w:ind w:left="360"/>
              <w:spacing w:after="0"/>
              <w:rPr>
                <w:sz w:val="20"/>
                <w:szCs w:val="20"/>
                <w:color w:val="auto"/>
              </w:rPr>
            </w:pPr>
            <w:r>
              <w:rPr>
                <w:rFonts w:ascii="Courier New" w:cs="Courier New" w:eastAsia="Courier New" w:hAnsi="Courier New"/>
                <w:sz w:val="16"/>
                <w:szCs w:val="16"/>
                <w:color w:val="auto"/>
              </w:rPr>
              <w:t>as Exhibit 5.1)</w:t>
            </w:r>
          </w:p>
        </w:tc>
      </w:tr>
      <w:tr>
        <w:trPr>
          <w:trHeight w:val="361"/>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24.1</w:t>
            </w:r>
          </w:p>
        </w:tc>
        <w:tc>
          <w:tcPr>
            <w:tcW w:w="5440" w:type="dxa"/>
            <w:vAlign w:val="bottom"/>
          </w:tcPr>
          <w:p>
            <w:pPr>
              <w:ind w:left="360"/>
              <w:spacing w:after="0"/>
              <w:rPr>
                <w:sz w:val="20"/>
                <w:szCs w:val="20"/>
                <w:color w:val="auto"/>
              </w:rPr>
            </w:pPr>
            <w:r>
              <w:rPr>
                <w:rFonts w:ascii="Courier New" w:cs="Courier New" w:eastAsia="Courier New" w:hAnsi="Courier New"/>
                <w:sz w:val="16"/>
                <w:szCs w:val="16"/>
                <w:color w:val="auto"/>
              </w:rPr>
              <w:t>Power of Attorney (see signature page)</w:t>
            </w:r>
          </w:p>
        </w:tc>
      </w:tr>
      <w:tr>
        <w:trPr>
          <w:trHeight w:val="361"/>
        </w:trPr>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99.1</w:t>
            </w:r>
          </w:p>
        </w:tc>
        <w:tc>
          <w:tcPr>
            <w:tcW w:w="5440" w:type="dxa"/>
            <w:vAlign w:val="bottom"/>
          </w:tcPr>
          <w:p>
            <w:pPr>
              <w:ind w:left="360"/>
              <w:spacing w:after="0"/>
              <w:rPr>
                <w:sz w:val="20"/>
                <w:szCs w:val="20"/>
                <w:color w:val="auto"/>
              </w:rPr>
            </w:pPr>
            <w:r>
              <w:rPr>
                <w:rFonts w:ascii="Courier New" w:cs="Courier New" w:eastAsia="Courier New" w:hAnsi="Courier New"/>
                <w:sz w:val="16"/>
                <w:szCs w:val="16"/>
                <w:color w:val="auto"/>
              </w:rPr>
              <w:t>Itron, Inc. 2000 Stock Incentive Compensation Plan</w:t>
            </w:r>
          </w:p>
        </w:tc>
      </w:tr>
    </w:tbl>
    <w:p>
      <w:pPr>
        <w:sectPr>
          <w:pgSz w:w="11900" w:h="16838" w:orient="portrait"/>
          <w:cols w:equalWidth="0" w:num="1">
            <w:col w:w="9659"/>
          </w:cols>
          <w:pgMar w:left="800" w:top="1014" w:right="1440" w:bottom="1440" w:gutter="0" w:footer="0" w:header="0"/>
        </w:sectPr>
      </w:pPr>
    </w:p>
    <w:bookmarkStart w:id="6" w:name="page7"/>
    <w:bookmarkEnd w:id="6"/>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[Perkins Coie LLP Letterhead]</w:t>
      </w:r>
    </w:p>
    <w:p>
      <w:pPr>
        <w:spacing w:after="0" w:line="200" w:lineRule="exact"/>
        <w:rPr>
          <w:sz w:val="20"/>
          <w:szCs w:val="20"/>
          <w:color w:val="auto"/>
        </w:rPr>
      </w:pPr>
    </w:p>
    <w:p>
      <w:pPr>
        <w:spacing w:after="0" w:line="34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June 28,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Inc.</w:t>
      </w:r>
    </w:p>
    <w:p>
      <w:pPr>
        <w:spacing w:after="0"/>
        <w:rPr>
          <w:sz w:val="20"/>
          <w:szCs w:val="20"/>
          <w:color w:val="auto"/>
        </w:rPr>
      </w:pPr>
      <w:r>
        <w:rPr>
          <w:rFonts w:ascii="Courier New" w:cs="Courier New" w:eastAsia="Courier New" w:hAnsi="Courier New"/>
          <w:sz w:val="16"/>
          <w:szCs w:val="16"/>
          <w:color w:val="auto"/>
        </w:rPr>
        <w:t>2818 N. Sullivan Road</w:t>
      </w:r>
    </w:p>
    <w:p>
      <w:pPr>
        <w:spacing w:after="0"/>
        <w:tabs>
          <w:tab w:leader="none" w:pos="1940" w:val="left"/>
        </w:tabs>
        <w:rPr>
          <w:sz w:val="20"/>
          <w:szCs w:val="20"/>
          <w:color w:val="auto"/>
        </w:rPr>
      </w:pPr>
      <w:r>
        <w:rPr>
          <w:rFonts w:ascii="Courier New" w:cs="Courier New" w:eastAsia="Courier New" w:hAnsi="Courier New"/>
          <w:sz w:val="16"/>
          <w:szCs w:val="16"/>
          <w:color w:val="auto"/>
        </w:rPr>
        <w:t>Spokane, Washington</w:t>
      </w:r>
      <w:r>
        <w:rPr>
          <w:sz w:val="20"/>
          <w:szCs w:val="20"/>
          <w:color w:val="auto"/>
        </w:rPr>
        <w:tab/>
      </w:r>
      <w:r>
        <w:rPr>
          <w:rFonts w:ascii="Courier New" w:cs="Courier New" w:eastAsia="Courier New" w:hAnsi="Courier New"/>
          <w:sz w:val="15"/>
          <w:szCs w:val="15"/>
          <w:color w:val="auto"/>
        </w:rPr>
        <w:t>99216-1897</w:t>
      </w:r>
    </w:p>
    <w:p>
      <w:pPr>
        <w:spacing w:after="0" w:line="185" w:lineRule="exact"/>
        <w:rPr>
          <w:sz w:val="20"/>
          <w:szCs w:val="20"/>
          <w:color w:val="auto"/>
        </w:rPr>
      </w:pPr>
    </w:p>
    <w:p>
      <w:pPr>
        <w:ind w:left="840"/>
        <w:spacing w:after="0"/>
        <w:tabs>
          <w:tab w:leader="none" w:pos="16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Registration Statement on Form S-8 of Shares of Common Stock,</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par value $0.01 per share, of Itron,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up to 1,800,000 shares of Common Stock, par value $0.01 per share, which may be issued pursuant to the Itron, Inc. 2000 Stock Incentive Compensation Plan (the "Plan").</w:t>
      </w:r>
    </w:p>
    <w:p>
      <w:pPr>
        <w:sectPr>
          <w:pgSz w:w="11900" w:h="16838" w:orient="portrait"/>
          <w:cols w:equalWidth="0" w:num="1">
            <w:col w:w="10219"/>
          </w:cols>
          <w:pgMar w:left="240" w:top="317" w:right="1440" w:bottom="1440" w:gutter="0" w:footer="0" w:header="0"/>
        </w:sectPr>
      </w:pPr>
    </w:p>
    <w:p>
      <w:pPr>
        <w:spacing w:after="0" w:line="189" w:lineRule="exact"/>
        <w:rPr>
          <w:sz w:val="20"/>
          <w:szCs w:val="20"/>
          <w:color w:val="auto"/>
        </w:rPr>
      </w:pPr>
    </w:p>
    <w:p>
      <w:pPr>
        <w:ind w:firstLine="844"/>
        <w:spacing w:after="0" w:line="256" w:lineRule="auto"/>
        <w:rPr>
          <w:sz w:val="20"/>
          <w:szCs w:val="20"/>
          <w:color w:val="auto"/>
        </w:rPr>
      </w:pPr>
      <w:r>
        <w:rPr>
          <w:rFonts w:ascii="Courier New" w:cs="Courier New" w:eastAsia="Courier New" w:hAnsi="Courier New"/>
          <w:sz w:val="15"/>
          <w:szCs w:val="15"/>
          <w:color w:val="auto"/>
        </w:rPr>
        <w:t>We have examined the Registration records of the Company and other documents necessary for the purpose of this opinion. assuming the authenticity of all instruments conformity with originals of all instruments genuineness of all signatures.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ind w:right="2719"/>
        <w:spacing w:after="0" w:line="256" w:lineRule="auto"/>
        <w:rPr>
          <w:sz w:val="20"/>
          <w:szCs w:val="20"/>
          <w:color w:val="auto"/>
        </w:rPr>
      </w:pPr>
      <w:r>
        <w:rPr>
          <w:rFonts w:ascii="Courier New" w:cs="Courier New" w:eastAsia="Courier New" w:hAnsi="Courier New"/>
          <w:sz w:val="15"/>
          <w:szCs w:val="15"/>
          <w:color w:val="auto"/>
        </w:rPr>
        <w:t>Statement  and such  documents and as we have  deemed  relevant  and In giving  this  opinion,  we are presented to us as originals,  the presented to us as copies and the</w:t>
      </w:r>
    </w:p>
    <w:p>
      <w:pPr>
        <w:spacing w:after="0" w:line="356" w:lineRule="exact"/>
        <w:rPr>
          <w:sz w:val="20"/>
          <w:szCs w:val="20"/>
          <w:color w:val="auto"/>
        </w:rPr>
      </w:pPr>
    </w:p>
    <w:p>
      <w:pPr>
        <w:sectPr>
          <w:pgSz w:w="11900" w:h="16838" w:orient="portrait"/>
          <w:cols w:equalWidth="0" w:num="2">
            <w:col w:w="4220" w:space="100"/>
            <w:col w:w="5899"/>
          </w:cols>
          <w:pgMar w:left="240" w:top="317" w:right="1440" w:bottom="1440" w:gutter="0" w:footer="0" w:header="0"/>
          <w:type w:val="continuous"/>
        </w:sect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Based upon and subject to the foregoing, we are of the opinion that any shares that may be issued pursuant to the Plan have been duly authorized and that, upon the due execution by the Company and the registration by its registrar of such shares, the sale thereof by the Company in accordance with the terms of the Plan and the receipt of consideration therefor in accordance with the terms of the Plan, such shares will be validly issued, fully paid and nonassessable.</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80"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/s/ PERKINS COIE LLP</w:t>
      </w:r>
    </w:p>
    <w:p>
      <w:pPr>
        <w:sectPr>
          <w:pgSz w:w="11900" w:h="16838" w:orient="portrait"/>
          <w:cols w:equalWidth="0" w:num="1">
            <w:col w:w="10219"/>
          </w:cols>
          <w:pgMar w:left="240" w:top="317" w:right="1440" w:bottom="1440" w:gutter="0" w:footer="0" w:header="0"/>
          <w:type w:val="continuous"/>
        </w:sectPr>
      </w:pPr>
    </w:p>
    <w:bookmarkStart w:id="7" w:name="page8"/>
    <w:bookmarkEnd w:id="7"/>
    <w:p>
      <w:pPr>
        <w:jc w:val="right"/>
        <w:ind w:right="2719"/>
        <w:spacing w:after="0"/>
        <w:rPr>
          <w:sz w:val="20"/>
          <w:szCs w:val="20"/>
          <w:color w:val="auto"/>
        </w:rPr>
      </w:pPr>
      <w:r>
        <w:rPr>
          <w:rFonts w:ascii="Courier New" w:cs="Courier New" w:eastAsia="Courier New" w:hAnsi="Courier New"/>
          <w:sz w:val="16"/>
          <w:szCs w:val="16"/>
          <w:color w:val="auto"/>
        </w:rPr>
        <w:t>EXHIBIT 23.1</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INDEPENDENT AUDITORS CONSENT</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by Itron, Inc. on Form S-8 of our report dated March 28, 2000, included in Itron, Inc.'s Annual Report on Form 10-K for the year ended December 31, 1999.</w:t>
      </w:r>
    </w:p>
    <w:p>
      <w:pPr>
        <w:spacing w:after="0" w:line="180"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/s/ Deloitte &amp; Touche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Seattle, Washington</w:t>
      </w:r>
    </w:p>
    <w:p>
      <w:pPr>
        <w:spacing w:after="0"/>
        <w:rPr>
          <w:sz w:val="20"/>
          <w:szCs w:val="20"/>
          <w:color w:val="auto"/>
        </w:rPr>
      </w:pPr>
      <w:r>
        <w:rPr>
          <w:rFonts w:ascii="Courier New" w:cs="Courier New" w:eastAsia="Courier New" w:hAnsi="Courier New"/>
          <w:sz w:val="16"/>
          <w:szCs w:val="16"/>
          <w:color w:val="auto"/>
        </w:rPr>
        <w:t>June 28, 2000</w:t>
      </w:r>
    </w:p>
    <w:p>
      <w:pPr>
        <w:sectPr>
          <w:pgSz w:w="11900" w:h="16838" w:orient="portrait"/>
          <w:cols w:equalWidth="0" w:num="1">
            <w:col w:w="10219"/>
          </w:cols>
          <w:pgMar w:left="240" w:top="317" w:right="1440" w:bottom="1440" w:gutter="0" w:footer="0" w:header="0"/>
        </w:sectPr>
      </w:pPr>
    </w:p>
    <w:bookmarkStart w:id="8" w:name="page9"/>
    <w:bookmarkEnd w:id="8"/>
    <w:p>
      <w:pPr>
        <w:jc w:val="right"/>
        <w:ind w:right="2719"/>
        <w:spacing w:after="0"/>
        <w:rPr>
          <w:sz w:val="20"/>
          <w:szCs w:val="20"/>
          <w:color w:val="auto"/>
        </w:rPr>
      </w:pPr>
      <w:r>
        <w:rPr>
          <w:rFonts w:ascii="Courier New" w:cs="Courier New" w:eastAsia="Courier New" w:hAnsi="Courier New"/>
          <w:sz w:val="16"/>
          <w:szCs w:val="16"/>
          <w:color w:val="auto"/>
        </w:rPr>
        <w:t>EXIHBIT 99.1</w:t>
      </w:r>
    </w:p>
    <w:p>
      <w:pPr>
        <w:spacing w:after="0" w:line="17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ITRON, INC.</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2000 STOCK INCENTIVE COMPENSATION PLAN</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SECTION 1. PURPOSE</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The purpose of the Itron, Inc. 2000 Stock Incentive Compensation Plan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SECTION 2. DEFINITIONS</w:t>
      </w:r>
    </w:p>
    <w:p>
      <w:pPr>
        <w:spacing w:after="0" w:line="185" w:lineRule="exact"/>
        <w:rPr>
          <w:sz w:val="20"/>
          <w:szCs w:val="20"/>
          <w:color w:val="auto"/>
        </w:rPr>
      </w:pPr>
    </w:p>
    <w:p>
      <w:pPr>
        <w:jc w:val="both"/>
        <w:ind w:right="2719" w:firstLine="844"/>
        <w:spacing w:after="0" w:line="236" w:lineRule="auto"/>
        <w:rPr>
          <w:sz w:val="20"/>
          <w:szCs w:val="20"/>
          <w:color w:val="auto"/>
        </w:rPr>
      </w:pPr>
      <w:r>
        <w:rPr>
          <w:rFonts w:ascii="Courier New" w:cs="Courier New" w:eastAsia="Courier New" w:hAnsi="Courier New"/>
          <w:sz w:val="16"/>
          <w:szCs w:val="16"/>
          <w:color w:val="auto"/>
        </w:rPr>
        <w:t>For purposes of the Plan, the following terms shall be defined as set forth below:</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"Award" means an award or grant made pursuant to the Plan, including, without limitation, awards or grants of Stock Awards and Options, or any combination of the foregoing.</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"Board" means the Board of Directors of the Company.</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"Cause" means dishonesty, fraud, misconduct, unauthorized use or disclosure of confidential information or trade secrets, or conviction or confession of a crime punishable by law (except minor violations), in each case as determined by the Plan Administrator, and its determination shall be conclusive and binding.</w:t>
      </w:r>
    </w:p>
    <w:p>
      <w:pPr>
        <w:spacing w:after="0" w:line="182"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"Code" means the Internal Revenue Code of 1986, as amended from time to</w:t>
      </w:r>
    </w:p>
    <w:p>
      <w:pPr>
        <w:spacing w:after="0"/>
        <w:rPr>
          <w:sz w:val="20"/>
          <w:szCs w:val="20"/>
          <w:color w:val="auto"/>
        </w:rPr>
      </w:pPr>
      <w:r>
        <w:rPr>
          <w:rFonts w:ascii="Courier New" w:cs="Courier New" w:eastAsia="Courier New" w:hAnsi="Courier New"/>
          <w:sz w:val="16"/>
          <w:szCs w:val="16"/>
          <w:color w:val="auto"/>
        </w:rPr>
        <w:t>time.</w:t>
      </w:r>
    </w:p>
    <w:p>
      <w:pPr>
        <w:spacing w:after="0" w:line="184" w:lineRule="exact"/>
        <w:rPr>
          <w:sz w:val="20"/>
          <w:szCs w:val="20"/>
          <w:color w:val="auto"/>
        </w:rPr>
      </w:pPr>
    </w:p>
    <w:p>
      <w:pPr>
        <w:ind w:right="2999" w:firstLine="844"/>
        <w:spacing w:after="0" w:line="236" w:lineRule="auto"/>
        <w:rPr>
          <w:sz w:val="20"/>
          <w:szCs w:val="20"/>
          <w:color w:val="auto"/>
        </w:rPr>
      </w:pPr>
      <w:r>
        <w:rPr>
          <w:rFonts w:ascii="Courier New" w:cs="Courier New" w:eastAsia="Courier New" w:hAnsi="Courier New"/>
          <w:sz w:val="16"/>
          <w:szCs w:val="16"/>
          <w:color w:val="auto"/>
        </w:rPr>
        <w:t>"Common Stock" means the common stock, par value $0.01 per share, of the Company.</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"Corporate Transaction" has the meaning set forth in Section 12.3.1.</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"Effective Date" has the meaning set forth in Section 15.</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"Exchange Act" means the Securities Exchange Act of 1934, as amended.</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"Fair Market Value" shall be as established in good faith by the Plan Administrator or (a) if the Common Stock is listed on the Nasdaq National Market, the closing sales price for the Common Stock as reported by the Nasdaq National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w:t>
      </w:r>
    </w:p>
    <w:p>
      <w:pPr>
        <w:spacing w:after="0" w:line="187"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"Grant Date" means the date on which the Plan Administrator completes the corporate action relating to the grant of an Award and all conditions precedent to the grant have been satisfied, provided that conditions to the exercisability or vesting of Awards shall not defer the Grant Date.</w:t>
      </w:r>
    </w:p>
    <w:p>
      <w:pPr>
        <w:spacing w:after="0" w:line="186"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"Incentive Stock Option" means an Option to purchase Common Stock granted under Section 7 with the intention that it qualify as an "incentive stock option" as that term is defined in Section 422 of the Code.</w:t>
      </w:r>
    </w:p>
    <w:p>
      <w:pPr>
        <w:spacing w:after="0" w:line="185" w:lineRule="exact"/>
        <w:rPr>
          <w:sz w:val="20"/>
          <w:szCs w:val="20"/>
          <w:color w:val="auto"/>
        </w:rPr>
      </w:pPr>
    </w:p>
    <w:p>
      <w:pPr>
        <w:jc w:val="both"/>
        <w:ind w:right="2719" w:firstLine="844"/>
        <w:spacing w:after="0" w:line="236" w:lineRule="auto"/>
        <w:rPr>
          <w:sz w:val="20"/>
          <w:szCs w:val="20"/>
          <w:color w:val="auto"/>
        </w:rPr>
      </w:pPr>
      <w:r>
        <w:rPr>
          <w:rFonts w:ascii="Courier New" w:cs="Courier New" w:eastAsia="Courier New" w:hAnsi="Courier New"/>
          <w:sz w:val="16"/>
          <w:szCs w:val="16"/>
          <w:color w:val="auto"/>
        </w:rPr>
        <w:t>"Nonqualified Stock Option" means an Option to purchase Common Stock granted under Section 7 other than an Incentive Stock Option.</w:t>
      </w:r>
    </w:p>
    <w:p>
      <w:pPr>
        <w:spacing w:after="0" w:line="185" w:lineRule="exact"/>
        <w:rPr>
          <w:sz w:val="20"/>
          <w:szCs w:val="20"/>
          <w:color w:val="auto"/>
        </w:rPr>
      </w:pPr>
    </w:p>
    <w:p>
      <w:pPr>
        <w:ind w:right="3479" w:firstLine="844"/>
        <w:spacing w:after="0" w:line="236" w:lineRule="auto"/>
        <w:rPr>
          <w:sz w:val="20"/>
          <w:szCs w:val="20"/>
          <w:color w:val="auto"/>
        </w:rPr>
      </w:pPr>
      <w:r>
        <w:rPr>
          <w:rFonts w:ascii="Courier New" w:cs="Courier New" w:eastAsia="Courier New" w:hAnsi="Courier New"/>
          <w:sz w:val="16"/>
          <w:szCs w:val="16"/>
          <w:color w:val="auto"/>
        </w:rPr>
        <w:t>"Option" means the right to purchase Common Stock granted under Section 7.</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"Option Term" has the meaning set forth in Section 7.3.</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"Parent," except as otherwise provided in Section 8.3 in connection with Incentive Stock Options, means any entity, whether now or hereafter existing, that directly or indirectly controls the Company.</w:t>
      </w:r>
    </w:p>
    <w:p>
      <w:pPr>
        <w:spacing w:after="0" w:line="185" w:lineRule="exact"/>
        <w:rPr>
          <w:sz w:val="20"/>
          <w:szCs w:val="20"/>
          <w:color w:val="auto"/>
        </w:rPr>
      </w:pPr>
    </w:p>
    <w:p>
      <w:pPr>
        <w:jc w:val="both"/>
        <w:ind w:right="2719" w:firstLine="844"/>
        <w:spacing w:after="0" w:line="256" w:lineRule="auto"/>
        <w:rPr>
          <w:sz w:val="20"/>
          <w:szCs w:val="20"/>
          <w:color w:val="auto"/>
        </w:rPr>
      </w:pPr>
      <w:r>
        <w:rPr>
          <w:rFonts w:ascii="Courier New" w:cs="Courier New" w:eastAsia="Courier New" w:hAnsi="Courier New"/>
          <w:sz w:val="15"/>
          <w:szCs w:val="15"/>
          <w:color w:val="auto"/>
        </w:rPr>
        <w:t>"Participant" means (a) the person to whom an Award is granted; (b) for a Participant who has died, the personal representative of the Participant's estate, the person(s) to whom the Participant's rights under the Award have passed by will or by the applicable laws of descent and distribution, or the beneficiary designated in accordance with Section 11; or (c) the person(s) to whom an Award has been transferred in accordance with Section 11.</w:t>
      </w:r>
    </w:p>
    <w:p>
      <w:pPr>
        <w:sectPr>
          <w:pgSz w:w="11900" w:h="16838" w:orient="portrait"/>
          <w:cols w:equalWidth="0" w:num="1">
            <w:col w:w="10219"/>
          </w:cols>
          <w:pgMar w:left="240" w:top="317" w:right="1440" w:bottom="0" w:gutter="0" w:footer="0" w:header="0"/>
        </w:sectPr>
      </w:pPr>
    </w:p>
    <w:bookmarkStart w:id="9" w:name="page10"/>
    <w:bookmarkEnd w:id="9"/>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"Plan Administrator" means the Board or any committee or committees designated by the Board or any person to whom the Board has delegated authority to administer the Plan under Section 3.1.</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"Related Corporation" means any Parent or Subsidiary of the Company.</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"Securities Act" means the Securities Act of 1933, as amended.</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"Stock Award" means shares of Common Stock or units denominated in Common Stock granted under Section 9, the rights of ownership of which may be subject to restrictions prescribed by the Plan Administrator.</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"Subsidiary," except as otherwise provided in Section 8.3 in connection with Incentive Stock Options, means any entity that is directly or indirectly controlled by the Company.</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"Successor Corporation" has the meaning set forth in Section 12.3.2.</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"Termination Date" has the meaning set forth in Section 7.6.</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SECTION 3. ADMINISTRATION</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Plan Administrator</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The Plan shall be administered by the Board and/or a committee or committees (which term includes subcommittees) appointed by, and consisting of two or more members of, the Board (a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 (a) "outside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pacing w:after="0" w:line="18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Administration and Interpretation by Plan Administrator</w:t>
      </w:r>
    </w:p>
    <w:p>
      <w:pPr>
        <w:spacing w:after="0" w:line="185"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as it so determines.</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SECTION 4. STOCK SUBJECT TO THE PLAN</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Authorized Number of Shares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Subject to adjustment from time to time as provided in Section 12.1, the number of shares of Common Stock that shall be available for issuance under the Plan shall be 1,800,000.</w:t>
      </w:r>
    </w:p>
    <w:p>
      <w:pPr>
        <w:spacing w:after="0" w:line="185"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In addition, (a) any authorized shares not issued or subject to outstanding awards under the Company's 1989 Stock Option Plan (the "Prior Plan") on the Effective Date and (b) any shares subject to outstanding awards under the Prior Plan on the Effective Date that cease to be subject to such awards (other than by reason of exercise or payment of the awards to the extent they are exercised for or settled in shares), up to an aggregate maximum of 25,000 shares, which shares shall cease, as of the date of shareholder approval of the Plan, to be available be available for grant and issuance under the Prior Plan, but shall be available for issuance under the Plan.</w:t>
      </w:r>
    </w:p>
    <w:p>
      <w:pPr>
        <w:spacing w:after="0" w:line="179" w:lineRule="exact"/>
        <w:rPr>
          <w:sz w:val="20"/>
          <w:szCs w:val="20"/>
          <w:color w:val="auto"/>
        </w:rPr>
      </w:pPr>
    </w:p>
    <w:p>
      <w:pPr>
        <w:jc w:val="both"/>
        <w:ind w:right="2719" w:firstLine="844"/>
        <w:spacing w:after="0" w:line="236" w:lineRule="auto"/>
        <w:rPr>
          <w:sz w:val="20"/>
          <w:szCs w:val="20"/>
          <w:color w:val="auto"/>
        </w:rPr>
      </w:pPr>
      <w:r>
        <w:rPr>
          <w:rFonts w:ascii="Courier New" w:cs="Courier New" w:eastAsia="Courier New" w:hAnsi="Courier New"/>
          <w:sz w:val="16"/>
          <w:szCs w:val="16"/>
          <w:color w:val="auto"/>
        </w:rPr>
        <w:t>Shares issued under the Plan shall be drawn from authorized and unissued shares or shares now held or subsequently acquired by the Company.</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Limitations</w:t>
      </w:r>
    </w:p>
    <w:p>
      <w:pPr>
        <w:spacing w:after="0" w:line="185" w:lineRule="exact"/>
        <w:rPr>
          <w:sz w:val="20"/>
          <w:szCs w:val="20"/>
          <w:color w:val="auto"/>
        </w:rPr>
      </w:pPr>
    </w:p>
    <w:p>
      <w:pPr>
        <w:jc w:val="both"/>
        <w:ind w:right="2719" w:firstLine="840"/>
        <w:spacing w:after="0" w:line="237" w:lineRule="auto"/>
        <w:tabs>
          <w:tab w:leader="none" w:pos="131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adjustment from time to time as provided in Section 12.1, not more than an aggregate of 400,000 shares shall be available for issuance pursuant to grants of Stock Awards under the Plan.</w:t>
      </w:r>
    </w:p>
    <w:p>
      <w:pPr>
        <w:spacing w:after="0" w:line="184" w:lineRule="exact"/>
        <w:rPr>
          <w:rFonts w:ascii="Courier New" w:cs="Courier New" w:eastAsia="Courier New" w:hAnsi="Courier New"/>
          <w:sz w:val="16"/>
          <w:szCs w:val="16"/>
          <w:color w:val="auto"/>
        </w:rPr>
      </w:pPr>
    </w:p>
    <w:p>
      <w:pPr>
        <w:jc w:val="both"/>
        <w:ind w:right="2719" w:firstLine="840"/>
        <w:spacing w:after="0" w:line="259" w:lineRule="auto"/>
        <w:tabs>
          <w:tab w:leader="none" w:pos="131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adjustment from time to time as provided in Section 12.1, not more than 300,000 shares of Common Stock may be made subject to Awards under the Plan to any individual in the aggregate in any one fiscal year of the</w:t>
      </w:r>
    </w:p>
    <w:p>
      <w:pPr>
        <w:sectPr>
          <w:pgSz w:w="11900" w:h="16838" w:orient="portrait"/>
          <w:cols w:equalWidth="0" w:num="1">
            <w:col w:w="10219"/>
          </w:cols>
          <w:pgMar w:left="240" w:top="322" w:right="1440" w:bottom="0" w:gutter="0" w:footer="0" w:header="0"/>
        </w:sectPr>
      </w:pPr>
    </w:p>
    <w:bookmarkStart w:id="10" w:name="page11"/>
    <w:bookmarkEnd w:id="10"/>
    <w:p>
      <w:pPr>
        <w:jc w:val="both"/>
        <w:ind w:right="2719"/>
        <w:spacing w:after="0" w:line="237" w:lineRule="auto"/>
        <w:rPr>
          <w:sz w:val="20"/>
          <w:szCs w:val="20"/>
          <w:color w:val="auto"/>
        </w:rPr>
      </w:pPr>
      <w:r>
        <w:rPr>
          <w:rFonts w:ascii="Courier New" w:cs="Courier New" w:eastAsia="Courier New" w:hAnsi="Courier New"/>
          <w:sz w:val="16"/>
          <w:szCs w:val="16"/>
          <w:color w:val="auto"/>
        </w:rPr>
        <w:t>Company, except that the Company may make additional one-time grants of up to 600,000 shares to newly hired individuals, such limitation to be applied in a manner consistent with the requirements of, and only to the extent required for compliance with, the exclusion from the limitation on deductibility of compensation under Section 162(m) of the Code.</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Reuse of Shares</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Any shares of Common Stock that have been made subject to an Award that cease to be subject to the Award (other than by reason of exercise or payment of the Award to the extent it is exercised for or settled in vested and nonforfeitable shares) shall again be available for issuance in connection with future grants of Awards under the Plan; provided, however, that for purposes of Section 4.2, any such shares shall be counted in accordance with the requirements of Section 162(m) of the Code.</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SECTION 5. ELIGIBILITY</w:t>
      </w:r>
    </w:p>
    <w:p>
      <w:pPr>
        <w:spacing w:after="0" w:line="185" w:lineRule="exact"/>
        <w:rPr>
          <w:sz w:val="20"/>
          <w:szCs w:val="20"/>
          <w:color w:val="auto"/>
        </w:rPr>
      </w:pPr>
    </w:p>
    <w:p>
      <w:pPr>
        <w:jc w:val="both"/>
        <w:ind w:right="2719" w:firstLine="844"/>
        <w:spacing w:after="0" w:line="256" w:lineRule="auto"/>
        <w:rPr>
          <w:sz w:val="20"/>
          <w:szCs w:val="20"/>
          <w:color w:val="auto"/>
        </w:rPr>
      </w:pPr>
      <w:r>
        <w:rPr>
          <w:rFonts w:ascii="Courier New" w:cs="Courier New" w:eastAsia="Courier New" w:hAnsi="Courier New"/>
          <w:sz w:val="15"/>
          <w:szCs w:val="15"/>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16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SECTION 6. AWARDS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Form and Grant of Awards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Plan Administrator shall have the authority, in its sole discretion, to determine the type or types of Awards to be made under the Plan. Such Awards may include, but are not limited to, Incentive Stock Options, Nonqualified Stock Options and Stock Awards. Awards may be granted singly or in combination.</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Settlement of Awards</w:t>
      </w:r>
    </w:p>
    <w:p>
      <w:pPr>
        <w:spacing w:after="0" w:line="185"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The Company may settle Awards through the delivery of shares of Common Stock, cash payments,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 The Plan Administrator may at any time offer to buy out, for a payment in cash or Common Stock, an Award previously granted based on such terms and conditions as the Plan Administrator shall establish and communicate to the Participant at the time such offer is made.</w:t>
      </w:r>
    </w:p>
    <w:p>
      <w:pPr>
        <w:spacing w:after="0" w:line="1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Acquired Company Awards</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18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SECTION 7. AWARDS OF OPTIONS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Grant of Options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Plan Administrator is authorized under the Plan, in its sole discretion, to issue Options as Incentive Stock Options or as Nonqualified Stock Options, which shall be appropriately designated.</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Option Exercise Price</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The exercise price for shares purchased under an Option shall be as determined by the Plan Administrator, but shall not be less than 100% of the Fair Market Value of the Common Stock on the Grant Date with respect to Incentive Stock Options and not less than 85% of the Fair Market Value of the Common Stock on the Grant Date with respect to Nonqualified Stock Options. For Incentive Stock Options granted to a more than 10% shareholder, the Option exercise price shall be as specified in Section 8.2.</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Term of Options</w:t>
      </w:r>
    </w:p>
    <w:p>
      <w:pPr>
        <w:spacing w:after="0" w:line="179" w:lineRule="exact"/>
        <w:rPr>
          <w:sz w:val="20"/>
          <w:szCs w:val="20"/>
          <w:color w:val="auto"/>
        </w:rPr>
      </w:pPr>
    </w:p>
    <w:p>
      <w:pPr>
        <w:jc w:val="right"/>
        <w:ind w:right="2719"/>
        <w:spacing w:after="0"/>
        <w:tabs>
          <w:tab w:leader="none" w:pos="3080" w:val="left"/>
        </w:tabs>
        <w:rPr>
          <w:sz w:val="20"/>
          <w:szCs w:val="20"/>
          <w:color w:val="auto"/>
        </w:rPr>
      </w:pPr>
      <w:r>
        <w:rPr>
          <w:rFonts w:ascii="Courier New" w:cs="Courier New" w:eastAsia="Courier New" w:hAnsi="Courier New"/>
          <w:sz w:val="16"/>
          <w:szCs w:val="16"/>
          <w:color w:val="auto"/>
        </w:rPr>
        <w:t>The term of each Option (the "Option</w:t>
      </w:r>
      <w:r>
        <w:rPr>
          <w:sz w:val="20"/>
          <w:szCs w:val="20"/>
          <w:color w:val="auto"/>
        </w:rPr>
        <w:tab/>
      </w:r>
      <w:r>
        <w:rPr>
          <w:rFonts w:ascii="Courier New" w:cs="Courier New" w:eastAsia="Courier New" w:hAnsi="Courier New"/>
          <w:sz w:val="15"/>
          <w:szCs w:val="15"/>
          <w:color w:val="auto"/>
        </w:rPr>
        <w:t>Term") shall be as established by</w:t>
      </w:r>
    </w:p>
    <w:p>
      <w:pPr>
        <w:sectPr>
          <w:pgSz w:w="11900" w:h="16838" w:orient="portrait"/>
          <w:cols w:equalWidth="0" w:num="1">
            <w:col w:w="10219"/>
          </w:cols>
          <w:pgMar w:left="240" w:top="142" w:right="1440" w:bottom="0" w:gutter="0" w:footer="0" w:header="0"/>
        </w:sectPr>
      </w:pPr>
    </w:p>
    <w:bookmarkStart w:id="11" w:name="page12"/>
    <w:bookmarkEnd w:id="11"/>
    <w:p>
      <w:pPr>
        <w:jc w:val="both"/>
        <w:ind w:left="4" w:right="2719"/>
        <w:spacing w:after="0" w:line="237" w:lineRule="auto"/>
        <w:rPr>
          <w:sz w:val="20"/>
          <w:szCs w:val="20"/>
          <w:color w:val="auto"/>
        </w:rPr>
      </w:pPr>
      <w:r>
        <w:rPr>
          <w:rFonts w:ascii="Courier New" w:cs="Courier New" w:eastAsia="Courier New" w:hAnsi="Courier New"/>
          <w:sz w:val="16"/>
          <w:szCs w:val="16"/>
          <w:color w:val="auto"/>
        </w:rPr>
        <w:t>the Plan Administrator or, if not so established, shall be ten years from the Grant Date. For Incentive Stock Options, the maximum Option Term shall be as specified in Sections 8.2 and 8.4.</w:t>
      </w:r>
    </w:p>
    <w:p>
      <w:pPr>
        <w:spacing w:after="0" w:line="18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Exercise of Options</w:t>
      </w:r>
    </w:p>
    <w:p>
      <w:pPr>
        <w:spacing w:after="0" w:line="185"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If not so established in the instrument evidencing the Option, the Option shall vest and become exercisable according to the following schedule, which may be waived or modified by the Plan Administrator at any time:</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360" w:type="dxa"/>
            <w:vAlign w:val="bottom"/>
            <w:gridSpan w:val="3"/>
          </w:tcPr>
          <w:p>
            <w:pPr>
              <w:spacing w:after="0"/>
              <w:rPr>
                <w:sz w:val="20"/>
                <w:szCs w:val="20"/>
                <w:color w:val="auto"/>
              </w:rPr>
            </w:pPr>
            <w:r>
              <w:rPr>
                <w:rFonts w:ascii="Courier New" w:cs="Courier New" w:eastAsia="Courier New" w:hAnsi="Courier New"/>
                <w:sz w:val="16"/>
                <w:szCs w:val="16"/>
                <w:color w:val="auto"/>
              </w:rPr>
              <w:t>Period of Participant's Continuous Employment</w:t>
            </w:r>
          </w:p>
        </w:tc>
        <w:tc>
          <w:tcPr>
            <w:tcW w:w="3240" w:type="dxa"/>
            <w:vAlign w:val="bottom"/>
          </w:tcPr>
          <w:p>
            <w:pPr>
              <w:spacing w:after="0"/>
              <w:rPr>
                <w:sz w:val="15"/>
                <w:szCs w:val="15"/>
                <w:color w:val="auto"/>
              </w:rPr>
            </w:pPr>
          </w:p>
        </w:tc>
      </w:tr>
      <w:tr>
        <w:trPr>
          <w:trHeight w:val="180"/>
        </w:trPr>
        <w:tc>
          <w:tcPr>
            <w:tcW w:w="840" w:type="dxa"/>
            <w:vAlign w:val="bottom"/>
          </w:tcPr>
          <w:p>
            <w:pPr>
              <w:jc w:val="right"/>
              <w:ind w:right="28"/>
              <w:spacing w:after="0"/>
              <w:rPr>
                <w:sz w:val="20"/>
                <w:szCs w:val="20"/>
                <w:color w:val="auto"/>
              </w:rPr>
            </w:pPr>
            <w:r>
              <w:rPr>
                <w:rFonts w:ascii="Courier New" w:cs="Courier New" w:eastAsia="Courier New" w:hAnsi="Courier New"/>
                <w:sz w:val="16"/>
                <w:szCs w:val="16"/>
                <w:color w:val="auto"/>
              </w:rPr>
              <w:t>or</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Service With the Company</w:t>
            </w:r>
          </w:p>
        </w:tc>
        <w:tc>
          <w:tcPr>
            <w:tcW w:w="3240" w:type="dxa"/>
            <w:vAlign w:val="bottom"/>
          </w:tcPr>
          <w:p>
            <w:pPr>
              <w:spacing w:after="0"/>
              <w:rPr>
                <w:sz w:val="15"/>
                <w:szCs w:val="15"/>
                <w:color w:val="auto"/>
              </w:rPr>
            </w:pPr>
          </w:p>
        </w:tc>
      </w:tr>
      <w:tr>
        <w:trPr>
          <w:trHeight w:val="180"/>
        </w:trPr>
        <w:tc>
          <w:tcPr>
            <w:tcW w:w="840" w:type="dxa"/>
            <w:vAlign w:val="bottom"/>
          </w:tcPr>
          <w:p>
            <w:pPr>
              <w:jc w:val="right"/>
              <w:ind w:right="28"/>
              <w:spacing w:after="0"/>
              <w:rPr>
                <w:sz w:val="20"/>
                <w:szCs w:val="20"/>
                <w:color w:val="auto"/>
              </w:rPr>
            </w:pPr>
            <w:r>
              <w:rPr>
                <w:rFonts w:ascii="Courier New" w:cs="Courier New" w:eastAsia="Courier New" w:hAnsi="Courier New"/>
                <w:sz w:val="16"/>
                <w:szCs w:val="16"/>
                <w:color w:val="auto"/>
              </w:rPr>
              <w:t>or</w:t>
            </w:r>
          </w:p>
        </w:tc>
        <w:tc>
          <w:tcPr>
            <w:tcW w:w="3520" w:type="dxa"/>
            <w:vAlign w:val="bottom"/>
            <w:gridSpan w:val="2"/>
          </w:tcPr>
          <w:p>
            <w:pPr>
              <w:spacing w:after="0"/>
              <w:rPr>
                <w:sz w:val="20"/>
                <w:szCs w:val="20"/>
                <w:color w:val="auto"/>
              </w:rPr>
            </w:pPr>
            <w:r>
              <w:rPr>
                <w:rFonts w:ascii="Courier New" w:cs="Courier New" w:eastAsia="Courier New" w:hAnsi="Courier New"/>
                <w:sz w:val="16"/>
                <w:szCs w:val="16"/>
                <w:color w:val="auto"/>
              </w:rPr>
              <w:t>Its Related Corporations</w:t>
            </w:r>
          </w:p>
        </w:tc>
        <w:tc>
          <w:tcPr>
            <w:tcW w:w="3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Percent of Total Option</w:t>
            </w:r>
          </w:p>
        </w:tc>
      </w:tr>
      <w:tr>
        <w:trPr>
          <w:trHeight w:val="180"/>
        </w:trPr>
        <w:tc>
          <w:tcPr>
            <w:tcW w:w="9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From</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the Option Grant Date</w:t>
            </w:r>
          </w:p>
        </w:tc>
        <w:tc>
          <w:tcPr>
            <w:tcW w:w="3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that Is Vested and Exercisable</w:t>
            </w:r>
          </w:p>
        </w:tc>
      </w:tr>
      <w:tr>
        <w:trPr>
          <w:trHeight w:val="180"/>
        </w:trPr>
        <w:tc>
          <w:tcPr>
            <w:tcW w:w="980" w:type="dxa"/>
            <w:vAlign w:val="bottom"/>
            <w:gridSpan w:val="2"/>
          </w:tcPr>
          <w:p>
            <w:pPr>
              <w:spacing w:after="0"/>
              <w:rPr>
                <w:sz w:val="20"/>
                <w:szCs w:val="20"/>
                <w:color w:val="auto"/>
              </w:rPr>
            </w:pPr>
            <w:r>
              <w:rPr>
                <w:rFonts w:ascii="Courier New" w:cs="Courier New" w:eastAsia="Courier New" w:hAnsi="Courier New"/>
                <w:sz w:val="4"/>
                <w:szCs w:val="4"/>
                <w:color w:val="auto"/>
                <w:w w:val="85"/>
              </w:rPr>
              <w:t>- ---------------------------------------------</w:t>
            </w:r>
          </w:p>
        </w:tc>
        <w:tc>
          <w:tcPr>
            <w:tcW w:w="338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840" w:type="dxa"/>
            <w:vAlign w:val="bottom"/>
          </w:tcPr>
          <w:p>
            <w:pPr>
              <w:jc w:val="right"/>
              <w:ind w:right="28"/>
              <w:spacing w:after="0"/>
              <w:rPr>
                <w:sz w:val="20"/>
                <w:szCs w:val="20"/>
                <w:color w:val="auto"/>
              </w:rPr>
            </w:pPr>
            <w:r>
              <w:rPr>
                <w:rFonts w:ascii="Courier New" w:cs="Courier New" w:eastAsia="Courier New" w:hAnsi="Courier New"/>
                <w:sz w:val="16"/>
                <w:szCs w:val="16"/>
                <w:color w:val="auto"/>
              </w:rPr>
              <w:t>After</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year</w:t>
            </w:r>
          </w:p>
        </w:tc>
        <w:tc>
          <w:tcPr>
            <w:tcW w:w="324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25%</w:t>
            </w:r>
          </w:p>
        </w:tc>
      </w:tr>
      <w:tr>
        <w:trPr>
          <w:trHeight w:val="361"/>
        </w:trPr>
        <w:tc>
          <w:tcPr>
            <w:tcW w:w="840" w:type="dxa"/>
            <w:vAlign w:val="bottom"/>
          </w:tcPr>
          <w:p>
            <w:pPr>
              <w:jc w:val="right"/>
              <w:ind w:right="28"/>
              <w:spacing w:after="0"/>
              <w:rPr>
                <w:sz w:val="20"/>
                <w:szCs w:val="20"/>
                <w:color w:val="auto"/>
              </w:rPr>
            </w:pPr>
            <w:r>
              <w:rPr>
                <w:rFonts w:ascii="Courier New" w:cs="Courier New" w:eastAsia="Courier New" w:hAnsi="Courier New"/>
                <w:sz w:val="16"/>
                <w:szCs w:val="16"/>
                <w:color w:val="auto"/>
              </w:rPr>
              <w:t>After</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24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50%</w:t>
            </w:r>
          </w:p>
        </w:tc>
      </w:tr>
      <w:tr>
        <w:trPr>
          <w:trHeight w:val="361"/>
        </w:trPr>
        <w:tc>
          <w:tcPr>
            <w:tcW w:w="840" w:type="dxa"/>
            <w:vAlign w:val="bottom"/>
          </w:tcPr>
          <w:p>
            <w:pPr>
              <w:jc w:val="right"/>
              <w:ind w:right="28"/>
              <w:spacing w:after="0"/>
              <w:rPr>
                <w:sz w:val="20"/>
                <w:szCs w:val="20"/>
                <w:color w:val="auto"/>
              </w:rPr>
            </w:pPr>
            <w:r>
              <w:rPr>
                <w:rFonts w:ascii="Courier New" w:cs="Courier New" w:eastAsia="Courier New" w:hAnsi="Courier New"/>
                <w:sz w:val="16"/>
                <w:szCs w:val="16"/>
                <w:color w:val="auto"/>
              </w:rPr>
              <w:t>After</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24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75%</w:t>
            </w:r>
          </w:p>
        </w:tc>
      </w:tr>
      <w:tr>
        <w:trPr>
          <w:trHeight w:val="361"/>
        </w:trPr>
        <w:tc>
          <w:tcPr>
            <w:tcW w:w="840" w:type="dxa"/>
            <w:vAlign w:val="bottom"/>
          </w:tcPr>
          <w:p>
            <w:pPr>
              <w:jc w:val="right"/>
              <w:ind w:right="28"/>
              <w:spacing w:after="0"/>
              <w:rPr>
                <w:sz w:val="20"/>
                <w:szCs w:val="20"/>
                <w:color w:val="auto"/>
              </w:rPr>
            </w:pPr>
            <w:r>
              <w:rPr>
                <w:rFonts w:ascii="Courier New" w:cs="Courier New" w:eastAsia="Courier New" w:hAnsi="Courier New"/>
                <w:sz w:val="16"/>
                <w:szCs w:val="16"/>
                <w:color w:val="auto"/>
              </w:rPr>
              <w:t>After</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38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24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100%</w:t>
            </w:r>
          </w:p>
        </w:tc>
      </w:tr>
    </w:tbl>
    <w:p>
      <w:pPr>
        <w:spacing w:after="0" w:line="365" w:lineRule="exact"/>
        <w:rPr>
          <w:sz w:val="20"/>
          <w:szCs w:val="20"/>
          <w:color w:val="auto"/>
        </w:rPr>
      </w:pPr>
    </w:p>
    <w:p>
      <w:pPr>
        <w:jc w:val="both"/>
        <w:ind w:left="4" w:right="2719" w:firstLine="844"/>
        <w:spacing w:after="0" w:line="237" w:lineRule="auto"/>
        <w:rPr>
          <w:sz w:val="20"/>
          <w:szCs w:val="20"/>
          <w:color w:val="auto"/>
        </w:rPr>
      </w:pPr>
      <w:r>
        <w:rPr>
          <w:rFonts w:ascii="Courier New" w:cs="Courier New" w:eastAsia="Courier New" w:hAnsi="Courier New"/>
          <w:sz w:val="16"/>
          <w:szCs w:val="16"/>
          <w:color w:val="auto"/>
        </w:rPr>
        <w:t>The Plan Administrator may adjust the vesting schedule of an Option held by a Participant who works less than "full-time" as that term is defined by the Plan Administrator.</w:t>
      </w:r>
    </w:p>
    <w:p>
      <w:pPr>
        <w:spacing w:after="0" w:line="185"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An Option may not be exercised for less than a reasonable number of shares at any one time, as determined by the Plan Administrator.</w:t>
      </w:r>
    </w:p>
    <w:p>
      <w:pPr>
        <w:spacing w:after="0" w:line="182"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Payment of Exercise Price</w:t>
      </w:r>
    </w:p>
    <w:p>
      <w:pPr>
        <w:spacing w:after="0" w:line="185" w:lineRule="exact"/>
        <w:rPr>
          <w:sz w:val="20"/>
          <w:szCs w:val="20"/>
          <w:color w:val="auto"/>
        </w:rPr>
      </w:pPr>
    </w:p>
    <w:p>
      <w:pPr>
        <w:jc w:val="both"/>
        <w:ind w:left="4" w:right="2719" w:firstLine="844"/>
        <w:spacing w:after="0" w:line="256" w:lineRule="auto"/>
        <w:rPr>
          <w:sz w:val="20"/>
          <w:szCs w:val="20"/>
          <w:color w:val="auto"/>
        </w:rPr>
      </w:pPr>
      <w:r>
        <w:rPr>
          <w:rFonts w:ascii="Courier New" w:cs="Courier New" w:eastAsia="Courier New" w:hAnsi="Courier New"/>
          <w:sz w:val="15"/>
          <w:szCs w:val="15"/>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170" w:lineRule="exact"/>
        <w:rPr>
          <w:sz w:val="20"/>
          <w:szCs w:val="20"/>
          <w:color w:val="auto"/>
        </w:rPr>
      </w:pPr>
    </w:p>
    <w:p>
      <w:pPr>
        <w:ind w:left="2524" w:hanging="836"/>
        <w:spacing w:after="0"/>
        <w:tabs>
          <w:tab w:leader="none" w:pos="2524"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or check;</w:t>
      </w:r>
    </w:p>
    <w:p>
      <w:pPr>
        <w:spacing w:after="0" w:line="184" w:lineRule="exact"/>
        <w:rPr>
          <w:rFonts w:ascii="Courier New" w:cs="Courier New" w:eastAsia="Courier New" w:hAnsi="Courier New"/>
          <w:sz w:val="16"/>
          <w:szCs w:val="16"/>
          <w:color w:val="auto"/>
        </w:rPr>
      </w:pPr>
    </w:p>
    <w:p>
      <w:pPr>
        <w:jc w:val="both"/>
        <w:ind w:left="4" w:right="2719" w:firstLine="1684"/>
        <w:spacing w:after="0" w:line="238" w:lineRule="auto"/>
        <w:tabs>
          <w:tab w:leader="none" w:pos="216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tendering (either actually or, if and so long as the Common Stock is registered under Section 12(b) or 12(g) of the Exchange Act, by attestation) shares of Common Stock already owned by the Participant for at least six months (or any shorter period necessary to avoid a charge to the Company's earnings for financial reporting purposes) having a Fair Market Value on the day prior to the exercise date equal to the aggregate Option exercise price;</w:t>
      </w:r>
    </w:p>
    <w:p>
      <w:pPr>
        <w:spacing w:after="0" w:line="184" w:lineRule="exact"/>
        <w:rPr>
          <w:rFonts w:ascii="Courier New" w:cs="Courier New" w:eastAsia="Courier New" w:hAnsi="Courier New"/>
          <w:sz w:val="16"/>
          <w:szCs w:val="16"/>
          <w:color w:val="auto"/>
        </w:rPr>
      </w:pPr>
    </w:p>
    <w:p>
      <w:pPr>
        <w:jc w:val="both"/>
        <w:ind w:left="4" w:right="2719" w:firstLine="1684"/>
        <w:spacing w:after="0" w:line="254" w:lineRule="auto"/>
        <w:tabs>
          <w:tab w:leader="none" w:pos="206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or loan proceeds to pay the Option exercise price and any withholding tax obligations that may arise in connection with the exercise and</w:t>
      </w:r>
    </w:p>
    <w:p>
      <w:pPr>
        <w:spacing w:after="0" w:line="3" w:lineRule="exact"/>
        <w:rPr>
          <w:rFonts w:ascii="Courier New" w:cs="Courier New" w:eastAsia="Courier New" w:hAnsi="Courier New"/>
          <w:sz w:val="15"/>
          <w:szCs w:val="15"/>
          <w:color w:val="auto"/>
        </w:rPr>
      </w:pPr>
    </w:p>
    <w:p>
      <w:pPr>
        <w:jc w:val="both"/>
        <w:ind w:left="4" w:right="2719" w:hanging="4"/>
        <w:spacing w:after="0" w:line="237" w:lineRule="auto"/>
        <w:tabs>
          <w:tab w:leader="none" w:pos="4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to deliver the certificates for such purchased shares directly to such brokerage firm, all in accordance with the regulations of the Federal Reserve Board; or</w:t>
      </w:r>
    </w:p>
    <w:p>
      <w:pPr>
        <w:spacing w:after="0" w:line="184" w:lineRule="exact"/>
        <w:rPr>
          <w:rFonts w:ascii="Courier New" w:cs="Courier New" w:eastAsia="Courier New" w:hAnsi="Courier New"/>
          <w:sz w:val="16"/>
          <w:szCs w:val="16"/>
          <w:color w:val="auto"/>
        </w:rPr>
      </w:pPr>
    </w:p>
    <w:p>
      <w:pPr>
        <w:ind w:left="2064" w:hanging="376"/>
        <w:spacing w:after="0"/>
        <w:tabs>
          <w:tab w:leader="none" w:pos="206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consideration  as the Plan  Administrator  may</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permit.</w:t>
      </w:r>
    </w:p>
    <w:p>
      <w:pPr>
        <w:spacing w:after="0" w:line="184"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In addition, to assist a Participant (including a Participant who is an officer or a director of the Company) in acquiring shares of Common Stock pursuant to an Award granted under the Plan, the Plan Administrator, in its sole discretion, may authorize, either at the Grant Date or at any time before the acquisition of Common Stock pursuant to the Award, (i) the payment by a Participant of a full-recourse promissory note, (ii) the payment by the Participant of the purchase price, if any, of the Common Stock in installments, or (iii) the guarantee by the Company of a full-recourse loan obtained by the Participant from a third party. Subject to the foregoing, the Plan Administrator shall in its sole discretion specify the terms of any loans, installment payments or loan guarantees, including the interest rate and terms of and security for repayment.</w:t>
      </w:r>
    </w:p>
    <w:p>
      <w:pPr>
        <w:spacing w:after="0" w:line="183"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5"/>
          <w:szCs w:val="15"/>
          <w:color w:val="auto"/>
        </w:rPr>
        <w:t>Post-Termination Exercises</w:t>
      </w:r>
    </w:p>
    <w:p>
      <w:pPr>
        <w:sectPr>
          <w:pgSz w:w="11900" w:h="16838" w:orient="portrait"/>
          <w:cols w:equalWidth="0" w:num="1">
            <w:col w:w="10223"/>
          </w:cols>
          <w:pgMar w:left="236" w:top="142" w:right="1440" w:bottom="0" w:gutter="0" w:footer="0" w:header="0"/>
        </w:sectPr>
      </w:pPr>
    </w:p>
    <w:bookmarkStart w:id="12" w:name="page13"/>
    <w:bookmarkEnd w:id="12"/>
    <w:p>
      <w:pPr>
        <w:jc w:val="both"/>
        <w:ind w:right="2719" w:firstLine="844"/>
        <w:spacing w:after="0" w:line="256" w:lineRule="auto"/>
        <w:rPr>
          <w:sz w:val="20"/>
          <w:szCs w:val="20"/>
          <w:color w:val="auto"/>
        </w:rPr>
      </w:pPr>
      <w:r>
        <w:rPr>
          <w:rFonts w:ascii="Courier New" w:cs="Courier New" w:eastAsia="Courier New" w:hAnsi="Courier New"/>
          <w:sz w:val="15"/>
          <w:szCs w:val="15"/>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173" w:lineRule="exact"/>
        <w:rPr>
          <w:sz w:val="20"/>
          <w:szCs w:val="20"/>
          <w:color w:val="auto"/>
        </w:rPr>
      </w:pPr>
    </w:p>
    <w:p>
      <w:pPr>
        <w:jc w:val="both"/>
        <w:ind w:right="2719" w:firstLine="1684"/>
        <w:spacing w:after="0" w:line="237" w:lineRule="auto"/>
        <w:tabs>
          <w:tab w:leader="none" w:pos="215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an Option that is not vested and exercisable on the date of termination of the Participant's employment or service relationship (the "Termination Date") shall expire on such date.</w:t>
      </w:r>
    </w:p>
    <w:p>
      <w:pPr>
        <w:spacing w:after="0" w:line="184" w:lineRule="exact"/>
        <w:rPr>
          <w:rFonts w:ascii="Courier New" w:cs="Courier New" w:eastAsia="Courier New" w:hAnsi="Courier New"/>
          <w:sz w:val="16"/>
          <w:szCs w:val="16"/>
          <w:color w:val="auto"/>
        </w:rPr>
      </w:pPr>
    </w:p>
    <w:p>
      <w:pPr>
        <w:ind w:right="2719" w:firstLine="1684"/>
        <w:spacing w:after="0" w:line="236" w:lineRule="auto"/>
        <w:tabs>
          <w:tab w:leader="none" w:pos="20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an Option that is vested and exercisable on the Termination Date shall expire upon the earliest to occur of</w:t>
      </w:r>
    </w:p>
    <w:p>
      <w:pPr>
        <w:spacing w:after="0" w:line="179" w:lineRule="exact"/>
        <w:rPr>
          <w:rFonts w:ascii="Courier New" w:cs="Courier New" w:eastAsia="Courier New" w:hAnsi="Courier New"/>
          <w:sz w:val="16"/>
          <w:szCs w:val="16"/>
          <w:color w:val="auto"/>
        </w:rPr>
      </w:pPr>
    </w:p>
    <w:p>
      <w:pPr>
        <w:ind w:left="3380" w:hanging="758"/>
        <w:spacing w:after="0"/>
        <w:tabs>
          <w:tab w:leader="none" w:pos="338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day of the Option Term;</w:t>
      </w:r>
    </w:p>
    <w:p>
      <w:pPr>
        <w:spacing w:after="0" w:line="184" w:lineRule="exact"/>
        <w:rPr>
          <w:rFonts w:ascii="Courier New" w:cs="Courier New" w:eastAsia="Courier New" w:hAnsi="Courier New"/>
          <w:sz w:val="16"/>
          <w:szCs w:val="16"/>
          <w:color w:val="auto"/>
        </w:rPr>
      </w:pPr>
    </w:p>
    <w:p>
      <w:pPr>
        <w:ind w:left="3380" w:hanging="851"/>
        <w:spacing w:after="0"/>
        <w:tabs>
          <w:tab w:leader="none" w:pos="33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Termination Date occurs</w:t>
      </w:r>
    </w:p>
    <w:p>
      <w:pPr>
        <w:spacing w:after="0" w:line="10" w:lineRule="exact"/>
        <w:rPr>
          <w:rFonts w:ascii="Courier New" w:cs="Courier New" w:eastAsia="Courier New" w:hAnsi="Courier New"/>
          <w:sz w:val="15"/>
          <w:szCs w:val="15"/>
          <w:color w:val="auto"/>
        </w:rPr>
      </w:pPr>
    </w:p>
    <w:p>
      <w:pPr>
        <w:ind w:right="289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for reasons other than Cause, death or Disability, the three-month anniversary of such Termination Date; and</w:t>
      </w:r>
    </w:p>
    <w:p>
      <w:pPr>
        <w:spacing w:after="0" w:line="184" w:lineRule="exact"/>
        <w:rPr>
          <w:rFonts w:ascii="Courier New" w:cs="Courier New" w:eastAsia="Courier New" w:hAnsi="Courier New"/>
          <w:sz w:val="15"/>
          <w:szCs w:val="15"/>
          <w:color w:val="auto"/>
        </w:rPr>
      </w:pPr>
    </w:p>
    <w:p>
      <w:pPr>
        <w:ind w:left="3280" w:hanging="845"/>
        <w:spacing w:after="0"/>
        <w:tabs>
          <w:tab w:leader="none" w:pos="32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Participant's Termination Date occurs</w:t>
      </w:r>
    </w:p>
    <w:p>
      <w:pPr>
        <w:spacing w:after="0" w:line="10" w:lineRule="exact"/>
        <w:rPr>
          <w:rFonts w:ascii="Courier New" w:cs="Courier New" w:eastAsia="Courier New" w:hAnsi="Courier New"/>
          <w:sz w:val="15"/>
          <w:szCs w:val="15"/>
          <w:color w:val="auto"/>
        </w:rPr>
      </w:pPr>
    </w:p>
    <w:p>
      <w:pPr>
        <w:ind w:right="289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by reason of Disability or death, the one-year anniversary of such Termination Date.</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89"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A Participant's transfer of employment or service relationship between or among the Company and its Related Corporations, or a change in status from an employee to a consultant, agent, advisor or independent contractor, shall not be considered a termination of employment or service relationship for purposes of this Section 7. The effect of a Company-approved leave of absence on the terms and conditions of an Option shall be determined by the Plan Administrator, in its sole discretion.</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SECTION 8. INCENTIVE STOCK OPTION LIMITATIONS</w:t>
      </w:r>
    </w:p>
    <w:p>
      <w:pPr>
        <w:spacing w:after="0" w:line="185" w:lineRule="exact"/>
        <w:rPr>
          <w:sz w:val="20"/>
          <w:szCs w:val="20"/>
          <w:color w:val="auto"/>
        </w:rPr>
      </w:pPr>
    </w:p>
    <w:p>
      <w:pPr>
        <w:jc w:val="both"/>
        <w:ind w:right="2719" w:firstLine="844"/>
        <w:spacing w:after="0" w:line="236" w:lineRule="auto"/>
        <w:rPr>
          <w:sz w:val="20"/>
          <w:szCs w:val="20"/>
          <w:color w:val="auto"/>
        </w:rPr>
      </w:pPr>
      <w:r>
        <w:rPr>
          <w:rFonts w:ascii="Courier New" w:cs="Courier New" w:eastAsia="Courier New" w:hAnsi="Courier New"/>
          <w:sz w:val="16"/>
          <w:szCs w:val="16"/>
          <w:color w:val="auto"/>
        </w:rPr>
        <w:t>To the extent required by Section 422 of the Code, Incentive Stock Options shall be subject to the following additional terms and conditions:</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Dollar Limitation</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More Than 10% Stockholders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If an individual owns more than 10% of the total voting power of all classes of the Company's stock,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5"/>
          <w:szCs w:val="15"/>
          <w:color w:val="auto"/>
        </w:rPr>
        <w:t>Eligible Employees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Individuals who are not employees of the Company or one of its parent corporations or subsidiary corporations may not be granted Incentive Stock Options. For purposes of this Section 8.3, "parent corporation" and "subsidiary corporation" shall have the meanings attributed to those terms for purposes of Section 422 of the Code.</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5"/>
          <w:szCs w:val="15"/>
          <w:color w:val="auto"/>
        </w:rPr>
        <w:t>Term</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Subject to Section 8.2, the Option Term shall not exceed ten years.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8.5</w:t>
      </w:r>
      <w:r>
        <w:rPr>
          <w:sz w:val="20"/>
          <w:szCs w:val="20"/>
          <w:color w:val="auto"/>
        </w:rPr>
        <w:tab/>
      </w:r>
      <w:r>
        <w:rPr>
          <w:rFonts w:ascii="Courier New" w:cs="Courier New" w:eastAsia="Courier New" w:hAnsi="Courier New"/>
          <w:sz w:val="15"/>
          <w:szCs w:val="15"/>
          <w:color w:val="auto"/>
        </w:rPr>
        <w:t>Exercisability</w:t>
      </w:r>
    </w:p>
    <w:p>
      <w:pPr>
        <w:spacing w:after="0" w:line="185" w:lineRule="exact"/>
        <w:rPr>
          <w:sz w:val="20"/>
          <w:szCs w:val="20"/>
          <w:color w:val="auto"/>
        </w:rPr>
      </w:pPr>
    </w:p>
    <w:p>
      <w:pPr>
        <w:jc w:val="both"/>
        <w:ind w:right="2719" w:firstLine="844"/>
        <w:spacing w:after="0" w:line="236" w:lineRule="auto"/>
        <w:rPr>
          <w:sz w:val="20"/>
          <w:szCs w:val="20"/>
          <w:color w:val="auto"/>
        </w:rPr>
      </w:pPr>
      <w:r>
        <w:rPr>
          <w:rFonts w:ascii="Courier New" w:cs="Courier New" w:eastAsia="Courier New" w:hAnsi="Courier New"/>
          <w:sz w:val="16"/>
          <w:szCs w:val="16"/>
          <w:color w:val="auto"/>
        </w:rPr>
        <w:t>An Option designated as an Incentive Stock Option shall cease to qualify for favorable tax treatment as an Incentive Stock Option to the extent</w:t>
      </w:r>
    </w:p>
    <w:p>
      <w:pPr>
        <w:sectPr>
          <w:pgSz w:w="11900" w:h="16838" w:orient="portrait"/>
          <w:cols w:equalWidth="0" w:num="1">
            <w:col w:w="10219"/>
          </w:cols>
          <w:pgMar w:left="240" w:top="142" w:right="1440" w:bottom="0" w:gutter="0" w:footer="0" w:header="0"/>
        </w:sectPr>
      </w:pPr>
    </w:p>
    <w:bookmarkStart w:id="13" w:name="page14"/>
    <w:bookmarkEnd w:id="13"/>
    <w:p>
      <w:pPr>
        <w:jc w:val="both"/>
        <w:ind w:left="4" w:right="2719"/>
        <w:spacing w:after="0" w:line="236" w:lineRule="auto"/>
        <w:rPr>
          <w:sz w:val="20"/>
          <w:szCs w:val="20"/>
          <w:color w:val="auto"/>
        </w:rPr>
      </w:pPr>
      <w:r>
        <w:rPr>
          <w:rFonts w:ascii="Courier New" w:cs="Courier New" w:eastAsia="Courier New" w:hAnsi="Courier New"/>
          <w:sz w:val="16"/>
          <w:szCs w:val="16"/>
          <w:color w:val="auto"/>
        </w:rPr>
        <w:t>it is exercised (if permitted by the terms of the Option) (a) more than three months after the Termination Date for reasons other than death or Disability,</w:t>
      </w:r>
    </w:p>
    <w:p>
      <w:pPr>
        <w:spacing w:after="0" w:line="4" w:lineRule="exact"/>
        <w:rPr>
          <w:sz w:val="20"/>
          <w:szCs w:val="20"/>
          <w:color w:val="auto"/>
        </w:rPr>
      </w:pPr>
    </w:p>
    <w:p>
      <w:pPr>
        <w:ind w:left="384" w:hanging="384"/>
        <w:spacing w:after="0"/>
        <w:tabs>
          <w:tab w:leader="none" w:pos="3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one year after the  Termination  Date by reason of Disability,  or</w:t>
      </w:r>
    </w:p>
    <w:p>
      <w:pPr>
        <w:spacing w:after="0" w:line="10" w:lineRule="exact"/>
        <w:rPr>
          <w:rFonts w:ascii="Courier New" w:cs="Courier New" w:eastAsia="Courier New" w:hAnsi="Courier New"/>
          <w:sz w:val="15"/>
          <w:szCs w:val="15"/>
          <w:color w:val="auto"/>
        </w:rPr>
      </w:pPr>
    </w:p>
    <w:p>
      <w:pPr>
        <w:jc w:val="both"/>
        <w:ind w:left="4" w:right="2719" w:hanging="4"/>
        <w:spacing w:after="0" w:line="237" w:lineRule="auto"/>
        <w:tabs>
          <w:tab w:leader="none" w:pos="37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Participant has been on leave of absence for more than 90 days, unless the Participant's reemployment rights are guaranteed by statute or contract.</w:t>
      </w:r>
    </w:p>
    <w:p>
      <w:pPr>
        <w:spacing w:after="0" w:line="185" w:lineRule="exact"/>
        <w:rPr>
          <w:sz w:val="20"/>
          <w:szCs w:val="20"/>
          <w:color w:val="auto"/>
        </w:rPr>
      </w:pPr>
    </w:p>
    <w:p>
      <w:pPr>
        <w:jc w:val="both"/>
        <w:ind w:left="4" w:right="2719" w:firstLine="844"/>
        <w:spacing w:after="0" w:line="236" w:lineRule="auto"/>
        <w:rPr>
          <w:sz w:val="20"/>
          <w:szCs w:val="20"/>
          <w:color w:val="auto"/>
        </w:rPr>
      </w:pPr>
      <w:r>
        <w:rPr>
          <w:rFonts w:ascii="Courier New" w:cs="Courier New" w:eastAsia="Courier New" w:hAnsi="Courier New"/>
          <w:sz w:val="16"/>
          <w:szCs w:val="16"/>
          <w:color w:val="auto"/>
        </w:rPr>
        <w:t>For purposes of this Section 8.5, Disability shall mean "disability" as that term is defined for purposes of Section 422 of the Code.</w:t>
      </w:r>
    </w:p>
    <w:p>
      <w:pPr>
        <w:spacing w:after="0" w:line="18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8.6</w:t>
      </w:r>
      <w:r>
        <w:rPr>
          <w:sz w:val="20"/>
          <w:szCs w:val="20"/>
          <w:color w:val="auto"/>
        </w:rPr>
        <w:tab/>
      </w:r>
      <w:r>
        <w:rPr>
          <w:rFonts w:ascii="Courier New" w:cs="Courier New" w:eastAsia="Courier New" w:hAnsi="Courier New"/>
          <w:sz w:val="15"/>
          <w:szCs w:val="15"/>
          <w:color w:val="auto"/>
        </w:rPr>
        <w:t>Taxation of Incentive Stock Options</w:t>
      </w:r>
    </w:p>
    <w:p>
      <w:pPr>
        <w:spacing w:after="0" w:line="185"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In order to obtain certain tax benefits afforded to Incentive Stock Options under Section 422 of the Code, the Participant must hold the shares issued upon the exercise of an Incentive Stock Option for two years after the Grant Date and one year from the date of exercise. A Participant may be subject to the alternative minimum tax at the time of exercise of an Incentive Stock Option. The Participant shall give the Company prompt notice of any disposition of shares acquired by the exercise of an Incentive Stock Option prior to the expiration of such holding periods.</w:t>
      </w:r>
    </w:p>
    <w:p>
      <w:pPr>
        <w:spacing w:after="0" w:line="18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8.7</w:t>
      </w:r>
      <w:r>
        <w:rPr>
          <w:sz w:val="20"/>
          <w:szCs w:val="20"/>
          <w:color w:val="auto"/>
        </w:rPr>
        <w:tab/>
      </w:r>
      <w:r>
        <w:rPr>
          <w:rFonts w:ascii="Courier New" w:cs="Courier New" w:eastAsia="Courier New" w:hAnsi="Courier New"/>
          <w:sz w:val="15"/>
          <w:szCs w:val="15"/>
          <w:color w:val="auto"/>
        </w:rPr>
        <w:t>Promissory Notes</w:t>
      </w:r>
    </w:p>
    <w:p>
      <w:pPr>
        <w:spacing w:after="0" w:line="185" w:lineRule="exact"/>
        <w:rPr>
          <w:sz w:val="20"/>
          <w:szCs w:val="20"/>
          <w:color w:val="auto"/>
        </w:rPr>
      </w:pPr>
    </w:p>
    <w:p>
      <w:pPr>
        <w:jc w:val="both"/>
        <w:ind w:left="4" w:right="2719" w:firstLine="844"/>
        <w:spacing w:after="0" w:line="237" w:lineRule="auto"/>
        <w:rPr>
          <w:sz w:val="20"/>
          <w:szCs w:val="20"/>
          <w:color w:val="auto"/>
        </w:rPr>
      </w:pPr>
      <w:r>
        <w:rPr>
          <w:rFonts w:ascii="Courier New" w:cs="Courier New" w:eastAsia="Courier New" w:hAnsi="Courier New"/>
          <w:sz w:val="16"/>
          <w:szCs w:val="16"/>
          <w:color w:val="auto"/>
        </w:rPr>
        <w:t>The amount of any promissory note delivered pursuant to Section 7.5 in connection with an Incentive Stock Option shall bear interest at a rate specified by the Plan Administrator, but in no case less than the rate required to avoid imputation of interest (taking into account any exceptions to the imputed interest rules) for federal income tax purposes.</w:t>
      </w:r>
    </w:p>
    <w:p>
      <w:pPr>
        <w:spacing w:after="0" w:line="182"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SECTION 9. STOCK AWARDS</w:t>
      </w:r>
    </w:p>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5"/>
          <w:szCs w:val="15"/>
          <w:color w:val="auto"/>
        </w:rPr>
        <w:t>Grant of Stock Awards</w:t>
      </w:r>
    </w:p>
    <w:p>
      <w:pPr>
        <w:spacing w:after="0" w:line="185"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The Plan Administrator is authorized to make Awards of Common Stock or Awards denominated in units of Common Stock on such terms and conditions and subject to such restrictions, if any (which may be based on continuous service with the Company or the achievement of performance goals related to profits, profit growth, profit-related return ratios, cash flow or total shareholder return, where such goals may be stated in absolute terms or relative to comparison companies),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manner in which shares subject to Stock Awards are held during the periods they are subject to restrictions and the circumstances under which forfeiture of the Stock Award shall occur by reason of termination of the Participant's employment or service relationship.</w:t>
      </w:r>
    </w:p>
    <w:p>
      <w:pPr>
        <w:spacing w:after="0" w:line="184"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5"/>
          <w:szCs w:val="15"/>
          <w:color w:val="auto"/>
        </w:rPr>
        <w:t>Issuance of Shares</w:t>
      </w:r>
    </w:p>
    <w:p>
      <w:pPr>
        <w:spacing w:after="0" w:line="185"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18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5"/>
          <w:szCs w:val="15"/>
          <w:color w:val="auto"/>
        </w:rPr>
        <w:t>Waiver of Restrictions</w:t>
      </w:r>
    </w:p>
    <w:p>
      <w:pPr>
        <w:spacing w:after="0" w:line="185"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181"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SECTION 10. WITHHOLDING</w:t>
      </w:r>
    </w:p>
    <w:p>
      <w:pPr>
        <w:spacing w:after="0" w:line="185" w:lineRule="exact"/>
        <w:rPr>
          <w:sz w:val="20"/>
          <w:szCs w:val="20"/>
          <w:color w:val="auto"/>
        </w:rPr>
      </w:pPr>
    </w:p>
    <w:p>
      <w:pPr>
        <w:jc w:val="both"/>
        <w:ind w:left="4" w:right="2719" w:firstLine="844"/>
        <w:spacing w:after="0" w:line="238" w:lineRule="auto"/>
        <w:rPr>
          <w:sz w:val="20"/>
          <w:szCs w:val="20"/>
          <w:color w:val="auto"/>
        </w:rPr>
      </w:pPr>
      <w:r>
        <w:rPr>
          <w:rFonts w:ascii="Courier New" w:cs="Courier New" w:eastAsia="Courier New" w:hAnsi="Courier New"/>
          <w:sz w:val="16"/>
          <w:szCs w:val="16"/>
          <w:color w:val="auto"/>
        </w:rPr>
        <w:t>The Company may require the Participant to pay to the Company the amount of any withholding taxes that the Company is required to withhold with respect to the grant, vesting or exercise of any Award. Subject to the Plan and applicable law, the Plan Administrator may, in its sole discretion, permit the Participant to satisfy withholding obligations, in whole or in part, (a) by paying cash, (b) by electing to have the Company withhold shares of Common Stock (up to the minimum required federal tax withholding rate) or (c) by transferring to the Company shares of Common Stock (already owned by the Participant for the period necessary to avoid a charge to the Company's earnings for financial reporting purposes), in such amounts as are equivalent to the Fair Market Value of the withholding obligation. The Company shall have the right to withhold from any Award or any shares of Common Stock issuable pursuant to an Award or from any cash amounts otherwise due or to become due from the Company to the Participant an amount equal to such taxes..</w:t>
      </w:r>
    </w:p>
    <w:p>
      <w:pPr>
        <w:spacing w:after="0" w:line="184"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SECTION 11. ASSIGNABILITY</w:t>
      </w:r>
    </w:p>
    <w:p>
      <w:pPr>
        <w:spacing w:after="0" w:line="185" w:lineRule="exact"/>
        <w:rPr>
          <w:sz w:val="20"/>
          <w:szCs w:val="20"/>
          <w:color w:val="auto"/>
        </w:rPr>
      </w:pPr>
    </w:p>
    <w:p>
      <w:pPr>
        <w:jc w:val="both"/>
        <w:ind w:left="4" w:right="2719" w:firstLine="844"/>
        <w:spacing w:after="0" w:line="263" w:lineRule="auto"/>
        <w:rPr>
          <w:sz w:val="20"/>
          <w:szCs w:val="20"/>
          <w:color w:val="auto"/>
        </w:rPr>
      </w:pPr>
      <w:r>
        <w:rPr>
          <w:rFonts w:ascii="Courier New" w:cs="Courier New" w:eastAsia="Courier New" w:hAnsi="Courier New"/>
          <w:sz w:val="15"/>
          <w:szCs w:val="15"/>
          <w:color w:val="auto"/>
        </w:rPr>
        <w:t>Awards granted under the Plan and any interest therein may not be assigned, pledged or transferred by the Participant and may not be made subject</w:t>
      </w:r>
    </w:p>
    <w:p>
      <w:pPr>
        <w:sectPr>
          <w:pgSz w:w="11900" w:h="16838" w:orient="portrait"/>
          <w:cols w:equalWidth="0" w:num="1">
            <w:col w:w="10223"/>
          </w:cols>
          <w:pgMar w:left="236" w:top="142" w:right="1440" w:bottom="0" w:gutter="0" w:footer="0" w:header="0"/>
        </w:sectPr>
      </w:pPr>
    </w:p>
    <w:bookmarkStart w:id="14" w:name="page15"/>
    <w:bookmarkEnd w:id="14"/>
    <w:p>
      <w:pPr>
        <w:jc w:val="both"/>
        <w:ind w:right="2719"/>
        <w:spacing w:after="0" w:line="238" w:lineRule="auto"/>
        <w:rPr>
          <w:sz w:val="20"/>
          <w:szCs w:val="20"/>
          <w:color w:val="auto"/>
        </w:rPr>
      </w:pPr>
      <w:r>
        <w:rPr>
          <w:rFonts w:ascii="Courier New" w:cs="Courier New" w:eastAsia="Courier New" w:hAnsi="Courier New"/>
          <w:sz w:val="16"/>
          <w:szCs w:val="16"/>
          <w:color w:val="auto"/>
        </w:rPr>
        <w:t>to attachment or similar proceedings otherwise than by will or by the applicable laws of descent and distribution, and, during the Participant's lifetime, such Awards may be exercised only by the Participant. Notwithstanding the foregoing, and to the extent permitted by Section 422 of the Code, the Plan Administrator, in its sole discretion, may permit such assignment, transfer and exercisability and may permit a Participant to designate a beneficiary who may exercise the Award or receive compensation under the Award after the Participant's death; provided, however, that any Award so assigned or transferred shall be subject to all the same terms and conditions contained in the instrument evidencing the Award.</w:t>
      </w:r>
    </w:p>
    <w:p>
      <w:pPr>
        <w:spacing w:after="0" w:line="182"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SECTION 12. ADJUSTMENTS</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5"/>
          <w:szCs w:val="15"/>
          <w:color w:val="auto"/>
        </w:rPr>
        <w:t>Adjustment of Shares</w:t>
      </w:r>
    </w:p>
    <w:p>
      <w:pPr>
        <w:spacing w:after="0" w:line="185"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In the event that,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as set forth in Section 4.1 and the maximum number and kind of securities that may be made subject to Stock Awards and to Awards to any individual as set forth in Section 4.2, and (ii) the number and kind of securities that are subject to any outstanding Award and the per share price of such securities, without any change in the aggregate price to be paid therefor. The determination by the Plan Administrator as to the terms of any of the foregoing adjustments shall be conclusive and binding. Notwithstanding the foregoing, a dissolution or liquidation of the Company or a Corporate Transaction shall not be governed by this Section 12.1 but shall be governed by Sections 12.2 and 12.3, respectively.</w:t>
      </w:r>
    </w:p>
    <w:p>
      <w:pPr>
        <w:spacing w:after="0" w:line="35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5"/>
          <w:szCs w:val="15"/>
          <w:color w:val="auto"/>
        </w:rPr>
        <w:t>Dissolution or Liquidation</w:t>
      </w:r>
    </w:p>
    <w:p>
      <w:pPr>
        <w:spacing w:after="0" w:line="185"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In the event of the proposed dissolution or liquidation of the Company, the Plan Administrator shall notify each Participant as soon as practicable prior to the effective date of such proposed transaction. The Plan Administrator in its discretion may permit a Participant to exercise an Option until ten days prior to such transaction with respect to all vested and exercisable shares of Common Stock covered thereby and with respect to such number of unvested shares as the Plan Administrator shall determine. In addition, the Plan Administrator may provide that any forfeiture provision or Company repurchase option applicable to any Award shall lapse as to such number of shares as the Plan Administrator shall determine, contingent upon the occurrence of the proposed dissolution or liquidation at the time and in the manner contemplated. To the extent an Option has not been previously exercised, the Option shall terminate automatically immediately prior to the consummation of the proposed action. To the extent a forfeiture provision applicable to a Stock Award has not been waived by the Plan Administrator, the Stock Award shall be forfeited automatically immediately prior to the consummation of the proposed action.</w:t>
      </w:r>
    </w:p>
    <w:p>
      <w:pPr>
        <w:spacing w:after="0" w:line="1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12.3</w:t>
      </w:r>
      <w:r>
        <w:rPr>
          <w:sz w:val="20"/>
          <w:szCs w:val="20"/>
          <w:color w:val="auto"/>
        </w:rPr>
        <w:tab/>
      </w:r>
      <w:r>
        <w:rPr>
          <w:rFonts w:ascii="Courier New" w:cs="Courier New" w:eastAsia="Courier New" w:hAnsi="Courier New"/>
          <w:sz w:val="15"/>
          <w:szCs w:val="15"/>
          <w:color w:val="auto"/>
        </w:rPr>
        <w:t>Corporate Transaction</w:t>
      </w:r>
    </w:p>
    <w:p>
      <w:pPr>
        <w:spacing w:after="0" w:line="179" w:lineRule="exact"/>
        <w:rPr>
          <w:sz w:val="20"/>
          <w:szCs w:val="20"/>
          <w:color w:val="auto"/>
        </w:rPr>
      </w:pPr>
    </w:p>
    <w:p>
      <w:pPr>
        <w:ind w:left="840"/>
        <w:spacing w:after="0"/>
        <w:tabs>
          <w:tab w:leader="none" w:pos="2320" w:val="left"/>
        </w:tabs>
        <w:rPr>
          <w:sz w:val="20"/>
          <w:szCs w:val="20"/>
          <w:color w:val="auto"/>
        </w:rPr>
      </w:pPr>
      <w:r>
        <w:rPr>
          <w:rFonts w:ascii="Courier New" w:cs="Courier New" w:eastAsia="Courier New" w:hAnsi="Courier New"/>
          <w:sz w:val="16"/>
          <w:szCs w:val="16"/>
          <w:color w:val="auto"/>
        </w:rPr>
        <w:t>12.3.1</w:t>
      </w:r>
      <w:r>
        <w:rPr>
          <w:sz w:val="20"/>
          <w:szCs w:val="20"/>
          <w:color w:val="auto"/>
        </w:rPr>
        <w:tab/>
      </w:r>
      <w:r>
        <w:rPr>
          <w:rFonts w:ascii="Courier New" w:cs="Courier New" w:eastAsia="Courier New" w:hAnsi="Courier New"/>
          <w:sz w:val="15"/>
          <w:szCs w:val="15"/>
          <w:color w:val="auto"/>
        </w:rPr>
        <w:t>Definition</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"Corporate Transaction" means any of the following events:</w:t>
      </w:r>
    </w:p>
    <w:p>
      <w:pPr>
        <w:spacing w:after="0" w:line="185" w:lineRule="exact"/>
        <w:rPr>
          <w:sz w:val="20"/>
          <w:szCs w:val="20"/>
          <w:color w:val="auto"/>
        </w:rPr>
      </w:pPr>
    </w:p>
    <w:p>
      <w:pPr>
        <w:ind w:left="100" w:right="2999" w:firstLine="1584"/>
        <w:spacing w:after="0" w:line="236" w:lineRule="auto"/>
        <w:tabs>
          <w:tab w:leader="none" w:pos="253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any merger or consolidation of the Company with or into another corporation;</w:t>
      </w:r>
    </w:p>
    <w:p>
      <w:pPr>
        <w:spacing w:after="0" w:line="184" w:lineRule="exact"/>
        <w:rPr>
          <w:rFonts w:ascii="Courier New" w:cs="Courier New" w:eastAsia="Courier New" w:hAnsi="Courier New"/>
          <w:sz w:val="16"/>
          <w:szCs w:val="16"/>
          <w:color w:val="auto"/>
        </w:rPr>
      </w:pPr>
    </w:p>
    <w:p>
      <w:pPr>
        <w:jc w:val="both"/>
        <w:ind w:right="2719" w:firstLine="1684"/>
        <w:spacing w:after="0" w:line="237" w:lineRule="auto"/>
        <w:tabs>
          <w:tab w:leader="none" w:pos="215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any sale, lease, exchange or other transfer in one transaction or a series of related transactions of all or substantially all the Company's outstanding securities or substantially all the Company's assets other than a transfer of the Company's assets to a majority-owned subsidiary corporation (as defined in Section 8.3) of the Company; or</w:t>
      </w:r>
    </w:p>
    <w:p>
      <w:pPr>
        <w:spacing w:after="0" w:line="188" w:lineRule="exact"/>
        <w:rPr>
          <w:rFonts w:ascii="Courier New" w:cs="Courier New" w:eastAsia="Courier New" w:hAnsi="Courier New"/>
          <w:sz w:val="16"/>
          <w:szCs w:val="16"/>
          <w:color w:val="auto"/>
        </w:rPr>
      </w:pPr>
    </w:p>
    <w:p>
      <w:pPr>
        <w:jc w:val="both"/>
        <w:ind w:right="2719" w:firstLine="1684"/>
        <w:spacing w:after="0" w:line="238" w:lineRule="auto"/>
        <w:tabs>
          <w:tab w:leader="none" w:pos="215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by a person, within the meaning of Section 3(a)(9) or of Section 13(d)(3) (as in effect on the date of adoption of the Plan) of the Exchange Act of a majority or more of the Company's outstanding voting securities (whether directly or indirectly, beneficially or of record). Ownership of voting securities shall take into account and shall include ownership as determined by applying Rule 13d-3(d)(1)(i) (as in effect on the date of adoption of the Plan) under the Exchange Act.</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"Related Party Transaction" means (i) a merger of the Company in which the holders of shares of Common Stock immediately prior to the merger hold at least a majority of the shares of Common Stock in the surviving corporation or parent thereof immediately after the merger, (ii) a mere reincorporation of the Company or (iii) a transaction undertaken for the sole purpose of creating a holding company.</w:t>
      </w:r>
    </w:p>
    <w:p>
      <w:pPr>
        <w:spacing w:after="0" w:line="184" w:lineRule="exact"/>
        <w:rPr>
          <w:sz w:val="20"/>
          <w:szCs w:val="20"/>
          <w:color w:val="auto"/>
        </w:rPr>
      </w:pPr>
    </w:p>
    <w:p>
      <w:pPr>
        <w:ind w:left="840"/>
        <w:spacing w:after="0"/>
        <w:tabs>
          <w:tab w:leader="none" w:pos="2320" w:val="left"/>
        </w:tabs>
        <w:rPr>
          <w:sz w:val="20"/>
          <w:szCs w:val="20"/>
          <w:color w:val="auto"/>
        </w:rPr>
      </w:pPr>
      <w:r>
        <w:rPr>
          <w:rFonts w:ascii="Courier New" w:cs="Courier New" w:eastAsia="Courier New" w:hAnsi="Courier New"/>
          <w:sz w:val="16"/>
          <w:szCs w:val="16"/>
          <w:color w:val="auto"/>
        </w:rPr>
        <w:t>12.3.2</w:t>
      </w:r>
      <w:r>
        <w:rPr>
          <w:sz w:val="20"/>
          <w:szCs w:val="20"/>
          <w:color w:val="auto"/>
        </w:rPr>
        <w:tab/>
      </w:r>
      <w:r>
        <w:rPr>
          <w:rFonts w:ascii="Courier New" w:cs="Courier New" w:eastAsia="Courier New" w:hAnsi="Courier New"/>
          <w:sz w:val="15"/>
          <w:szCs w:val="15"/>
          <w:color w:val="auto"/>
        </w:rPr>
        <w:t>Options</w:t>
      </w:r>
    </w:p>
    <w:p>
      <w:pPr>
        <w:spacing w:after="0" w:line="185" w:lineRule="exact"/>
        <w:rPr>
          <w:sz w:val="20"/>
          <w:szCs w:val="20"/>
          <w:color w:val="auto"/>
        </w:rPr>
      </w:pPr>
    </w:p>
    <w:p>
      <w:pPr>
        <w:jc w:val="both"/>
        <w:ind w:right="2719" w:firstLine="844"/>
        <w:spacing w:after="0" w:line="259" w:lineRule="auto"/>
        <w:rPr>
          <w:sz w:val="20"/>
          <w:szCs w:val="20"/>
          <w:color w:val="auto"/>
        </w:rPr>
      </w:pPr>
      <w:r>
        <w:rPr>
          <w:rFonts w:ascii="Courier New" w:cs="Courier New" w:eastAsia="Courier New" w:hAnsi="Courier New"/>
          <w:sz w:val="15"/>
          <w:szCs w:val="15"/>
          <w:color w:val="auto"/>
        </w:rPr>
        <w:t>In the event of a Corporate Transaction, except as otherwise provided in the instrument evidencing the Award, each outstanding Option shall be assumed, continued or an equivalent option or right substituted by the surviving</w:t>
      </w:r>
    </w:p>
    <w:p>
      <w:pPr>
        <w:sectPr>
          <w:pgSz w:w="11900" w:h="16838" w:orient="portrait"/>
          <w:cols w:equalWidth="0" w:num="1">
            <w:col w:w="10219"/>
          </w:cols>
          <w:pgMar w:left="240" w:top="142" w:right="1440" w:bottom="0" w:gutter="0" w:footer="0" w:header="0"/>
        </w:sectPr>
      </w:pPr>
    </w:p>
    <w:bookmarkStart w:id="15" w:name="page16"/>
    <w:bookmarkEnd w:id="15"/>
    <w:p>
      <w:pPr>
        <w:jc w:val="both"/>
        <w:ind w:right="2719"/>
        <w:spacing w:after="0" w:line="255" w:lineRule="auto"/>
        <w:rPr>
          <w:sz w:val="20"/>
          <w:szCs w:val="20"/>
          <w:color w:val="auto"/>
        </w:rPr>
      </w:pPr>
      <w:r>
        <w:rPr>
          <w:rFonts w:ascii="Courier New" w:cs="Courier New" w:eastAsia="Courier New" w:hAnsi="Courier New"/>
          <w:sz w:val="15"/>
          <w:szCs w:val="15"/>
          <w:color w:val="auto"/>
        </w:rPr>
        <w:t>corporation, the successor corporation or its parent corporation, as applicable, (the "Successor Corporation"). If the Corporate Transaction is not a Related Party Transaction, upon consummation of the Corporate Transaction the assumed or substituted options shall automatically become fully vested and exercisable whether or not the vesting requirements set forth in the applicable option agreement have been satisfied; provided, that such acceleration will not occur if, in the opinion of the Company's outside accountants, such acceleration would render unavailable "pooling of interests" accounting treatment for any Corporate Transaction for which pooling of interests accounting treatment is sought by the Company. If the Corporate Transaction is a Related Party Transaction, the vesting schedule set forth in the instrument evidencing the Option shall continue to apply to the assumed or substituted options.</w:t>
      </w:r>
    </w:p>
    <w:p>
      <w:pPr>
        <w:spacing w:after="0" w:line="178"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In the event that the Successor Corporation refuses to assume or substitute for the Option, the Participant shall fully vest in and have the right to exercise the Option as to all of the shares of Common Stock subject thereto, including shares as to which the Option would not otherwise be vested or exercisable. If an Option will become fully vested and exercisable in lieu of assumption or substitution in the event of a Corporate Transaction, the Plan Administrator shall notify the Participant in writing or electronically that the Option shall be fully vested and exercisable for a specified time period after the date of such notice, and the Option shall terminate upon the expiration of such period, in each case conditioned on the consummation of the Corporate Transaction. For the purposes of this Section 12.3, the Option shall be considered assumed if, following the Corporate Transaction, the option or right confers the right to purchase or receive, for each share of Common Stock subject to the Option, immediately prior to the Corporate Transaction, the consideration (whether stock, cash, or other securities or property) received in the Corporate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Corporate Transaction is not solely common stock of the Successor Corporation, the Plan Administrator may, with the consent of the Successor Corporation, provide for the consideration to be received upon the exercise of the Option, for each share of Common Stock subject thereto, to be solely common stock of the Successor Corporation equal in fair market value to the per share consideration received by holders of Common Stock in the Corporate Transaction. All Options shall terminate and cease to remain outstanding immediately following the consummation of the Corporate Transaction, except to the extent assumed by the Successor Corporation.</w:t>
      </w:r>
    </w:p>
    <w:p>
      <w:pPr>
        <w:spacing w:after="0" w:line="193" w:lineRule="exact"/>
        <w:rPr>
          <w:sz w:val="20"/>
          <w:szCs w:val="20"/>
          <w:color w:val="auto"/>
        </w:rPr>
      </w:pPr>
    </w:p>
    <w:p>
      <w:pPr>
        <w:ind w:left="840"/>
        <w:spacing w:after="0"/>
        <w:tabs>
          <w:tab w:leader="none" w:pos="2320" w:val="left"/>
        </w:tabs>
        <w:rPr>
          <w:sz w:val="20"/>
          <w:szCs w:val="20"/>
          <w:color w:val="auto"/>
        </w:rPr>
      </w:pPr>
      <w:r>
        <w:rPr>
          <w:rFonts w:ascii="Courier New" w:cs="Courier New" w:eastAsia="Courier New" w:hAnsi="Courier New"/>
          <w:sz w:val="16"/>
          <w:szCs w:val="16"/>
          <w:color w:val="auto"/>
        </w:rPr>
        <w:t>12.3.3</w:t>
      </w:r>
      <w:r>
        <w:rPr>
          <w:sz w:val="20"/>
          <w:szCs w:val="20"/>
          <w:color w:val="auto"/>
        </w:rPr>
        <w:tab/>
      </w:r>
      <w:r>
        <w:rPr>
          <w:rFonts w:ascii="Courier New" w:cs="Courier New" w:eastAsia="Courier New" w:hAnsi="Courier New"/>
          <w:sz w:val="15"/>
          <w:szCs w:val="15"/>
          <w:color w:val="auto"/>
        </w:rPr>
        <w:t>Stock Awards</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In the event of a Corporate Transaction, except as otherwise provided in the instrument evidencing the Award, the vesting of Shares subject to Stock Awards shall accelerate, and the forfeiture provisions to which such Shares are subject shall lapse, if and to the same extent that the vesting and exercisability of outstanding Options accelerate in connection with the Corporate Transaction. If unvested Options are to be assumed, continued or substituted by a Successor Corporation without acceleration upon the occurrence of a Corporate Transaction, the forfeiture provisions to which such shares are subject will continue with respect to shares of the Successor Corporation that may be issued in exchange for such Shares.</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12.4</w:t>
      </w:r>
      <w:r>
        <w:rPr>
          <w:sz w:val="20"/>
          <w:szCs w:val="20"/>
          <w:color w:val="auto"/>
        </w:rPr>
        <w:tab/>
      </w:r>
      <w:r>
        <w:rPr>
          <w:rFonts w:ascii="Courier New" w:cs="Courier New" w:eastAsia="Courier New" w:hAnsi="Courier New"/>
          <w:sz w:val="15"/>
          <w:szCs w:val="15"/>
          <w:color w:val="auto"/>
        </w:rPr>
        <w:t>Further Adjustment of Awards</w:t>
      </w:r>
    </w:p>
    <w:p>
      <w:pPr>
        <w:spacing w:after="0" w:line="185"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Subject to Sections 12.2 and 12.3,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Plan Administrator may take such actions with respect to all Participants, to certain categories of Participants or only to individual Participants. The Plan Administrator may take such action before or after granting Awards to which the action relates and before or after any public announcement with respect to such sale, merger, consolidation, reorganization, liquidation or change in control that is the reason for such action.</w:t>
      </w:r>
    </w:p>
    <w:p>
      <w:pPr>
        <w:spacing w:after="0" w:line="1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12.5</w:t>
      </w:r>
      <w:r>
        <w:rPr>
          <w:sz w:val="20"/>
          <w:szCs w:val="20"/>
          <w:color w:val="auto"/>
        </w:rPr>
        <w:tab/>
      </w:r>
      <w:r>
        <w:rPr>
          <w:rFonts w:ascii="Courier New" w:cs="Courier New" w:eastAsia="Courier New" w:hAnsi="Courier New"/>
          <w:sz w:val="15"/>
          <w:szCs w:val="15"/>
          <w:color w:val="auto"/>
        </w:rPr>
        <w:t>Limitations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8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12.6</w:t>
      </w:r>
      <w:r>
        <w:rPr>
          <w:sz w:val="20"/>
          <w:szCs w:val="20"/>
          <w:color w:val="auto"/>
        </w:rPr>
        <w:tab/>
      </w:r>
      <w:r>
        <w:rPr>
          <w:rFonts w:ascii="Courier New" w:cs="Courier New" w:eastAsia="Courier New" w:hAnsi="Courier New"/>
          <w:sz w:val="15"/>
          <w:szCs w:val="15"/>
          <w:color w:val="auto"/>
        </w:rPr>
        <w:t>Fractional Shares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In the event of any adjustment in the number of shares covered by any Award, each such Award shall cover only the number of full shares resulting from such adjustment.</w:t>
      </w:r>
    </w:p>
    <w:p>
      <w:pPr>
        <w:spacing w:after="0" w:line="18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SECTION 13. AMENDMENT AND TERMINATION OF PLAN</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13.1</w:t>
      </w:r>
      <w:r>
        <w:rPr>
          <w:sz w:val="20"/>
          <w:szCs w:val="20"/>
          <w:color w:val="auto"/>
        </w:rPr>
        <w:tab/>
      </w:r>
      <w:r>
        <w:rPr>
          <w:rFonts w:ascii="Courier New" w:cs="Courier New" w:eastAsia="Courier New" w:hAnsi="Courier New"/>
          <w:sz w:val="15"/>
          <w:szCs w:val="15"/>
          <w:color w:val="auto"/>
        </w:rPr>
        <w:t>Amendment of Plan</w:t>
      </w:r>
    </w:p>
    <w:p>
      <w:pPr>
        <w:spacing w:after="0" w:line="179" w:lineRule="exact"/>
        <w:rPr>
          <w:sz w:val="20"/>
          <w:szCs w:val="20"/>
          <w:color w:val="auto"/>
        </w:rPr>
      </w:pPr>
    </w:p>
    <w:p>
      <w:pPr>
        <w:jc w:val="right"/>
        <w:ind w:right="2719"/>
        <w:spacing w:after="0"/>
        <w:tabs>
          <w:tab w:leader="none" w:pos="1860" w:val="left"/>
        </w:tabs>
        <w:rPr>
          <w:sz w:val="20"/>
          <w:szCs w:val="20"/>
          <w:color w:val="auto"/>
        </w:rPr>
      </w:pPr>
      <w:r>
        <w:rPr>
          <w:rFonts w:ascii="Courier New" w:cs="Courier New" w:eastAsia="Courier New" w:hAnsi="Courier New"/>
          <w:sz w:val="16"/>
          <w:szCs w:val="16"/>
          <w:color w:val="auto"/>
        </w:rPr>
        <w:t>The Plan may be amended only by the Board in such</w:t>
      </w:r>
      <w:r>
        <w:rPr>
          <w:sz w:val="20"/>
          <w:szCs w:val="20"/>
          <w:color w:val="auto"/>
        </w:rPr>
        <w:tab/>
      </w:r>
      <w:r>
        <w:rPr>
          <w:rFonts w:ascii="Courier New" w:cs="Courier New" w:eastAsia="Courier New" w:hAnsi="Courier New"/>
          <w:sz w:val="15"/>
          <w:szCs w:val="15"/>
          <w:color w:val="auto"/>
        </w:rPr>
        <w:t>respects as it shall</w:t>
      </w:r>
    </w:p>
    <w:p>
      <w:pPr>
        <w:sectPr>
          <w:pgSz w:w="11900" w:h="16838" w:orient="portrait"/>
          <w:cols w:equalWidth="0" w:num="1">
            <w:col w:w="10219"/>
          </w:cols>
          <w:pgMar w:left="240" w:top="142" w:right="1440" w:bottom="0" w:gutter="0" w:footer="0" w:header="0"/>
        </w:sectPr>
      </w:pPr>
    </w:p>
    <w:bookmarkStart w:id="16" w:name="page17"/>
    <w:bookmarkEnd w:id="16"/>
    <w:p>
      <w:pPr>
        <w:jc w:val="both"/>
        <w:ind w:right="2719"/>
        <w:spacing w:after="0" w:line="238" w:lineRule="auto"/>
        <w:rPr>
          <w:sz w:val="20"/>
          <w:szCs w:val="20"/>
          <w:color w:val="auto"/>
        </w:rPr>
      </w:pPr>
      <w:r>
        <w:rPr>
          <w:rFonts w:ascii="Courier New" w:cs="Courier New" w:eastAsia="Courier New" w:hAnsi="Courier New"/>
          <w:sz w:val="16"/>
          <w:szCs w:val="16"/>
          <w:color w:val="auto"/>
        </w:rPr>
        <w:t>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13.2</w:t>
      </w:r>
      <w:r>
        <w:rPr>
          <w:sz w:val="20"/>
          <w:szCs w:val="20"/>
          <w:color w:val="auto"/>
        </w:rPr>
        <w:tab/>
      </w:r>
      <w:r>
        <w:rPr>
          <w:rFonts w:ascii="Courier New" w:cs="Courier New" w:eastAsia="Courier New" w:hAnsi="Courier New"/>
          <w:sz w:val="15"/>
          <w:szCs w:val="15"/>
          <w:color w:val="auto"/>
        </w:rPr>
        <w:t>Termination of Plan</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13.3</w:t>
      </w:r>
      <w:r>
        <w:rPr>
          <w:sz w:val="20"/>
          <w:szCs w:val="20"/>
          <w:color w:val="auto"/>
        </w:rPr>
        <w:tab/>
      </w:r>
      <w:r>
        <w:rPr>
          <w:rFonts w:ascii="Courier New" w:cs="Courier New" w:eastAsia="Courier New" w:hAnsi="Courier New"/>
          <w:sz w:val="15"/>
          <w:szCs w:val="15"/>
          <w:color w:val="auto"/>
        </w:rPr>
        <w:t>Consent of Participant</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The amendment or termination of the Plan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12 shall not be subject to these restrictions.</w:t>
      </w:r>
    </w:p>
    <w:p>
      <w:pPr>
        <w:spacing w:after="0" w:line="18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SECTION 14. GENERAL</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14.1</w:t>
      </w:r>
      <w:r>
        <w:rPr>
          <w:sz w:val="20"/>
          <w:szCs w:val="20"/>
          <w:color w:val="auto"/>
        </w:rPr>
        <w:tab/>
      </w:r>
      <w:r>
        <w:rPr>
          <w:rFonts w:ascii="Courier New" w:cs="Courier New" w:eastAsia="Courier New" w:hAnsi="Courier New"/>
          <w:sz w:val="15"/>
          <w:szCs w:val="15"/>
          <w:color w:val="auto"/>
        </w:rPr>
        <w:t>Evidence of Awards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Awards granted under the Plan shall be evidenced by a written instrument that shall contain such terms, conditions, limitations and restrictions as the Plan Administrator shall deem advisable and that are not inconsistent with the Plan.</w:t>
      </w:r>
    </w:p>
    <w:p>
      <w:pPr>
        <w:spacing w:after="0" w:line="18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14.2</w:t>
      </w:r>
      <w:r>
        <w:rPr>
          <w:sz w:val="20"/>
          <w:szCs w:val="20"/>
          <w:color w:val="auto"/>
        </w:rPr>
        <w:tab/>
      </w:r>
      <w:r>
        <w:rPr>
          <w:rFonts w:ascii="Courier New" w:cs="Courier New" w:eastAsia="Courier New" w:hAnsi="Courier New"/>
          <w:sz w:val="15"/>
          <w:szCs w:val="15"/>
          <w:color w:val="auto"/>
        </w:rPr>
        <w:t>No Individual Rights</w:t>
      </w:r>
    </w:p>
    <w:p>
      <w:pPr>
        <w:spacing w:after="0" w:line="185" w:lineRule="exact"/>
        <w:rPr>
          <w:sz w:val="20"/>
          <w:szCs w:val="20"/>
          <w:color w:val="auto"/>
        </w:rPr>
      </w:pPr>
    </w:p>
    <w:p>
      <w:pPr>
        <w:jc w:val="both"/>
        <w:ind w:right="2719" w:firstLine="844"/>
        <w:spacing w:after="0" w:line="256" w:lineRule="auto"/>
        <w:rPr>
          <w:sz w:val="20"/>
          <w:szCs w:val="20"/>
          <w:color w:val="auto"/>
        </w:rPr>
      </w:pPr>
      <w:r>
        <w:rPr>
          <w:rFonts w:ascii="Courier New" w:cs="Courier New" w:eastAsia="Courier New" w:hAnsi="Courier New"/>
          <w:sz w:val="15"/>
          <w:szCs w:val="15"/>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17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14.3</w:t>
      </w:r>
      <w:r>
        <w:rPr>
          <w:sz w:val="20"/>
          <w:szCs w:val="20"/>
          <w:color w:val="auto"/>
        </w:rPr>
        <w:tab/>
      </w:r>
      <w:r>
        <w:rPr>
          <w:rFonts w:ascii="Courier New" w:cs="Courier New" w:eastAsia="Courier New" w:hAnsi="Courier New"/>
          <w:sz w:val="15"/>
          <w:szCs w:val="15"/>
          <w:color w:val="auto"/>
        </w:rPr>
        <w:t>Registration</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and the applicable requirements of any securities exchange or similar entity.</w:t>
      </w:r>
    </w:p>
    <w:p>
      <w:pPr>
        <w:spacing w:after="0" w:line="189" w:lineRule="exact"/>
        <w:rPr>
          <w:sz w:val="20"/>
          <w:szCs w:val="20"/>
          <w:color w:val="auto"/>
        </w:rPr>
      </w:pPr>
    </w:p>
    <w:p>
      <w:pPr>
        <w:jc w:val="both"/>
        <w:ind w:right="2719" w:firstLine="844"/>
        <w:spacing w:after="0" w:line="255" w:lineRule="auto"/>
        <w:rPr>
          <w:sz w:val="20"/>
          <w:szCs w:val="20"/>
          <w:color w:val="auto"/>
        </w:rPr>
      </w:pPr>
      <w:r>
        <w:rPr>
          <w:rFonts w:ascii="Courier New" w:cs="Courier New" w:eastAsia="Courier New" w:hAnsi="Courier New"/>
          <w:sz w:val="15"/>
          <w:szCs w:val="15"/>
          <w:color w:val="auto"/>
        </w:rPr>
        <w:t>The Company shall be under no obligation to any Participant to register for offering or resale or to qualify for exemption under the Securities Act, or to register or qualify under state securities laws, any shares of Common Stock, security or interest in a security paid or issued under, or created by, the Plan, or to continue in effect any such registrations or qualifications if made.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79"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14.4</w:t>
      </w:r>
      <w:r>
        <w:rPr>
          <w:sz w:val="20"/>
          <w:szCs w:val="20"/>
          <w:color w:val="auto"/>
        </w:rPr>
        <w:tab/>
      </w:r>
      <w:r>
        <w:rPr>
          <w:rFonts w:ascii="Courier New" w:cs="Courier New" w:eastAsia="Courier New" w:hAnsi="Courier New"/>
          <w:sz w:val="15"/>
          <w:szCs w:val="15"/>
          <w:color w:val="auto"/>
        </w:rPr>
        <w:t>No Rights as a Shareholder</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No Option or Stock Award denominated in units shall entitle the Participant to any cash dividend, voting or other right of a shareholder unless and until the date of issuance under the Plan of the shares that are the subject of such Award.</w:t>
      </w:r>
    </w:p>
    <w:p>
      <w:pPr>
        <w:spacing w:after="0" w:line="18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14.5</w:t>
      </w:r>
      <w:r>
        <w:rPr>
          <w:sz w:val="20"/>
          <w:szCs w:val="20"/>
          <w:color w:val="auto"/>
        </w:rPr>
        <w:tab/>
      </w:r>
      <w:r>
        <w:rPr>
          <w:rFonts w:ascii="Courier New" w:cs="Courier New" w:eastAsia="Courier New" w:hAnsi="Courier New"/>
          <w:sz w:val="15"/>
          <w:szCs w:val="15"/>
          <w:color w:val="auto"/>
        </w:rPr>
        <w:t>Compliance With Laws and Regulations</w:t>
      </w:r>
    </w:p>
    <w:p>
      <w:pPr>
        <w:spacing w:after="0" w:line="185" w:lineRule="exact"/>
        <w:rPr>
          <w:sz w:val="20"/>
          <w:szCs w:val="20"/>
          <w:color w:val="auto"/>
        </w:rPr>
      </w:pPr>
    </w:p>
    <w:p>
      <w:pPr>
        <w:jc w:val="both"/>
        <w:ind w:right="2719" w:firstLine="844"/>
        <w:spacing w:after="0" w:line="256" w:lineRule="auto"/>
        <w:rPr>
          <w:sz w:val="20"/>
          <w:szCs w:val="20"/>
          <w:color w:val="auto"/>
        </w:rPr>
      </w:pPr>
      <w:r>
        <w:rPr>
          <w:rFonts w:ascii="Courier New" w:cs="Courier New" w:eastAsia="Courier New" w:hAnsi="Courier New"/>
          <w:sz w:val="15"/>
          <w:szCs w:val="15"/>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14 of the Exchange Act without so restricting, limiting or conditioning the Plan with respect to other Participants. Additionally, in interpreting and applying the provisions of the Plan, any Option granted as an Incentive Stock Option pursuant to the Plan</w:t>
      </w:r>
    </w:p>
    <w:p>
      <w:pPr>
        <w:sectPr>
          <w:pgSz w:w="11900" w:h="16838" w:orient="portrait"/>
          <w:cols w:equalWidth="0" w:num="1">
            <w:col w:w="10219"/>
          </w:cols>
          <w:pgMar w:left="240" w:top="142" w:right="1440" w:bottom="0" w:gutter="0" w:footer="0" w:header="0"/>
        </w:sectPr>
      </w:pPr>
    </w:p>
    <w:bookmarkStart w:id="17" w:name="page18"/>
    <w:bookmarkEnd w:id="17"/>
    <w:p>
      <w:pPr>
        <w:jc w:val="both"/>
        <w:ind w:right="2719"/>
        <w:spacing w:after="0" w:line="236" w:lineRule="auto"/>
        <w:rPr>
          <w:sz w:val="20"/>
          <w:szCs w:val="20"/>
          <w:color w:val="auto"/>
        </w:rPr>
      </w:pPr>
      <w:r>
        <w:rPr>
          <w:rFonts w:ascii="Courier New" w:cs="Courier New" w:eastAsia="Courier New" w:hAnsi="Courier New"/>
          <w:sz w:val="16"/>
          <w:szCs w:val="16"/>
          <w:color w:val="auto"/>
        </w:rPr>
        <w:t>shall, to the extent permitted by law, be construed as an "incentive stock option" within the meaning of Section 422 of the Code.</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14.6</w:t>
      </w:r>
      <w:r>
        <w:rPr>
          <w:sz w:val="20"/>
          <w:szCs w:val="20"/>
          <w:color w:val="auto"/>
        </w:rPr>
        <w:tab/>
      </w:r>
      <w:r>
        <w:rPr>
          <w:rFonts w:ascii="Courier New" w:cs="Courier New" w:eastAsia="Courier New" w:hAnsi="Courier New"/>
          <w:sz w:val="15"/>
          <w:szCs w:val="15"/>
          <w:color w:val="auto"/>
        </w:rPr>
        <w:t>Participants in Foreign Countries</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Plan Administrator shall have the authority to adopt such modifications, procedures and subplans as may be necessary or desirable to comply with provisions of the laws of foreign countries in which the Company or its Related Corporations may operate to assure the viability of the benefits from Awards granted to Participants employed in such countries and to meet the objectives of the Plan.</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14.7</w:t>
      </w:r>
      <w:r>
        <w:rPr>
          <w:sz w:val="20"/>
          <w:szCs w:val="20"/>
          <w:color w:val="auto"/>
        </w:rPr>
        <w:tab/>
      </w:r>
      <w:r>
        <w:rPr>
          <w:rFonts w:ascii="Courier New" w:cs="Courier New" w:eastAsia="Courier New" w:hAnsi="Courier New"/>
          <w:sz w:val="15"/>
          <w:szCs w:val="15"/>
          <w:color w:val="auto"/>
        </w:rPr>
        <w:t>No Trust or Fund</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14.8</w:t>
      </w:r>
      <w:r>
        <w:rPr>
          <w:sz w:val="20"/>
          <w:szCs w:val="20"/>
          <w:color w:val="auto"/>
        </w:rPr>
        <w:tab/>
      </w:r>
      <w:r>
        <w:rPr>
          <w:rFonts w:ascii="Courier New" w:cs="Courier New" w:eastAsia="Courier New" w:hAnsi="Courier New"/>
          <w:sz w:val="15"/>
          <w:szCs w:val="15"/>
          <w:color w:val="auto"/>
        </w:rPr>
        <w:t>Severability</w:t>
      </w:r>
    </w:p>
    <w:p>
      <w:pPr>
        <w:spacing w:after="0" w:line="185" w:lineRule="exact"/>
        <w:rPr>
          <w:sz w:val="20"/>
          <w:szCs w:val="20"/>
          <w:color w:val="auto"/>
        </w:rPr>
      </w:pPr>
    </w:p>
    <w:p>
      <w:pPr>
        <w:jc w:val="both"/>
        <w:ind w:right="2719" w:firstLine="844"/>
        <w:spacing w:after="0" w:line="238" w:lineRule="auto"/>
        <w:rPr>
          <w:sz w:val="20"/>
          <w:szCs w:val="20"/>
          <w:color w:val="auto"/>
        </w:rPr>
      </w:pPr>
      <w:r>
        <w:rPr>
          <w:rFonts w:ascii="Courier New" w:cs="Courier New" w:eastAsia="Courier New" w:hAnsi="Courier New"/>
          <w:sz w:val="16"/>
          <w:szCs w:val="16"/>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18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14.9</w:t>
      </w:r>
      <w:r>
        <w:rPr>
          <w:sz w:val="20"/>
          <w:szCs w:val="20"/>
          <w:color w:val="auto"/>
        </w:rPr>
        <w:tab/>
      </w:r>
      <w:r>
        <w:rPr>
          <w:rFonts w:ascii="Courier New" w:cs="Courier New" w:eastAsia="Courier New" w:hAnsi="Courier New"/>
          <w:sz w:val="15"/>
          <w:szCs w:val="15"/>
          <w:color w:val="auto"/>
        </w:rPr>
        <w:t>Choice of Law</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Plan and all determinations made and actions taken pursuant hereto, to the extent not otherwise governed by the laws of the United States, shall be governed by the laws of the State of Washington without giving effect to principles of conflicts of laws.</w:t>
      </w:r>
    </w:p>
    <w:p>
      <w:pPr>
        <w:spacing w:after="0" w:line="18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SECTION 15. EFFECTIVE DATE</w:t>
      </w:r>
    </w:p>
    <w:p>
      <w:pPr>
        <w:spacing w:after="0" w:line="185"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The Effective Date is the date on which the Plan is adopted by the Board, so long as it is approved by the Company's stockholders at any time within 12 months of such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PLAN ADOPTION AND AMENDMENTS/ADJUSTMENTS</w:t>
      </w:r>
    </w:p>
    <w:p>
      <w:pPr>
        <w:jc w:val="center"/>
        <w:ind w:right="2719"/>
        <w:spacing w:after="0"/>
        <w:rPr>
          <w:sz w:val="20"/>
          <w:szCs w:val="20"/>
          <w:color w:val="auto"/>
        </w:rPr>
      </w:pPr>
      <w:r>
        <w:rPr>
          <w:rFonts w:ascii="Courier New" w:cs="Courier New" w:eastAsia="Courier New" w:hAnsi="Courier New"/>
          <w:sz w:val="16"/>
          <w:szCs w:val="16"/>
          <w:color w:val="auto"/>
        </w:rPr>
        <w:t>SUMMARY PAGE</w:t>
      </w:r>
    </w:p>
    <w:p>
      <w:pPr>
        <w:sectPr>
          <w:pgSz w:w="11900" w:h="16838" w:orient="portrait"/>
          <w:cols w:equalWidth="0" w:num="1">
            <w:col w:w="10219"/>
          </w:cols>
          <w:pgMar w:left="240" w:top="142"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Board 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7, 2000</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Action</w:t>
      </w:r>
    </w:p>
    <w:p>
      <w:pPr>
        <w:ind w:left="1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Plan Adoption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Section/Effect</w:t>
      </w:r>
    </w:p>
    <w:p>
      <w:pPr>
        <w:spacing w:after="0"/>
        <w:rPr>
          <w:sz w:val="20"/>
          <w:szCs w:val="20"/>
          <w:color w:val="auto"/>
        </w:rPr>
      </w:pPr>
      <w:r>
        <w:rPr>
          <w:rFonts w:ascii="Courier New" w:cs="Courier New" w:eastAsia="Courier New" w:hAnsi="Courier New"/>
          <w:sz w:val="16"/>
          <w:szCs w:val="16"/>
          <w:color w:val="auto"/>
        </w:rPr>
        <w:t>of Amendment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Shareholder</w:t>
      </w:r>
    </w:p>
    <w:p>
      <w:pPr>
        <w:spacing w:after="0"/>
        <w:rPr>
          <w:sz w:val="20"/>
          <w:szCs w:val="20"/>
          <w:color w:val="auto"/>
        </w:rPr>
      </w:pPr>
      <w:r>
        <w:rPr>
          <w:rFonts w:ascii="Courier New" w:cs="Courier New" w:eastAsia="Courier New" w:hAnsi="Courier New"/>
          <w:sz w:val="16"/>
          <w:szCs w:val="16"/>
          <w:color w:val="auto"/>
        </w:rPr>
        <w:t>Approval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2000</w:t>
      </w:r>
    </w:p>
    <w:sectPr>
      <w:pgSz w:w="11900" w:h="16838" w:orient="portrait"/>
      <w:cols w:equalWidth="0" w:num="4">
        <w:col w:w="2060" w:space="100"/>
        <w:col w:w="1960" w:space="100"/>
        <w:col w:w="1400" w:space="100"/>
        <w:col w:w="44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1F16E9E8"/>
    <w:multiLevelType w:val="hybridMultilevel"/>
    <w:lvl w:ilvl="0">
      <w:lvlJc w:val="left"/>
      <w:lvlText w:val="%1"/>
      <w:numFmt w:val="upperLetter"/>
      <w:start w:val="1"/>
    </w:lvl>
    <w:lvl w:ilvl="1">
      <w:lvlJc w:val="left"/>
      <w:lvlText w:val="(%2)"/>
      <w:numFmt w:val="decimal"/>
      <w:start w:val="2"/>
    </w:lvl>
  </w:abstractNum>
  <w:abstractNum w:abstractNumId="4">
    <w:nsid w:val="1190CDE7"/>
    <w:multiLevelType w:val="hybridMultilevel"/>
    <w:lvl w:ilvl="0">
      <w:lvlJc w:val="left"/>
      <w:lvlText w:val="%1."/>
      <w:numFmt w:val="upperLetter"/>
      <w:start w:val="2"/>
    </w:lvl>
    <w:lvl w:ilvl="1">
      <w:lvlJc w:val="left"/>
      <w:lvlText w:val="%2"/>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lvl w:ilvl="1">
      <w:lvlJc w:val="left"/>
      <w:lvlText w:val="(%2)"/>
      <w:numFmt w:val="lowerLetter"/>
      <w:start w:val="1"/>
    </w:lvl>
  </w:abstractNum>
  <w:abstractNum w:abstractNumId="14">
    <w:nsid w:val="4E6AFB66"/>
    <w:multiLevelType w:val="hybridMultilevel"/>
    <w:lvl w:ilvl="0">
      <w:lvlJc w:val="left"/>
      <w:lvlText w:val="(%1)"/>
      <w:numFmt w:val="lowerLetter"/>
      <w:start w:val="35"/>
    </w:lvl>
    <w:lvl w:ilvl="1">
      <w:lvlJc w:val="left"/>
      <w:lvlText w:val="(%2)"/>
      <w:numFmt w:val="lowerLetter"/>
      <w:start w:val="4"/>
    </w:lvl>
  </w:abstractNum>
  <w:abstractNum w:abstractNumId="15">
    <w:nsid w:val="25E45D32"/>
    <w:multiLevelType w:val="hybridMultilevel"/>
    <w:lvl w:ilvl="0">
      <w:lvlJc w:val="left"/>
      <w:lvlText w:val="(%1)"/>
      <w:numFmt w:val="lowerLetter"/>
      <w:start w:val="1"/>
    </w:lvl>
    <w:lvl w:ilvl="1">
      <w:lvlJc w:val="left"/>
      <w:lvlText w:val="(%2)"/>
      <w:numFmt w:val="lowerRoman"/>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2019-12-13T15:41:29Z</dcterms:created>
  <dcterms:modified xsi:type="dcterms:W3CDTF">2019-12-13T15:41:29Z</dcterms:modified>
</cp:coreProperties>
</file>