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12,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000-22418</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20" w:type="dxa"/>
            <w:vAlign w:val="bottom"/>
          </w:tcPr>
          <w:p>
            <w:pPr>
              <w:spacing w:after="0"/>
              <w:rPr>
                <w:sz w:val="20"/>
                <w:szCs w:val="20"/>
                <w:color w:val="auto"/>
              </w:rPr>
            </w:pPr>
          </w:p>
        </w:tc>
      </w:tr>
      <w:tr>
        <w:trPr>
          <w:trHeight w:val="465"/>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0"/>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83" w:lineRule="exact"/>
        <w:rPr>
          <w:sz w:val="20"/>
          <w:szCs w:val="20"/>
          <w:color w:val="auto"/>
        </w:rPr>
      </w:pPr>
    </w:p>
    <w:p>
      <w:pPr>
        <w:ind w:left="1160"/>
        <w:spacing w:after="0" w:line="277" w:lineRule="auto"/>
        <w:rPr>
          <w:sz w:val="20"/>
          <w:szCs w:val="20"/>
          <w:color w:val="auto"/>
        </w:rPr>
      </w:pPr>
      <w:r>
        <w:rPr>
          <w:rFonts w:ascii="Arial" w:cs="Arial" w:eastAsia="Arial" w:hAnsi="Arial"/>
          <w:sz w:val="18"/>
          <w:szCs w:val="18"/>
          <w:color w:val="auto"/>
        </w:rPr>
        <w:t>On February 12, 2014, Itron, Inc. (the Company) issued a press release announcing its financial results for the three and twelve months ended December 31, 2013.</w:t>
      </w:r>
    </w:p>
    <w:p>
      <w:pPr>
        <w:spacing w:after="0" w:line="22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 copy of this press release and accompanying financial statements are attached as Exhibit 99.1.</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(d) Exhibits.</w:t>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12, 2014.</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The information presented in this Current Report on Form 8-K may contain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60"/>
          </w:cols>
          <w:pgMar w:left="240" w:top="135" w:right="2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ITRON, INC.</w:t>
      </w:r>
    </w:p>
    <w:p>
      <w:pPr>
        <w:spacing w:after="0" w:line="279" w:lineRule="exact"/>
        <w:rPr>
          <w:sz w:val="20"/>
          <w:szCs w:val="20"/>
          <w:color w:val="auto"/>
        </w:rPr>
      </w:pPr>
    </w:p>
    <w:p>
      <w:pPr>
        <w:spacing w:after="0"/>
        <w:tabs>
          <w:tab w:leader="none" w:pos="680" w:val="left"/>
          <w:tab w:leader="none" w:pos="5700" w:val="left"/>
          <w:tab w:leader="none" w:pos="6380" w:val="left"/>
        </w:tabs>
        <w:rPr>
          <w:sz w:val="20"/>
          <w:szCs w:val="20"/>
          <w:color w:val="auto"/>
        </w:rPr>
      </w:pPr>
      <w:r>
        <w:rPr>
          <w:rFonts w:ascii="Arial" w:cs="Arial" w:eastAsia="Arial" w:hAnsi="Arial"/>
          <w:sz w:val="18"/>
          <w:szCs w:val="18"/>
          <w:color w:val="auto"/>
        </w:rPr>
        <w:t>Dated:</w:t>
        <w:tab/>
        <w:t>February 12,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23495</wp:posOffset>
            </wp:positionV>
            <wp:extent cx="2752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Steven M. Helmbrecht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3" w:name="page4"/>
    <w:bookmarkEnd w:id="3"/>
    <w:p>
      <w:pPr>
        <w:jc w:val="right"/>
        <w:ind w:right="365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12, 2014.</w:t>
      </w:r>
    </w:p>
    <w:p>
      <w:pPr>
        <w:sectPr>
          <w:pgSz w:w="11900" w:h="16838" w:orient="portrait"/>
          <w:cols w:equalWidth="0" w:num="1">
            <w:col w:w="10079"/>
          </w:cols>
          <w:pgMar w:left="38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Announces Fourth Quarter and Fiscal 2013 Financial Results</w:t>
      </w:r>
    </w:p>
    <w:p>
      <w:pPr>
        <w:spacing w:after="0" w:line="212"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LIBERTY LAKE, Wash.--(BUSINESS WIRE)--February 12, 2014--Itron, Inc. (NASDAQ:ITRI) announced today financial results for its fourth quarter and full year ended December 31, 2013. Highlights include:</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full year revenues of $524 million and $1.9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940"/>
        <w:spacing w:after="0" w:line="274" w:lineRule="auto"/>
        <w:rPr>
          <w:sz w:val="20"/>
          <w:szCs w:val="20"/>
          <w:color w:val="auto"/>
        </w:rPr>
      </w:pPr>
      <w:r>
        <w:rPr>
          <w:rFonts w:ascii="Arial" w:cs="Arial" w:eastAsia="Arial" w:hAnsi="Arial"/>
          <w:sz w:val="21"/>
          <w:szCs w:val="21"/>
          <w:color w:val="auto"/>
        </w:rPr>
        <w:t>Quarterly and full year GAAP net loss per share of $3.93 and $3.74, inclusive of a $173 million non-cash goodwill impairment charge recorded during the quarter resulting in $4.12 per share impact,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-288290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50" w:lineRule="exact"/>
        <w:rPr>
          <w:sz w:val="20"/>
          <w:szCs w:val="20"/>
          <w:color w:val="auto"/>
        </w:rPr>
      </w:pPr>
    </w:p>
    <w:p>
      <w:pPr>
        <w:ind w:left="540" w:right="540"/>
        <w:spacing w:after="0" w:line="251" w:lineRule="auto"/>
        <w:rPr>
          <w:sz w:val="20"/>
          <w:szCs w:val="20"/>
          <w:color w:val="auto"/>
        </w:rPr>
      </w:pPr>
      <w:r>
        <w:rPr>
          <w:rFonts w:ascii="Arial" w:cs="Arial" w:eastAsia="Arial" w:hAnsi="Arial"/>
          <w:sz w:val="22"/>
          <w:szCs w:val="22"/>
          <w:color w:val="auto"/>
        </w:rPr>
        <w:t>Quarterly and full year non-GAAP diluted earnings per share of 36 cents and $1.90, inclusive of a 36 cent impact to the quarter for a discrete tax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right="4400"/>
        <w:spacing w:after="0" w:line="358" w:lineRule="auto"/>
        <w:rPr>
          <w:sz w:val="20"/>
          <w:szCs w:val="20"/>
          <w:color w:val="auto"/>
        </w:rPr>
      </w:pPr>
      <w:r>
        <w:rPr>
          <w:rFonts w:ascii="Arial" w:cs="Arial" w:eastAsia="Arial" w:hAnsi="Arial"/>
          <w:sz w:val="22"/>
          <w:szCs w:val="22"/>
          <w:color w:val="auto"/>
        </w:rPr>
        <w:t>Quarterly and full year adjusted EBITDA of $50 million and $168 million; Twelve-month backlog of $549 million and total backlog of $1.1 billion; Quarterly bookings of $527 million;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-657225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-417195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-177165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Implemented new segment reporting for Electricity, Gas and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“Our fourth quarter revenue and non-GAAP operating income results reflect continued improvement in our performance,” said Philip Mezey, Itron’s president and chief executive officer. “I was pleased with the increase in smart volumes, 13 percent growth in bookings, our execution on our restructuring plans and our efforts to lower costs and expenses. While fourth quarter results were impacted by a goodwill impairment charge in our Electricity segment and a discrete tax charge, the steps we have taken in 2013 position Itron to be more competitive in a tough economy and global marketplace. Despite a more conservative outlook, I am encouraged by the progress of our ongoing efforts to improve financial performance and build a solid foundation for future growth and profitability.”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w:t>
      </w:r>
    </w:p>
    <w:p>
      <w:pPr>
        <w:spacing w:after="0" w:line="212" w:lineRule="exact"/>
        <w:rPr>
          <w:sz w:val="20"/>
          <w:szCs w:val="20"/>
          <w:color w:val="auto"/>
        </w:rPr>
      </w:pPr>
    </w:p>
    <w:p>
      <w:pPr>
        <w:ind w:right="140"/>
        <w:spacing w:after="0" w:line="277" w:lineRule="auto"/>
        <w:rPr>
          <w:sz w:val="20"/>
          <w:szCs w:val="20"/>
          <w:color w:val="auto"/>
        </w:rPr>
      </w:pPr>
      <w:r>
        <w:rPr>
          <w:rFonts w:ascii="Arial" w:cs="Arial" w:eastAsia="Arial" w:hAnsi="Arial"/>
          <w:sz w:val="19"/>
          <w:szCs w:val="19"/>
          <w:color w:val="auto"/>
        </w:rPr>
        <w:t>Revenues were $524 million for the quarter and $1.9 billion for the full year, compared with $523 million and $2.2 billion in the same periods in 2012. Changes in foreign currency exchange rates unfavorably impacted revenue by approximately $3 million for the quarter and $15 million for the year. Excluding the impact from foreign currency, revenues for the quarter increased $3 million and decreased $215 million for the full year compared with the same periods in 2012. For the quarter, increased revenues in both the Electricity and Water segments were partially offset by a decrease in the Gas segment revenues. The decrease for the full year period was driven by lower Electricity segment revenues primarily related to the completion of several OpenWay smart meter projects in North America and lower Gas segment revenues, partially offset by an increase in Water segment revenues.</w:t>
      </w:r>
    </w:p>
    <w:p>
      <w:pPr>
        <w:spacing w:after="0" w:line="153"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Gross margin for the quarter and full year was 31.5 percent compared with 31.2 percent and 32.8 percent in the respective prior year periods. Gross margin improved in the quarter primarily due to a favorable impact from product mix. Gross margin decreased for the year due to the impact of lower volumes, increased cost for an OpenWay project and product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27202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right="100"/>
        <w:spacing w:after="0" w:line="245" w:lineRule="auto"/>
        <w:rPr>
          <w:sz w:val="20"/>
          <w:szCs w:val="20"/>
          <w:color w:val="auto"/>
        </w:rPr>
      </w:pPr>
      <w:r>
        <w:rPr>
          <w:rFonts w:ascii="Arial" w:cs="Arial" w:eastAsia="Arial" w:hAnsi="Arial"/>
          <w:sz w:val="21"/>
          <w:szCs w:val="21"/>
          <w:color w:val="auto"/>
        </w:rPr>
        <w:t>GAAP operating expenses were $314 million in the quarter and $750 million for the full year of 2013 compared with $144 million and $564 million in the same periods of 2012. A non-cash goodwill impairment charge of $173 million was recognized during the quarter resulting from the annual goodwill impairment assessment. The impairment was in the Electricity segment and was driven primarily by delays in global smart grid projects, and lower volumes and pricing pressures in certain regions in Europe and Asia Pacific. The revised forecast reduced the estimated fair value of the segment. This non-cash charge does not impact the company’s normal business operations or debt covenants. The Water and Gas segments did not incur impairments. The remaining operating expenses decreased $4 million for the quarter over the prior year period driven primarily by lower sales and marketing expenses. For the full year, the remaining operating expenses increased $12 million compared with 2012 primarily due to restructuring expense.</w:t>
      </w:r>
    </w:p>
    <w:p>
      <w:pPr>
        <w:spacing w:after="0" w:line="186"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GAAP operating loss for the quarter was $149 million compared with operating income of $19 million in the same period of 2012. GAAP net loss for the quarter was $154 million, or $3.93 per share, compared with net income of $16 million, or 40 cents per diluted share. The operating and net loss for the quarter was attributable to the goodwill impairment charge. In addition, an increase in tax expense was driven by a discrete tax item recognized in the quarter related to the write down of a deferred tax asset.</w:t>
      </w:r>
    </w:p>
    <w:p>
      <w:pPr>
        <w:spacing w:after="0" w:line="143"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GAAP operating loss for the full year was $135 million compared with operating income of $151 million in 2012. GAAP net loss for the full year was $147 million, or $3.74 per share, compared with net income of $108 million, or $2.71 per diluted share, in 2012. The GAAP operating and net loss for the year was primarily attributable to the goodwill impairment, lower gross profit and restructuring expense.</w:t>
      </w:r>
    </w:p>
    <w:p>
      <w:pPr>
        <w:spacing w:after="0" w:line="185"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color w:val="auto"/>
        </w:rPr>
        <w:t>Non-GAAP operating expenses, which exclude amortization of intangibles, restructuring charges, acquisition related expenses and the goodwill impairment, were $127 million for the quarter compared with $133 million in the prior year quarter. The decrease in expenses was due to lower global sales and marketing expenses. For the full year, non-GAAP operating expenses were $497 million compared with $509 million in 2012. The decrease in expenses for the year was due to lower global sales and marketing and product development expenses, partially offset by an increase in general and administrative expenses primarily related to legal reserves.</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Non-GAAP operating income was $38 million for the quarter compared with $30 million in the same period in 2012. The increase in non-GAAP operating income was primarily due to higher gross profit and lower operating expenses. Non-GAAP net income and diluted earnings for the quarter were $14 million, or 36 cents per share, compared with $23 million, or 58 cents per share in the prior year quarter. Non-GAAP earnings were impacted by 36 cents per share due to an increase in tax expense driven by a discrete tax item related to the write down of a deferred tax asset.</w:t>
      </w:r>
    </w:p>
    <w:p>
      <w:pPr>
        <w:spacing w:after="0" w:line="188"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Non-GAAP operating income for the full year was $118 million compared with $206 million in 2012. Non-GAAP net income and diluted earnings for the year were $75 million, or $1.90 per share, compared with $145 million, or $3.62 per share, in 2012. The decrease in non-GAAP operating income for the full year was attributable to lower gross profit, primarily due to lower revenues, partially offset by decreased operating expenses. Net income for the year was negatively impacted by the discrete tax item recognized in the fourth quarter, which had a 35 cent per share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 w:name="page7"/>
    <w:bookmarkEnd w:id="6"/>
    <w:p>
      <w:pPr>
        <w:jc w:val="both"/>
        <w:ind w:right="360"/>
        <w:spacing w:after="0" w:line="241" w:lineRule="auto"/>
        <w:rPr>
          <w:sz w:val="20"/>
          <w:szCs w:val="20"/>
          <w:color w:val="auto"/>
        </w:rPr>
      </w:pPr>
      <w:r>
        <w:rPr>
          <w:rFonts w:ascii="Arial" w:cs="Arial" w:eastAsia="Arial" w:hAnsi="Arial"/>
          <w:sz w:val="22"/>
          <w:szCs w:val="22"/>
          <w:color w:val="auto"/>
        </w:rPr>
        <w:t>Free cash flow was $24 million for the quarter compared with $52 million in the prior year quarter. The decrease was driven by changes in working capital. Free cash flow for the full year was $45 million compared with $155 million in 2012. The decrease over the prior year was due primarily to lower earnings.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During the quarter, the company repurchased 86,392 shares of Itron common stock at an average price of $39.48 per share pursuant to Board authorization to repurchase up to $50 million of Itron common stock during a 12-month period beginning March 2013. As of December 31, 2013, the company had repurchased 645,392 shares of Itron common stock at an average price of $41.80 per share, representing approximately 1.6 percent of total shares outstanding as of March 2013.</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Repurchase Program</w:t>
      </w:r>
    </w:p>
    <w:p>
      <w:pPr>
        <w:spacing w:after="0" w:line="212"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The company also announced today that its Board of Directors authorized a new share repurchase program of up to $50 million of the company’s common stock over a 12 month period to commence upon the completion of the current repurchase program in March 2014. See the press release issued today and Form 8-K for further details on the repurchase plan.</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Guidance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Itron’s guidance for the full year 2014 is as follows: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between $1.825 and $1.925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Non-GAAP diluted EPS between $1.30 and $1.80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40"/>
        <w:spacing w:after="0"/>
        <w:rPr>
          <w:sz w:val="20"/>
          <w:szCs w:val="20"/>
          <w:color w:val="auto"/>
        </w:rPr>
      </w:pPr>
      <w:r>
        <w:rPr>
          <w:rFonts w:ascii="Arial" w:cs="Arial" w:eastAsia="Arial" w:hAnsi="Arial"/>
          <w:sz w:val="22"/>
          <w:szCs w:val="22"/>
          <w:color w:val="auto"/>
        </w:rPr>
        <w:t>The company’s guidance assumes a gross margin between 31 and 32 percent, a Euro to U.S. dollar average exchange rate of $1.33, average shares outstanding of approximately 39.8 million for the year and a non-GAAP effective tax rate for the year between 30 and 32 percent.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Conference Call:</w:t>
      </w:r>
    </w:p>
    <w:p>
      <w:pPr>
        <w:spacing w:after="0" w:line="212"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 xml:space="preserve">Itron will host a conference call to discuss the financial results and guidance contained in this release at 5:00 p.m. Eastern Standard Time (EST) on Feb. 12, 2014. The call will be webcast in a listen-only mode. Webcast information and conference call materials will be made available 10 minutes before the start of the call and are accessible on Itron’s website at </w:t>
      </w:r>
      <w:r>
        <w:rPr>
          <w:rFonts w:ascii="Arial" w:cs="Arial" w:eastAsia="Arial" w:hAnsi="Arial"/>
          <w:sz w:val="22"/>
          <w:szCs w:val="22"/>
          <w:u w:val="single" w:color="auto"/>
          <w:color w:val="auto"/>
        </w:rPr>
        <w:t>http://investors.itron.com/events.cfm</w:t>
      </w:r>
      <w:r>
        <w:rPr>
          <w:rFonts w:ascii="Arial" w:cs="Arial" w:eastAsia="Arial" w:hAnsi="Arial"/>
          <w:sz w:val="22"/>
          <w:szCs w:val="22"/>
          <w:color w:val="auto"/>
        </w:rPr>
        <w:t>. The webcast replay will be available within 90 minutes of the conclusion of the live call and will be available for two weeks. A telephone replay of the conference call will be available at 10:00 p.m. EST on Feb. 12, 2014 through 10:00 p.m. EST on Feb. 14, 2014. To access the telephone replay, dial (888) 203-1112 (Domestic) or (719) 457-0820 (International) and enter passcode 5975912.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7202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About Itron</w:t>
      </w:r>
    </w:p>
    <w:p>
      <w:pPr>
        <w:spacing w:after="0" w:line="213"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 xml:space="preserve">Itron is a world-leading technology and services company dedicated to the resourceful use of energy and water. We provide comprehensive solutions that measure, manage and analyze energy and water. Our broad product portfolio includes electricity, gas, water and thermal energy measurement devices and control technology; communications systems; software; as well as managed and consulting services. With thousands of employees supporting nearly 8,000 customers in more than 100 countries, Itron applies knowledge and technology to better manage energy and water resources. Together, we can create a more resourceful world. Join us: </w:t>
      </w:r>
      <w:r>
        <w:rPr>
          <w:rFonts w:ascii="Arial" w:cs="Arial" w:eastAsia="Arial" w:hAnsi="Arial"/>
          <w:sz w:val="22"/>
          <w:szCs w:val="22"/>
          <w:u w:val="single" w:color="auto"/>
          <w:color w:val="auto"/>
        </w:rPr>
        <w:t>www.itron.com</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12"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This release contains forward-looking statements concerning our expectations about operations, financial performance, sales, earnings and cash flows. These statements reflect our current plans and expectations and are based on information currently available. The statements rely on a number of assumptions and estimates, which could be inaccurate, and which are subject to risks and uncertainties that could cause our actual results to vary materially from those anticipated. Risks and uncertainties include the rate and timing of customer demand for our products, rescheduling of current customer orders, changes in estimated liabilities for product warranties,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2012 and other reports on file with the Securities and Exchange Commission. Itron undertakes no obligation to update publicly or revise any forward-looking statements, including our business outlook.</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To supplement our consolidated financial statements presented in accordance with GAAP, we use certain non-GAAP financial measures, including non-GAAP operating expense, non-GAAP operating income, non-GAAP net income, non-GAAP diluted EPS, adjusted EBITDA and free cash flow. We provide these non-GAAP financial measures because we believe they provide greater transparency and represent supplemental information used by management in its financial and operational decision making. Specifically, these non-GAAP financial measures are provided to enhance investors’ overall understanding of our current financial performance and our future anticipated performance by excluding infrequent or non-cash costs, particularly those associated with acquisitions. We exclude certain costs in our non-GAAP financial measures as we believe the net result is a measure of our core business. Non-GAAP performance measures should be considered in addition to, and not as a substitute for, results prepared in accordance with GAAP.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156"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Statements of operations, segment information, balance sheets, cash flow statements and reconciliations of non-GAAP financial measures to the most directly comparable GAAP financial measures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2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48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w w:val="99"/>
              </w:rPr>
              <w:t>Three Months Ended December 31,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w w:val="99"/>
              </w:rPr>
              <w:t>Twelve Months Ended December 31,</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64"/>
        </w:trPr>
        <w:tc>
          <w:tcPr>
            <w:tcW w:w="4820" w:type="dxa"/>
            <w:vAlign w:val="bottom"/>
          </w:tcPr>
          <w:p>
            <w:pPr>
              <w:spacing w:after="0"/>
              <w:rPr>
                <w:sz w:val="20"/>
                <w:szCs w:val="20"/>
                <w:color w:val="auto"/>
              </w:rPr>
            </w:pPr>
            <w:r>
              <w:rPr>
                <w:rFonts w:ascii="Arial" w:cs="Arial" w:eastAsia="Arial" w:hAnsi="Arial"/>
                <w:sz w:val="14"/>
                <w:szCs w:val="14"/>
                <w:color w:val="auto"/>
              </w:rPr>
              <w:t>Revenues</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523,526</w:t>
            </w:r>
          </w:p>
        </w:tc>
        <w:tc>
          <w:tcPr>
            <w:tcW w:w="160" w:type="dxa"/>
            <w:vAlign w:val="bottom"/>
          </w:tcPr>
          <w:p>
            <w:pPr>
              <w:spacing w:after="0"/>
              <w:rPr>
                <w:sz w:val="14"/>
                <w:szCs w:val="14"/>
                <w:color w:val="auto"/>
              </w:rPr>
            </w:pP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523,335</w:t>
            </w:r>
          </w:p>
        </w:tc>
        <w:tc>
          <w:tcPr>
            <w:tcW w:w="100" w:type="dxa"/>
            <w:vAlign w:val="bottom"/>
          </w:tcPr>
          <w:p>
            <w:pPr>
              <w:spacing w:after="0"/>
              <w:rPr>
                <w:sz w:val="14"/>
                <w:szCs w:val="14"/>
                <w:color w:val="auto"/>
              </w:rPr>
            </w:pP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1,948,728</w:t>
            </w:r>
          </w:p>
        </w:tc>
        <w:tc>
          <w:tcPr>
            <w:tcW w:w="140" w:type="dxa"/>
            <w:vAlign w:val="bottom"/>
          </w:tcPr>
          <w:p>
            <w:pPr>
              <w:spacing w:after="0"/>
              <w:rPr>
                <w:sz w:val="14"/>
                <w:szCs w:val="14"/>
                <w:color w:val="auto"/>
              </w:rPr>
            </w:pP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2,178,178</w:t>
            </w:r>
          </w:p>
        </w:tc>
        <w:tc>
          <w:tcPr>
            <w:tcW w:w="0" w:type="dxa"/>
            <w:vAlign w:val="bottom"/>
          </w:tcPr>
          <w:p>
            <w:pPr>
              <w:spacing w:after="0"/>
              <w:rPr>
                <w:sz w:val="1"/>
                <w:szCs w:val="1"/>
                <w:color w:val="auto"/>
              </w:rPr>
            </w:pPr>
          </w:p>
        </w:tc>
      </w:tr>
      <w:tr>
        <w:trPr>
          <w:trHeight w:val="181"/>
        </w:trPr>
        <w:tc>
          <w:tcPr>
            <w:tcW w:w="4820" w:type="dxa"/>
            <w:vAlign w:val="bottom"/>
          </w:tcPr>
          <w:p>
            <w:pPr>
              <w:spacing w:after="0"/>
              <w:rPr>
                <w:sz w:val="20"/>
                <w:szCs w:val="20"/>
                <w:color w:val="auto"/>
              </w:rPr>
            </w:pPr>
            <w:r>
              <w:rPr>
                <w:rFonts w:ascii="Arial" w:cs="Arial" w:eastAsia="Arial" w:hAnsi="Arial"/>
                <w:sz w:val="14"/>
                <w:szCs w:val="14"/>
                <w:color w:val="auto"/>
              </w:rPr>
              <w:t>Cost of revenues</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358,788</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359,835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1,334,195</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1,463,031</w:t>
            </w:r>
          </w:p>
        </w:tc>
        <w:tc>
          <w:tcPr>
            <w:tcW w:w="0" w:type="dxa"/>
            <w:vAlign w:val="bottom"/>
          </w:tcPr>
          <w:p>
            <w:pPr>
              <w:spacing w:after="0"/>
              <w:rPr>
                <w:sz w:val="1"/>
                <w:szCs w:val="1"/>
                <w:color w:val="auto"/>
              </w:rPr>
            </w:pPr>
          </w:p>
        </w:tc>
      </w:tr>
      <w:tr>
        <w:trPr>
          <w:trHeight w:val="176"/>
        </w:trPr>
        <w:tc>
          <w:tcPr>
            <w:tcW w:w="4820" w:type="dxa"/>
            <w:vAlign w:val="bottom"/>
          </w:tcPr>
          <w:p>
            <w:pPr>
              <w:spacing w:after="0"/>
              <w:rPr>
                <w:sz w:val="20"/>
                <w:szCs w:val="20"/>
                <w:color w:val="auto"/>
              </w:rPr>
            </w:pPr>
            <w:r>
              <w:rPr>
                <w:rFonts w:ascii="Arial" w:cs="Arial" w:eastAsia="Arial" w:hAnsi="Arial"/>
                <w:sz w:val="14"/>
                <w:szCs w:val="14"/>
                <w:color w:val="auto"/>
              </w:rPr>
              <w:t>Gross profit</w:t>
            </w:r>
          </w:p>
        </w:tc>
        <w:tc>
          <w:tcPr>
            <w:tcW w:w="3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164,738</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163,500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614,533</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715,147</w:t>
            </w:r>
          </w:p>
        </w:tc>
        <w:tc>
          <w:tcPr>
            <w:tcW w:w="0" w:type="dxa"/>
            <w:vAlign w:val="bottom"/>
          </w:tcPr>
          <w:p>
            <w:pPr>
              <w:spacing w:after="0"/>
              <w:rPr>
                <w:sz w:val="1"/>
                <w:szCs w:val="1"/>
                <w:color w:val="auto"/>
              </w:rPr>
            </w:pPr>
          </w:p>
        </w:tc>
      </w:tr>
      <w:tr>
        <w:trPr>
          <w:trHeight w:val="339"/>
        </w:trPr>
        <w:tc>
          <w:tcPr>
            <w:tcW w:w="4820" w:type="dxa"/>
            <w:vAlign w:val="bottom"/>
          </w:tcPr>
          <w:p>
            <w:pPr>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820" w:type="dxa"/>
            <w:vAlign w:val="bottom"/>
          </w:tcPr>
          <w:p>
            <w:pPr>
              <w:ind w:left="14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41,923</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51,987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180,371</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197,603</w:t>
            </w:r>
          </w:p>
        </w:tc>
        <w:tc>
          <w:tcPr>
            <w:tcW w:w="0" w:type="dxa"/>
            <w:vAlign w:val="bottom"/>
          </w:tcPr>
          <w:p>
            <w:pPr>
              <w:spacing w:after="0"/>
              <w:rPr>
                <w:sz w:val="1"/>
                <w:szCs w:val="1"/>
                <w:color w:val="auto"/>
              </w:rPr>
            </w:pPr>
          </w:p>
        </w:tc>
      </w:tr>
      <w:tr>
        <w:trPr>
          <w:trHeight w:val="176"/>
        </w:trPr>
        <w:tc>
          <w:tcPr>
            <w:tcW w:w="4820" w:type="dxa"/>
            <w:vAlign w:val="bottom"/>
          </w:tcPr>
          <w:p>
            <w:pPr>
              <w:ind w:left="140"/>
              <w:spacing w:after="0"/>
              <w:rPr>
                <w:sz w:val="20"/>
                <w:szCs w:val="20"/>
                <w:color w:val="auto"/>
              </w:rPr>
            </w:pPr>
            <w:r>
              <w:rPr>
                <w:rFonts w:ascii="Arial" w:cs="Arial" w:eastAsia="Arial" w:hAnsi="Arial"/>
                <w:sz w:val="14"/>
                <w:szCs w:val="14"/>
                <w:color w:val="auto"/>
              </w:rPr>
              <w:t>Product development</w:t>
            </w:r>
          </w:p>
        </w:tc>
        <w:tc>
          <w:tcPr>
            <w:tcW w:w="3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46,835</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44,358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176,019</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178,653</w:t>
            </w:r>
          </w:p>
        </w:tc>
        <w:tc>
          <w:tcPr>
            <w:tcW w:w="0" w:type="dxa"/>
            <w:vAlign w:val="bottom"/>
          </w:tcPr>
          <w:p>
            <w:pPr>
              <w:spacing w:after="0"/>
              <w:rPr>
                <w:sz w:val="1"/>
                <w:szCs w:val="1"/>
                <w:color w:val="auto"/>
              </w:rPr>
            </w:pPr>
          </w:p>
        </w:tc>
      </w:tr>
      <w:tr>
        <w:trPr>
          <w:trHeight w:val="176"/>
        </w:trPr>
        <w:tc>
          <w:tcPr>
            <w:tcW w:w="482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3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38,387</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37,527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142,559</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138,290</w:t>
            </w:r>
          </w:p>
        </w:tc>
        <w:tc>
          <w:tcPr>
            <w:tcW w:w="0" w:type="dxa"/>
            <w:vAlign w:val="bottom"/>
          </w:tcPr>
          <w:p>
            <w:pPr>
              <w:spacing w:after="0"/>
              <w:rPr>
                <w:sz w:val="1"/>
                <w:szCs w:val="1"/>
                <w:color w:val="auto"/>
              </w:rPr>
            </w:pPr>
          </w:p>
        </w:tc>
      </w:tr>
      <w:tr>
        <w:trPr>
          <w:trHeight w:val="176"/>
        </w:trPr>
        <w:tc>
          <w:tcPr>
            <w:tcW w:w="4820" w:type="dxa"/>
            <w:vAlign w:val="bottom"/>
          </w:tcPr>
          <w:p>
            <w:pPr>
              <w:ind w:left="140"/>
              <w:spacing w:after="0"/>
              <w:rPr>
                <w:sz w:val="20"/>
                <w:szCs w:val="20"/>
                <w:color w:val="auto"/>
              </w:rPr>
            </w:pPr>
            <w:r>
              <w:rPr>
                <w:rFonts w:ascii="Arial" w:cs="Arial" w:eastAsia="Arial" w:hAnsi="Arial"/>
                <w:sz w:val="14"/>
                <w:szCs w:val="14"/>
                <w:color w:val="auto"/>
              </w:rPr>
              <w:t>Amortization of intangible assets</w:t>
            </w:r>
          </w:p>
        </w:tc>
        <w:tc>
          <w:tcPr>
            <w:tcW w:w="3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10,640</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11,943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42,019</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47,810</w:t>
            </w:r>
          </w:p>
        </w:tc>
        <w:tc>
          <w:tcPr>
            <w:tcW w:w="0" w:type="dxa"/>
            <w:vAlign w:val="bottom"/>
          </w:tcPr>
          <w:p>
            <w:pPr>
              <w:spacing w:after="0"/>
              <w:rPr>
                <w:sz w:val="1"/>
                <w:szCs w:val="1"/>
                <w:color w:val="auto"/>
              </w:rPr>
            </w:pPr>
          </w:p>
        </w:tc>
      </w:tr>
      <w:tr>
        <w:trPr>
          <w:trHeight w:val="176"/>
        </w:trPr>
        <w:tc>
          <w:tcPr>
            <w:tcW w:w="4820" w:type="dxa"/>
            <w:vAlign w:val="bottom"/>
          </w:tcPr>
          <w:p>
            <w:pPr>
              <w:ind w:left="140"/>
              <w:spacing w:after="0"/>
              <w:rPr>
                <w:sz w:val="20"/>
                <w:szCs w:val="20"/>
                <w:color w:val="auto"/>
              </w:rPr>
            </w:pPr>
            <w:r>
              <w:rPr>
                <w:rFonts w:ascii="Arial" w:cs="Arial" w:eastAsia="Arial" w:hAnsi="Arial"/>
                <w:sz w:val="14"/>
                <w:szCs w:val="14"/>
                <w:color w:val="auto"/>
              </w:rPr>
              <w:t>Restructuring expense</w:t>
            </w:r>
          </w:p>
        </w:tc>
        <w:tc>
          <w:tcPr>
            <w:tcW w:w="3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2,720</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(1,790)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35,497</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1,665</w:t>
            </w:r>
          </w:p>
        </w:tc>
        <w:tc>
          <w:tcPr>
            <w:tcW w:w="0" w:type="dxa"/>
            <w:vAlign w:val="bottom"/>
          </w:tcPr>
          <w:p>
            <w:pPr>
              <w:spacing w:after="0"/>
              <w:rPr>
                <w:sz w:val="1"/>
                <w:szCs w:val="1"/>
                <w:color w:val="auto"/>
              </w:rPr>
            </w:pPr>
          </w:p>
        </w:tc>
      </w:tr>
      <w:tr>
        <w:trPr>
          <w:trHeight w:val="181"/>
        </w:trPr>
        <w:tc>
          <w:tcPr>
            <w:tcW w:w="4820" w:type="dxa"/>
            <w:vAlign w:val="bottom"/>
          </w:tcPr>
          <w:p>
            <w:pPr>
              <w:ind w:left="140"/>
              <w:spacing w:after="0"/>
              <w:rPr>
                <w:sz w:val="20"/>
                <w:szCs w:val="20"/>
                <w:color w:val="auto"/>
              </w:rPr>
            </w:pPr>
            <w:r>
              <w:rPr>
                <w:rFonts w:ascii="Arial" w:cs="Arial" w:eastAsia="Arial" w:hAnsi="Arial"/>
                <w:sz w:val="14"/>
                <w:szCs w:val="14"/>
                <w:color w:val="auto"/>
              </w:rPr>
              <w:t>Goodwill impairment</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173,249</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173,249</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820" w:type="dxa"/>
            <w:vAlign w:val="bottom"/>
          </w:tcPr>
          <w:p>
            <w:pPr>
              <w:ind w:left="28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313,754</w:t>
            </w: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144,025</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749,714</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564,021</w:t>
            </w:r>
          </w:p>
        </w:tc>
        <w:tc>
          <w:tcPr>
            <w:tcW w:w="0" w:type="dxa"/>
            <w:vAlign w:val="bottom"/>
          </w:tcPr>
          <w:p>
            <w:pPr>
              <w:spacing w:after="0"/>
              <w:rPr>
                <w:sz w:val="1"/>
                <w:szCs w:val="1"/>
                <w:color w:val="auto"/>
              </w:rPr>
            </w:pPr>
          </w:p>
        </w:tc>
      </w:tr>
      <w:tr>
        <w:trPr>
          <w:trHeight w:val="339"/>
        </w:trPr>
        <w:tc>
          <w:tcPr>
            <w:tcW w:w="4820" w:type="dxa"/>
            <w:vAlign w:val="bottom"/>
          </w:tcPr>
          <w:p>
            <w:pPr>
              <w:spacing w:after="0"/>
              <w:rPr>
                <w:sz w:val="20"/>
                <w:szCs w:val="20"/>
                <w:color w:val="auto"/>
              </w:rPr>
            </w:pPr>
            <w:r>
              <w:rPr>
                <w:rFonts w:ascii="Arial" w:cs="Arial" w:eastAsia="Arial" w:hAnsi="Arial"/>
                <w:sz w:val="14"/>
                <w:szCs w:val="14"/>
                <w:color w:val="auto"/>
              </w:rPr>
              <w:t>Operating income (loss)</w:t>
            </w:r>
          </w:p>
        </w:tc>
        <w:tc>
          <w:tcPr>
            <w:tcW w:w="32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(149,016)</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19,475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(135,181)</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151,126</w:t>
            </w:r>
          </w:p>
        </w:tc>
        <w:tc>
          <w:tcPr>
            <w:tcW w:w="0" w:type="dxa"/>
            <w:vAlign w:val="bottom"/>
          </w:tcPr>
          <w:p>
            <w:pPr>
              <w:spacing w:after="0"/>
              <w:rPr>
                <w:sz w:val="1"/>
                <w:szCs w:val="1"/>
                <w:color w:val="auto"/>
              </w:rPr>
            </w:pPr>
          </w:p>
        </w:tc>
      </w:tr>
      <w:tr>
        <w:trPr>
          <w:trHeight w:val="176"/>
        </w:trPr>
        <w:tc>
          <w:tcPr>
            <w:tcW w:w="4820" w:type="dxa"/>
            <w:vAlign w:val="bottom"/>
          </w:tcPr>
          <w:p>
            <w:pPr>
              <w:spacing w:after="0"/>
              <w:rPr>
                <w:sz w:val="20"/>
                <w:szCs w:val="20"/>
                <w:color w:val="auto"/>
              </w:rPr>
            </w:pPr>
            <w:r>
              <w:rPr>
                <w:rFonts w:ascii="Arial" w:cs="Arial" w:eastAsia="Arial" w:hAnsi="Arial"/>
                <w:sz w:val="14"/>
                <w:szCs w:val="14"/>
                <w:color w:val="auto"/>
              </w:rPr>
              <w:t>Other income (expense)</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219</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1,620</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76"/>
        </w:trPr>
        <w:tc>
          <w:tcPr>
            <w:tcW w:w="482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(3,165)</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(2,521)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(10,686)</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(10,115)</w:t>
            </w:r>
          </w:p>
        </w:tc>
        <w:tc>
          <w:tcPr>
            <w:tcW w:w="0" w:type="dxa"/>
            <w:vAlign w:val="bottom"/>
          </w:tcPr>
          <w:p>
            <w:pPr>
              <w:spacing w:after="0"/>
              <w:rPr>
                <w:sz w:val="1"/>
                <w:szCs w:val="1"/>
                <w:color w:val="auto"/>
              </w:rPr>
            </w:pPr>
          </w:p>
        </w:tc>
      </w:tr>
      <w:tr>
        <w:trPr>
          <w:trHeight w:val="181"/>
        </w:trPr>
        <w:tc>
          <w:tcPr>
            <w:tcW w:w="4820" w:type="dxa"/>
            <w:vAlign w:val="bottom"/>
          </w:tcPr>
          <w:p>
            <w:pPr>
              <w:ind w:left="140"/>
              <w:spacing w:after="0"/>
              <w:rPr>
                <w:sz w:val="20"/>
                <w:szCs w:val="20"/>
                <w:color w:val="auto"/>
              </w:rPr>
            </w:pPr>
            <w:r>
              <w:rPr>
                <w:rFonts w:ascii="Arial" w:cs="Arial" w:eastAsia="Arial" w:hAnsi="Arial"/>
                <w:sz w:val="14"/>
                <w:szCs w:val="14"/>
                <w:color w:val="auto"/>
              </w:rPr>
              <w:t>Other income (expense), net</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(1,290)</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(4,007)</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(5,744)</w:t>
            </w:r>
          </w:p>
        </w:tc>
        <w:tc>
          <w:tcPr>
            <w:tcW w:w="0" w:type="dxa"/>
            <w:vAlign w:val="bottom"/>
          </w:tcPr>
          <w:p>
            <w:pPr>
              <w:spacing w:after="0"/>
              <w:rPr>
                <w:sz w:val="1"/>
                <w:szCs w:val="1"/>
                <w:color w:val="auto"/>
              </w:rPr>
            </w:pPr>
          </w:p>
        </w:tc>
      </w:tr>
      <w:tr>
        <w:trPr>
          <w:trHeight w:val="169"/>
        </w:trPr>
        <w:tc>
          <w:tcPr>
            <w:tcW w:w="4820" w:type="dxa"/>
            <w:vAlign w:val="bottom"/>
          </w:tcPr>
          <w:p>
            <w:pPr>
              <w:ind w:left="280"/>
              <w:spacing w:after="0"/>
              <w:rPr>
                <w:sz w:val="20"/>
                <w:szCs w:val="20"/>
                <w:color w:val="auto"/>
              </w:rPr>
            </w:pPr>
            <w:r>
              <w:rPr>
                <w:rFonts w:ascii="Arial" w:cs="Arial" w:eastAsia="Arial" w:hAnsi="Arial"/>
                <w:sz w:val="14"/>
                <w:szCs w:val="14"/>
                <w:color w:val="auto"/>
              </w:rPr>
              <w:t>Total other income (expense)</w:t>
            </w: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(4,236)</w:t>
            </w: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(3,756)</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(13,073)</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(14,907)</w:t>
            </w:r>
          </w:p>
        </w:tc>
        <w:tc>
          <w:tcPr>
            <w:tcW w:w="0" w:type="dxa"/>
            <w:vAlign w:val="bottom"/>
          </w:tcPr>
          <w:p>
            <w:pPr>
              <w:spacing w:after="0"/>
              <w:rPr>
                <w:sz w:val="1"/>
                <w:szCs w:val="1"/>
                <w:color w:val="auto"/>
              </w:rPr>
            </w:pPr>
          </w:p>
        </w:tc>
      </w:tr>
      <w:tr>
        <w:trPr>
          <w:trHeight w:val="339"/>
        </w:trPr>
        <w:tc>
          <w:tcPr>
            <w:tcW w:w="482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32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(153,252)</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15,719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(148,254)</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136,219</w:t>
            </w:r>
          </w:p>
        </w:tc>
        <w:tc>
          <w:tcPr>
            <w:tcW w:w="0" w:type="dxa"/>
            <w:vAlign w:val="bottom"/>
          </w:tcPr>
          <w:p>
            <w:pPr>
              <w:spacing w:after="0"/>
              <w:rPr>
                <w:sz w:val="1"/>
                <w:szCs w:val="1"/>
                <w:color w:val="auto"/>
              </w:rPr>
            </w:pPr>
          </w:p>
        </w:tc>
      </w:tr>
      <w:tr>
        <w:trPr>
          <w:trHeight w:val="181"/>
        </w:trPr>
        <w:tc>
          <w:tcPr>
            <w:tcW w:w="4820" w:type="dxa"/>
            <w:vAlign w:val="bottom"/>
          </w:tcPr>
          <w:p>
            <w:pPr>
              <w:spacing w:after="0"/>
              <w:rPr>
                <w:sz w:val="20"/>
                <w:szCs w:val="20"/>
                <w:color w:val="auto"/>
              </w:rPr>
            </w:pPr>
            <w:r>
              <w:rPr>
                <w:rFonts w:ascii="Arial" w:cs="Arial" w:eastAsia="Arial" w:hAnsi="Arial"/>
                <w:sz w:val="14"/>
                <w:szCs w:val="14"/>
                <w:color w:val="auto"/>
              </w:rPr>
              <w:t>Income tax benefit (provision)</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(272)</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3,664</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(25,995)</w:t>
            </w:r>
          </w:p>
        </w:tc>
        <w:tc>
          <w:tcPr>
            <w:tcW w:w="0" w:type="dxa"/>
            <w:vAlign w:val="bottom"/>
          </w:tcPr>
          <w:p>
            <w:pPr>
              <w:spacing w:after="0"/>
              <w:rPr>
                <w:sz w:val="1"/>
                <w:szCs w:val="1"/>
                <w:color w:val="auto"/>
              </w:rPr>
            </w:pPr>
          </w:p>
        </w:tc>
      </w:tr>
      <w:tr>
        <w:trPr>
          <w:trHeight w:val="164"/>
        </w:trPr>
        <w:tc>
          <w:tcPr>
            <w:tcW w:w="4820" w:type="dxa"/>
            <w:vAlign w:val="bottom"/>
          </w:tcPr>
          <w:p>
            <w:pPr>
              <w:spacing w:after="0"/>
              <w:rPr>
                <w:sz w:val="20"/>
                <w:szCs w:val="20"/>
                <w:color w:val="auto"/>
              </w:rPr>
            </w:pPr>
            <w:r>
              <w:rPr>
                <w:rFonts w:ascii="Arial" w:cs="Arial" w:eastAsia="Arial" w:hAnsi="Arial"/>
                <w:sz w:val="14"/>
                <w:szCs w:val="14"/>
                <w:color w:val="auto"/>
              </w:rPr>
              <w:t>Net income (loss)</w:t>
            </w:r>
          </w:p>
        </w:tc>
        <w:tc>
          <w:tcPr>
            <w:tcW w:w="32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(153,524)</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16,464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(144,590)</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110,224</w:t>
            </w:r>
          </w:p>
        </w:tc>
        <w:tc>
          <w:tcPr>
            <w:tcW w:w="0" w:type="dxa"/>
            <w:vAlign w:val="bottom"/>
          </w:tcPr>
          <w:p>
            <w:pPr>
              <w:spacing w:after="0"/>
              <w:rPr>
                <w:sz w:val="1"/>
                <w:szCs w:val="1"/>
                <w:color w:val="auto"/>
              </w:rPr>
            </w:pPr>
          </w:p>
        </w:tc>
      </w:tr>
      <w:tr>
        <w:trPr>
          <w:trHeight w:val="181"/>
        </w:trPr>
        <w:tc>
          <w:tcPr>
            <w:tcW w:w="4820" w:type="dxa"/>
            <w:vAlign w:val="bottom"/>
          </w:tcPr>
          <w:p>
            <w:pPr>
              <w:ind w:left="140"/>
              <w:spacing w:after="0"/>
              <w:rPr>
                <w:sz w:val="20"/>
                <w:szCs w:val="20"/>
                <w:color w:val="auto"/>
              </w:rPr>
            </w:pPr>
            <w:r>
              <w:rPr>
                <w:rFonts w:ascii="Arial" w:cs="Arial" w:eastAsia="Arial" w:hAnsi="Arial"/>
                <w:sz w:val="14"/>
                <w:szCs w:val="14"/>
                <w:color w:val="auto"/>
              </w:rPr>
              <w:t>Net income attributable to non-controlling interests</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906</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2,219</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1,949</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20"/>
                <w:szCs w:val="20"/>
                <w:color w:val="auto"/>
              </w:rPr>
            </w:pPr>
            <w:r>
              <w:rPr>
                <w:rFonts w:ascii="Arial" w:cs="Arial" w:eastAsia="Arial" w:hAnsi="Arial"/>
                <w:sz w:val="14"/>
                <w:szCs w:val="14"/>
                <w:color w:val="auto"/>
              </w:rPr>
              <w:t>Net income (loss) attributable to Itron, Inc.</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(154,430)</w:t>
            </w:r>
          </w:p>
        </w:tc>
        <w:tc>
          <w:tcPr>
            <w:tcW w:w="160" w:type="dxa"/>
            <w:vAlign w:val="bottom"/>
          </w:tcPr>
          <w:p>
            <w:pPr>
              <w:spacing w:after="0"/>
              <w:rPr>
                <w:sz w:val="14"/>
                <w:szCs w:val="14"/>
                <w:color w:val="auto"/>
              </w:rPr>
            </w:pP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15,960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(146,809)</w:t>
            </w:r>
          </w:p>
        </w:tc>
        <w:tc>
          <w:tcPr>
            <w:tcW w:w="140" w:type="dxa"/>
            <w:vAlign w:val="bottom"/>
          </w:tcPr>
          <w:p>
            <w:pPr>
              <w:spacing w:after="0"/>
              <w:rPr>
                <w:sz w:val="14"/>
                <w:szCs w:val="14"/>
                <w:color w:val="auto"/>
              </w:rPr>
            </w:pP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108,275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820" w:type="dxa"/>
            <w:vAlign w:val="bottom"/>
          </w:tcPr>
          <w:p>
            <w:pPr>
              <w:spacing w:after="0"/>
              <w:rPr>
                <w:sz w:val="20"/>
                <w:szCs w:val="20"/>
                <w:color w:val="auto"/>
              </w:rPr>
            </w:pPr>
            <w:r>
              <w:rPr>
                <w:rFonts w:ascii="Arial" w:cs="Arial" w:eastAsia="Arial" w:hAnsi="Arial"/>
                <w:sz w:val="14"/>
                <w:szCs w:val="14"/>
                <w:color w:val="auto"/>
              </w:rPr>
              <w:t>Earnings (loss) per common share - Basic</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(3.93)</w:t>
            </w:r>
          </w:p>
        </w:tc>
        <w:tc>
          <w:tcPr>
            <w:tcW w:w="160" w:type="dxa"/>
            <w:vAlign w:val="bottom"/>
          </w:tcPr>
          <w:p>
            <w:pPr>
              <w:spacing w:after="0"/>
              <w:rPr>
                <w:sz w:val="24"/>
                <w:szCs w:val="24"/>
                <w:color w:val="auto"/>
              </w:rPr>
            </w:pP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0.41</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(3.74)</w:t>
            </w:r>
          </w:p>
        </w:tc>
        <w:tc>
          <w:tcPr>
            <w:tcW w:w="140" w:type="dxa"/>
            <w:vAlign w:val="bottom"/>
          </w:tcPr>
          <w:p>
            <w:pPr>
              <w:spacing w:after="0"/>
              <w:rPr>
                <w:sz w:val="24"/>
                <w:szCs w:val="24"/>
                <w:color w:val="auto"/>
              </w:rPr>
            </w:pP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4"/>
                <w:szCs w:val="14"/>
                <w:color w:val="auto"/>
              </w:rPr>
              <w:t>Earnings (loss) per common share - Diluted</w:t>
            </w: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20" w:type="dxa"/>
            <w:vAlign w:val="bottom"/>
            <w:vMerge w:val="continue"/>
          </w:tcPr>
          <w:p>
            <w:pPr>
              <w:spacing w:after="0"/>
              <w:rPr>
                <w:sz w:val="13"/>
                <w:szCs w:val="13"/>
                <w:color w:val="auto"/>
              </w:rPr>
            </w:pPr>
          </w:p>
        </w:tc>
        <w:tc>
          <w:tcPr>
            <w:tcW w:w="32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(3.93)</w:t>
            </w:r>
          </w:p>
        </w:tc>
        <w:tc>
          <w:tcPr>
            <w:tcW w:w="16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128"/>
              <w:spacing w:after="0" w:line="156"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0.40</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(3.74)</w:t>
            </w:r>
          </w:p>
        </w:tc>
        <w:tc>
          <w:tcPr>
            <w:tcW w:w="14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188"/>
              <w:spacing w:after="0" w:line="156"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4820" w:type="dxa"/>
            <w:vAlign w:val="bottom"/>
          </w:tcPr>
          <w:p>
            <w:pPr>
              <w:spacing w:after="0"/>
              <w:rPr>
                <w:sz w:val="20"/>
                <w:szCs w:val="20"/>
                <w:color w:val="auto"/>
              </w:rPr>
            </w:pPr>
            <w:r>
              <w:rPr>
                <w:rFonts w:ascii="Arial" w:cs="Arial" w:eastAsia="Arial" w:hAnsi="Arial"/>
                <w:sz w:val="14"/>
                <w:szCs w:val="14"/>
                <w:color w:val="auto"/>
              </w:rPr>
              <w:t>Weighted average common shares outstanding - Basic</w:t>
            </w:r>
          </w:p>
        </w:tc>
        <w:tc>
          <w:tcPr>
            <w:tcW w:w="320" w:type="dxa"/>
            <w:vAlign w:val="bottom"/>
          </w:tcPr>
          <w:p>
            <w:pPr>
              <w:spacing w:after="0"/>
              <w:rPr>
                <w:sz w:val="24"/>
                <w:szCs w:val="24"/>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39,148</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39,233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39,281</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39,625</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20"/>
                <w:szCs w:val="20"/>
                <w:color w:val="auto"/>
              </w:rPr>
            </w:pPr>
            <w:r>
              <w:rPr>
                <w:rFonts w:ascii="Arial" w:cs="Arial" w:eastAsia="Arial" w:hAnsi="Arial"/>
                <w:sz w:val="14"/>
                <w:szCs w:val="14"/>
                <w:color w:val="auto"/>
              </w:rPr>
              <w:t>Weighted average common shares outstanding - Diluted</w:t>
            </w:r>
          </w:p>
        </w:tc>
        <w:tc>
          <w:tcPr>
            <w:tcW w:w="32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39,148</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39,619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39,281</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39,934</w:t>
            </w:r>
          </w:p>
        </w:tc>
        <w:tc>
          <w:tcPr>
            <w:tcW w:w="0" w:type="dxa"/>
            <w:vAlign w:val="bottom"/>
          </w:tcPr>
          <w:p>
            <w:pPr>
              <w:spacing w:after="0"/>
              <w:rPr>
                <w:sz w:val="1"/>
                <w:szCs w:val="1"/>
                <w:color w:val="auto"/>
              </w:rPr>
            </w:pPr>
          </w:p>
        </w:tc>
      </w:tr>
      <w:tr>
        <w:trPr>
          <w:trHeight w:val="134"/>
        </w:trPr>
        <w:tc>
          <w:tcPr>
            <w:tcW w:w="48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8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SEGMENT INFORMATION</w:t>
      </w:r>
      <w:r>
        <w:rPr>
          <w:rFonts w:ascii="Arial" w:cs="Arial" w:eastAsia="Arial" w:hAnsi="Arial"/>
          <w:sz w:val="23"/>
          <w:szCs w:val="23"/>
          <w:b w:val="1"/>
          <w:bCs w:val="1"/>
          <w:color w:val="auto"/>
          <w:vertAlign w:val="superscript"/>
        </w:rPr>
        <w:t>(1)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00" w:type="dxa"/>
            <w:vAlign w:val="bottom"/>
          </w:tcPr>
          <w:p>
            <w:pPr>
              <w:spacing w:after="0"/>
              <w:rPr>
                <w:sz w:val="20"/>
                <w:szCs w:val="20"/>
                <w:color w:val="auto"/>
              </w:rPr>
            </w:pPr>
            <w:r>
              <w:rPr>
                <w:rFonts w:ascii="Arial" w:cs="Arial" w:eastAsia="Arial" w:hAnsi="Arial"/>
                <w:sz w:val="14"/>
                <w:szCs w:val="14"/>
                <w:color w:val="auto"/>
              </w:rPr>
              <w:t>(Unaudited, in thousands)</w:t>
            </w: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3900" w:type="dxa"/>
            <w:vAlign w:val="bottom"/>
          </w:tcPr>
          <w:p>
            <w:pPr>
              <w:spacing w:after="0"/>
              <w:rPr>
                <w:sz w:val="24"/>
                <w:szCs w:val="24"/>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648"/>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jc w:val="right"/>
              <w:ind w:right="72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64"/>
        </w:trPr>
        <w:tc>
          <w:tcPr>
            <w:tcW w:w="390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10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00" w:type="dxa"/>
            <w:vAlign w:val="bottom"/>
          </w:tcPr>
          <w:p>
            <w:pPr>
              <w:ind w:left="140"/>
              <w:spacing w:after="0"/>
              <w:rPr>
                <w:sz w:val="20"/>
                <w:szCs w:val="20"/>
                <w:color w:val="auto"/>
              </w:rPr>
            </w:pPr>
            <w:r>
              <w:rPr>
                <w:rFonts w:ascii="Arial" w:cs="Arial" w:eastAsia="Arial" w:hAnsi="Arial"/>
                <w:sz w:val="14"/>
                <w:szCs w:val="14"/>
                <w:color w:val="auto"/>
              </w:rPr>
              <w:t>Electricity</w:t>
            </w:r>
          </w:p>
        </w:tc>
        <w:tc>
          <w:tcPr>
            <w:tcW w:w="106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230,563</w:t>
            </w:r>
          </w:p>
        </w:tc>
        <w:tc>
          <w:tcPr>
            <w:tcW w:w="114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8"/>
              <w:spacing w:after="0"/>
              <w:rPr>
                <w:sz w:val="20"/>
                <w:szCs w:val="20"/>
                <w:color w:val="auto"/>
              </w:rPr>
            </w:pPr>
            <w:r>
              <w:rPr>
                <w:rFonts w:ascii="Arial" w:cs="Arial" w:eastAsia="Arial" w:hAnsi="Arial"/>
                <w:sz w:val="14"/>
                <w:szCs w:val="14"/>
                <w:color w:val="auto"/>
                <w:w w:val="90"/>
              </w:rPr>
              <w:t>229,844</w:t>
            </w:r>
          </w:p>
        </w:tc>
        <w:tc>
          <w:tcPr>
            <w:tcW w:w="5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836,553</w:t>
            </w:r>
          </w:p>
        </w:tc>
        <w:tc>
          <w:tcPr>
            <w:tcW w:w="66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1,024,340</w:t>
            </w:r>
          </w:p>
        </w:tc>
        <w:tc>
          <w:tcPr>
            <w:tcW w:w="0" w:type="dxa"/>
            <w:vAlign w:val="bottom"/>
          </w:tcPr>
          <w:p>
            <w:pPr>
              <w:spacing w:after="0"/>
              <w:rPr>
                <w:sz w:val="1"/>
                <w:szCs w:val="1"/>
                <w:color w:val="auto"/>
              </w:rPr>
            </w:pPr>
          </w:p>
        </w:tc>
      </w:tr>
      <w:tr>
        <w:trPr>
          <w:trHeight w:val="176"/>
        </w:trPr>
        <w:tc>
          <w:tcPr>
            <w:tcW w:w="3900" w:type="dxa"/>
            <w:vAlign w:val="bottom"/>
          </w:tcPr>
          <w:p>
            <w:pPr>
              <w:ind w:left="140"/>
              <w:spacing w:after="0"/>
              <w:rPr>
                <w:sz w:val="20"/>
                <w:szCs w:val="20"/>
                <w:color w:val="auto"/>
              </w:rPr>
            </w:pPr>
            <w:r>
              <w:rPr>
                <w:rFonts w:ascii="Arial" w:cs="Arial" w:eastAsia="Arial" w:hAnsi="Arial"/>
                <w:sz w:val="14"/>
                <w:szCs w:val="14"/>
                <w:color w:val="auto"/>
              </w:rPr>
              <w:t>Gas</w:t>
            </w:r>
          </w:p>
        </w:tc>
        <w:tc>
          <w:tcPr>
            <w:tcW w:w="1060" w:type="dxa"/>
            <w:vAlign w:val="bottom"/>
          </w:tcPr>
          <w:p>
            <w:pPr>
              <w:spacing w:after="0"/>
              <w:rPr>
                <w:sz w:val="15"/>
                <w:szCs w:val="15"/>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154,131</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w w:val="90"/>
              </w:rPr>
              <w:t>161,855</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570,297</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627,193</w:t>
            </w:r>
          </w:p>
        </w:tc>
        <w:tc>
          <w:tcPr>
            <w:tcW w:w="0" w:type="dxa"/>
            <w:vAlign w:val="bottom"/>
          </w:tcPr>
          <w:p>
            <w:pPr>
              <w:spacing w:after="0"/>
              <w:rPr>
                <w:sz w:val="1"/>
                <w:szCs w:val="1"/>
                <w:color w:val="auto"/>
              </w:rPr>
            </w:pPr>
          </w:p>
        </w:tc>
      </w:tr>
      <w:tr>
        <w:trPr>
          <w:trHeight w:val="181"/>
        </w:trPr>
        <w:tc>
          <w:tcPr>
            <w:tcW w:w="3900" w:type="dxa"/>
            <w:vAlign w:val="bottom"/>
          </w:tcPr>
          <w:p>
            <w:pPr>
              <w:ind w:left="140"/>
              <w:spacing w:after="0"/>
              <w:rPr>
                <w:sz w:val="20"/>
                <w:szCs w:val="20"/>
                <w:color w:val="auto"/>
              </w:rPr>
            </w:pPr>
            <w:r>
              <w:rPr>
                <w:rFonts w:ascii="Arial" w:cs="Arial" w:eastAsia="Arial" w:hAnsi="Arial"/>
                <w:sz w:val="14"/>
                <w:szCs w:val="14"/>
                <w:color w:val="auto"/>
              </w:rPr>
              <w:t>Water</w:t>
            </w:r>
          </w:p>
        </w:tc>
        <w:tc>
          <w:tcPr>
            <w:tcW w:w="10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138,832</w:t>
            </w:r>
          </w:p>
        </w:tc>
        <w:tc>
          <w:tcPr>
            <w:tcW w:w="1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0"/>
              </w:rPr>
              <w:t>131,636</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541,878</w:t>
            </w: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526,645</w:t>
            </w:r>
          </w:p>
        </w:tc>
        <w:tc>
          <w:tcPr>
            <w:tcW w:w="0" w:type="dxa"/>
            <w:vAlign w:val="bottom"/>
          </w:tcPr>
          <w:p>
            <w:pPr>
              <w:spacing w:after="0"/>
              <w:rPr>
                <w:sz w:val="1"/>
                <w:szCs w:val="1"/>
                <w:color w:val="auto"/>
              </w:rPr>
            </w:pPr>
          </w:p>
        </w:tc>
      </w:tr>
      <w:tr>
        <w:trPr>
          <w:trHeight w:val="169"/>
        </w:trPr>
        <w:tc>
          <w:tcPr>
            <w:tcW w:w="3900" w:type="dxa"/>
            <w:vAlign w:val="bottom"/>
          </w:tcPr>
          <w:p>
            <w:pPr>
              <w:ind w:left="280"/>
              <w:spacing w:after="0"/>
              <w:rPr>
                <w:sz w:val="20"/>
                <w:szCs w:val="20"/>
                <w:color w:val="auto"/>
              </w:rPr>
            </w:pPr>
            <w:r>
              <w:rPr>
                <w:rFonts w:ascii="Arial" w:cs="Arial" w:eastAsia="Arial" w:hAnsi="Arial"/>
                <w:sz w:val="14"/>
                <w:szCs w:val="14"/>
                <w:color w:val="auto"/>
              </w:rPr>
              <w:t>Total Company</w:t>
            </w:r>
          </w:p>
        </w:tc>
        <w:tc>
          <w:tcPr>
            <w:tcW w:w="10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523,526</w:t>
            </w:r>
          </w:p>
        </w:tc>
        <w:tc>
          <w:tcPr>
            <w:tcW w:w="160" w:type="dxa"/>
            <w:vAlign w:val="bottom"/>
          </w:tcPr>
          <w:p>
            <w:pPr>
              <w:spacing w:after="0"/>
              <w:rPr>
                <w:sz w:val="14"/>
                <w:szCs w:val="14"/>
                <w:color w:val="auto"/>
              </w:rPr>
            </w:pPr>
          </w:p>
        </w:tc>
        <w:tc>
          <w:tcPr>
            <w:tcW w:w="9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0"/>
              </w:rPr>
              <w:t>523,335</w:t>
            </w: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1,948,728</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2,178,178</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Gross profit</w:t>
            </w: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9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900" w:type="dxa"/>
            <w:vAlign w:val="bottom"/>
          </w:tcPr>
          <w:p>
            <w:pPr>
              <w:ind w:left="140"/>
              <w:spacing w:after="0"/>
              <w:rPr>
                <w:sz w:val="20"/>
                <w:szCs w:val="20"/>
                <w:color w:val="auto"/>
              </w:rPr>
            </w:pPr>
            <w:r>
              <w:rPr>
                <w:rFonts w:ascii="Arial" w:cs="Arial" w:eastAsia="Arial" w:hAnsi="Arial"/>
                <w:sz w:val="14"/>
                <w:szCs w:val="14"/>
                <w:color w:val="auto"/>
              </w:rPr>
              <w:t>Electricity</w:t>
            </w:r>
          </w:p>
        </w:tc>
        <w:tc>
          <w:tcPr>
            <w:tcW w:w="106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63,818</w:t>
            </w:r>
          </w:p>
        </w:tc>
        <w:tc>
          <w:tcPr>
            <w:tcW w:w="114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63,459</w:t>
            </w:r>
          </w:p>
        </w:tc>
        <w:tc>
          <w:tcPr>
            <w:tcW w:w="5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218,913</w:t>
            </w:r>
          </w:p>
        </w:tc>
        <w:tc>
          <w:tcPr>
            <w:tcW w:w="66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295,005</w:t>
            </w:r>
          </w:p>
        </w:tc>
        <w:tc>
          <w:tcPr>
            <w:tcW w:w="0" w:type="dxa"/>
            <w:vAlign w:val="bottom"/>
          </w:tcPr>
          <w:p>
            <w:pPr>
              <w:spacing w:after="0"/>
              <w:rPr>
                <w:sz w:val="1"/>
                <w:szCs w:val="1"/>
                <w:color w:val="auto"/>
              </w:rPr>
            </w:pPr>
          </w:p>
        </w:tc>
      </w:tr>
      <w:tr>
        <w:trPr>
          <w:trHeight w:val="176"/>
        </w:trPr>
        <w:tc>
          <w:tcPr>
            <w:tcW w:w="3900" w:type="dxa"/>
            <w:vAlign w:val="bottom"/>
          </w:tcPr>
          <w:p>
            <w:pPr>
              <w:ind w:left="140"/>
              <w:spacing w:after="0"/>
              <w:rPr>
                <w:sz w:val="20"/>
                <w:szCs w:val="20"/>
                <w:color w:val="auto"/>
              </w:rPr>
            </w:pPr>
            <w:r>
              <w:rPr>
                <w:rFonts w:ascii="Arial" w:cs="Arial" w:eastAsia="Arial" w:hAnsi="Arial"/>
                <w:sz w:val="14"/>
                <w:szCs w:val="14"/>
                <w:color w:val="auto"/>
              </w:rPr>
              <w:t>Gas</w:t>
            </w:r>
          </w:p>
        </w:tc>
        <w:tc>
          <w:tcPr>
            <w:tcW w:w="1060" w:type="dxa"/>
            <w:vAlign w:val="bottom"/>
          </w:tcPr>
          <w:p>
            <w:pPr>
              <w:spacing w:after="0"/>
              <w:rPr>
                <w:sz w:val="15"/>
                <w:szCs w:val="15"/>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51,843</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57,880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207,915</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235,391</w:t>
            </w:r>
          </w:p>
        </w:tc>
        <w:tc>
          <w:tcPr>
            <w:tcW w:w="0" w:type="dxa"/>
            <w:vAlign w:val="bottom"/>
          </w:tcPr>
          <w:p>
            <w:pPr>
              <w:spacing w:after="0"/>
              <w:rPr>
                <w:sz w:val="1"/>
                <w:szCs w:val="1"/>
                <w:color w:val="auto"/>
              </w:rPr>
            </w:pPr>
          </w:p>
        </w:tc>
      </w:tr>
      <w:tr>
        <w:trPr>
          <w:trHeight w:val="181"/>
        </w:trPr>
        <w:tc>
          <w:tcPr>
            <w:tcW w:w="3900" w:type="dxa"/>
            <w:vAlign w:val="bottom"/>
          </w:tcPr>
          <w:p>
            <w:pPr>
              <w:ind w:left="140"/>
              <w:spacing w:after="0"/>
              <w:rPr>
                <w:sz w:val="20"/>
                <w:szCs w:val="20"/>
                <w:color w:val="auto"/>
              </w:rPr>
            </w:pPr>
            <w:r>
              <w:rPr>
                <w:rFonts w:ascii="Arial" w:cs="Arial" w:eastAsia="Arial" w:hAnsi="Arial"/>
                <w:sz w:val="14"/>
                <w:szCs w:val="14"/>
                <w:color w:val="auto"/>
              </w:rPr>
              <w:t>Water</w:t>
            </w:r>
          </w:p>
        </w:tc>
        <w:tc>
          <w:tcPr>
            <w:tcW w:w="10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49,077</w:t>
            </w:r>
          </w:p>
        </w:tc>
        <w:tc>
          <w:tcPr>
            <w:tcW w:w="1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42,161</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187,705</w:t>
            </w: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184,751</w:t>
            </w:r>
          </w:p>
        </w:tc>
        <w:tc>
          <w:tcPr>
            <w:tcW w:w="0" w:type="dxa"/>
            <w:vAlign w:val="bottom"/>
          </w:tcPr>
          <w:p>
            <w:pPr>
              <w:spacing w:after="0"/>
              <w:rPr>
                <w:sz w:val="1"/>
                <w:szCs w:val="1"/>
                <w:color w:val="auto"/>
              </w:rPr>
            </w:pPr>
          </w:p>
        </w:tc>
      </w:tr>
      <w:tr>
        <w:trPr>
          <w:trHeight w:val="169"/>
        </w:trPr>
        <w:tc>
          <w:tcPr>
            <w:tcW w:w="3900" w:type="dxa"/>
            <w:vAlign w:val="bottom"/>
          </w:tcPr>
          <w:p>
            <w:pPr>
              <w:ind w:left="280"/>
              <w:spacing w:after="0"/>
              <w:rPr>
                <w:sz w:val="20"/>
                <w:szCs w:val="20"/>
                <w:color w:val="auto"/>
              </w:rPr>
            </w:pPr>
            <w:r>
              <w:rPr>
                <w:rFonts w:ascii="Arial" w:cs="Arial" w:eastAsia="Arial" w:hAnsi="Arial"/>
                <w:sz w:val="14"/>
                <w:szCs w:val="14"/>
                <w:color w:val="auto"/>
              </w:rPr>
              <w:t>Total Company</w:t>
            </w:r>
          </w:p>
        </w:tc>
        <w:tc>
          <w:tcPr>
            <w:tcW w:w="10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164,738</w:t>
            </w:r>
          </w:p>
        </w:tc>
        <w:tc>
          <w:tcPr>
            <w:tcW w:w="160" w:type="dxa"/>
            <w:vAlign w:val="bottom"/>
          </w:tcPr>
          <w:p>
            <w:pPr>
              <w:spacing w:after="0"/>
              <w:rPr>
                <w:sz w:val="14"/>
                <w:szCs w:val="14"/>
                <w:color w:val="auto"/>
              </w:rPr>
            </w:pPr>
          </w:p>
        </w:tc>
        <w:tc>
          <w:tcPr>
            <w:tcW w:w="9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0"/>
              </w:rPr>
              <w:t>163,500</w:t>
            </w: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614,533</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715,147</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9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900" w:type="dxa"/>
            <w:vAlign w:val="bottom"/>
          </w:tcPr>
          <w:p>
            <w:pPr>
              <w:ind w:left="140"/>
              <w:spacing w:after="0"/>
              <w:rPr>
                <w:sz w:val="20"/>
                <w:szCs w:val="20"/>
                <w:color w:val="auto"/>
              </w:rPr>
            </w:pPr>
            <w:r>
              <w:rPr>
                <w:rFonts w:ascii="Arial" w:cs="Arial" w:eastAsia="Arial" w:hAnsi="Arial"/>
                <w:sz w:val="14"/>
                <w:szCs w:val="14"/>
                <w:color w:val="auto"/>
              </w:rPr>
              <w:t>Electricity</w:t>
            </w:r>
          </w:p>
        </w:tc>
        <w:tc>
          <w:tcPr>
            <w:tcW w:w="106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w w:val="93"/>
              </w:rPr>
              <w:t>(178,987)</w:t>
            </w:r>
          </w:p>
        </w:tc>
        <w:tc>
          <w:tcPr>
            <w:tcW w:w="114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(7,353)</w:t>
            </w:r>
          </w:p>
        </w:tc>
        <w:tc>
          <w:tcPr>
            <w:tcW w:w="5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(235,908)</w:t>
            </w:r>
          </w:p>
        </w:tc>
        <w:tc>
          <w:tcPr>
            <w:tcW w:w="66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24,812</w:t>
            </w:r>
          </w:p>
        </w:tc>
        <w:tc>
          <w:tcPr>
            <w:tcW w:w="0" w:type="dxa"/>
            <w:vAlign w:val="bottom"/>
          </w:tcPr>
          <w:p>
            <w:pPr>
              <w:spacing w:after="0"/>
              <w:rPr>
                <w:sz w:val="1"/>
                <w:szCs w:val="1"/>
                <w:color w:val="auto"/>
              </w:rPr>
            </w:pPr>
          </w:p>
        </w:tc>
      </w:tr>
      <w:tr>
        <w:trPr>
          <w:trHeight w:val="176"/>
        </w:trPr>
        <w:tc>
          <w:tcPr>
            <w:tcW w:w="3900" w:type="dxa"/>
            <w:vAlign w:val="bottom"/>
          </w:tcPr>
          <w:p>
            <w:pPr>
              <w:ind w:left="140"/>
              <w:spacing w:after="0"/>
              <w:rPr>
                <w:sz w:val="20"/>
                <w:szCs w:val="20"/>
                <w:color w:val="auto"/>
              </w:rPr>
            </w:pPr>
            <w:r>
              <w:rPr>
                <w:rFonts w:ascii="Arial" w:cs="Arial" w:eastAsia="Arial" w:hAnsi="Arial"/>
                <w:sz w:val="14"/>
                <w:szCs w:val="14"/>
                <w:color w:val="auto"/>
              </w:rPr>
              <w:t>Gas</w:t>
            </w:r>
          </w:p>
        </w:tc>
        <w:tc>
          <w:tcPr>
            <w:tcW w:w="1060" w:type="dxa"/>
            <w:vAlign w:val="bottom"/>
          </w:tcPr>
          <w:p>
            <w:pPr>
              <w:spacing w:after="0"/>
              <w:rPr>
                <w:sz w:val="15"/>
                <w:szCs w:val="15"/>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21,001</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26,511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83,882</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110,557</w:t>
            </w:r>
          </w:p>
        </w:tc>
        <w:tc>
          <w:tcPr>
            <w:tcW w:w="0" w:type="dxa"/>
            <w:vAlign w:val="bottom"/>
          </w:tcPr>
          <w:p>
            <w:pPr>
              <w:spacing w:after="0"/>
              <w:rPr>
                <w:sz w:val="1"/>
                <w:szCs w:val="1"/>
                <w:color w:val="auto"/>
              </w:rPr>
            </w:pPr>
          </w:p>
        </w:tc>
      </w:tr>
      <w:tr>
        <w:trPr>
          <w:trHeight w:val="176"/>
        </w:trPr>
        <w:tc>
          <w:tcPr>
            <w:tcW w:w="3900" w:type="dxa"/>
            <w:vAlign w:val="bottom"/>
          </w:tcPr>
          <w:p>
            <w:pPr>
              <w:ind w:left="140"/>
              <w:spacing w:after="0"/>
              <w:rPr>
                <w:sz w:val="20"/>
                <w:szCs w:val="20"/>
                <w:color w:val="auto"/>
              </w:rPr>
            </w:pPr>
            <w:r>
              <w:rPr>
                <w:rFonts w:ascii="Arial" w:cs="Arial" w:eastAsia="Arial" w:hAnsi="Arial"/>
                <w:sz w:val="14"/>
                <w:szCs w:val="14"/>
                <w:color w:val="auto"/>
              </w:rPr>
              <w:t>Water</w:t>
            </w:r>
          </w:p>
        </w:tc>
        <w:tc>
          <w:tcPr>
            <w:tcW w:w="1060" w:type="dxa"/>
            <w:vAlign w:val="bottom"/>
          </w:tcPr>
          <w:p>
            <w:pPr>
              <w:spacing w:after="0"/>
              <w:rPr>
                <w:sz w:val="15"/>
                <w:szCs w:val="15"/>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18,063</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9,314</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63,252</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59,210</w:t>
            </w:r>
          </w:p>
        </w:tc>
        <w:tc>
          <w:tcPr>
            <w:tcW w:w="0" w:type="dxa"/>
            <w:vAlign w:val="bottom"/>
          </w:tcPr>
          <w:p>
            <w:pPr>
              <w:spacing w:after="0"/>
              <w:rPr>
                <w:sz w:val="1"/>
                <w:szCs w:val="1"/>
                <w:color w:val="auto"/>
              </w:rPr>
            </w:pPr>
          </w:p>
        </w:tc>
      </w:tr>
      <w:tr>
        <w:trPr>
          <w:trHeight w:val="181"/>
        </w:trPr>
        <w:tc>
          <w:tcPr>
            <w:tcW w:w="3900" w:type="dxa"/>
            <w:vAlign w:val="bottom"/>
          </w:tcPr>
          <w:p>
            <w:pPr>
              <w:ind w:left="140"/>
              <w:spacing w:after="0"/>
              <w:rPr>
                <w:sz w:val="20"/>
                <w:szCs w:val="20"/>
                <w:color w:val="auto"/>
              </w:rPr>
            </w:pPr>
            <w:r>
              <w:rPr>
                <w:rFonts w:ascii="Arial" w:cs="Arial" w:eastAsia="Arial" w:hAnsi="Arial"/>
                <w:sz w:val="14"/>
                <w:szCs w:val="14"/>
                <w:color w:val="auto"/>
              </w:rPr>
              <w:t>Corporate unallocated</w:t>
            </w:r>
          </w:p>
        </w:tc>
        <w:tc>
          <w:tcPr>
            <w:tcW w:w="10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(9,093)</w:t>
            </w:r>
          </w:p>
        </w:tc>
        <w:tc>
          <w:tcPr>
            <w:tcW w:w="1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(8,997)</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(46,407)</w:t>
            </w: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(43,453)</w:t>
            </w:r>
          </w:p>
        </w:tc>
        <w:tc>
          <w:tcPr>
            <w:tcW w:w="0" w:type="dxa"/>
            <w:vAlign w:val="bottom"/>
          </w:tcPr>
          <w:p>
            <w:pPr>
              <w:spacing w:after="0"/>
              <w:rPr>
                <w:sz w:val="1"/>
                <w:szCs w:val="1"/>
                <w:color w:val="auto"/>
              </w:rPr>
            </w:pPr>
          </w:p>
        </w:tc>
      </w:tr>
      <w:tr>
        <w:trPr>
          <w:trHeight w:val="169"/>
        </w:trPr>
        <w:tc>
          <w:tcPr>
            <w:tcW w:w="3900" w:type="dxa"/>
            <w:vAlign w:val="bottom"/>
          </w:tcPr>
          <w:p>
            <w:pPr>
              <w:ind w:left="280"/>
              <w:spacing w:after="0"/>
              <w:rPr>
                <w:sz w:val="20"/>
                <w:szCs w:val="20"/>
                <w:color w:val="auto"/>
              </w:rPr>
            </w:pPr>
            <w:r>
              <w:rPr>
                <w:rFonts w:ascii="Arial" w:cs="Arial" w:eastAsia="Arial" w:hAnsi="Arial"/>
                <w:sz w:val="14"/>
                <w:szCs w:val="14"/>
                <w:color w:val="auto"/>
              </w:rPr>
              <w:t>Total Company</w:t>
            </w:r>
          </w:p>
        </w:tc>
        <w:tc>
          <w:tcPr>
            <w:tcW w:w="10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3"/>
              </w:rPr>
              <w:t>(149,016)</w:t>
            </w:r>
          </w:p>
        </w:tc>
        <w:tc>
          <w:tcPr>
            <w:tcW w:w="160" w:type="dxa"/>
            <w:vAlign w:val="bottom"/>
          </w:tcPr>
          <w:p>
            <w:pPr>
              <w:spacing w:after="0"/>
              <w:rPr>
                <w:sz w:val="14"/>
                <w:szCs w:val="14"/>
                <w:color w:val="auto"/>
              </w:rPr>
            </w:pPr>
          </w:p>
        </w:tc>
        <w:tc>
          <w:tcPr>
            <w:tcW w:w="9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19,475</w:t>
            </w:r>
          </w:p>
        </w:tc>
        <w:tc>
          <w:tcPr>
            <w:tcW w:w="120" w:type="dxa"/>
            <w:vAlign w:val="bottom"/>
          </w:tcPr>
          <w:p>
            <w:pPr>
              <w:spacing w:after="0"/>
              <w:rPr>
                <w:sz w:val="14"/>
                <w:szCs w:val="14"/>
                <w:color w:val="auto"/>
              </w:rPr>
            </w:pP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(135,181)</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151,126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3900" w:type="dxa"/>
            <w:vAlign w:val="bottom"/>
          </w:tcPr>
          <w:p>
            <w:pPr>
              <w:spacing w:after="0"/>
              <w:rPr>
                <w:sz w:val="24"/>
                <w:szCs w:val="24"/>
                <w:color w:val="auto"/>
              </w:rPr>
            </w:pPr>
          </w:p>
        </w:tc>
        <w:tc>
          <w:tcPr>
            <w:tcW w:w="3580" w:type="dxa"/>
            <w:vAlign w:val="bottom"/>
            <w:gridSpan w:val="5"/>
          </w:tcPr>
          <w:p>
            <w:pPr>
              <w:jc w:val="right"/>
              <w:ind w:right="528"/>
              <w:spacing w:after="0"/>
              <w:rPr>
                <w:sz w:val="20"/>
                <w:szCs w:val="20"/>
                <w:color w:val="auto"/>
              </w:rPr>
            </w:pPr>
            <w:r>
              <w:rPr>
                <w:rFonts w:ascii="Arial" w:cs="Arial" w:eastAsia="Arial" w:hAnsi="Arial"/>
                <w:sz w:val="14"/>
                <w:szCs w:val="14"/>
                <w:b w:val="1"/>
                <w:bCs w:val="1"/>
                <w:color w:val="auto"/>
              </w:rPr>
              <w:t>METER AND MODULE SUMMARY</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900" w:type="dxa"/>
            <w:vAlign w:val="bottom"/>
          </w:tcPr>
          <w:p>
            <w:pPr>
              <w:spacing w:after="0"/>
              <w:rPr>
                <w:sz w:val="20"/>
                <w:szCs w:val="20"/>
                <w:color w:val="auto"/>
              </w:rPr>
            </w:pPr>
            <w:r>
              <w:rPr>
                <w:rFonts w:ascii="Arial" w:cs="Arial" w:eastAsia="Arial" w:hAnsi="Arial"/>
                <w:sz w:val="14"/>
                <w:szCs w:val="14"/>
                <w:color w:val="auto"/>
              </w:rPr>
              <w:t>(Units in thousands)</w:t>
            </w:r>
          </w:p>
        </w:tc>
        <w:tc>
          <w:tcPr>
            <w:tcW w:w="29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0" w:type="dxa"/>
            <w:vAlign w:val="bottom"/>
            <w:gridSpan w:val="4"/>
            <w:vMerge w:val="restart"/>
          </w:tcPr>
          <w:p>
            <w:pPr>
              <w:jc w:val="right"/>
              <w:ind w:right="728"/>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2900" w:type="dxa"/>
            <w:vAlign w:val="bottom"/>
            <w:tcBorders>
              <w:bottom w:val="single" w:sz="8" w:color="auto"/>
            </w:tcBorders>
            <w:gridSpan w:val="4"/>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center"/>
              <w:ind w:right="568"/>
              <w:spacing w:after="0" w:line="210" w:lineRule="exact"/>
              <w:rPr>
                <w:sz w:val="20"/>
                <w:szCs w:val="20"/>
                <w:color w:val="auto"/>
              </w:rPr>
            </w:pPr>
            <w:r>
              <w:rPr>
                <w:rFonts w:ascii="Arial" w:cs="Arial" w:eastAsia="Arial" w:hAnsi="Arial"/>
                <w:sz w:val="14"/>
                <w:szCs w:val="14"/>
                <w:b w:val="1"/>
                <w:bCs w:val="1"/>
                <w:color w:val="auto"/>
              </w:rPr>
              <w:t>2013</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ind w:right="72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64"/>
        </w:trPr>
        <w:tc>
          <w:tcPr>
            <w:tcW w:w="3900" w:type="dxa"/>
            <w:vAlign w:val="bottom"/>
          </w:tcPr>
          <w:p>
            <w:pPr>
              <w:spacing w:after="0"/>
              <w:rPr>
                <w:sz w:val="20"/>
                <w:szCs w:val="20"/>
                <w:color w:val="auto"/>
              </w:rPr>
            </w:pPr>
            <w:r>
              <w:rPr>
                <w:rFonts w:ascii="Arial" w:cs="Arial" w:eastAsia="Arial" w:hAnsi="Arial"/>
                <w:sz w:val="14"/>
                <w:szCs w:val="14"/>
                <w:b w:val="1"/>
                <w:bCs w:val="1"/>
                <w:color w:val="auto"/>
              </w:rPr>
              <w:t>Meters</w:t>
            </w:r>
          </w:p>
        </w:tc>
        <w:tc>
          <w:tcPr>
            <w:tcW w:w="10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00" w:type="dxa"/>
            <w:vAlign w:val="bottom"/>
          </w:tcPr>
          <w:p>
            <w:pPr>
              <w:ind w:left="140"/>
              <w:spacing w:after="0"/>
              <w:rPr>
                <w:sz w:val="20"/>
                <w:szCs w:val="20"/>
                <w:color w:val="auto"/>
              </w:rPr>
            </w:pPr>
            <w:r>
              <w:rPr>
                <w:rFonts w:ascii="Arial" w:cs="Arial" w:eastAsia="Arial" w:hAnsi="Arial"/>
                <w:sz w:val="14"/>
                <w:szCs w:val="14"/>
                <w:color w:val="auto"/>
              </w:rPr>
              <w:t>Standard</w:t>
            </w:r>
          </w:p>
        </w:tc>
        <w:tc>
          <w:tcPr>
            <w:tcW w:w="1060" w:type="dxa"/>
            <w:vAlign w:val="bottom"/>
          </w:tcPr>
          <w:p>
            <w:pPr>
              <w:spacing w:after="0"/>
              <w:rPr>
                <w:sz w:val="15"/>
                <w:szCs w:val="15"/>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4,150</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4,310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17,850</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17,920</w:t>
            </w:r>
          </w:p>
        </w:tc>
        <w:tc>
          <w:tcPr>
            <w:tcW w:w="0" w:type="dxa"/>
            <w:vAlign w:val="bottom"/>
          </w:tcPr>
          <w:p>
            <w:pPr>
              <w:spacing w:after="0"/>
              <w:rPr>
                <w:sz w:val="1"/>
                <w:szCs w:val="1"/>
                <w:color w:val="auto"/>
              </w:rPr>
            </w:pPr>
          </w:p>
        </w:tc>
      </w:tr>
      <w:tr>
        <w:trPr>
          <w:trHeight w:val="181"/>
        </w:trPr>
        <w:tc>
          <w:tcPr>
            <w:tcW w:w="3900" w:type="dxa"/>
            <w:vAlign w:val="bottom"/>
          </w:tcPr>
          <w:p>
            <w:pPr>
              <w:ind w:left="140"/>
              <w:spacing w:after="0"/>
              <w:rPr>
                <w:sz w:val="20"/>
                <w:szCs w:val="20"/>
                <w:color w:val="auto"/>
              </w:rPr>
            </w:pPr>
            <w:r>
              <w:rPr>
                <w:rFonts w:ascii="Arial" w:cs="Arial" w:eastAsia="Arial" w:hAnsi="Arial"/>
                <w:sz w:val="14"/>
                <w:szCs w:val="14"/>
                <w:color w:val="auto"/>
              </w:rPr>
              <w:t>Advanced and Smart</w:t>
            </w:r>
          </w:p>
        </w:tc>
        <w:tc>
          <w:tcPr>
            <w:tcW w:w="10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1,750</w:t>
            </w:r>
          </w:p>
        </w:tc>
        <w:tc>
          <w:tcPr>
            <w:tcW w:w="1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1,920</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5,930</w:t>
            </w: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8,030</w:t>
            </w:r>
          </w:p>
        </w:tc>
        <w:tc>
          <w:tcPr>
            <w:tcW w:w="0" w:type="dxa"/>
            <w:vAlign w:val="bottom"/>
          </w:tcPr>
          <w:p>
            <w:pPr>
              <w:spacing w:after="0"/>
              <w:rPr>
                <w:sz w:val="1"/>
                <w:szCs w:val="1"/>
                <w:color w:val="auto"/>
              </w:rPr>
            </w:pPr>
          </w:p>
        </w:tc>
      </w:tr>
      <w:tr>
        <w:trPr>
          <w:trHeight w:val="169"/>
        </w:trPr>
        <w:tc>
          <w:tcPr>
            <w:tcW w:w="3900" w:type="dxa"/>
            <w:vAlign w:val="bottom"/>
          </w:tcPr>
          <w:p>
            <w:pPr>
              <w:ind w:left="280"/>
              <w:spacing w:after="0"/>
              <w:rPr>
                <w:sz w:val="20"/>
                <w:szCs w:val="20"/>
                <w:color w:val="auto"/>
              </w:rPr>
            </w:pPr>
            <w:r>
              <w:rPr>
                <w:rFonts w:ascii="Arial" w:cs="Arial" w:eastAsia="Arial" w:hAnsi="Arial"/>
                <w:sz w:val="14"/>
                <w:szCs w:val="14"/>
                <w:color w:val="auto"/>
              </w:rPr>
              <w:t>Total meters</w:t>
            </w:r>
          </w:p>
        </w:tc>
        <w:tc>
          <w:tcPr>
            <w:tcW w:w="10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5,900</w:t>
            </w:r>
          </w:p>
        </w:tc>
        <w:tc>
          <w:tcPr>
            <w:tcW w:w="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6,230</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23,780</w:t>
            </w: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25,950</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Stand-alone communication modules</w:t>
            </w: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9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900" w:type="dxa"/>
            <w:vAlign w:val="bottom"/>
          </w:tcPr>
          <w:p>
            <w:pPr>
              <w:ind w:left="280"/>
              <w:spacing w:after="0"/>
              <w:rPr>
                <w:sz w:val="20"/>
                <w:szCs w:val="20"/>
                <w:color w:val="auto"/>
              </w:rPr>
            </w:pPr>
            <w:r>
              <w:rPr>
                <w:rFonts w:ascii="Arial" w:cs="Arial" w:eastAsia="Arial" w:hAnsi="Arial"/>
                <w:sz w:val="14"/>
                <w:szCs w:val="14"/>
                <w:color w:val="auto"/>
              </w:rPr>
              <w:t>Advanced and Smart</w:t>
            </w:r>
          </w:p>
        </w:tc>
        <w:tc>
          <w:tcPr>
            <w:tcW w:w="10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1,400</w:t>
            </w:r>
          </w:p>
        </w:tc>
        <w:tc>
          <w:tcPr>
            <w:tcW w:w="1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1,410</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5,550</w:t>
            </w: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6,460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ind w:left="180" w:hanging="172"/>
        <w:spacing w:after="0"/>
        <w:tabs>
          <w:tab w:leader="none" w:pos="180" w:val="left"/>
        </w:tabs>
        <w:numPr>
          <w:ilvl w:val="0"/>
          <w:numId w:val="1"/>
        </w:numPr>
        <w:rPr>
          <w:rFonts w:ascii="Arial" w:cs="Arial" w:eastAsia="Arial" w:hAnsi="Arial"/>
          <w:sz w:val="21"/>
          <w:szCs w:val="21"/>
          <w:color w:val="auto"/>
          <w:vertAlign w:val="superscript"/>
        </w:rPr>
      </w:pPr>
      <w:r>
        <w:rPr>
          <w:rFonts w:ascii="Arial" w:cs="Arial" w:eastAsia="Arial" w:hAnsi="Arial"/>
          <w:sz w:val="13"/>
          <w:szCs w:val="13"/>
          <w:color w:val="auto"/>
        </w:rPr>
        <w:t>Reflects new segment reporting effective fourth quarter of 2013</w:t>
      </w:r>
    </w:p>
    <w:p>
      <w:pPr>
        <w:spacing w:after="0" w:line="209" w:lineRule="exact"/>
        <w:rPr>
          <w:rFonts w:ascii="Arial" w:cs="Arial" w:eastAsia="Arial" w:hAnsi="Arial"/>
          <w:sz w:val="21"/>
          <w:szCs w:val="21"/>
          <w:color w:val="auto"/>
          <w:vertAlign w:val="superscript"/>
        </w:rPr>
      </w:pPr>
    </w:p>
    <w:p>
      <w:pPr>
        <w:ind w:right="380" w:firstLine="8"/>
        <w:spacing w:after="0" w:line="215" w:lineRule="auto"/>
        <w:tabs>
          <w:tab w:leader="none" w:pos="176" w:val="left"/>
        </w:tabs>
        <w:numPr>
          <w:ilvl w:val="0"/>
          <w:numId w:val="1"/>
        </w:numPr>
        <w:rPr>
          <w:rFonts w:ascii="Arial" w:cs="Arial" w:eastAsia="Arial" w:hAnsi="Arial"/>
          <w:sz w:val="20"/>
          <w:szCs w:val="20"/>
          <w:color w:val="auto"/>
          <w:vertAlign w:val="superscript"/>
        </w:rPr>
      </w:pPr>
      <w:r>
        <w:rPr>
          <w:rFonts w:ascii="Arial" w:cs="Arial" w:eastAsia="Arial" w:hAnsi="Arial"/>
          <w:sz w:val="12"/>
          <w:szCs w:val="12"/>
          <w:color w:val="auto"/>
        </w:rPr>
        <w:t>Unit shipments for the twelve months ended December 31, 2013 include 1.16 million meters (1.05 million Standard and 110,000 Advanced and Smart) and 40,000 stand-alone modules that should have been included in the three months ended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40" w:type="dxa"/>
            <w:vAlign w:val="bottom"/>
          </w:tcPr>
          <w:p>
            <w:pPr>
              <w:spacing w:after="0"/>
              <w:rPr>
                <w:sz w:val="20"/>
                <w:szCs w:val="20"/>
                <w:color w:val="auto"/>
              </w:rPr>
            </w:pPr>
            <w:r>
              <w:rPr>
                <w:rFonts w:ascii="Arial" w:cs="Arial" w:eastAsia="Arial" w:hAnsi="Arial"/>
                <w:sz w:val="14"/>
                <w:szCs w:val="14"/>
                <w:color w:val="auto"/>
              </w:rPr>
              <w:t>(Unaudited, in thousands)</w:t>
            </w:r>
          </w:p>
        </w:tc>
        <w:tc>
          <w:tcPr>
            <w:tcW w:w="4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60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December 31, 2013</w:t>
            </w:r>
          </w:p>
        </w:tc>
        <w:tc>
          <w:tcPr>
            <w:tcW w:w="1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64"/>
        </w:trPr>
        <w:tc>
          <w:tcPr>
            <w:tcW w:w="6040" w:type="dxa"/>
            <w:vAlign w:val="bottom"/>
          </w:tcPr>
          <w:p>
            <w:pPr>
              <w:ind w:left="2680"/>
              <w:spacing w:after="0"/>
              <w:rPr>
                <w:sz w:val="20"/>
                <w:szCs w:val="20"/>
                <w:color w:val="auto"/>
              </w:rPr>
            </w:pPr>
            <w:r>
              <w:rPr>
                <w:rFonts w:ascii="Arial" w:cs="Arial" w:eastAsia="Arial" w:hAnsi="Arial"/>
                <w:sz w:val="14"/>
                <w:szCs w:val="14"/>
                <w:b w:val="1"/>
                <w:bCs w:val="1"/>
                <w:color w:val="auto"/>
              </w:rPr>
              <w:t>ASSETS</w:t>
            </w:r>
          </w:p>
        </w:tc>
        <w:tc>
          <w:tcPr>
            <w:tcW w:w="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Current assets</w:t>
            </w:r>
          </w:p>
        </w:tc>
        <w:tc>
          <w:tcPr>
            <w:tcW w:w="4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4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124,805</w:t>
            </w:r>
          </w:p>
        </w:tc>
        <w:tc>
          <w:tcPr>
            <w:tcW w:w="6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136,411</w:t>
            </w:r>
          </w:p>
        </w:tc>
        <w:tc>
          <w:tcPr>
            <w:tcW w:w="0" w:type="dxa"/>
            <w:vAlign w:val="bottom"/>
          </w:tcPr>
          <w:p>
            <w:pPr>
              <w:spacing w:after="0"/>
              <w:rPr>
                <w:sz w:val="1"/>
                <w:szCs w:val="1"/>
                <w:color w:val="auto"/>
              </w:rPr>
            </w:pPr>
          </w:p>
        </w:tc>
      </w:tr>
      <w:tr>
        <w:trPr>
          <w:trHeight w:val="176"/>
        </w:trPr>
        <w:tc>
          <w:tcPr>
            <w:tcW w:w="604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48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356,709</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375,326</w:t>
            </w:r>
          </w:p>
        </w:tc>
        <w:tc>
          <w:tcPr>
            <w:tcW w:w="0" w:type="dxa"/>
            <w:vAlign w:val="bottom"/>
          </w:tcPr>
          <w:p>
            <w:pPr>
              <w:spacing w:after="0"/>
              <w:rPr>
                <w:sz w:val="1"/>
                <w:szCs w:val="1"/>
                <w:color w:val="auto"/>
              </w:rPr>
            </w:pPr>
          </w:p>
        </w:tc>
      </w:tr>
      <w:tr>
        <w:trPr>
          <w:trHeight w:val="176"/>
        </w:trPr>
        <w:tc>
          <w:tcPr>
            <w:tcW w:w="6040" w:type="dxa"/>
            <w:vAlign w:val="bottom"/>
          </w:tcPr>
          <w:p>
            <w:pPr>
              <w:ind w:left="140"/>
              <w:spacing w:after="0"/>
              <w:rPr>
                <w:sz w:val="20"/>
                <w:szCs w:val="20"/>
                <w:color w:val="auto"/>
              </w:rPr>
            </w:pPr>
            <w:r>
              <w:rPr>
                <w:rFonts w:ascii="Arial" w:cs="Arial" w:eastAsia="Arial" w:hAnsi="Arial"/>
                <w:sz w:val="14"/>
                <w:szCs w:val="14"/>
                <w:color w:val="auto"/>
              </w:rPr>
              <w:t>Inventories</w:t>
            </w:r>
          </w:p>
        </w:tc>
        <w:tc>
          <w:tcPr>
            <w:tcW w:w="48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177,467</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170,719</w:t>
            </w:r>
          </w:p>
        </w:tc>
        <w:tc>
          <w:tcPr>
            <w:tcW w:w="0" w:type="dxa"/>
            <w:vAlign w:val="bottom"/>
          </w:tcPr>
          <w:p>
            <w:pPr>
              <w:spacing w:after="0"/>
              <w:rPr>
                <w:sz w:val="1"/>
                <w:szCs w:val="1"/>
                <w:color w:val="auto"/>
              </w:rPr>
            </w:pPr>
          </w:p>
        </w:tc>
      </w:tr>
      <w:tr>
        <w:trPr>
          <w:trHeight w:val="176"/>
        </w:trPr>
        <w:tc>
          <w:tcPr>
            <w:tcW w:w="6040" w:type="dxa"/>
            <w:vAlign w:val="bottom"/>
          </w:tcPr>
          <w:p>
            <w:pPr>
              <w:ind w:left="140"/>
              <w:spacing w:after="0"/>
              <w:rPr>
                <w:sz w:val="20"/>
                <w:szCs w:val="20"/>
                <w:color w:val="auto"/>
              </w:rPr>
            </w:pPr>
            <w:r>
              <w:rPr>
                <w:rFonts w:ascii="Arial" w:cs="Arial" w:eastAsia="Arial" w:hAnsi="Arial"/>
                <w:sz w:val="14"/>
                <w:szCs w:val="14"/>
                <w:color w:val="auto"/>
              </w:rPr>
              <w:t>Deferred tax assets current, net</w:t>
            </w:r>
          </w:p>
        </w:tc>
        <w:tc>
          <w:tcPr>
            <w:tcW w:w="48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37,110</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33,536</w:t>
            </w:r>
          </w:p>
        </w:tc>
        <w:tc>
          <w:tcPr>
            <w:tcW w:w="0" w:type="dxa"/>
            <w:vAlign w:val="bottom"/>
          </w:tcPr>
          <w:p>
            <w:pPr>
              <w:spacing w:after="0"/>
              <w:rPr>
                <w:sz w:val="1"/>
                <w:szCs w:val="1"/>
                <w:color w:val="auto"/>
              </w:rPr>
            </w:pPr>
          </w:p>
        </w:tc>
      </w:tr>
      <w:tr>
        <w:trPr>
          <w:trHeight w:val="181"/>
        </w:trPr>
        <w:tc>
          <w:tcPr>
            <w:tcW w:w="6040" w:type="dxa"/>
            <w:vAlign w:val="bottom"/>
          </w:tcPr>
          <w:p>
            <w:pPr>
              <w:ind w:left="140"/>
              <w:spacing w:after="0"/>
              <w:rPr>
                <w:sz w:val="20"/>
                <w:szCs w:val="20"/>
                <w:color w:val="auto"/>
              </w:rPr>
            </w:pPr>
            <w:r>
              <w:rPr>
                <w:rFonts w:ascii="Arial" w:cs="Arial" w:eastAsia="Arial" w:hAnsi="Arial"/>
                <w:sz w:val="14"/>
                <w:szCs w:val="14"/>
                <w:color w:val="auto"/>
              </w:rPr>
              <w:t>Other current assets</w:t>
            </w:r>
          </w:p>
        </w:tc>
        <w:tc>
          <w:tcPr>
            <w:tcW w:w="4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103,275</w:t>
            </w: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104,958</w:t>
            </w:r>
          </w:p>
        </w:tc>
        <w:tc>
          <w:tcPr>
            <w:tcW w:w="0" w:type="dxa"/>
            <w:vAlign w:val="bottom"/>
          </w:tcPr>
          <w:p>
            <w:pPr>
              <w:spacing w:after="0"/>
              <w:rPr>
                <w:sz w:val="1"/>
                <w:szCs w:val="1"/>
                <w:color w:val="auto"/>
              </w:rPr>
            </w:pPr>
          </w:p>
        </w:tc>
      </w:tr>
      <w:tr>
        <w:trPr>
          <w:trHeight w:val="176"/>
        </w:trPr>
        <w:tc>
          <w:tcPr>
            <w:tcW w:w="6040" w:type="dxa"/>
            <w:vAlign w:val="bottom"/>
          </w:tcPr>
          <w:p>
            <w:pPr>
              <w:ind w:left="280"/>
              <w:spacing w:after="0"/>
              <w:rPr>
                <w:sz w:val="20"/>
                <w:szCs w:val="20"/>
                <w:color w:val="auto"/>
              </w:rPr>
            </w:pPr>
            <w:r>
              <w:rPr>
                <w:rFonts w:ascii="Arial" w:cs="Arial" w:eastAsia="Arial" w:hAnsi="Arial"/>
                <w:sz w:val="14"/>
                <w:szCs w:val="14"/>
                <w:color w:val="auto"/>
              </w:rPr>
              <w:t>Total current assets</w:t>
            </w:r>
          </w:p>
        </w:tc>
        <w:tc>
          <w:tcPr>
            <w:tcW w:w="48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799,366</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820,950</w:t>
            </w:r>
          </w:p>
        </w:tc>
        <w:tc>
          <w:tcPr>
            <w:tcW w:w="0" w:type="dxa"/>
            <w:vAlign w:val="bottom"/>
          </w:tcPr>
          <w:p>
            <w:pPr>
              <w:spacing w:after="0"/>
              <w:rPr>
                <w:sz w:val="1"/>
                <w:szCs w:val="1"/>
                <w:color w:val="auto"/>
              </w:rPr>
            </w:pPr>
          </w:p>
        </w:tc>
      </w:tr>
      <w:tr>
        <w:trPr>
          <w:trHeight w:val="339"/>
        </w:trPr>
        <w:tc>
          <w:tcPr>
            <w:tcW w:w="604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480" w:type="dxa"/>
            <w:vAlign w:val="bottom"/>
          </w:tcPr>
          <w:p>
            <w:pPr>
              <w:spacing w:after="0"/>
              <w:rPr>
                <w:sz w:val="24"/>
                <w:szCs w:val="24"/>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246,820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255,212</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Deferred tax assets noncurrent, net</w:t>
            </w:r>
          </w:p>
        </w:tc>
        <w:tc>
          <w:tcPr>
            <w:tcW w:w="48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58,880</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44,584</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Other long-term assets</w:t>
            </w:r>
          </w:p>
        </w:tc>
        <w:tc>
          <w:tcPr>
            <w:tcW w:w="48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33,027</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28,908</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Intangible assets, net</w:t>
            </w:r>
          </w:p>
        </w:tc>
        <w:tc>
          <w:tcPr>
            <w:tcW w:w="48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195,840</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238,771</w:t>
            </w:r>
          </w:p>
        </w:tc>
        <w:tc>
          <w:tcPr>
            <w:tcW w:w="0" w:type="dxa"/>
            <w:vAlign w:val="bottom"/>
          </w:tcPr>
          <w:p>
            <w:pPr>
              <w:spacing w:after="0"/>
              <w:rPr>
                <w:sz w:val="1"/>
                <w:szCs w:val="1"/>
                <w:color w:val="auto"/>
              </w:rPr>
            </w:pPr>
          </w:p>
        </w:tc>
      </w:tr>
      <w:tr>
        <w:trPr>
          <w:trHeight w:val="181"/>
        </w:trPr>
        <w:tc>
          <w:tcPr>
            <w:tcW w:w="6040" w:type="dxa"/>
            <w:vAlign w:val="bottom"/>
          </w:tcPr>
          <w:p>
            <w:pPr>
              <w:spacing w:after="0"/>
              <w:rPr>
                <w:sz w:val="20"/>
                <w:szCs w:val="20"/>
                <w:color w:val="auto"/>
              </w:rPr>
            </w:pPr>
            <w:r>
              <w:rPr>
                <w:rFonts w:ascii="Arial" w:cs="Arial" w:eastAsia="Arial" w:hAnsi="Arial"/>
                <w:sz w:val="14"/>
                <w:szCs w:val="14"/>
                <w:color w:val="auto"/>
              </w:rPr>
              <w:t>Goodwill</w:t>
            </w:r>
          </w:p>
        </w:tc>
        <w:tc>
          <w:tcPr>
            <w:tcW w:w="4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548,578</w:t>
            </w: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701,016</w:t>
            </w:r>
          </w:p>
        </w:tc>
        <w:tc>
          <w:tcPr>
            <w:tcW w:w="0" w:type="dxa"/>
            <w:vAlign w:val="bottom"/>
          </w:tcPr>
          <w:p>
            <w:pPr>
              <w:spacing w:after="0"/>
              <w:rPr>
                <w:sz w:val="1"/>
                <w:szCs w:val="1"/>
                <w:color w:val="auto"/>
              </w:rPr>
            </w:pPr>
          </w:p>
        </w:tc>
      </w:tr>
      <w:tr>
        <w:trPr>
          <w:trHeight w:val="169"/>
        </w:trPr>
        <w:tc>
          <w:tcPr>
            <w:tcW w:w="604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4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1,882,511</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2,089,441</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2020"/>
              <w:spacing w:after="0"/>
              <w:rPr>
                <w:sz w:val="20"/>
                <w:szCs w:val="20"/>
                <w:color w:val="auto"/>
              </w:rPr>
            </w:pPr>
            <w:r>
              <w:rPr>
                <w:rFonts w:ascii="Arial" w:cs="Arial" w:eastAsia="Arial" w:hAnsi="Arial"/>
                <w:sz w:val="14"/>
                <w:szCs w:val="14"/>
                <w:b w:val="1"/>
                <w:bCs w:val="1"/>
                <w:color w:val="auto"/>
              </w:rPr>
              <w:t>LIABILITIES AND EQUITY</w:t>
            </w:r>
          </w:p>
        </w:tc>
        <w:tc>
          <w:tcPr>
            <w:tcW w:w="4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0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Current liabilities</w:t>
            </w:r>
          </w:p>
        </w:tc>
        <w:tc>
          <w:tcPr>
            <w:tcW w:w="4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4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199,769</w:t>
            </w:r>
          </w:p>
        </w:tc>
        <w:tc>
          <w:tcPr>
            <w:tcW w:w="6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227,739</w:t>
            </w:r>
          </w:p>
        </w:tc>
        <w:tc>
          <w:tcPr>
            <w:tcW w:w="0" w:type="dxa"/>
            <w:vAlign w:val="bottom"/>
          </w:tcPr>
          <w:p>
            <w:pPr>
              <w:spacing w:after="0"/>
              <w:rPr>
                <w:sz w:val="1"/>
                <w:szCs w:val="1"/>
                <w:color w:val="auto"/>
              </w:rPr>
            </w:pPr>
          </w:p>
        </w:tc>
      </w:tr>
      <w:tr>
        <w:trPr>
          <w:trHeight w:val="176"/>
        </w:trPr>
        <w:tc>
          <w:tcPr>
            <w:tcW w:w="6040" w:type="dxa"/>
            <w:vAlign w:val="bottom"/>
          </w:tcPr>
          <w:p>
            <w:pPr>
              <w:ind w:left="140"/>
              <w:spacing w:after="0"/>
              <w:rPr>
                <w:sz w:val="20"/>
                <w:szCs w:val="20"/>
                <w:color w:val="auto"/>
              </w:rPr>
            </w:pPr>
            <w:r>
              <w:rPr>
                <w:rFonts w:ascii="Arial" w:cs="Arial" w:eastAsia="Arial" w:hAnsi="Arial"/>
                <w:sz w:val="14"/>
                <w:szCs w:val="14"/>
                <w:color w:val="auto"/>
              </w:rPr>
              <w:t>Other current liabilities</w:t>
            </w:r>
          </w:p>
        </w:tc>
        <w:tc>
          <w:tcPr>
            <w:tcW w:w="48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70,768</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49,950</w:t>
            </w:r>
          </w:p>
        </w:tc>
        <w:tc>
          <w:tcPr>
            <w:tcW w:w="0" w:type="dxa"/>
            <w:vAlign w:val="bottom"/>
          </w:tcPr>
          <w:p>
            <w:pPr>
              <w:spacing w:after="0"/>
              <w:rPr>
                <w:sz w:val="1"/>
                <w:szCs w:val="1"/>
                <w:color w:val="auto"/>
              </w:rPr>
            </w:pPr>
          </w:p>
        </w:tc>
      </w:tr>
      <w:tr>
        <w:trPr>
          <w:trHeight w:val="176"/>
        </w:trPr>
        <w:tc>
          <w:tcPr>
            <w:tcW w:w="6040" w:type="dxa"/>
            <w:vAlign w:val="bottom"/>
          </w:tcPr>
          <w:p>
            <w:pPr>
              <w:ind w:left="140"/>
              <w:spacing w:after="0"/>
              <w:rPr>
                <w:sz w:val="20"/>
                <w:szCs w:val="20"/>
                <w:color w:val="auto"/>
              </w:rPr>
            </w:pPr>
            <w:r>
              <w:rPr>
                <w:rFonts w:ascii="Arial" w:cs="Arial" w:eastAsia="Arial" w:hAnsi="Arial"/>
                <w:sz w:val="14"/>
                <w:szCs w:val="14"/>
                <w:color w:val="auto"/>
              </w:rPr>
              <w:t>Wages and benefits payable</w:t>
            </w:r>
          </w:p>
        </w:tc>
        <w:tc>
          <w:tcPr>
            <w:tcW w:w="48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89,314</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91,802</w:t>
            </w:r>
          </w:p>
        </w:tc>
        <w:tc>
          <w:tcPr>
            <w:tcW w:w="0" w:type="dxa"/>
            <w:vAlign w:val="bottom"/>
          </w:tcPr>
          <w:p>
            <w:pPr>
              <w:spacing w:after="0"/>
              <w:rPr>
                <w:sz w:val="1"/>
                <w:szCs w:val="1"/>
                <w:color w:val="auto"/>
              </w:rPr>
            </w:pPr>
          </w:p>
        </w:tc>
      </w:tr>
      <w:tr>
        <w:trPr>
          <w:trHeight w:val="176"/>
        </w:trPr>
        <w:tc>
          <w:tcPr>
            <w:tcW w:w="6040" w:type="dxa"/>
            <w:vAlign w:val="bottom"/>
          </w:tcPr>
          <w:p>
            <w:pPr>
              <w:ind w:left="140"/>
              <w:spacing w:after="0"/>
              <w:rPr>
                <w:sz w:val="20"/>
                <w:szCs w:val="20"/>
                <w:color w:val="auto"/>
              </w:rPr>
            </w:pPr>
            <w:r>
              <w:rPr>
                <w:rFonts w:ascii="Arial" w:cs="Arial" w:eastAsia="Arial" w:hAnsi="Arial"/>
                <w:sz w:val="14"/>
                <w:szCs w:val="14"/>
                <w:color w:val="auto"/>
              </w:rPr>
              <w:t>Taxes payable</w:t>
            </w:r>
          </w:p>
        </w:tc>
        <w:tc>
          <w:tcPr>
            <w:tcW w:w="48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10,700</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9,305</w:t>
            </w:r>
          </w:p>
        </w:tc>
        <w:tc>
          <w:tcPr>
            <w:tcW w:w="0" w:type="dxa"/>
            <w:vAlign w:val="bottom"/>
          </w:tcPr>
          <w:p>
            <w:pPr>
              <w:spacing w:after="0"/>
              <w:rPr>
                <w:sz w:val="1"/>
                <w:szCs w:val="1"/>
                <w:color w:val="auto"/>
              </w:rPr>
            </w:pPr>
          </w:p>
        </w:tc>
      </w:tr>
      <w:tr>
        <w:trPr>
          <w:trHeight w:val="176"/>
        </w:trPr>
        <w:tc>
          <w:tcPr>
            <w:tcW w:w="6040" w:type="dxa"/>
            <w:vAlign w:val="bottom"/>
          </w:tcPr>
          <w:p>
            <w:pPr>
              <w:ind w:left="140"/>
              <w:spacing w:after="0"/>
              <w:rPr>
                <w:sz w:val="20"/>
                <w:szCs w:val="20"/>
                <w:color w:val="auto"/>
              </w:rPr>
            </w:pPr>
            <w:r>
              <w:rPr>
                <w:rFonts w:ascii="Arial" w:cs="Arial" w:eastAsia="Arial" w:hAnsi="Arial"/>
                <w:sz w:val="14"/>
                <w:szCs w:val="14"/>
                <w:color w:val="auto"/>
              </w:rPr>
              <w:t>Current portion of debt</w:t>
            </w:r>
          </w:p>
        </w:tc>
        <w:tc>
          <w:tcPr>
            <w:tcW w:w="48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26,250</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18,750</w:t>
            </w:r>
          </w:p>
        </w:tc>
        <w:tc>
          <w:tcPr>
            <w:tcW w:w="0" w:type="dxa"/>
            <w:vAlign w:val="bottom"/>
          </w:tcPr>
          <w:p>
            <w:pPr>
              <w:spacing w:after="0"/>
              <w:rPr>
                <w:sz w:val="1"/>
                <w:szCs w:val="1"/>
                <w:color w:val="auto"/>
              </w:rPr>
            </w:pPr>
          </w:p>
        </w:tc>
      </w:tr>
      <w:tr>
        <w:trPr>
          <w:trHeight w:val="176"/>
        </w:trPr>
        <w:tc>
          <w:tcPr>
            <w:tcW w:w="6040" w:type="dxa"/>
            <w:vAlign w:val="bottom"/>
          </w:tcPr>
          <w:p>
            <w:pPr>
              <w:ind w:left="140"/>
              <w:spacing w:after="0"/>
              <w:rPr>
                <w:sz w:val="20"/>
                <w:szCs w:val="20"/>
                <w:color w:val="auto"/>
              </w:rPr>
            </w:pPr>
            <w:r>
              <w:rPr>
                <w:rFonts w:ascii="Arial" w:cs="Arial" w:eastAsia="Arial" w:hAnsi="Arial"/>
                <w:sz w:val="14"/>
                <w:szCs w:val="14"/>
                <w:color w:val="auto"/>
              </w:rPr>
              <w:t>Current portion of warranty</w:t>
            </w:r>
          </w:p>
        </w:tc>
        <w:tc>
          <w:tcPr>
            <w:tcW w:w="48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21,048</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27,115</w:t>
            </w:r>
          </w:p>
        </w:tc>
        <w:tc>
          <w:tcPr>
            <w:tcW w:w="0" w:type="dxa"/>
            <w:vAlign w:val="bottom"/>
          </w:tcPr>
          <w:p>
            <w:pPr>
              <w:spacing w:after="0"/>
              <w:rPr>
                <w:sz w:val="1"/>
                <w:szCs w:val="1"/>
                <w:color w:val="auto"/>
              </w:rPr>
            </w:pPr>
          </w:p>
        </w:tc>
      </w:tr>
      <w:tr>
        <w:trPr>
          <w:trHeight w:val="181"/>
        </w:trPr>
        <w:tc>
          <w:tcPr>
            <w:tcW w:w="6040" w:type="dxa"/>
            <w:vAlign w:val="bottom"/>
          </w:tcPr>
          <w:p>
            <w:pPr>
              <w:ind w:left="140"/>
              <w:spacing w:after="0"/>
              <w:rPr>
                <w:sz w:val="20"/>
                <w:szCs w:val="20"/>
                <w:color w:val="auto"/>
              </w:rPr>
            </w:pPr>
            <w:r>
              <w:rPr>
                <w:rFonts w:ascii="Arial" w:cs="Arial" w:eastAsia="Arial" w:hAnsi="Arial"/>
                <w:sz w:val="14"/>
                <w:szCs w:val="14"/>
                <w:color w:val="auto"/>
              </w:rPr>
              <w:t>Unearned revenue</w:t>
            </w:r>
          </w:p>
        </w:tc>
        <w:tc>
          <w:tcPr>
            <w:tcW w:w="4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37,163</w:t>
            </w: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42,712</w:t>
            </w:r>
          </w:p>
        </w:tc>
        <w:tc>
          <w:tcPr>
            <w:tcW w:w="0" w:type="dxa"/>
            <w:vAlign w:val="bottom"/>
          </w:tcPr>
          <w:p>
            <w:pPr>
              <w:spacing w:after="0"/>
              <w:rPr>
                <w:sz w:val="1"/>
                <w:szCs w:val="1"/>
                <w:color w:val="auto"/>
              </w:rPr>
            </w:pPr>
          </w:p>
        </w:tc>
      </w:tr>
      <w:tr>
        <w:trPr>
          <w:trHeight w:val="176"/>
        </w:trPr>
        <w:tc>
          <w:tcPr>
            <w:tcW w:w="6040" w:type="dxa"/>
            <w:vAlign w:val="bottom"/>
          </w:tcPr>
          <w:p>
            <w:pPr>
              <w:ind w:left="280"/>
              <w:spacing w:after="0"/>
              <w:rPr>
                <w:sz w:val="20"/>
                <w:szCs w:val="20"/>
                <w:color w:val="auto"/>
              </w:rPr>
            </w:pPr>
            <w:r>
              <w:rPr>
                <w:rFonts w:ascii="Arial" w:cs="Arial" w:eastAsia="Arial" w:hAnsi="Arial"/>
                <w:sz w:val="14"/>
                <w:szCs w:val="14"/>
                <w:color w:val="auto"/>
              </w:rPr>
              <w:t>Total current liabilities</w:t>
            </w:r>
          </w:p>
        </w:tc>
        <w:tc>
          <w:tcPr>
            <w:tcW w:w="48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455,012</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467,373</w:t>
            </w:r>
          </w:p>
        </w:tc>
        <w:tc>
          <w:tcPr>
            <w:tcW w:w="0" w:type="dxa"/>
            <w:vAlign w:val="bottom"/>
          </w:tcPr>
          <w:p>
            <w:pPr>
              <w:spacing w:after="0"/>
              <w:rPr>
                <w:sz w:val="1"/>
                <w:szCs w:val="1"/>
                <w:color w:val="auto"/>
              </w:rPr>
            </w:pPr>
          </w:p>
        </w:tc>
      </w:tr>
      <w:tr>
        <w:trPr>
          <w:trHeight w:val="339"/>
        </w:trPr>
        <w:tc>
          <w:tcPr>
            <w:tcW w:w="6040" w:type="dxa"/>
            <w:vAlign w:val="bottom"/>
          </w:tcPr>
          <w:p>
            <w:pPr>
              <w:spacing w:after="0"/>
              <w:rPr>
                <w:sz w:val="20"/>
                <w:szCs w:val="20"/>
                <w:color w:val="auto"/>
              </w:rPr>
            </w:pPr>
            <w:r>
              <w:rPr>
                <w:rFonts w:ascii="Arial" w:cs="Arial" w:eastAsia="Arial" w:hAnsi="Arial"/>
                <w:sz w:val="14"/>
                <w:szCs w:val="14"/>
                <w:color w:val="auto"/>
              </w:rPr>
              <w:t>Long-term debt</w:t>
            </w:r>
          </w:p>
        </w:tc>
        <w:tc>
          <w:tcPr>
            <w:tcW w:w="480" w:type="dxa"/>
            <w:vAlign w:val="bottom"/>
          </w:tcPr>
          <w:p>
            <w:pPr>
              <w:spacing w:after="0"/>
              <w:rPr>
                <w:sz w:val="24"/>
                <w:szCs w:val="24"/>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352,500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398,750</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Long-term warranty</w:t>
            </w:r>
          </w:p>
        </w:tc>
        <w:tc>
          <w:tcPr>
            <w:tcW w:w="48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24,098</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26,490</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Pension plan benefit liability</w:t>
            </w:r>
          </w:p>
        </w:tc>
        <w:tc>
          <w:tcPr>
            <w:tcW w:w="48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88,687</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90,533</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Deferred tax liabilities noncurrent, net</w:t>
            </w:r>
          </w:p>
        </w:tc>
        <w:tc>
          <w:tcPr>
            <w:tcW w:w="48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7,326</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16,682</w:t>
            </w:r>
          </w:p>
        </w:tc>
        <w:tc>
          <w:tcPr>
            <w:tcW w:w="0" w:type="dxa"/>
            <w:vAlign w:val="bottom"/>
          </w:tcPr>
          <w:p>
            <w:pPr>
              <w:spacing w:after="0"/>
              <w:rPr>
                <w:sz w:val="1"/>
                <w:szCs w:val="1"/>
                <w:color w:val="auto"/>
              </w:rPr>
            </w:pPr>
          </w:p>
        </w:tc>
      </w:tr>
      <w:tr>
        <w:trPr>
          <w:trHeight w:val="181"/>
        </w:trPr>
        <w:tc>
          <w:tcPr>
            <w:tcW w:w="6040" w:type="dxa"/>
            <w:vAlign w:val="bottom"/>
          </w:tcPr>
          <w:p>
            <w:pPr>
              <w:spacing w:after="0"/>
              <w:rPr>
                <w:sz w:val="20"/>
                <w:szCs w:val="20"/>
                <w:color w:val="auto"/>
              </w:rPr>
            </w:pPr>
            <w:r>
              <w:rPr>
                <w:rFonts w:ascii="Arial" w:cs="Arial" w:eastAsia="Arial" w:hAnsi="Arial"/>
                <w:sz w:val="14"/>
                <w:szCs w:val="14"/>
                <w:color w:val="auto"/>
              </w:rPr>
              <w:t>Other long-term obligations</w:t>
            </w:r>
          </w:p>
        </w:tc>
        <w:tc>
          <w:tcPr>
            <w:tcW w:w="4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81,917</w:t>
            </w: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80,100</w:t>
            </w:r>
          </w:p>
        </w:tc>
        <w:tc>
          <w:tcPr>
            <w:tcW w:w="0" w:type="dxa"/>
            <w:vAlign w:val="bottom"/>
          </w:tcPr>
          <w:p>
            <w:pPr>
              <w:spacing w:after="0"/>
              <w:rPr>
                <w:sz w:val="1"/>
                <w:szCs w:val="1"/>
                <w:color w:val="auto"/>
              </w:rPr>
            </w:pPr>
          </w:p>
        </w:tc>
      </w:tr>
      <w:tr>
        <w:trPr>
          <w:trHeight w:val="176"/>
        </w:trPr>
        <w:tc>
          <w:tcPr>
            <w:tcW w:w="6040" w:type="dxa"/>
            <w:vAlign w:val="bottom"/>
          </w:tcPr>
          <w:p>
            <w:pPr>
              <w:ind w:left="280"/>
              <w:spacing w:after="0"/>
              <w:rPr>
                <w:sz w:val="20"/>
                <w:szCs w:val="20"/>
                <w:color w:val="auto"/>
              </w:rPr>
            </w:pPr>
            <w:r>
              <w:rPr>
                <w:rFonts w:ascii="Arial" w:cs="Arial" w:eastAsia="Arial" w:hAnsi="Arial"/>
                <w:sz w:val="14"/>
                <w:szCs w:val="14"/>
                <w:color w:val="auto"/>
              </w:rPr>
              <w:t>Total liabilities</w:t>
            </w:r>
          </w:p>
        </w:tc>
        <w:tc>
          <w:tcPr>
            <w:tcW w:w="48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1,009,540</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1,079,928</w:t>
            </w:r>
          </w:p>
        </w:tc>
        <w:tc>
          <w:tcPr>
            <w:tcW w:w="0" w:type="dxa"/>
            <w:vAlign w:val="bottom"/>
          </w:tcPr>
          <w:p>
            <w:pPr>
              <w:spacing w:after="0"/>
              <w:rPr>
                <w:sz w:val="1"/>
                <w:szCs w:val="1"/>
                <w:color w:val="auto"/>
              </w:rPr>
            </w:pPr>
          </w:p>
        </w:tc>
      </w:tr>
      <w:tr>
        <w:trPr>
          <w:trHeight w:val="346"/>
        </w:trPr>
        <w:tc>
          <w:tcPr>
            <w:tcW w:w="604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4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040" w:type="dxa"/>
            <w:vAlign w:val="bottom"/>
          </w:tcPr>
          <w:p>
            <w:pPr>
              <w:spacing w:after="0"/>
              <w:rPr>
                <w:sz w:val="20"/>
                <w:szCs w:val="20"/>
                <w:color w:val="auto"/>
              </w:rPr>
            </w:pPr>
            <w:r>
              <w:rPr>
                <w:rFonts w:ascii="Arial" w:cs="Arial" w:eastAsia="Arial" w:hAnsi="Arial"/>
                <w:sz w:val="14"/>
                <w:szCs w:val="14"/>
                <w:color w:val="auto"/>
              </w:rPr>
              <w:t>Equity</w:t>
            </w:r>
          </w:p>
        </w:tc>
        <w:tc>
          <w:tcPr>
            <w:tcW w:w="4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140"/>
              <w:spacing w:after="0"/>
              <w:rPr>
                <w:sz w:val="20"/>
                <w:szCs w:val="20"/>
                <w:color w:val="auto"/>
              </w:rPr>
            </w:pPr>
            <w:r>
              <w:rPr>
                <w:rFonts w:ascii="Arial" w:cs="Arial" w:eastAsia="Arial" w:hAnsi="Arial"/>
                <w:sz w:val="14"/>
                <w:szCs w:val="14"/>
                <w:color w:val="auto"/>
              </w:rPr>
              <w:t>Preferred stock</w:t>
            </w:r>
          </w:p>
        </w:tc>
        <w:tc>
          <w:tcPr>
            <w:tcW w:w="48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040" w:type="dxa"/>
            <w:vAlign w:val="bottom"/>
          </w:tcPr>
          <w:p>
            <w:pPr>
              <w:ind w:left="140"/>
              <w:spacing w:after="0"/>
              <w:rPr>
                <w:sz w:val="20"/>
                <w:szCs w:val="20"/>
                <w:color w:val="auto"/>
              </w:rPr>
            </w:pPr>
            <w:r>
              <w:rPr>
                <w:rFonts w:ascii="Arial" w:cs="Arial" w:eastAsia="Arial" w:hAnsi="Arial"/>
                <w:sz w:val="14"/>
                <w:szCs w:val="14"/>
                <w:color w:val="auto"/>
              </w:rPr>
              <w:t>Common stock</w:t>
            </w:r>
          </w:p>
        </w:tc>
        <w:tc>
          <w:tcPr>
            <w:tcW w:w="48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1,290,629</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1,294,213</w:t>
            </w:r>
          </w:p>
        </w:tc>
        <w:tc>
          <w:tcPr>
            <w:tcW w:w="0" w:type="dxa"/>
            <w:vAlign w:val="bottom"/>
          </w:tcPr>
          <w:p>
            <w:pPr>
              <w:spacing w:after="0"/>
              <w:rPr>
                <w:sz w:val="1"/>
                <w:szCs w:val="1"/>
                <w:color w:val="auto"/>
              </w:rPr>
            </w:pPr>
          </w:p>
        </w:tc>
      </w:tr>
      <w:tr>
        <w:trPr>
          <w:trHeight w:val="176"/>
        </w:trPr>
        <w:tc>
          <w:tcPr>
            <w:tcW w:w="6040" w:type="dxa"/>
            <w:vAlign w:val="bottom"/>
          </w:tcPr>
          <w:p>
            <w:pPr>
              <w:ind w:left="140"/>
              <w:spacing w:after="0"/>
              <w:rPr>
                <w:sz w:val="20"/>
                <w:szCs w:val="20"/>
                <w:color w:val="auto"/>
              </w:rPr>
            </w:pPr>
            <w:r>
              <w:rPr>
                <w:rFonts w:ascii="Arial" w:cs="Arial" w:eastAsia="Arial" w:hAnsi="Arial"/>
                <w:sz w:val="14"/>
                <w:szCs w:val="14"/>
                <w:color w:val="auto"/>
              </w:rPr>
              <w:t>Accumulated other comprehensive loss, net</w:t>
            </w:r>
          </w:p>
        </w:tc>
        <w:tc>
          <w:tcPr>
            <w:tcW w:w="480" w:type="dxa"/>
            <w:vAlign w:val="bottom"/>
          </w:tcPr>
          <w:p>
            <w:pPr>
              <w:spacing w:after="0"/>
              <w:rPr>
                <w:sz w:val="15"/>
                <w:szCs w:val="15"/>
                <w:color w:val="auto"/>
              </w:rPr>
            </w:pPr>
          </w:p>
        </w:tc>
        <w:tc>
          <w:tcPr>
            <w:tcW w:w="2100" w:type="dxa"/>
            <w:vAlign w:val="bottom"/>
          </w:tcPr>
          <w:p>
            <w:pPr>
              <w:jc w:val="right"/>
              <w:ind w:right="128"/>
              <w:spacing w:after="0"/>
              <w:rPr>
                <w:sz w:val="20"/>
                <w:szCs w:val="20"/>
                <w:color w:val="auto"/>
              </w:rPr>
            </w:pPr>
            <w:r>
              <w:rPr>
                <w:rFonts w:ascii="Arial" w:cs="Arial" w:eastAsia="Arial" w:hAnsi="Arial"/>
                <w:sz w:val="14"/>
                <w:szCs w:val="14"/>
                <w:color w:val="auto"/>
              </w:rPr>
              <w:t>(21,722)</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tcPr>
          <w:p>
            <w:pPr>
              <w:jc w:val="right"/>
              <w:ind w:right="168"/>
              <w:spacing w:after="0"/>
              <w:rPr>
                <w:sz w:val="20"/>
                <w:szCs w:val="20"/>
                <w:color w:val="auto"/>
              </w:rPr>
            </w:pPr>
            <w:r>
              <w:rPr>
                <w:rFonts w:ascii="Arial" w:cs="Arial" w:eastAsia="Arial" w:hAnsi="Arial"/>
                <w:sz w:val="14"/>
                <w:szCs w:val="14"/>
                <w:color w:val="auto"/>
              </w:rPr>
              <w:t>(34,384)</w:t>
            </w:r>
          </w:p>
        </w:tc>
        <w:tc>
          <w:tcPr>
            <w:tcW w:w="0" w:type="dxa"/>
            <w:vAlign w:val="bottom"/>
          </w:tcPr>
          <w:p>
            <w:pPr>
              <w:spacing w:after="0"/>
              <w:rPr>
                <w:sz w:val="1"/>
                <w:szCs w:val="1"/>
                <w:color w:val="auto"/>
              </w:rPr>
            </w:pPr>
          </w:p>
        </w:tc>
      </w:tr>
      <w:tr>
        <w:trPr>
          <w:trHeight w:val="181"/>
        </w:trPr>
        <w:tc>
          <w:tcPr>
            <w:tcW w:w="6040" w:type="dxa"/>
            <w:vAlign w:val="bottom"/>
          </w:tcPr>
          <w:p>
            <w:pPr>
              <w:ind w:left="140"/>
              <w:spacing w:after="0"/>
              <w:rPr>
                <w:sz w:val="20"/>
                <w:szCs w:val="20"/>
                <w:color w:val="auto"/>
              </w:rPr>
            </w:pPr>
            <w:r>
              <w:rPr>
                <w:rFonts w:ascii="Arial" w:cs="Arial" w:eastAsia="Arial" w:hAnsi="Arial"/>
                <w:sz w:val="14"/>
                <w:szCs w:val="14"/>
                <w:color w:val="auto"/>
              </w:rPr>
              <w:t>Accumulated deficit</w:t>
            </w:r>
          </w:p>
        </w:tc>
        <w:tc>
          <w:tcPr>
            <w:tcW w:w="4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(413,671)</w:t>
            </w: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(266,862)</w:t>
            </w:r>
          </w:p>
        </w:tc>
        <w:tc>
          <w:tcPr>
            <w:tcW w:w="0" w:type="dxa"/>
            <w:vAlign w:val="bottom"/>
          </w:tcPr>
          <w:p>
            <w:pPr>
              <w:spacing w:after="0"/>
              <w:rPr>
                <w:sz w:val="1"/>
                <w:szCs w:val="1"/>
                <w:color w:val="auto"/>
              </w:rPr>
            </w:pPr>
          </w:p>
        </w:tc>
      </w:tr>
      <w:tr>
        <w:trPr>
          <w:trHeight w:val="164"/>
        </w:trPr>
        <w:tc>
          <w:tcPr>
            <w:tcW w:w="6040" w:type="dxa"/>
            <w:vAlign w:val="bottom"/>
          </w:tcPr>
          <w:p>
            <w:pPr>
              <w:ind w:left="280"/>
              <w:spacing w:after="0"/>
              <w:rPr>
                <w:sz w:val="20"/>
                <w:szCs w:val="20"/>
                <w:color w:val="auto"/>
              </w:rPr>
            </w:pPr>
            <w:r>
              <w:rPr>
                <w:rFonts w:ascii="Arial" w:cs="Arial" w:eastAsia="Arial" w:hAnsi="Arial"/>
                <w:sz w:val="14"/>
                <w:szCs w:val="14"/>
                <w:color w:val="auto"/>
              </w:rPr>
              <w:t>Total Itron, Inc. shareholders' equity</w:t>
            </w:r>
          </w:p>
        </w:tc>
        <w:tc>
          <w:tcPr>
            <w:tcW w:w="480" w:type="dxa"/>
            <w:vAlign w:val="bottom"/>
          </w:tcPr>
          <w:p>
            <w:pPr>
              <w:spacing w:after="0"/>
              <w:rPr>
                <w:sz w:val="14"/>
                <w:szCs w:val="14"/>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855,236</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40" w:type="dxa"/>
            <w:vAlign w:val="bottom"/>
          </w:tcPr>
          <w:p>
            <w:pPr>
              <w:jc w:val="right"/>
              <w:ind w:right="208"/>
              <w:spacing w:after="0"/>
              <w:rPr>
                <w:sz w:val="20"/>
                <w:szCs w:val="20"/>
                <w:color w:val="auto"/>
              </w:rPr>
            </w:pPr>
            <w:r>
              <w:rPr>
                <w:rFonts w:ascii="Arial" w:cs="Arial" w:eastAsia="Arial" w:hAnsi="Arial"/>
                <w:sz w:val="14"/>
                <w:szCs w:val="14"/>
                <w:color w:val="auto"/>
              </w:rPr>
              <w:t>992,967</w:t>
            </w:r>
          </w:p>
        </w:tc>
        <w:tc>
          <w:tcPr>
            <w:tcW w:w="0" w:type="dxa"/>
            <w:vAlign w:val="bottom"/>
          </w:tcPr>
          <w:p>
            <w:pPr>
              <w:spacing w:after="0"/>
              <w:rPr>
                <w:sz w:val="1"/>
                <w:szCs w:val="1"/>
                <w:color w:val="auto"/>
              </w:rPr>
            </w:pPr>
          </w:p>
        </w:tc>
      </w:tr>
      <w:tr>
        <w:trPr>
          <w:trHeight w:val="181"/>
        </w:trPr>
        <w:tc>
          <w:tcPr>
            <w:tcW w:w="6040" w:type="dxa"/>
            <w:vAlign w:val="bottom"/>
          </w:tcPr>
          <w:p>
            <w:pPr>
              <w:ind w:left="140"/>
              <w:spacing w:after="0"/>
              <w:rPr>
                <w:sz w:val="20"/>
                <w:szCs w:val="20"/>
                <w:color w:val="auto"/>
              </w:rPr>
            </w:pPr>
            <w:r>
              <w:rPr>
                <w:rFonts w:ascii="Arial" w:cs="Arial" w:eastAsia="Arial" w:hAnsi="Arial"/>
                <w:sz w:val="14"/>
                <w:szCs w:val="14"/>
                <w:color w:val="auto"/>
              </w:rPr>
              <w:t>Non-controlling interests</w:t>
            </w:r>
          </w:p>
        </w:tc>
        <w:tc>
          <w:tcPr>
            <w:tcW w:w="4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17,735</w:t>
            </w: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16,546</w:t>
            </w:r>
          </w:p>
        </w:tc>
        <w:tc>
          <w:tcPr>
            <w:tcW w:w="0" w:type="dxa"/>
            <w:vAlign w:val="bottom"/>
          </w:tcPr>
          <w:p>
            <w:pPr>
              <w:spacing w:after="0"/>
              <w:rPr>
                <w:sz w:val="1"/>
                <w:szCs w:val="1"/>
                <w:color w:val="auto"/>
              </w:rPr>
            </w:pPr>
          </w:p>
        </w:tc>
      </w:tr>
      <w:tr>
        <w:trPr>
          <w:trHeight w:val="169"/>
        </w:trPr>
        <w:tc>
          <w:tcPr>
            <w:tcW w:w="6040" w:type="dxa"/>
            <w:vAlign w:val="bottom"/>
          </w:tcPr>
          <w:p>
            <w:pPr>
              <w:ind w:left="280"/>
              <w:spacing w:after="0"/>
              <w:rPr>
                <w:sz w:val="20"/>
                <w:szCs w:val="20"/>
                <w:color w:val="auto"/>
              </w:rPr>
            </w:pPr>
            <w:r>
              <w:rPr>
                <w:rFonts w:ascii="Arial" w:cs="Arial" w:eastAsia="Arial" w:hAnsi="Arial"/>
                <w:sz w:val="14"/>
                <w:szCs w:val="14"/>
                <w:color w:val="auto"/>
              </w:rPr>
              <w:t>Total equity</w:t>
            </w:r>
          </w:p>
        </w:tc>
        <w:tc>
          <w:tcPr>
            <w:tcW w:w="4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872,971</w:t>
            </w: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1,009,513</w:t>
            </w:r>
          </w:p>
        </w:tc>
        <w:tc>
          <w:tcPr>
            <w:tcW w:w="0" w:type="dxa"/>
            <w:vAlign w:val="bottom"/>
          </w:tcPr>
          <w:p>
            <w:pPr>
              <w:spacing w:after="0"/>
              <w:rPr>
                <w:sz w:val="1"/>
                <w:szCs w:val="1"/>
                <w:color w:val="auto"/>
              </w:rPr>
            </w:pPr>
          </w:p>
        </w:tc>
      </w:tr>
      <w:tr>
        <w:trPr>
          <w:trHeight w:val="169"/>
        </w:trPr>
        <w:tc>
          <w:tcPr>
            <w:tcW w:w="6040" w:type="dxa"/>
            <w:vAlign w:val="bottom"/>
          </w:tcPr>
          <w:p>
            <w:pPr>
              <w:ind w:left="280"/>
              <w:spacing w:after="0"/>
              <w:rPr>
                <w:sz w:val="20"/>
                <w:szCs w:val="20"/>
                <w:color w:val="auto"/>
              </w:rPr>
            </w:pPr>
            <w:r>
              <w:rPr>
                <w:rFonts w:ascii="Arial" w:cs="Arial" w:eastAsia="Arial" w:hAnsi="Arial"/>
                <w:sz w:val="14"/>
                <w:szCs w:val="14"/>
                <w:color w:val="auto"/>
              </w:rPr>
              <w:t>Total liabilities and equity</w:t>
            </w:r>
          </w:p>
        </w:tc>
        <w:tc>
          <w:tcPr>
            <w:tcW w:w="4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1,882,511</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2,089,441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0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04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21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60" w:type="dxa"/>
            <w:vAlign w:val="bottom"/>
          </w:tcPr>
          <w:p>
            <w:pPr>
              <w:spacing w:after="0"/>
              <w:rPr>
                <w:sz w:val="20"/>
                <w:szCs w:val="20"/>
                <w:color w:val="auto"/>
              </w:rPr>
            </w:pPr>
            <w:r>
              <w:rPr>
                <w:rFonts w:ascii="Arial" w:cs="Arial" w:eastAsia="Arial" w:hAnsi="Arial"/>
                <w:sz w:val="14"/>
                <w:szCs w:val="14"/>
                <w:color w:val="auto"/>
              </w:rPr>
              <w:t>(Unaudited, in thousands)</w:t>
            </w:r>
          </w:p>
        </w:tc>
        <w:tc>
          <w:tcPr>
            <w:tcW w:w="380" w:type="dxa"/>
            <w:vAlign w:val="bottom"/>
          </w:tcPr>
          <w:p>
            <w:pPr>
              <w:spacing w:after="0"/>
              <w:rPr>
                <w:sz w:val="15"/>
                <w:szCs w:val="15"/>
                <w:color w:val="auto"/>
              </w:rPr>
            </w:pPr>
          </w:p>
        </w:tc>
        <w:tc>
          <w:tcPr>
            <w:tcW w:w="3080" w:type="dxa"/>
            <w:vAlign w:val="bottom"/>
            <w:gridSpan w:val="4"/>
            <w:vMerge w:val="restart"/>
          </w:tcPr>
          <w:p>
            <w:pPr>
              <w:jc w:val="right"/>
              <w:ind w:right="548"/>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174"/>
        </w:trPr>
        <w:tc>
          <w:tcPr>
            <w:tcW w:w="79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9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64"/>
        </w:trPr>
        <w:tc>
          <w:tcPr>
            <w:tcW w:w="7960" w:type="dxa"/>
            <w:vAlign w:val="bottom"/>
          </w:tcPr>
          <w:p>
            <w:pPr>
              <w:spacing w:after="0"/>
              <w:rPr>
                <w:sz w:val="20"/>
                <w:szCs w:val="20"/>
                <w:color w:val="auto"/>
              </w:rPr>
            </w:pPr>
            <w:r>
              <w:rPr>
                <w:rFonts w:ascii="Arial" w:cs="Arial" w:eastAsia="Arial" w:hAnsi="Arial"/>
                <w:sz w:val="14"/>
                <w:szCs w:val="14"/>
                <w:color w:val="auto"/>
              </w:rPr>
              <w:t>Operating activities</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(144,590)</w:t>
            </w:r>
          </w:p>
        </w:tc>
        <w:tc>
          <w:tcPr>
            <w:tcW w:w="6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110,224</w:t>
            </w: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38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98,845</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109,471</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38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18,850</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19,512</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Amortization of prepaid debt fees</w:t>
            </w:r>
          </w:p>
        </w:tc>
        <w:tc>
          <w:tcPr>
            <w:tcW w:w="38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1,657</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1,597</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Deferred taxes, net</w:t>
            </w:r>
          </w:p>
        </w:tc>
        <w:tc>
          <w:tcPr>
            <w:tcW w:w="38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(26,757)</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(6,775)</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Goodwill impairment</w:t>
            </w:r>
          </w:p>
        </w:tc>
        <w:tc>
          <w:tcPr>
            <w:tcW w:w="38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173,249</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Restructuring expense (recovery), non-cash</w:t>
            </w:r>
          </w:p>
        </w:tc>
        <w:tc>
          <w:tcPr>
            <w:tcW w:w="38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1,259</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(4,839)</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Other adjustments, net</w:t>
            </w:r>
          </w:p>
        </w:tc>
        <w:tc>
          <w:tcPr>
            <w:tcW w:w="38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551</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76"/>
        </w:trPr>
        <w:tc>
          <w:tcPr>
            <w:tcW w:w="7960" w:type="dxa"/>
            <w:vAlign w:val="bottom"/>
          </w:tcPr>
          <w:p>
            <w:pPr>
              <w:spacing w:after="0"/>
              <w:rPr>
                <w:sz w:val="20"/>
                <w:szCs w:val="20"/>
                <w:color w:val="auto"/>
              </w:rPr>
            </w:pPr>
            <w:r>
              <w:rPr>
                <w:rFonts w:ascii="Arial" w:cs="Arial" w:eastAsia="Arial" w:hAnsi="Arial"/>
                <w:sz w:val="14"/>
                <w:szCs w:val="14"/>
                <w:color w:val="auto"/>
              </w:rPr>
              <w:t>Changes in operating assets and liabilities, net of acquisition:</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rPr>
                <w:sz w:val="20"/>
                <w:szCs w:val="20"/>
                <w:color w:val="auto"/>
              </w:rPr>
            </w:pPr>
            <w:r>
              <w:rPr>
                <w:rFonts w:ascii="Arial" w:cs="Arial" w:eastAsia="Arial" w:hAnsi="Arial"/>
                <w:sz w:val="14"/>
                <w:szCs w:val="14"/>
                <w:color w:val="auto"/>
              </w:rPr>
              <w:t>Accounts receivable</w:t>
            </w:r>
          </w:p>
        </w:tc>
        <w:tc>
          <w:tcPr>
            <w:tcW w:w="38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13,652</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36,300</w:t>
            </w: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rPr>
                <w:sz w:val="20"/>
                <w:szCs w:val="20"/>
                <w:color w:val="auto"/>
              </w:rPr>
            </w:pPr>
            <w:r>
              <w:rPr>
                <w:rFonts w:ascii="Arial" w:cs="Arial" w:eastAsia="Arial" w:hAnsi="Arial"/>
                <w:sz w:val="14"/>
                <w:szCs w:val="14"/>
                <w:color w:val="auto"/>
              </w:rPr>
              <w:t>Inventories</w:t>
            </w:r>
          </w:p>
        </w:tc>
        <w:tc>
          <w:tcPr>
            <w:tcW w:w="38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(10,861)</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28,253</w:t>
            </w: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rPr>
                <w:sz w:val="20"/>
                <w:szCs w:val="20"/>
                <w:color w:val="auto"/>
              </w:rPr>
            </w:pPr>
            <w:r>
              <w:rPr>
                <w:rFonts w:ascii="Arial" w:cs="Arial" w:eastAsia="Arial" w:hAnsi="Arial"/>
                <w:sz w:val="14"/>
                <w:szCs w:val="14"/>
                <w:color w:val="auto"/>
              </w:rPr>
              <w:t>Other current assets</w:t>
            </w:r>
          </w:p>
        </w:tc>
        <w:tc>
          <w:tcPr>
            <w:tcW w:w="38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(4,143)</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(20,052)</w:t>
            </w: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rPr>
                <w:sz w:val="20"/>
                <w:szCs w:val="20"/>
                <w:color w:val="auto"/>
              </w:rPr>
            </w:pPr>
            <w:r>
              <w:rPr>
                <w:rFonts w:ascii="Arial" w:cs="Arial" w:eastAsia="Arial" w:hAnsi="Arial"/>
                <w:sz w:val="14"/>
                <w:szCs w:val="14"/>
                <w:color w:val="auto"/>
              </w:rPr>
              <w:t>Other long-term assets</w:t>
            </w:r>
          </w:p>
        </w:tc>
        <w:tc>
          <w:tcPr>
            <w:tcW w:w="38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1,093</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10,578</w:t>
            </w: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rPr>
                <w:sz w:val="20"/>
                <w:szCs w:val="20"/>
                <w:color w:val="auto"/>
              </w:rPr>
            </w:pPr>
            <w:r>
              <w:rPr>
                <w:rFonts w:ascii="Arial" w:cs="Arial" w:eastAsia="Arial" w:hAnsi="Arial"/>
                <w:sz w:val="14"/>
                <w:szCs w:val="14"/>
                <w:color w:val="auto"/>
              </w:rPr>
              <w:t>Accounts payables, other current liabilities, and taxes payable</w:t>
            </w:r>
          </w:p>
        </w:tc>
        <w:tc>
          <w:tcPr>
            <w:tcW w:w="38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(7,702)</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(47,367)</w:t>
            </w: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rPr>
                <w:sz w:val="20"/>
                <w:szCs w:val="20"/>
                <w:color w:val="auto"/>
              </w:rPr>
            </w:pPr>
            <w:r>
              <w:rPr>
                <w:rFonts w:ascii="Arial" w:cs="Arial" w:eastAsia="Arial" w:hAnsi="Arial"/>
                <w:sz w:val="14"/>
                <w:szCs w:val="14"/>
                <w:color w:val="auto"/>
              </w:rPr>
              <w:t>Wages and benefits payable</w:t>
            </w:r>
          </w:p>
        </w:tc>
        <w:tc>
          <w:tcPr>
            <w:tcW w:w="38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(1,995)</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(8,967)</w:t>
            </w: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rPr>
                <w:sz w:val="20"/>
                <w:szCs w:val="20"/>
                <w:color w:val="auto"/>
              </w:rPr>
            </w:pPr>
            <w:r>
              <w:rPr>
                <w:rFonts w:ascii="Arial" w:cs="Arial" w:eastAsia="Arial" w:hAnsi="Arial"/>
                <w:sz w:val="14"/>
                <w:szCs w:val="14"/>
                <w:color w:val="auto"/>
              </w:rPr>
              <w:t>Unearned revenue</w:t>
            </w:r>
          </w:p>
        </w:tc>
        <w:tc>
          <w:tcPr>
            <w:tcW w:w="38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(3,274)</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12,009</w:t>
            </w: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rPr>
                <w:sz w:val="20"/>
                <w:szCs w:val="20"/>
                <w:color w:val="auto"/>
              </w:rPr>
            </w:pPr>
            <w:r>
              <w:rPr>
                <w:rFonts w:ascii="Arial" w:cs="Arial" w:eastAsia="Arial" w:hAnsi="Arial"/>
                <w:sz w:val="14"/>
                <w:szCs w:val="14"/>
                <w:color w:val="auto"/>
              </w:rPr>
              <w:t>Warranty</w:t>
            </w:r>
          </w:p>
        </w:tc>
        <w:tc>
          <w:tcPr>
            <w:tcW w:w="38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(7,552)</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(25,919)</w:t>
            </w:r>
          </w:p>
        </w:tc>
        <w:tc>
          <w:tcPr>
            <w:tcW w:w="0" w:type="dxa"/>
            <w:vAlign w:val="bottom"/>
          </w:tcPr>
          <w:p>
            <w:pPr>
              <w:spacing w:after="0"/>
              <w:rPr>
                <w:sz w:val="1"/>
                <w:szCs w:val="1"/>
                <w:color w:val="auto"/>
              </w:rPr>
            </w:pPr>
          </w:p>
        </w:tc>
      </w:tr>
      <w:tr>
        <w:trPr>
          <w:trHeight w:val="181"/>
        </w:trPr>
        <w:tc>
          <w:tcPr>
            <w:tcW w:w="7960" w:type="dxa"/>
            <w:vAlign w:val="bottom"/>
          </w:tcPr>
          <w:p>
            <w:pPr>
              <w:ind w:left="140"/>
              <w:spacing w:after="0"/>
              <w:rPr>
                <w:sz w:val="20"/>
                <w:szCs w:val="20"/>
                <w:color w:val="auto"/>
              </w:rPr>
            </w:pPr>
            <w:r>
              <w:rPr>
                <w:rFonts w:ascii="Arial" w:cs="Arial" w:eastAsia="Arial" w:hAnsi="Arial"/>
                <w:sz w:val="14"/>
                <w:szCs w:val="14"/>
                <w:color w:val="auto"/>
              </w:rPr>
              <w:t>Other operating, net</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3,139</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(8,746)</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Net cash provided by operating activities</w:t>
            </w:r>
          </w:p>
        </w:tc>
        <w:tc>
          <w:tcPr>
            <w:tcW w:w="38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105,421</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205,090</w:t>
            </w:r>
          </w:p>
        </w:tc>
        <w:tc>
          <w:tcPr>
            <w:tcW w:w="0" w:type="dxa"/>
            <w:vAlign w:val="bottom"/>
          </w:tcPr>
          <w:p>
            <w:pPr>
              <w:spacing w:after="0"/>
              <w:rPr>
                <w:sz w:val="1"/>
                <w:szCs w:val="1"/>
                <w:color w:val="auto"/>
              </w:rPr>
            </w:pPr>
          </w:p>
        </w:tc>
      </w:tr>
      <w:tr>
        <w:trPr>
          <w:trHeight w:val="339"/>
        </w:trPr>
        <w:tc>
          <w:tcPr>
            <w:tcW w:w="7960" w:type="dxa"/>
            <w:vAlign w:val="bottom"/>
          </w:tcPr>
          <w:p>
            <w:pPr>
              <w:spacing w:after="0"/>
              <w:rPr>
                <w:sz w:val="20"/>
                <w:szCs w:val="20"/>
                <w:color w:val="auto"/>
              </w:rPr>
            </w:pPr>
            <w:r>
              <w:rPr>
                <w:rFonts w:ascii="Arial" w:cs="Arial" w:eastAsia="Arial" w:hAnsi="Arial"/>
                <w:sz w:val="14"/>
                <w:szCs w:val="14"/>
                <w:color w:val="auto"/>
              </w:rPr>
              <w:t>Investing activities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rPr>
                <w:sz w:val="20"/>
                <w:szCs w:val="20"/>
                <w:color w:val="auto"/>
              </w:rPr>
            </w:pPr>
            <w:r>
              <w:rPr>
                <w:rFonts w:ascii="Arial" w:cs="Arial" w:eastAsia="Arial" w:hAnsi="Arial"/>
                <w:sz w:val="14"/>
                <w:szCs w:val="14"/>
                <w:color w:val="auto"/>
              </w:rPr>
              <w:t>Acquisitions of property, plant, and equipment</w:t>
            </w:r>
          </w:p>
        </w:tc>
        <w:tc>
          <w:tcPr>
            <w:tcW w:w="38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(60,020)</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(50,543)</w:t>
            </w: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rPr>
                <w:sz w:val="20"/>
                <w:szCs w:val="20"/>
                <w:color w:val="auto"/>
              </w:rPr>
            </w:pPr>
            <w:r>
              <w:rPr>
                <w:rFonts w:ascii="Arial" w:cs="Arial" w:eastAsia="Arial" w:hAnsi="Arial"/>
                <w:sz w:val="14"/>
                <w:szCs w:val="14"/>
                <w:color w:val="auto"/>
              </w:rPr>
              <w:t>Business acquisitions, net of cash equivalents acquired</w:t>
            </w:r>
          </w:p>
        </w:tc>
        <w:tc>
          <w:tcPr>
            <w:tcW w:w="38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(860)</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(79,017)</w:t>
            </w:r>
          </w:p>
        </w:tc>
        <w:tc>
          <w:tcPr>
            <w:tcW w:w="0" w:type="dxa"/>
            <w:vAlign w:val="bottom"/>
          </w:tcPr>
          <w:p>
            <w:pPr>
              <w:spacing w:after="0"/>
              <w:rPr>
                <w:sz w:val="1"/>
                <w:szCs w:val="1"/>
                <w:color w:val="auto"/>
              </w:rPr>
            </w:pPr>
          </w:p>
        </w:tc>
      </w:tr>
      <w:tr>
        <w:trPr>
          <w:trHeight w:val="181"/>
        </w:trPr>
        <w:tc>
          <w:tcPr>
            <w:tcW w:w="7960" w:type="dxa"/>
            <w:vAlign w:val="bottom"/>
          </w:tcPr>
          <w:p>
            <w:pPr>
              <w:ind w:left="140"/>
              <w:spacing w:after="0"/>
              <w:rPr>
                <w:sz w:val="20"/>
                <w:szCs w:val="20"/>
                <w:color w:val="auto"/>
              </w:rPr>
            </w:pPr>
            <w:r>
              <w:rPr>
                <w:rFonts w:ascii="Arial" w:cs="Arial" w:eastAsia="Arial" w:hAnsi="Arial"/>
                <w:sz w:val="14"/>
                <w:szCs w:val="14"/>
                <w:color w:val="auto"/>
              </w:rPr>
              <w:t>Other investing, net</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4,109</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4,115</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Net cash used in investing activities</w:t>
            </w:r>
          </w:p>
        </w:tc>
        <w:tc>
          <w:tcPr>
            <w:tcW w:w="38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(56,771)</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(125,445)</w:t>
            </w:r>
          </w:p>
        </w:tc>
        <w:tc>
          <w:tcPr>
            <w:tcW w:w="0" w:type="dxa"/>
            <w:vAlign w:val="bottom"/>
          </w:tcPr>
          <w:p>
            <w:pPr>
              <w:spacing w:after="0"/>
              <w:rPr>
                <w:sz w:val="1"/>
                <w:szCs w:val="1"/>
                <w:color w:val="auto"/>
              </w:rPr>
            </w:pPr>
          </w:p>
        </w:tc>
      </w:tr>
      <w:tr>
        <w:trPr>
          <w:trHeight w:val="339"/>
        </w:trPr>
        <w:tc>
          <w:tcPr>
            <w:tcW w:w="7960" w:type="dxa"/>
            <w:vAlign w:val="bottom"/>
          </w:tcPr>
          <w:p>
            <w:pPr>
              <w:spacing w:after="0"/>
              <w:rPr>
                <w:sz w:val="20"/>
                <w:szCs w:val="20"/>
                <w:color w:val="auto"/>
              </w:rPr>
            </w:pPr>
            <w:r>
              <w:rPr>
                <w:rFonts w:ascii="Arial" w:cs="Arial" w:eastAsia="Arial" w:hAnsi="Arial"/>
                <w:sz w:val="14"/>
                <w:szCs w:val="14"/>
                <w:color w:val="auto"/>
              </w:rPr>
              <w:t>Financing activities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38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35,000</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80,000</w:t>
            </w: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rPr>
                <w:sz w:val="20"/>
                <w:szCs w:val="20"/>
                <w:color w:val="auto"/>
              </w:rPr>
            </w:pPr>
            <w:r>
              <w:rPr>
                <w:rFonts w:ascii="Arial" w:cs="Arial" w:eastAsia="Arial" w:hAnsi="Arial"/>
                <w:sz w:val="14"/>
                <w:szCs w:val="14"/>
                <w:color w:val="auto"/>
              </w:rPr>
              <w:t>Payments on debt</w:t>
            </w:r>
          </w:p>
        </w:tc>
        <w:tc>
          <w:tcPr>
            <w:tcW w:w="38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(73,750)</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(115,002)</w:t>
            </w: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rPr>
                <w:sz w:val="20"/>
                <w:szCs w:val="20"/>
                <w:color w:val="auto"/>
              </w:rPr>
            </w:pPr>
            <w:r>
              <w:rPr>
                <w:rFonts w:ascii="Arial" w:cs="Arial" w:eastAsia="Arial" w:hAnsi="Arial"/>
                <w:sz w:val="14"/>
                <w:szCs w:val="14"/>
                <w:color w:val="auto"/>
              </w:rPr>
              <w:t>Issuance of common stock</w:t>
            </w:r>
          </w:p>
        </w:tc>
        <w:tc>
          <w:tcPr>
            <w:tcW w:w="38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5,299</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4,781</w:t>
            </w:r>
          </w:p>
        </w:tc>
        <w:tc>
          <w:tcPr>
            <w:tcW w:w="0" w:type="dxa"/>
            <w:vAlign w:val="bottom"/>
          </w:tcPr>
          <w:p>
            <w:pPr>
              <w:spacing w:after="0"/>
              <w:rPr>
                <w:sz w:val="1"/>
                <w:szCs w:val="1"/>
                <w:color w:val="auto"/>
              </w:rPr>
            </w:pPr>
          </w:p>
        </w:tc>
      </w:tr>
      <w:tr>
        <w:trPr>
          <w:trHeight w:val="176"/>
        </w:trPr>
        <w:tc>
          <w:tcPr>
            <w:tcW w:w="796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38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(26,977)</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(47,441)</w:t>
            </w:r>
          </w:p>
        </w:tc>
        <w:tc>
          <w:tcPr>
            <w:tcW w:w="0" w:type="dxa"/>
            <w:vAlign w:val="bottom"/>
          </w:tcPr>
          <w:p>
            <w:pPr>
              <w:spacing w:after="0"/>
              <w:rPr>
                <w:sz w:val="1"/>
                <w:szCs w:val="1"/>
                <w:color w:val="auto"/>
              </w:rPr>
            </w:pPr>
          </w:p>
        </w:tc>
      </w:tr>
      <w:tr>
        <w:trPr>
          <w:trHeight w:val="181"/>
        </w:trPr>
        <w:tc>
          <w:tcPr>
            <w:tcW w:w="7960" w:type="dxa"/>
            <w:vAlign w:val="bottom"/>
          </w:tcPr>
          <w:p>
            <w:pPr>
              <w:ind w:left="140"/>
              <w:spacing w:after="0"/>
              <w:rPr>
                <w:sz w:val="20"/>
                <w:szCs w:val="20"/>
                <w:color w:val="auto"/>
              </w:rPr>
            </w:pPr>
            <w:r>
              <w:rPr>
                <w:rFonts w:ascii="Arial" w:cs="Arial" w:eastAsia="Arial" w:hAnsi="Arial"/>
                <w:sz w:val="14"/>
                <w:szCs w:val="14"/>
                <w:color w:val="auto"/>
              </w:rPr>
              <w:t>Other financing, net</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2,990</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76"/>
        </w:trPr>
        <w:tc>
          <w:tcPr>
            <w:tcW w:w="7960" w:type="dxa"/>
            <w:vAlign w:val="bottom"/>
          </w:tcPr>
          <w:p>
            <w:pPr>
              <w:ind w:left="280"/>
              <w:spacing w:after="0"/>
              <w:rPr>
                <w:sz w:val="20"/>
                <w:szCs w:val="20"/>
                <w:color w:val="auto"/>
              </w:rPr>
            </w:pPr>
            <w:r>
              <w:rPr>
                <w:rFonts w:ascii="Arial" w:cs="Arial" w:eastAsia="Arial" w:hAnsi="Arial"/>
                <w:sz w:val="14"/>
                <w:szCs w:val="14"/>
                <w:color w:val="auto"/>
              </w:rPr>
              <w:t>Net cash used in financing activities</w:t>
            </w:r>
          </w:p>
        </w:tc>
        <w:tc>
          <w:tcPr>
            <w:tcW w:w="38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(57,438)</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(77,528)</w:t>
            </w:r>
          </w:p>
        </w:tc>
        <w:tc>
          <w:tcPr>
            <w:tcW w:w="0" w:type="dxa"/>
            <w:vAlign w:val="bottom"/>
          </w:tcPr>
          <w:p>
            <w:pPr>
              <w:spacing w:after="0"/>
              <w:rPr>
                <w:sz w:val="1"/>
                <w:szCs w:val="1"/>
                <w:color w:val="auto"/>
              </w:rPr>
            </w:pPr>
          </w:p>
        </w:tc>
      </w:tr>
      <w:tr>
        <w:trPr>
          <w:trHeight w:val="344"/>
        </w:trPr>
        <w:tc>
          <w:tcPr>
            <w:tcW w:w="7960" w:type="dxa"/>
            <w:vAlign w:val="bottom"/>
          </w:tcPr>
          <w:p>
            <w:pPr>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(2,818)</w:t>
            </w:r>
          </w:p>
        </w:tc>
        <w:tc>
          <w:tcPr>
            <w:tcW w:w="1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1,208</w:t>
            </w:r>
          </w:p>
        </w:tc>
        <w:tc>
          <w:tcPr>
            <w:tcW w:w="0" w:type="dxa"/>
            <w:vAlign w:val="bottom"/>
          </w:tcPr>
          <w:p>
            <w:pPr>
              <w:spacing w:after="0"/>
              <w:rPr>
                <w:sz w:val="1"/>
                <w:szCs w:val="1"/>
                <w:color w:val="auto"/>
              </w:rPr>
            </w:pPr>
          </w:p>
        </w:tc>
      </w:tr>
      <w:tr>
        <w:trPr>
          <w:trHeight w:val="164"/>
        </w:trPr>
        <w:tc>
          <w:tcPr>
            <w:tcW w:w="796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38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(11,606)</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3,325</w:t>
            </w:r>
          </w:p>
        </w:tc>
        <w:tc>
          <w:tcPr>
            <w:tcW w:w="0" w:type="dxa"/>
            <w:vAlign w:val="bottom"/>
          </w:tcPr>
          <w:p>
            <w:pPr>
              <w:spacing w:after="0"/>
              <w:rPr>
                <w:sz w:val="1"/>
                <w:szCs w:val="1"/>
                <w:color w:val="auto"/>
              </w:rPr>
            </w:pPr>
          </w:p>
        </w:tc>
      </w:tr>
      <w:tr>
        <w:trPr>
          <w:trHeight w:val="181"/>
        </w:trPr>
        <w:tc>
          <w:tcPr>
            <w:tcW w:w="796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136,411</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133,086</w:t>
            </w:r>
          </w:p>
        </w:tc>
        <w:tc>
          <w:tcPr>
            <w:tcW w:w="0" w:type="dxa"/>
            <w:vAlign w:val="bottom"/>
          </w:tcPr>
          <w:p>
            <w:pPr>
              <w:spacing w:after="0"/>
              <w:rPr>
                <w:sz w:val="1"/>
                <w:szCs w:val="1"/>
                <w:color w:val="auto"/>
              </w:rPr>
            </w:pPr>
          </w:p>
        </w:tc>
      </w:tr>
      <w:tr>
        <w:trPr>
          <w:trHeight w:val="169"/>
        </w:trPr>
        <w:tc>
          <w:tcPr>
            <w:tcW w:w="796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124,805</w:t>
            </w:r>
          </w:p>
        </w:tc>
        <w:tc>
          <w:tcPr>
            <w:tcW w:w="180" w:type="dxa"/>
            <w:vAlign w:val="bottom"/>
          </w:tcPr>
          <w:p>
            <w:pPr>
              <w:spacing w:after="0"/>
              <w:rPr>
                <w:sz w:val="14"/>
                <w:szCs w:val="14"/>
                <w:color w:val="auto"/>
              </w:rPr>
            </w:pP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136,411</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9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9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22"/>
          <w:szCs w:val="22"/>
          <w:b w:val="1"/>
          <w:bCs w:val="1"/>
          <w:color w:val="auto"/>
        </w:rPr>
        <w:t>Itron, Inc.</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About Non-GAAP Financial Measures</w:t>
      </w:r>
    </w:p>
    <w:p>
      <w:pPr>
        <w:spacing w:after="0" w:line="212"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color w:val="auto"/>
        </w:rPr>
        <w:t>The accompanying press release contains non-GAAP financial measures. To supplement our consolidated financial statements, which are prepared and presented in accordance with GAAP, we use certain non-GAAP financial measures, including non-GAAP operating expense, non-GAAP operating income, non-GAAP net income, non-GAAP diluted EPS, adjusted EBITDA and free cash flow. The presentation of this financial information is not intended to be considered in isolation or as a substitute for, or superior to, the financial information prepared and presented in accordance with GAAP. For more information on these non-GAAP financial measures please see the table captioned “Reconciliations of Non-GAAP Financial Measures to Most Directly Comparable GAAP Financial Measures.”</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We use these non-GAAP financial measures for financial and operational decision making and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non-recurring discrete cash and non-cash charges that are infrequent in nature such as purchase accounting adjustments,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help them analyze the health of our business.</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Non-GAAP operating expense and non-GAAP operating income – We define non-GAAP operating expense as operating expense excluding certain expenses related to the amortization of intangible assets, restructuring, acquisitions and goodwill impairment. We define non-GAAP operating income as operating income excluding the expenses related to the amortization of intangible assets, restructuring, acquisitions and goodwill impairment. We consider these non-GAAP financial measures to be useful metrics for management and investors because they exclude the effect of expenses that are related to previous acquisitions and restructurings. By excluding these expenses, we believe that it is easier for management and investors to compare our financial results over multiple periods and analyze trends in our operations. For example, expenses related to amortization of intangible assets are now decreasing, which is improving GAAP operating margins, yet the improvement in GAAP operating margins due to this lower expense is not necessarily reflective of an improvement in our core business. There are some limitations related to the use of non-GAAP operating expense and non-GAAP operating income versus operating expense and operating income calculated in accordance with GAAP. Non-GAAP operating expense and non-GAAP operating income exclude some costs that are recurring. Additionally, the expenses that we exclude in our calculation of non-GAAP operating expense and non-GAAP operating income may differ from the expenses that our peer companies exclude when they report the results of their operations. We compensate for these limitations by providing specific information about the GAAP amounts we have excluded from our non-GAAP operating expense and non-GAAP operating income and evaluating non-GAAP operating expense and non-GAAP operating income together with GAAP operating expense and 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27202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13" w:name="page14"/>
    <w:bookmarkEnd w:id="13"/>
    <w:p>
      <w:pPr>
        <w:spacing w:after="0" w:line="275" w:lineRule="auto"/>
        <w:rPr>
          <w:sz w:val="20"/>
          <w:szCs w:val="20"/>
          <w:color w:val="auto"/>
        </w:rPr>
      </w:pPr>
      <w:r>
        <w:rPr>
          <w:rFonts w:ascii="Arial" w:cs="Arial" w:eastAsia="Arial" w:hAnsi="Arial"/>
          <w:sz w:val="19"/>
          <w:szCs w:val="19"/>
          <w:color w:val="auto"/>
        </w:rPr>
        <w:t>Non-GAAP net income and non-GAAP diluted EPS – We define non-GAAP net income as net income excluding the expenses associated with amortization of intangible assets, restructuring, acquisitions, goodwill impairment and amortization of debt placement fees.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and GAAP diluted EPS.</w:t>
      </w:r>
    </w:p>
    <w:p>
      <w:pPr>
        <w:spacing w:after="0" w:line="159"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Adjusted EBITDA – We define adjusted EBITDA as net income (a) minus interest income, (b) plus interest expense, depreciation and amortization of intangible asset expenses, restructuring expense, acquisition related expense, goodwill impairment and (c) exclude the tax expense or benefit. We believe that providing this financial measure is important for management and investors to understand our ability to service our debt as it is a measure of the cash generated by our core business.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Management compensates for this limitation by providing a reconciliation of this measure to GAAP net income.</w:t>
      </w:r>
    </w:p>
    <w:p>
      <w:pPr>
        <w:spacing w:after="0" w:line="159"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Free cash flow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non-GAAP operating income apply to our use of free cash flow. We compensate for these limitations by providing specific information regarding the GAAP amounts and reconciling to free cash flow.</w:t>
      </w:r>
    </w:p>
    <w:p>
      <w:pPr>
        <w:spacing w:after="0" w:line="179"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14" w:name="page15"/>
    <w:bookmarkEnd w:id="14"/>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THE MOST DIRECTLY COMPARABLE GAAP FINANCIAL MEASURES</w:t>
      </w:r>
      <w:r>
        <w:rPr>
          <w:rFonts w:ascii="Arial" w:cs="Arial" w:eastAsia="Arial" w:hAnsi="Arial"/>
          <w:sz w:val="23"/>
          <w:szCs w:val="23"/>
          <w:b w:val="1"/>
          <w:bCs w:val="1"/>
          <w:color w:val="auto"/>
          <w:vertAlign w:val="superscript"/>
        </w:rPr>
        <w:t>(1)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8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5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w w:val="95"/>
              </w:rPr>
              <w:t>Three Months Ended December 31,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w w:val="96"/>
              </w:rPr>
              <w:t>Twelve Months Ended December 31,</w:t>
            </w:r>
          </w:p>
        </w:tc>
        <w:tc>
          <w:tcPr>
            <w:tcW w:w="0" w:type="dxa"/>
            <w:vAlign w:val="bottom"/>
          </w:tcPr>
          <w:p>
            <w:pPr>
              <w:spacing w:after="0"/>
              <w:rPr>
                <w:sz w:val="1"/>
                <w:szCs w:val="1"/>
                <w:color w:val="auto"/>
              </w:rPr>
            </w:pPr>
          </w:p>
        </w:tc>
      </w:tr>
      <w:tr>
        <w:trPr>
          <w:trHeight w:val="169"/>
        </w:trPr>
        <w:tc>
          <w:tcPr>
            <w:tcW w:w="5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64"/>
        </w:trPr>
        <w:tc>
          <w:tcPr>
            <w:tcW w:w="5580" w:type="dxa"/>
            <w:vAlign w:val="bottom"/>
          </w:tcPr>
          <w:p>
            <w:pPr>
              <w:spacing w:after="0"/>
              <w:rPr>
                <w:sz w:val="20"/>
                <w:szCs w:val="20"/>
                <w:color w:val="auto"/>
              </w:rPr>
            </w:pPr>
            <w:r>
              <w:rPr>
                <w:rFonts w:ascii="Arial" w:cs="Arial" w:eastAsia="Arial" w:hAnsi="Arial"/>
                <w:sz w:val="14"/>
                <w:szCs w:val="14"/>
                <w:b w:val="1"/>
                <w:bCs w:val="1"/>
                <w:color w:val="auto"/>
              </w:rPr>
              <w:t>NON-GAAP OPERATING INCOME - ELECTRICITY</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80" w:type="dxa"/>
            <w:vAlign w:val="bottom"/>
          </w:tcPr>
          <w:p>
            <w:pPr>
              <w:ind w:left="140"/>
              <w:spacing w:after="0"/>
              <w:rPr>
                <w:sz w:val="20"/>
                <w:szCs w:val="20"/>
                <w:color w:val="auto"/>
              </w:rPr>
            </w:pPr>
            <w:r>
              <w:rPr>
                <w:rFonts w:ascii="Arial" w:cs="Arial" w:eastAsia="Arial" w:hAnsi="Arial"/>
                <w:sz w:val="14"/>
                <w:szCs w:val="14"/>
                <w:color w:val="auto"/>
              </w:rPr>
              <w:t>Electricity - GAAP operating income</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(178,987)</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(7,353)</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(235,908)</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24,812</w:t>
            </w:r>
          </w:p>
        </w:tc>
        <w:tc>
          <w:tcPr>
            <w:tcW w:w="0" w:type="dxa"/>
            <w:vAlign w:val="bottom"/>
          </w:tcPr>
          <w:p>
            <w:pPr>
              <w:spacing w:after="0"/>
              <w:rPr>
                <w:sz w:val="1"/>
                <w:szCs w:val="1"/>
                <w:color w:val="auto"/>
              </w:rPr>
            </w:pPr>
          </w:p>
        </w:tc>
      </w:tr>
      <w:tr>
        <w:trPr>
          <w:trHeight w:val="176"/>
        </w:trPr>
        <w:tc>
          <w:tcPr>
            <w:tcW w:w="558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4,764</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5,144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18,835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20,644</w:t>
            </w:r>
          </w:p>
        </w:tc>
        <w:tc>
          <w:tcPr>
            <w:tcW w:w="0" w:type="dxa"/>
            <w:vAlign w:val="bottom"/>
          </w:tcPr>
          <w:p>
            <w:pPr>
              <w:spacing w:after="0"/>
              <w:rPr>
                <w:sz w:val="1"/>
                <w:szCs w:val="1"/>
                <w:color w:val="auto"/>
              </w:rPr>
            </w:pPr>
          </w:p>
        </w:tc>
      </w:tr>
      <w:tr>
        <w:trPr>
          <w:trHeight w:val="176"/>
        </w:trPr>
        <w:tc>
          <w:tcPr>
            <w:tcW w:w="5580" w:type="dxa"/>
            <w:vAlign w:val="bottom"/>
          </w:tcPr>
          <w:p>
            <w:pPr>
              <w:ind w:left="280"/>
              <w:spacing w:after="0"/>
              <w:rPr>
                <w:sz w:val="20"/>
                <w:szCs w:val="20"/>
                <w:color w:val="auto"/>
              </w:rPr>
            </w:pPr>
            <w:r>
              <w:rPr>
                <w:rFonts w:ascii="Arial" w:cs="Arial" w:eastAsia="Arial" w:hAnsi="Arial"/>
                <w:sz w:val="14"/>
                <w:szCs w:val="14"/>
                <w:color w:val="auto"/>
              </w:rPr>
              <w:t>Restructuring expense</w:t>
            </w: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1,779</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(1,017)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25,149</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1,274</w:t>
            </w:r>
          </w:p>
        </w:tc>
        <w:tc>
          <w:tcPr>
            <w:tcW w:w="0" w:type="dxa"/>
            <w:vAlign w:val="bottom"/>
          </w:tcPr>
          <w:p>
            <w:pPr>
              <w:spacing w:after="0"/>
              <w:rPr>
                <w:sz w:val="1"/>
                <w:szCs w:val="1"/>
                <w:color w:val="auto"/>
              </w:rPr>
            </w:pPr>
          </w:p>
        </w:tc>
      </w:tr>
      <w:tr>
        <w:trPr>
          <w:trHeight w:val="176"/>
        </w:trPr>
        <w:tc>
          <w:tcPr>
            <w:tcW w:w="5580" w:type="dxa"/>
            <w:vAlign w:val="bottom"/>
          </w:tcPr>
          <w:p>
            <w:pPr>
              <w:ind w:left="280"/>
              <w:spacing w:after="0"/>
              <w:rPr>
                <w:sz w:val="20"/>
                <w:szCs w:val="20"/>
                <w:color w:val="auto"/>
              </w:rPr>
            </w:pPr>
            <w:r>
              <w:rPr>
                <w:rFonts w:ascii="Arial" w:cs="Arial" w:eastAsia="Arial" w:hAnsi="Arial"/>
                <w:sz w:val="14"/>
                <w:szCs w:val="14"/>
                <w:color w:val="auto"/>
              </w:rPr>
              <w:t>Acquisition related expenses</w:t>
            </w: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479</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667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2,287</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2,495</w:t>
            </w:r>
          </w:p>
        </w:tc>
        <w:tc>
          <w:tcPr>
            <w:tcW w:w="0" w:type="dxa"/>
            <w:vAlign w:val="bottom"/>
          </w:tcPr>
          <w:p>
            <w:pPr>
              <w:spacing w:after="0"/>
              <w:rPr>
                <w:sz w:val="1"/>
                <w:szCs w:val="1"/>
                <w:color w:val="auto"/>
              </w:rPr>
            </w:pPr>
          </w:p>
        </w:tc>
      </w:tr>
      <w:tr>
        <w:trPr>
          <w:trHeight w:val="181"/>
        </w:trPr>
        <w:tc>
          <w:tcPr>
            <w:tcW w:w="5580" w:type="dxa"/>
            <w:vAlign w:val="bottom"/>
          </w:tcPr>
          <w:p>
            <w:pPr>
              <w:ind w:left="280"/>
              <w:spacing w:after="0"/>
              <w:rPr>
                <w:sz w:val="20"/>
                <w:szCs w:val="20"/>
                <w:color w:val="auto"/>
              </w:rPr>
            </w:pPr>
            <w:r>
              <w:rPr>
                <w:rFonts w:ascii="Arial" w:cs="Arial" w:eastAsia="Arial" w:hAnsi="Arial"/>
                <w:sz w:val="14"/>
                <w:szCs w:val="14"/>
                <w:color w:val="auto"/>
              </w:rPr>
              <w:t>Goodwill impairment</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173,249</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173,249</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580" w:type="dxa"/>
            <w:vAlign w:val="bottom"/>
          </w:tcPr>
          <w:p>
            <w:pPr>
              <w:ind w:left="140"/>
              <w:spacing w:after="0"/>
              <w:rPr>
                <w:sz w:val="20"/>
                <w:szCs w:val="20"/>
                <w:color w:val="auto"/>
              </w:rPr>
            </w:pPr>
            <w:r>
              <w:rPr>
                <w:rFonts w:ascii="Arial" w:cs="Arial" w:eastAsia="Arial" w:hAnsi="Arial"/>
                <w:sz w:val="14"/>
                <w:szCs w:val="14"/>
                <w:color w:val="auto"/>
              </w:rPr>
              <w:t>Electricity - Non-GAAP operating income</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1,284</w:t>
            </w: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(2,559)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(16,388)</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49,225</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NON-GAAP OPERATING INCOME - GAS</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580" w:type="dxa"/>
            <w:vAlign w:val="bottom"/>
          </w:tcPr>
          <w:p>
            <w:pPr>
              <w:ind w:left="140"/>
              <w:spacing w:after="0"/>
              <w:rPr>
                <w:sz w:val="20"/>
                <w:szCs w:val="20"/>
                <w:color w:val="auto"/>
              </w:rPr>
            </w:pPr>
            <w:r>
              <w:rPr>
                <w:rFonts w:ascii="Arial" w:cs="Arial" w:eastAsia="Arial" w:hAnsi="Arial"/>
                <w:sz w:val="14"/>
                <w:szCs w:val="14"/>
                <w:color w:val="auto"/>
              </w:rPr>
              <w:t>Gas - GAAP operating income</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21,001</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26,511</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83,882</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110,557</w:t>
            </w:r>
          </w:p>
        </w:tc>
        <w:tc>
          <w:tcPr>
            <w:tcW w:w="0" w:type="dxa"/>
            <w:vAlign w:val="bottom"/>
          </w:tcPr>
          <w:p>
            <w:pPr>
              <w:spacing w:after="0"/>
              <w:rPr>
                <w:sz w:val="1"/>
                <w:szCs w:val="1"/>
                <w:color w:val="auto"/>
              </w:rPr>
            </w:pPr>
          </w:p>
        </w:tc>
      </w:tr>
      <w:tr>
        <w:trPr>
          <w:trHeight w:val="176"/>
        </w:trPr>
        <w:tc>
          <w:tcPr>
            <w:tcW w:w="558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3,115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3,544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12,264</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14,121</w:t>
            </w:r>
          </w:p>
        </w:tc>
        <w:tc>
          <w:tcPr>
            <w:tcW w:w="0" w:type="dxa"/>
            <w:vAlign w:val="bottom"/>
          </w:tcPr>
          <w:p>
            <w:pPr>
              <w:spacing w:after="0"/>
              <w:rPr>
                <w:sz w:val="1"/>
                <w:szCs w:val="1"/>
                <w:color w:val="auto"/>
              </w:rPr>
            </w:pPr>
          </w:p>
        </w:tc>
      </w:tr>
      <w:tr>
        <w:trPr>
          <w:trHeight w:val="181"/>
        </w:trPr>
        <w:tc>
          <w:tcPr>
            <w:tcW w:w="5580" w:type="dxa"/>
            <w:vAlign w:val="bottom"/>
          </w:tcPr>
          <w:p>
            <w:pPr>
              <w:ind w:left="280"/>
              <w:spacing w:after="0"/>
              <w:rPr>
                <w:sz w:val="20"/>
                <w:szCs w:val="20"/>
                <w:color w:val="auto"/>
              </w:rPr>
            </w:pPr>
            <w:r>
              <w:rPr>
                <w:rFonts w:ascii="Arial" w:cs="Arial" w:eastAsia="Arial" w:hAnsi="Arial"/>
                <w:sz w:val="14"/>
                <w:szCs w:val="14"/>
                <w:color w:val="auto"/>
              </w:rPr>
              <w:t>Restructuring expense</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2,403</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(1,202)</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3,471</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9"/>
        </w:trPr>
        <w:tc>
          <w:tcPr>
            <w:tcW w:w="5580" w:type="dxa"/>
            <w:vAlign w:val="bottom"/>
          </w:tcPr>
          <w:p>
            <w:pPr>
              <w:ind w:left="140"/>
              <w:spacing w:after="0"/>
              <w:rPr>
                <w:sz w:val="20"/>
                <w:szCs w:val="20"/>
                <w:color w:val="auto"/>
              </w:rPr>
            </w:pPr>
            <w:r>
              <w:rPr>
                <w:rFonts w:ascii="Arial" w:cs="Arial" w:eastAsia="Arial" w:hAnsi="Arial"/>
                <w:sz w:val="14"/>
                <w:szCs w:val="14"/>
                <w:color w:val="auto"/>
              </w:rPr>
              <w:t>Gas - Non-GAAP operating income</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26,519</w:t>
            </w: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28,853</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99,617</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124,721</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NON-GAAP OPERATING INCOME - WATER</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580" w:type="dxa"/>
            <w:vAlign w:val="bottom"/>
          </w:tcPr>
          <w:p>
            <w:pPr>
              <w:ind w:left="140"/>
              <w:spacing w:after="0"/>
              <w:rPr>
                <w:sz w:val="20"/>
                <w:szCs w:val="20"/>
                <w:color w:val="auto"/>
              </w:rPr>
            </w:pPr>
            <w:r>
              <w:rPr>
                <w:rFonts w:ascii="Arial" w:cs="Arial" w:eastAsia="Arial" w:hAnsi="Arial"/>
                <w:sz w:val="14"/>
                <w:szCs w:val="14"/>
                <w:color w:val="auto"/>
              </w:rPr>
              <w:t>Water - GAAP operating income</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18,063</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9,314</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63,252</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59,210</w:t>
            </w:r>
          </w:p>
        </w:tc>
        <w:tc>
          <w:tcPr>
            <w:tcW w:w="0" w:type="dxa"/>
            <w:vAlign w:val="bottom"/>
          </w:tcPr>
          <w:p>
            <w:pPr>
              <w:spacing w:after="0"/>
              <w:rPr>
                <w:sz w:val="1"/>
                <w:szCs w:val="1"/>
                <w:color w:val="auto"/>
              </w:rPr>
            </w:pPr>
          </w:p>
        </w:tc>
      </w:tr>
      <w:tr>
        <w:trPr>
          <w:trHeight w:val="176"/>
        </w:trPr>
        <w:tc>
          <w:tcPr>
            <w:tcW w:w="558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2,761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3,255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10,920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13,045</w:t>
            </w:r>
          </w:p>
        </w:tc>
        <w:tc>
          <w:tcPr>
            <w:tcW w:w="0" w:type="dxa"/>
            <w:vAlign w:val="bottom"/>
          </w:tcPr>
          <w:p>
            <w:pPr>
              <w:spacing w:after="0"/>
              <w:rPr>
                <w:sz w:val="1"/>
                <w:szCs w:val="1"/>
                <w:color w:val="auto"/>
              </w:rPr>
            </w:pPr>
          </w:p>
        </w:tc>
      </w:tr>
      <w:tr>
        <w:trPr>
          <w:trHeight w:val="181"/>
        </w:trPr>
        <w:tc>
          <w:tcPr>
            <w:tcW w:w="5580" w:type="dxa"/>
            <w:vAlign w:val="bottom"/>
          </w:tcPr>
          <w:p>
            <w:pPr>
              <w:ind w:left="280"/>
              <w:spacing w:after="0"/>
              <w:rPr>
                <w:sz w:val="20"/>
                <w:szCs w:val="20"/>
                <w:color w:val="auto"/>
              </w:rPr>
            </w:pPr>
            <w:r>
              <w:rPr>
                <w:rFonts w:ascii="Arial" w:cs="Arial" w:eastAsia="Arial" w:hAnsi="Arial"/>
                <w:sz w:val="14"/>
                <w:szCs w:val="14"/>
                <w:color w:val="auto"/>
              </w:rPr>
              <w:t>Restructuring expense</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(380)</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3,076</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169"/>
        </w:trPr>
        <w:tc>
          <w:tcPr>
            <w:tcW w:w="5580" w:type="dxa"/>
            <w:vAlign w:val="bottom"/>
          </w:tcPr>
          <w:p>
            <w:pPr>
              <w:ind w:left="140"/>
              <w:spacing w:after="0"/>
              <w:rPr>
                <w:sz w:val="20"/>
                <w:szCs w:val="20"/>
                <w:color w:val="auto"/>
              </w:rPr>
            </w:pPr>
            <w:r>
              <w:rPr>
                <w:rFonts w:ascii="Arial" w:cs="Arial" w:eastAsia="Arial" w:hAnsi="Arial"/>
                <w:sz w:val="14"/>
                <w:szCs w:val="14"/>
                <w:color w:val="auto"/>
              </w:rPr>
              <w:t>Water - Non-GAAP operating income</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20,444</w:t>
            </w: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12,675</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77,248</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71,490</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NON-GAAP OPERATING LOSS - CORPORATE UNALLOCATED</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580" w:type="dxa"/>
            <w:vAlign w:val="bottom"/>
          </w:tcPr>
          <w:p>
            <w:pPr>
              <w:ind w:left="140"/>
              <w:spacing w:after="0"/>
              <w:rPr>
                <w:sz w:val="20"/>
                <w:szCs w:val="20"/>
                <w:color w:val="auto"/>
              </w:rPr>
            </w:pPr>
            <w:r>
              <w:rPr>
                <w:rFonts w:ascii="Arial" w:cs="Arial" w:eastAsia="Arial" w:hAnsi="Arial"/>
                <w:sz w:val="14"/>
                <w:szCs w:val="14"/>
                <w:color w:val="auto"/>
              </w:rPr>
              <w:t>Corporate unallocated - GAAP operating loss</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(9,093)</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(8,997)</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(46,407)</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(43,453)</w:t>
            </w:r>
          </w:p>
        </w:tc>
        <w:tc>
          <w:tcPr>
            <w:tcW w:w="0" w:type="dxa"/>
            <w:vAlign w:val="bottom"/>
          </w:tcPr>
          <w:p>
            <w:pPr>
              <w:spacing w:after="0"/>
              <w:rPr>
                <w:sz w:val="1"/>
                <w:szCs w:val="1"/>
                <w:color w:val="auto"/>
              </w:rPr>
            </w:pPr>
          </w:p>
        </w:tc>
      </w:tr>
      <w:tr>
        <w:trPr>
          <w:trHeight w:val="176"/>
        </w:trPr>
        <w:tc>
          <w:tcPr>
            <w:tcW w:w="5580" w:type="dxa"/>
            <w:vAlign w:val="bottom"/>
          </w:tcPr>
          <w:p>
            <w:pPr>
              <w:ind w:left="280"/>
              <w:spacing w:after="0"/>
              <w:rPr>
                <w:sz w:val="20"/>
                <w:szCs w:val="20"/>
                <w:color w:val="auto"/>
              </w:rPr>
            </w:pPr>
            <w:r>
              <w:rPr>
                <w:rFonts w:ascii="Arial" w:cs="Arial" w:eastAsia="Arial" w:hAnsi="Arial"/>
                <w:sz w:val="14"/>
                <w:szCs w:val="14"/>
                <w:color w:val="auto"/>
              </w:rPr>
              <w:t>Restructuring expense</w:t>
            </w:r>
          </w:p>
        </w:tc>
        <w:tc>
          <w:tcPr>
            <w:tcW w:w="22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(1,082)</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323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3,801</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1,113</w:t>
            </w:r>
          </w:p>
        </w:tc>
        <w:tc>
          <w:tcPr>
            <w:tcW w:w="0" w:type="dxa"/>
            <w:vAlign w:val="bottom"/>
          </w:tcPr>
          <w:p>
            <w:pPr>
              <w:spacing w:after="0"/>
              <w:rPr>
                <w:sz w:val="1"/>
                <w:szCs w:val="1"/>
                <w:color w:val="auto"/>
              </w:rPr>
            </w:pPr>
          </w:p>
        </w:tc>
      </w:tr>
      <w:tr>
        <w:trPr>
          <w:trHeight w:val="181"/>
        </w:trPr>
        <w:tc>
          <w:tcPr>
            <w:tcW w:w="5580" w:type="dxa"/>
            <w:vAlign w:val="bottom"/>
          </w:tcPr>
          <w:p>
            <w:pPr>
              <w:ind w:left="280"/>
              <w:spacing w:after="0"/>
              <w:rPr>
                <w:sz w:val="20"/>
                <w:szCs w:val="20"/>
                <w:color w:val="auto"/>
              </w:rPr>
            </w:pPr>
            <w:r>
              <w:rPr>
                <w:rFonts w:ascii="Arial" w:cs="Arial" w:eastAsia="Arial" w:hAnsi="Arial"/>
                <w:sz w:val="14"/>
                <w:szCs w:val="14"/>
                <w:color w:val="auto"/>
              </w:rPr>
              <w:t>Acquisition related expenses</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2,962</w:t>
            </w:r>
          </w:p>
        </w:tc>
        <w:tc>
          <w:tcPr>
            <w:tcW w:w="0" w:type="dxa"/>
            <w:vAlign w:val="bottom"/>
          </w:tcPr>
          <w:p>
            <w:pPr>
              <w:spacing w:after="0"/>
              <w:rPr>
                <w:sz w:val="1"/>
                <w:szCs w:val="1"/>
                <w:color w:val="auto"/>
              </w:rPr>
            </w:pPr>
          </w:p>
        </w:tc>
      </w:tr>
      <w:tr>
        <w:trPr>
          <w:trHeight w:val="169"/>
        </w:trPr>
        <w:tc>
          <w:tcPr>
            <w:tcW w:w="5580" w:type="dxa"/>
            <w:vAlign w:val="bottom"/>
          </w:tcPr>
          <w:p>
            <w:pPr>
              <w:ind w:left="140"/>
              <w:spacing w:after="0"/>
              <w:rPr>
                <w:sz w:val="20"/>
                <w:szCs w:val="20"/>
                <w:color w:val="auto"/>
              </w:rPr>
            </w:pPr>
            <w:r>
              <w:rPr>
                <w:rFonts w:ascii="Arial" w:cs="Arial" w:eastAsia="Arial" w:hAnsi="Arial"/>
                <w:sz w:val="14"/>
                <w:szCs w:val="14"/>
                <w:color w:val="auto"/>
              </w:rPr>
              <w:t>Corporate unallocated - Non-GAAP operating loss</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(10,175)</w:t>
            </w: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(8,674)</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(42,603)</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(39,378)</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NON-GAAP OPERATING INCOME</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580" w:type="dxa"/>
            <w:vAlign w:val="bottom"/>
          </w:tcPr>
          <w:p>
            <w:pPr>
              <w:ind w:left="140"/>
              <w:spacing w:after="0"/>
              <w:rPr>
                <w:sz w:val="20"/>
                <w:szCs w:val="20"/>
                <w:color w:val="auto"/>
              </w:rPr>
            </w:pPr>
            <w:r>
              <w:rPr>
                <w:rFonts w:ascii="Arial" w:cs="Arial" w:eastAsia="Arial" w:hAnsi="Arial"/>
                <w:sz w:val="14"/>
                <w:szCs w:val="14"/>
                <w:color w:val="auto"/>
              </w:rPr>
              <w:t>GAAP operating income</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(149,016)</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19,475</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(135,181)</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151,126</w:t>
            </w:r>
          </w:p>
        </w:tc>
        <w:tc>
          <w:tcPr>
            <w:tcW w:w="0" w:type="dxa"/>
            <w:vAlign w:val="bottom"/>
          </w:tcPr>
          <w:p>
            <w:pPr>
              <w:spacing w:after="0"/>
              <w:rPr>
                <w:sz w:val="1"/>
                <w:szCs w:val="1"/>
                <w:color w:val="auto"/>
              </w:rPr>
            </w:pPr>
          </w:p>
        </w:tc>
      </w:tr>
      <w:tr>
        <w:trPr>
          <w:trHeight w:val="176"/>
        </w:trPr>
        <w:tc>
          <w:tcPr>
            <w:tcW w:w="558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10,640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11,943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42,019</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47,810</w:t>
            </w:r>
          </w:p>
        </w:tc>
        <w:tc>
          <w:tcPr>
            <w:tcW w:w="0" w:type="dxa"/>
            <w:vAlign w:val="bottom"/>
          </w:tcPr>
          <w:p>
            <w:pPr>
              <w:spacing w:after="0"/>
              <w:rPr>
                <w:sz w:val="1"/>
                <w:szCs w:val="1"/>
                <w:color w:val="auto"/>
              </w:rPr>
            </w:pPr>
          </w:p>
        </w:tc>
      </w:tr>
      <w:tr>
        <w:trPr>
          <w:trHeight w:val="176"/>
        </w:trPr>
        <w:tc>
          <w:tcPr>
            <w:tcW w:w="5580" w:type="dxa"/>
            <w:vAlign w:val="bottom"/>
          </w:tcPr>
          <w:p>
            <w:pPr>
              <w:ind w:left="280"/>
              <w:spacing w:after="0"/>
              <w:rPr>
                <w:sz w:val="20"/>
                <w:szCs w:val="20"/>
                <w:color w:val="auto"/>
              </w:rPr>
            </w:pPr>
            <w:r>
              <w:rPr>
                <w:rFonts w:ascii="Arial" w:cs="Arial" w:eastAsia="Arial" w:hAnsi="Arial"/>
                <w:sz w:val="14"/>
                <w:szCs w:val="14"/>
                <w:color w:val="auto"/>
              </w:rPr>
              <w:t>Restructuring expense</w:t>
            </w: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2,720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(1,790)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35,497</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1,665</w:t>
            </w:r>
          </w:p>
        </w:tc>
        <w:tc>
          <w:tcPr>
            <w:tcW w:w="0" w:type="dxa"/>
            <w:vAlign w:val="bottom"/>
          </w:tcPr>
          <w:p>
            <w:pPr>
              <w:spacing w:after="0"/>
              <w:rPr>
                <w:sz w:val="1"/>
                <w:szCs w:val="1"/>
                <w:color w:val="auto"/>
              </w:rPr>
            </w:pPr>
          </w:p>
        </w:tc>
      </w:tr>
      <w:tr>
        <w:trPr>
          <w:trHeight w:val="176"/>
        </w:trPr>
        <w:tc>
          <w:tcPr>
            <w:tcW w:w="5580" w:type="dxa"/>
            <w:vAlign w:val="bottom"/>
          </w:tcPr>
          <w:p>
            <w:pPr>
              <w:ind w:left="280"/>
              <w:spacing w:after="0"/>
              <w:rPr>
                <w:sz w:val="20"/>
                <w:szCs w:val="20"/>
                <w:color w:val="auto"/>
              </w:rPr>
            </w:pPr>
            <w:r>
              <w:rPr>
                <w:rFonts w:ascii="Arial" w:cs="Arial" w:eastAsia="Arial" w:hAnsi="Arial"/>
                <w:sz w:val="14"/>
                <w:szCs w:val="14"/>
                <w:color w:val="auto"/>
              </w:rPr>
              <w:t>Acquisition related expenses</w:t>
            </w: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479</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667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2,290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5,457</w:t>
            </w:r>
          </w:p>
        </w:tc>
        <w:tc>
          <w:tcPr>
            <w:tcW w:w="0" w:type="dxa"/>
            <w:vAlign w:val="bottom"/>
          </w:tcPr>
          <w:p>
            <w:pPr>
              <w:spacing w:after="0"/>
              <w:rPr>
                <w:sz w:val="1"/>
                <w:szCs w:val="1"/>
                <w:color w:val="auto"/>
              </w:rPr>
            </w:pPr>
          </w:p>
        </w:tc>
      </w:tr>
      <w:tr>
        <w:trPr>
          <w:trHeight w:val="181"/>
        </w:trPr>
        <w:tc>
          <w:tcPr>
            <w:tcW w:w="5580" w:type="dxa"/>
            <w:vAlign w:val="bottom"/>
          </w:tcPr>
          <w:p>
            <w:pPr>
              <w:ind w:left="280"/>
              <w:spacing w:after="0"/>
              <w:rPr>
                <w:sz w:val="20"/>
                <w:szCs w:val="20"/>
                <w:color w:val="auto"/>
              </w:rPr>
            </w:pPr>
            <w:r>
              <w:rPr>
                <w:rFonts w:ascii="Arial" w:cs="Arial" w:eastAsia="Arial" w:hAnsi="Arial"/>
                <w:sz w:val="14"/>
                <w:szCs w:val="14"/>
                <w:color w:val="auto"/>
              </w:rPr>
              <w:t>Goodwill impairment</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173,249</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173,249</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580" w:type="dxa"/>
            <w:vAlign w:val="bottom"/>
          </w:tcPr>
          <w:p>
            <w:pPr>
              <w:ind w:left="140"/>
              <w:spacing w:after="0"/>
              <w:rPr>
                <w:sz w:val="20"/>
                <w:szCs w:val="20"/>
                <w:color w:val="auto"/>
              </w:rPr>
            </w:pPr>
            <w:r>
              <w:rPr>
                <w:rFonts w:ascii="Arial" w:cs="Arial" w:eastAsia="Arial" w:hAnsi="Arial"/>
                <w:sz w:val="14"/>
                <w:szCs w:val="14"/>
                <w:color w:val="auto"/>
              </w:rPr>
              <w:t>Non-GAAP operating income</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38,072</w:t>
            </w: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30,295</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117,874</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206,058</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NON-GAAP OPERATING EXPENSE</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580" w:type="dxa"/>
            <w:vAlign w:val="bottom"/>
          </w:tcPr>
          <w:p>
            <w:pPr>
              <w:ind w:left="140"/>
              <w:spacing w:after="0"/>
              <w:rPr>
                <w:sz w:val="20"/>
                <w:szCs w:val="20"/>
                <w:color w:val="auto"/>
              </w:rPr>
            </w:pPr>
            <w:r>
              <w:rPr>
                <w:rFonts w:ascii="Arial" w:cs="Arial" w:eastAsia="Arial" w:hAnsi="Arial"/>
                <w:sz w:val="14"/>
                <w:szCs w:val="14"/>
                <w:color w:val="auto"/>
              </w:rPr>
              <w:t>Total Company - GAAP operating expense</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313,754</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144,025</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749,714</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564,021</w:t>
            </w:r>
          </w:p>
        </w:tc>
        <w:tc>
          <w:tcPr>
            <w:tcW w:w="0" w:type="dxa"/>
            <w:vAlign w:val="bottom"/>
          </w:tcPr>
          <w:p>
            <w:pPr>
              <w:spacing w:after="0"/>
              <w:rPr>
                <w:sz w:val="1"/>
                <w:szCs w:val="1"/>
                <w:color w:val="auto"/>
              </w:rPr>
            </w:pPr>
          </w:p>
        </w:tc>
      </w:tr>
      <w:tr>
        <w:trPr>
          <w:trHeight w:val="176"/>
        </w:trPr>
        <w:tc>
          <w:tcPr>
            <w:tcW w:w="558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(10,640)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(11,943)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(42,019)</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(47,810)</w:t>
            </w:r>
          </w:p>
        </w:tc>
        <w:tc>
          <w:tcPr>
            <w:tcW w:w="0" w:type="dxa"/>
            <w:vAlign w:val="bottom"/>
          </w:tcPr>
          <w:p>
            <w:pPr>
              <w:spacing w:after="0"/>
              <w:rPr>
                <w:sz w:val="1"/>
                <w:szCs w:val="1"/>
                <w:color w:val="auto"/>
              </w:rPr>
            </w:pPr>
          </w:p>
        </w:tc>
      </w:tr>
      <w:tr>
        <w:trPr>
          <w:trHeight w:val="176"/>
        </w:trPr>
        <w:tc>
          <w:tcPr>
            <w:tcW w:w="5580" w:type="dxa"/>
            <w:vAlign w:val="bottom"/>
          </w:tcPr>
          <w:p>
            <w:pPr>
              <w:ind w:left="280"/>
              <w:spacing w:after="0"/>
              <w:rPr>
                <w:sz w:val="20"/>
                <w:szCs w:val="20"/>
                <w:color w:val="auto"/>
              </w:rPr>
            </w:pPr>
            <w:r>
              <w:rPr>
                <w:rFonts w:ascii="Arial" w:cs="Arial" w:eastAsia="Arial" w:hAnsi="Arial"/>
                <w:sz w:val="14"/>
                <w:szCs w:val="14"/>
                <w:color w:val="auto"/>
              </w:rPr>
              <w:t>Restructuring expense</w:t>
            </w:r>
          </w:p>
        </w:tc>
        <w:tc>
          <w:tcPr>
            <w:tcW w:w="22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(2,720)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1,790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(35,497)</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(1,665)</w:t>
            </w:r>
          </w:p>
        </w:tc>
        <w:tc>
          <w:tcPr>
            <w:tcW w:w="0" w:type="dxa"/>
            <w:vAlign w:val="bottom"/>
          </w:tcPr>
          <w:p>
            <w:pPr>
              <w:spacing w:after="0"/>
              <w:rPr>
                <w:sz w:val="1"/>
                <w:szCs w:val="1"/>
                <w:color w:val="auto"/>
              </w:rPr>
            </w:pPr>
          </w:p>
        </w:tc>
      </w:tr>
      <w:tr>
        <w:trPr>
          <w:trHeight w:val="176"/>
        </w:trPr>
        <w:tc>
          <w:tcPr>
            <w:tcW w:w="5580" w:type="dxa"/>
            <w:vAlign w:val="bottom"/>
          </w:tcPr>
          <w:p>
            <w:pPr>
              <w:ind w:left="280"/>
              <w:spacing w:after="0"/>
              <w:rPr>
                <w:sz w:val="20"/>
                <w:szCs w:val="20"/>
                <w:color w:val="auto"/>
              </w:rPr>
            </w:pPr>
            <w:r>
              <w:rPr>
                <w:rFonts w:ascii="Arial" w:cs="Arial" w:eastAsia="Arial" w:hAnsi="Arial"/>
                <w:sz w:val="14"/>
                <w:szCs w:val="14"/>
                <w:color w:val="auto"/>
              </w:rPr>
              <w:t>Acquisition related expenses</w:t>
            </w:r>
          </w:p>
        </w:tc>
        <w:tc>
          <w:tcPr>
            <w:tcW w:w="22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(479)</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(667)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(2,290)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(5,457)</w:t>
            </w:r>
          </w:p>
        </w:tc>
        <w:tc>
          <w:tcPr>
            <w:tcW w:w="0" w:type="dxa"/>
            <w:vAlign w:val="bottom"/>
          </w:tcPr>
          <w:p>
            <w:pPr>
              <w:spacing w:after="0"/>
              <w:rPr>
                <w:sz w:val="1"/>
                <w:szCs w:val="1"/>
                <w:color w:val="auto"/>
              </w:rPr>
            </w:pPr>
          </w:p>
        </w:tc>
      </w:tr>
      <w:tr>
        <w:trPr>
          <w:trHeight w:val="181"/>
        </w:trPr>
        <w:tc>
          <w:tcPr>
            <w:tcW w:w="5580" w:type="dxa"/>
            <w:vAlign w:val="bottom"/>
          </w:tcPr>
          <w:p>
            <w:pPr>
              <w:ind w:left="280"/>
              <w:spacing w:after="0"/>
              <w:rPr>
                <w:sz w:val="20"/>
                <w:szCs w:val="20"/>
                <w:color w:val="auto"/>
              </w:rPr>
            </w:pPr>
            <w:r>
              <w:rPr>
                <w:rFonts w:ascii="Arial" w:cs="Arial" w:eastAsia="Arial" w:hAnsi="Arial"/>
                <w:sz w:val="14"/>
                <w:szCs w:val="14"/>
                <w:color w:val="auto"/>
              </w:rPr>
              <w:t>Goodwill impairment</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(173,249)</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(173,249)</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580" w:type="dxa"/>
            <w:vAlign w:val="bottom"/>
          </w:tcPr>
          <w:p>
            <w:pPr>
              <w:ind w:left="140"/>
              <w:spacing w:after="0"/>
              <w:rPr>
                <w:sz w:val="20"/>
                <w:szCs w:val="20"/>
                <w:color w:val="auto"/>
              </w:rPr>
            </w:pPr>
            <w:r>
              <w:rPr>
                <w:rFonts w:ascii="Arial" w:cs="Arial" w:eastAsia="Arial" w:hAnsi="Arial"/>
                <w:sz w:val="14"/>
                <w:szCs w:val="14"/>
                <w:color w:val="auto"/>
              </w:rPr>
              <w:t>Total Company - Non-GAAP operating expense</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126,666</w:t>
            </w: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133,205</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496,659</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509,089</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NON-GAAP NET INCOME &amp; DILUTED EPS</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580" w:type="dxa"/>
            <w:vAlign w:val="bottom"/>
          </w:tcPr>
          <w:p>
            <w:pPr>
              <w:ind w:left="140"/>
              <w:spacing w:after="0"/>
              <w:rPr>
                <w:sz w:val="20"/>
                <w:szCs w:val="20"/>
                <w:color w:val="auto"/>
              </w:rPr>
            </w:pPr>
            <w:r>
              <w:rPr>
                <w:rFonts w:ascii="Arial" w:cs="Arial" w:eastAsia="Arial" w:hAnsi="Arial"/>
                <w:sz w:val="14"/>
                <w:szCs w:val="14"/>
                <w:color w:val="auto"/>
              </w:rPr>
              <w:t>GAAP net income</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(154,430)</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15,960</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(146,809)</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108,275</w:t>
            </w:r>
          </w:p>
        </w:tc>
        <w:tc>
          <w:tcPr>
            <w:tcW w:w="0" w:type="dxa"/>
            <w:vAlign w:val="bottom"/>
          </w:tcPr>
          <w:p>
            <w:pPr>
              <w:spacing w:after="0"/>
              <w:rPr>
                <w:sz w:val="1"/>
                <w:szCs w:val="1"/>
                <w:color w:val="auto"/>
              </w:rPr>
            </w:pPr>
          </w:p>
        </w:tc>
      </w:tr>
      <w:tr>
        <w:trPr>
          <w:trHeight w:val="176"/>
        </w:trPr>
        <w:tc>
          <w:tcPr>
            <w:tcW w:w="5580" w:type="dxa"/>
            <w:vAlign w:val="bottom"/>
          </w:tcPr>
          <w:p>
            <w:pPr>
              <w:ind w:left="28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10,640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11,943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42,019</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47,810</w:t>
            </w:r>
          </w:p>
        </w:tc>
        <w:tc>
          <w:tcPr>
            <w:tcW w:w="0" w:type="dxa"/>
            <w:vAlign w:val="bottom"/>
          </w:tcPr>
          <w:p>
            <w:pPr>
              <w:spacing w:after="0"/>
              <w:rPr>
                <w:sz w:val="1"/>
                <w:szCs w:val="1"/>
                <w:color w:val="auto"/>
              </w:rPr>
            </w:pPr>
          </w:p>
        </w:tc>
      </w:tr>
      <w:tr>
        <w:trPr>
          <w:trHeight w:val="176"/>
        </w:trPr>
        <w:tc>
          <w:tcPr>
            <w:tcW w:w="5580" w:type="dxa"/>
            <w:vAlign w:val="bottom"/>
          </w:tcPr>
          <w:p>
            <w:pPr>
              <w:ind w:left="280"/>
              <w:spacing w:after="0"/>
              <w:rPr>
                <w:sz w:val="20"/>
                <w:szCs w:val="20"/>
                <w:color w:val="auto"/>
              </w:rPr>
            </w:pPr>
            <w:r>
              <w:rPr>
                <w:rFonts w:ascii="Arial" w:cs="Arial" w:eastAsia="Arial" w:hAnsi="Arial"/>
                <w:sz w:val="14"/>
                <w:szCs w:val="14"/>
                <w:color w:val="auto"/>
              </w:rPr>
              <w:t>Amortization of debt placement fees</w:t>
            </w: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387</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397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1,556</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1,558</w:t>
            </w:r>
          </w:p>
        </w:tc>
        <w:tc>
          <w:tcPr>
            <w:tcW w:w="0" w:type="dxa"/>
            <w:vAlign w:val="bottom"/>
          </w:tcPr>
          <w:p>
            <w:pPr>
              <w:spacing w:after="0"/>
              <w:rPr>
                <w:sz w:val="1"/>
                <w:szCs w:val="1"/>
                <w:color w:val="auto"/>
              </w:rPr>
            </w:pPr>
          </w:p>
        </w:tc>
      </w:tr>
      <w:tr>
        <w:trPr>
          <w:trHeight w:val="176"/>
        </w:trPr>
        <w:tc>
          <w:tcPr>
            <w:tcW w:w="5580" w:type="dxa"/>
            <w:vAlign w:val="bottom"/>
          </w:tcPr>
          <w:p>
            <w:pPr>
              <w:ind w:left="280"/>
              <w:spacing w:after="0"/>
              <w:rPr>
                <w:sz w:val="20"/>
                <w:szCs w:val="20"/>
                <w:color w:val="auto"/>
              </w:rPr>
            </w:pPr>
            <w:r>
              <w:rPr>
                <w:rFonts w:ascii="Arial" w:cs="Arial" w:eastAsia="Arial" w:hAnsi="Arial"/>
                <w:sz w:val="14"/>
                <w:szCs w:val="14"/>
                <w:color w:val="auto"/>
              </w:rPr>
              <w:t>Restructuring expense</w:t>
            </w: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2,720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(1,790)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35,497</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1,665</w:t>
            </w:r>
          </w:p>
        </w:tc>
        <w:tc>
          <w:tcPr>
            <w:tcW w:w="0" w:type="dxa"/>
            <w:vAlign w:val="bottom"/>
          </w:tcPr>
          <w:p>
            <w:pPr>
              <w:spacing w:after="0"/>
              <w:rPr>
                <w:sz w:val="1"/>
                <w:szCs w:val="1"/>
                <w:color w:val="auto"/>
              </w:rPr>
            </w:pPr>
          </w:p>
        </w:tc>
      </w:tr>
      <w:tr>
        <w:trPr>
          <w:trHeight w:val="176"/>
        </w:trPr>
        <w:tc>
          <w:tcPr>
            <w:tcW w:w="5580" w:type="dxa"/>
            <w:vAlign w:val="bottom"/>
          </w:tcPr>
          <w:p>
            <w:pPr>
              <w:ind w:left="280"/>
              <w:spacing w:after="0"/>
              <w:rPr>
                <w:sz w:val="20"/>
                <w:szCs w:val="20"/>
                <w:color w:val="auto"/>
              </w:rPr>
            </w:pPr>
            <w:r>
              <w:rPr>
                <w:rFonts w:ascii="Arial" w:cs="Arial" w:eastAsia="Arial" w:hAnsi="Arial"/>
                <w:sz w:val="14"/>
                <w:szCs w:val="14"/>
                <w:color w:val="auto"/>
              </w:rPr>
              <w:t>Acquisition related expenses</w:t>
            </w: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479</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667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2,290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5,457</w:t>
            </w:r>
          </w:p>
        </w:tc>
        <w:tc>
          <w:tcPr>
            <w:tcW w:w="0" w:type="dxa"/>
            <w:vAlign w:val="bottom"/>
          </w:tcPr>
          <w:p>
            <w:pPr>
              <w:spacing w:after="0"/>
              <w:rPr>
                <w:sz w:val="1"/>
                <w:szCs w:val="1"/>
                <w:color w:val="auto"/>
              </w:rPr>
            </w:pPr>
          </w:p>
        </w:tc>
      </w:tr>
      <w:tr>
        <w:trPr>
          <w:trHeight w:val="176"/>
        </w:trPr>
        <w:tc>
          <w:tcPr>
            <w:tcW w:w="5580" w:type="dxa"/>
            <w:vAlign w:val="bottom"/>
          </w:tcPr>
          <w:p>
            <w:pPr>
              <w:ind w:left="280"/>
              <w:spacing w:after="0"/>
              <w:rPr>
                <w:sz w:val="20"/>
                <w:szCs w:val="20"/>
                <w:color w:val="auto"/>
              </w:rPr>
            </w:pPr>
            <w:r>
              <w:rPr>
                <w:rFonts w:ascii="Arial" w:cs="Arial" w:eastAsia="Arial" w:hAnsi="Arial"/>
                <w:sz w:val="14"/>
                <w:szCs w:val="14"/>
                <w:color w:val="auto"/>
              </w:rPr>
              <w:t>Goodwill impairment</w:t>
            </w: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173,249</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173,249</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580" w:type="dxa"/>
            <w:vAlign w:val="bottom"/>
          </w:tcPr>
          <w:p>
            <w:pPr>
              <w:ind w:left="280"/>
              <w:spacing w:after="0"/>
              <w:rPr>
                <w:sz w:val="20"/>
                <w:szCs w:val="20"/>
                <w:color w:val="auto"/>
              </w:rPr>
            </w:pPr>
            <w:r>
              <w:rPr>
                <w:rFonts w:ascii="Arial" w:cs="Arial" w:eastAsia="Arial" w:hAnsi="Arial"/>
                <w:sz w:val="14"/>
                <w:szCs w:val="14"/>
                <w:color w:val="auto"/>
              </w:rPr>
              <w:t>Income tax effect of non-GAAP adjustments</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(18,760)</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(4,238)</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(32,666)</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(20,185)</w:t>
            </w:r>
          </w:p>
        </w:tc>
        <w:tc>
          <w:tcPr>
            <w:tcW w:w="0" w:type="dxa"/>
            <w:vAlign w:val="bottom"/>
          </w:tcPr>
          <w:p>
            <w:pPr>
              <w:spacing w:after="0"/>
              <w:rPr>
                <w:sz w:val="1"/>
                <w:szCs w:val="1"/>
                <w:color w:val="auto"/>
              </w:rPr>
            </w:pPr>
          </w:p>
        </w:tc>
      </w:tr>
      <w:tr>
        <w:trPr>
          <w:trHeight w:val="169"/>
        </w:trPr>
        <w:tc>
          <w:tcPr>
            <w:tcW w:w="5580" w:type="dxa"/>
            <w:vAlign w:val="bottom"/>
          </w:tcPr>
          <w:p>
            <w:pPr>
              <w:ind w:left="140"/>
              <w:spacing w:after="0"/>
              <w:rPr>
                <w:sz w:val="20"/>
                <w:szCs w:val="20"/>
                <w:color w:val="auto"/>
              </w:rPr>
            </w:pPr>
            <w:r>
              <w:rPr>
                <w:rFonts w:ascii="Arial" w:cs="Arial" w:eastAsia="Arial" w:hAnsi="Arial"/>
                <w:sz w:val="14"/>
                <w:szCs w:val="14"/>
                <w:color w:val="auto"/>
              </w:rPr>
              <w:t>Non-GAAP net income</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14,285</w:t>
            </w: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22,939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75,136</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144,580</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140"/>
              <w:spacing w:after="0"/>
              <w:rPr>
                <w:sz w:val="20"/>
                <w:szCs w:val="20"/>
                <w:color w:val="auto"/>
              </w:rPr>
            </w:pPr>
            <w:r>
              <w:rPr>
                <w:rFonts w:ascii="Arial" w:cs="Arial" w:eastAsia="Arial" w:hAnsi="Arial"/>
                <w:sz w:val="14"/>
                <w:szCs w:val="14"/>
                <w:color w:val="auto"/>
              </w:rPr>
              <w:t>Non-GAAP diluted EPS</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580" w:type="dxa"/>
            <w:vAlign w:val="bottom"/>
            <w:vMerge w:val="continue"/>
          </w:tcPr>
          <w:p>
            <w:pPr>
              <w:spacing w:after="0"/>
              <w:rPr>
                <w:sz w:val="14"/>
                <w:szCs w:val="14"/>
                <w:color w:val="auto"/>
              </w:rPr>
            </w:pPr>
          </w:p>
        </w:tc>
        <w:tc>
          <w:tcPr>
            <w:tcW w:w="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0.36</w:t>
            </w:r>
          </w:p>
        </w:tc>
        <w:tc>
          <w:tcPr>
            <w:tcW w:w="14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0.58</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1.90</w:t>
            </w:r>
          </w:p>
        </w:tc>
        <w:tc>
          <w:tcPr>
            <w:tcW w:w="14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580" w:type="dxa"/>
            <w:vAlign w:val="bottom"/>
          </w:tcPr>
          <w:p>
            <w:pPr>
              <w:ind w:left="140"/>
              <w:spacing w:after="0"/>
              <w:rPr>
                <w:sz w:val="20"/>
                <w:szCs w:val="20"/>
                <w:color w:val="auto"/>
              </w:rPr>
            </w:pPr>
            <w:r>
              <w:rPr>
                <w:rFonts w:ascii="Arial" w:cs="Arial" w:eastAsia="Arial" w:hAnsi="Arial"/>
                <w:sz w:val="14"/>
                <w:szCs w:val="14"/>
                <w:color w:val="auto"/>
              </w:rPr>
              <w:t>Weighted average common shares outstanding - Diluted</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39,538</w:t>
            </w: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39,619</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39,602</w:t>
            </w: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39,934</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ADJUSTED EBITDA</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580" w:type="dxa"/>
            <w:vAlign w:val="bottom"/>
          </w:tcPr>
          <w:p>
            <w:pPr>
              <w:ind w:left="140"/>
              <w:spacing w:after="0"/>
              <w:rPr>
                <w:sz w:val="20"/>
                <w:szCs w:val="20"/>
                <w:color w:val="auto"/>
              </w:rPr>
            </w:pPr>
            <w:r>
              <w:rPr>
                <w:rFonts w:ascii="Arial" w:cs="Arial" w:eastAsia="Arial" w:hAnsi="Arial"/>
                <w:sz w:val="14"/>
                <w:szCs w:val="14"/>
                <w:color w:val="auto"/>
              </w:rPr>
              <w:t>GAAP net income (loss)</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(154,430)</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15,960</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(146,809)</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108,275</w:t>
            </w:r>
          </w:p>
        </w:tc>
        <w:tc>
          <w:tcPr>
            <w:tcW w:w="0" w:type="dxa"/>
            <w:vAlign w:val="bottom"/>
          </w:tcPr>
          <w:p>
            <w:pPr>
              <w:spacing w:after="0"/>
              <w:rPr>
                <w:sz w:val="1"/>
                <w:szCs w:val="1"/>
                <w:color w:val="auto"/>
              </w:rPr>
            </w:pPr>
          </w:p>
        </w:tc>
      </w:tr>
      <w:tr>
        <w:trPr>
          <w:trHeight w:val="176"/>
        </w:trPr>
        <w:tc>
          <w:tcPr>
            <w:tcW w:w="558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(219)</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(285)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(1,620)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76"/>
        </w:trPr>
        <w:tc>
          <w:tcPr>
            <w:tcW w:w="5580" w:type="dxa"/>
            <w:vAlign w:val="bottom"/>
          </w:tcPr>
          <w:p>
            <w:pPr>
              <w:ind w:left="280"/>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3,165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2,521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10,686</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10,115</w:t>
            </w:r>
          </w:p>
        </w:tc>
        <w:tc>
          <w:tcPr>
            <w:tcW w:w="0" w:type="dxa"/>
            <w:vAlign w:val="bottom"/>
          </w:tcPr>
          <w:p>
            <w:pPr>
              <w:spacing w:after="0"/>
              <w:rPr>
                <w:sz w:val="1"/>
                <w:szCs w:val="1"/>
                <w:color w:val="auto"/>
              </w:rPr>
            </w:pPr>
          </w:p>
        </w:tc>
      </w:tr>
      <w:tr>
        <w:trPr>
          <w:trHeight w:val="176"/>
        </w:trPr>
        <w:tc>
          <w:tcPr>
            <w:tcW w:w="5580" w:type="dxa"/>
            <w:vAlign w:val="bottom"/>
          </w:tcPr>
          <w:p>
            <w:pPr>
              <w:ind w:left="280"/>
              <w:spacing w:after="0"/>
              <w:rPr>
                <w:sz w:val="20"/>
                <w:szCs w:val="20"/>
                <w:color w:val="auto"/>
              </w:rPr>
            </w:pPr>
            <w:r>
              <w:rPr>
                <w:rFonts w:ascii="Arial" w:cs="Arial" w:eastAsia="Arial" w:hAnsi="Arial"/>
                <w:sz w:val="14"/>
                <w:szCs w:val="14"/>
                <w:color w:val="auto"/>
              </w:rPr>
              <w:t>Income tax (benefit) provision</w:t>
            </w: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272</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(745)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(3,664)</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25,995</w:t>
            </w:r>
          </w:p>
        </w:tc>
        <w:tc>
          <w:tcPr>
            <w:tcW w:w="0" w:type="dxa"/>
            <w:vAlign w:val="bottom"/>
          </w:tcPr>
          <w:p>
            <w:pPr>
              <w:spacing w:after="0"/>
              <w:rPr>
                <w:sz w:val="1"/>
                <w:szCs w:val="1"/>
                <w:color w:val="auto"/>
              </w:rPr>
            </w:pPr>
          </w:p>
        </w:tc>
      </w:tr>
      <w:tr>
        <w:trPr>
          <w:trHeight w:val="176"/>
        </w:trPr>
        <w:tc>
          <w:tcPr>
            <w:tcW w:w="558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25,096</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27,615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98,845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109,471</w:t>
            </w:r>
          </w:p>
        </w:tc>
        <w:tc>
          <w:tcPr>
            <w:tcW w:w="0" w:type="dxa"/>
            <w:vAlign w:val="bottom"/>
          </w:tcPr>
          <w:p>
            <w:pPr>
              <w:spacing w:after="0"/>
              <w:rPr>
                <w:sz w:val="1"/>
                <w:szCs w:val="1"/>
                <w:color w:val="auto"/>
              </w:rPr>
            </w:pPr>
          </w:p>
        </w:tc>
      </w:tr>
      <w:tr>
        <w:trPr>
          <w:trHeight w:val="176"/>
        </w:trPr>
        <w:tc>
          <w:tcPr>
            <w:tcW w:w="5580" w:type="dxa"/>
            <w:vAlign w:val="bottom"/>
          </w:tcPr>
          <w:p>
            <w:pPr>
              <w:ind w:left="280"/>
              <w:spacing w:after="0"/>
              <w:rPr>
                <w:sz w:val="20"/>
                <w:szCs w:val="20"/>
                <w:color w:val="auto"/>
              </w:rPr>
            </w:pPr>
            <w:r>
              <w:rPr>
                <w:rFonts w:ascii="Arial" w:cs="Arial" w:eastAsia="Arial" w:hAnsi="Arial"/>
                <w:sz w:val="14"/>
                <w:szCs w:val="14"/>
                <w:color w:val="auto"/>
              </w:rPr>
              <w:t>Restructuring expense</w:t>
            </w: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2,720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(1,790)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35,497</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1,665</w:t>
            </w:r>
          </w:p>
        </w:tc>
        <w:tc>
          <w:tcPr>
            <w:tcW w:w="0" w:type="dxa"/>
            <w:vAlign w:val="bottom"/>
          </w:tcPr>
          <w:p>
            <w:pPr>
              <w:spacing w:after="0"/>
              <w:rPr>
                <w:sz w:val="1"/>
                <w:szCs w:val="1"/>
                <w:color w:val="auto"/>
              </w:rPr>
            </w:pPr>
          </w:p>
        </w:tc>
      </w:tr>
      <w:tr>
        <w:trPr>
          <w:trHeight w:val="176"/>
        </w:trPr>
        <w:tc>
          <w:tcPr>
            <w:tcW w:w="5580" w:type="dxa"/>
            <w:vAlign w:val="bottom"/>
          </w:tcPr>
          <w:p>
            <w:pPr>
              <w:ind w:left="280"/>
              <w:spacing w:after="0"/>
              <w:rPr>
                <w:sz w:val="20"/>
                <w:szCs w:val="20"/>
                <w:color w:val="auto"/>
              </w:rPr>
            </w:pPr>
            <w:r>
              <w:rPr>
                <w:rFonts w:ascii="Arial" w:cs="Arial" w:eastAsia="Arial" w:hAnsi="Arial"/>
                <w:sz w:val="14"/>
                <w:szCs w:val="14"/>
                <w:color w:val="auto"/>
              </w:rPr>
              <w:t>Acquisition related expenses</w:t>
            </w:r>
          </w:p>
        </w:tc>
        <w:tc>
          <w:tcPr>
            <w:tcW w:w="2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479</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667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2,290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5,457</w:t>
            </w:r>
          </w:p>
        </w:tc>
        <w:tc>
          <w:tcPr>
            <w:tcW w:w="0" w:type="dxa"/>
            <w:vAlign w:val="bottom"/>
          </w:tcPr>
          <w:p>
            <w:pPr>
              <w:spacing w:after="0"/>
              <w:rPr>
                <w:sz w:val="1"/>
                <w:szCs w:val="1"/>
                <w:color w:val="auto"/>
              </w:rPr>
            </w:pPr>
          </w:p>
        </w:tc>
      </w:tr>
      <w:tr>
        <w:trPr>
          <w:trHeight w:val="181"/>
        </w:trPr>
        <w:tc>
          <w:tcPr>
            <w:tcW w:w="5580" w:type="dxa"/>
            <w:vAlign w:val="bottom"/>
          </w:tcPr>
          <w:p>
            <w:pPr>
              <w:ind w:left="280"/>
              <w:spacing w:after="0"/>
              <w:rPr>
                <w:sz w:val="20"/>
                <w:szCs w:val="20"/>
                <w:color w:val="auto"/>
              </w:rPr>
            </w:pPr>
            <w:r>
              <w:rPr>
                <w:rFonts w:ascii="Arial" w:cs="Arial" w:eastAsia="Arial" w:hAnsi="Arial"/>
                <w:sz w:val="14"/>
                <w:szCs w:val="14"/>
                <w:color w:val="auto"/>
              </w:rPr>
              <w:t>Goodwill impairment</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173,249</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173,249</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580" w:type="dxa"/>
            <w:vAlign w:val="bottom"/>
          </w:tcPr>
          <w:p>
            <w:pPr>
              <w:ind w:left="140"/>
              <w:spacing w:after="0"/>
              <w:rPr>
                <w:sz w:val="20"/>
                <w:szCs w:val="20"/>
                <w:color w:val="auto"/>
              </w:rPr>
            </w:pPr>
            <w:r>
              <w:rPr>
                <w:rFonts w:ascii="Arial" w:cs="Arial" w:eastAsia="Arial" w:hAnsi="Arial"/>
                <w:sz w:val="14"/>
                <w:szCs w:val="14"/>
                <w:color w:val="auto"/>
              </w:rPr>
              <w:t>Adjusted EBITDA</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50,332</w:t>
            </w: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43,943</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168,474</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260,026</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FREE CASH FLOW</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580" w:type="dxa"/>
            <w:vAlign w:val="bottom"/>
          </w:tcPr>
          <w:p>
            <w:pPr>
              <w:ind w:left="28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39,544</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68,087</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105,421</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205,090</w:t>
            </w:r>
          </w:p>
        </w:tc>
        <w:tc>
          <w:tcPr>
            <w:tcW w:w="0" w:type="dxa"/>
            <w:vAlign w:val="bottom"/>
          </w:tcPr>
          <w:p>
            <w:pPr>
              <w:spacing w:after="0"/>
              <w:rPr>
                <w:sz w:val="1"/>
                <w:szCs w:val="1"/>
                <w:color w:val="auto"/>
              </w:rPr>
            </w:pPr>
          </w:p>
        </w:tc>
      </w:tr>
      <w:tr>
        <w:trPr>
          <w:trHeight w:val="181"/>
        </w:trPr>
        <w:tc>
          <w:tcPr>
            <w:tcW w:w="5580" w:type="dxa"/>
            <w:vAlign w:val="bottom"/>
          </w:tcPr>
          <w:p>
            <w:pPr>
              <w:ind w:left="280"/>
              <w:spacing w:after="0"/>
              <w:rPr>
                <w:sz w:val="20"/>
                <w:szCs w:val="20"/>
                <w:color w:val="auto"/>
              </w:rPr>
            </w:pPr>
            <w:r>
              <w:rPr>
                <w:rFonts w:ascii="Arial" w:cs="Arial" w:eastAsia="Arial" w:hAnsi="Arial"/>
                <w:sz w:val="14"/>
                <w:szCs w:val="14"/>
                <w:color w:val="auto"/>
              </w:rPr>
              <w:t>Acquisitions of property, plant, and equipment</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(15,472)</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(16,265)</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(60,020)</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(50,543)</w:t>
            </w:r>
          </w:p>
        </w:tc>
        <w:tc>
          <w:tcPr>
            <w:tcW w:w="0" w:type="dxa"/>
            <w:vAlign w:val="bottom"/>
          </w:tcPr>
          <w:p>
            <w:pPr>
              <w:spacing w:after="0"/>
              <w:rPr>
                <w:sz w:val="1"/>
                <w:szCs w:val="1"/>
                <w:color w:val="auto"/>
              </w:rPr>
            </w:pPr>
          </w:p>
        </w:tc>
      </w:tr>
      <w:tr>
        <w:trPr>
          <w:trHeight w:val="169"/>
        </w:trPr>
        <w:tc>
          <w:tcPr>
            <w:tcW w:w="5580" w:type="dxa"/>
            <w:vAlign w:val="bottom"/>
          </w:tcPr>
          <w:p>
            <w:pPr>
              <w:ind w:left="140"/>
              <w:spacing w:after="0"/>
              <w:rPr>
                <w:sz w:val="20"/>
                <w:szCs w:val="20"/>
                <w:color w:val="auto"/>
              </w:rPr>
            </w:pPr>
            <w:r>
              <w:rPr>
                <w:rFonts w:ascii="Arial" w:cs="Arial" w:eastAsia="Arial" w:hAnsi="Arial"/>
                <w:sz w:val="14"/>
                <w:szCs w:val="14"/>
                <w:color w:val="auto"/>
              </w:rPr>
              <w:t>Free Cash Flow</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24,072</w:t>
            </w: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51,822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45,401</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154,547</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 xml:space="preserve"> Reflects new segment reporting effective fourth quarter of 2013</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Vice President, Investor Relations</w:t>
      </w:r>
    </w:p>
    <w:p>
      <w:pPr>
        <w:spacing w:after="0" w:line="231" w:lineRule="auto"/>
        <w:rPr>
          <w:sz w:val="20"/>
          <w:szCs w:val="20"/>
          <w:color w:val="auto"/>
        </w:rPr>
      </w:pPr>
      <w:r>
        <w:rPr>
          <w:rFonts w:ascii="Arial" w:cs="Arial" w:eastAsia="Arial" w:hAnsi="Arial"/>
          <w:sz w:val="22"/>
          <w:szCs w:val="22"/>
          <w:color w:val="auto"/>
        </w:rPr>
        <w:t>Barbara Doyle, 509-891-3443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ectPr>
          <w:pgSz w:w="11900" w:h="16863" w:orient="portrait"/>
          <w:cols w:equalWidth="0" w:num="1">
            <w:col w:w="11420"/>
          </w:cols>
          <w:pgMar w:left="240" w:top="306" w:right="239" w:bottom="0" w:gutter="0" w:footer="0" w:header="0"/>
        </w:sectPr>
      </w:pPr>
    </w:p>
    <w:bookmarkStart w:id="15" w:name="page16"/>
    <w:bookmarkEnd w:id="15"/>
    <w:p>
      <w:pPr>
        <w:spacing w:after="0"/>
        <w:rPr>
          <w:sz w:val="20"/>
          <w:szCs w:val="20"/>
          <w:color w:val="auto"/>
        </w:rPr>
      </w:pPr>
      <w:r>
        <w:rPr>
          <w:rFonts w:ascii="Arial" w:cs="Arial" w:eastAsia="Arial" w:hAnsi="Arial"/>
          <w:sz w:val="19"/>
          <w:szCs w:val="19"/>
          <w:color w:val="auto"/>
        </w:rPr>
        <w:t>Director, Investor Relations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Marni Pilcher, 509-891-3847</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2019-12-05T21:28:14Z</dcterms:created>
  <dcterms:modified xsi:type="dcterms:W3CDTF">2019-12-05T21:28:14Z</dcterms:modified>
</cp:coreProperties>
</file>