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6, 1997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960" w:hanging="74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Houston Industries Incorporated, I.R.S. Identification No. 74-0694415 d/b/a Reliant Energy, Incorporated</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580" w:hanging="624"/>
        <w:spacing w:after="0"/>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10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WITH: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1,502,547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1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4" w:lineRule="exact"/>
        <w:rPr>
          <w:rFonts w:ascii="Courier New" w:cs="Courier New" w:eastAsia="Courier New" w:hAnsi="Courier New"/>
          <w:sz w:val="16"/>
          <w:szCs w:val="16"/>
          <w:color w:val="auto"/>
        </w:rPr>
      </w:pPr>
    </w:p>
    <w:p>
      <w:pPr>
        <w:ind w:left="158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10.22% (based on a total number of shares outstanding as of October 31, 1998 of 14,698,021, as stated on the cover page of Itron, Inc.'s quarterly report on Form 10-Q for its quarterly period ended September 30, 1998, as filed with the Securities and Exchange Commission)</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12TYPE OF REPORTING PERSON (SEE INSTRUCTIONS)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960" w:hanging="741"/>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Reliant Energy Resources Corp., (formerly</w:t>
      </w:r>
    </w:p>
    <w:p>
      <w:pPr>
        <w:ind w:left="1060"/>
        <w:spacing w:after="0" w:line="238" w:lineRule="auto"/>
        <w:rPr>
          <w:sz w:val="20"/>
          <w:szCs w:val="20"/>
          <w:color w:val="auto"/>
        </w:rPr>
      </w:pPr>
      <w:r>
        <w:rPr>
          <w:rFonts w:ascii="Courier New" w:cs="Courier New" w:eastAsia="Courier New" w:hAnsi="Courier New"/>
          <w:sz w:val="18"/>
          <w:szCs w:val="18"/>
          <w:color w:val="auto"/>
        </w:rPr>
        <w:t>NorAm Energy Corp.), I.R.S. Identification No. 76-0511406</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580" w:hanging="624"/>
        <w:spacing w:after="0"/>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700" w:right="473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5SOLE VOTING POWER -0- shares</w:t>
      </w:r>
    </w:p>
    <w:tbl>
      <w:tblPr>
        <w:tblLayout w:type="fixed"/>
        <w:tblInd w:w="1060" w:type="dxa"/>
        <w:tblCellMar>
          <w:top w:w="0" w:type="dxa"/>
          <w:left w:w="0" w:type="dxa"/>
          <w:bottom w:w="0" w:type="dxa"/>
          <w:right w:w="0" w:type="dxa"/>
        </w:tblCellMar>
      </w:tblPr>
      <w:tr>
        <w:trPr>
          <w:trHeight w:val="204"/>
        </w:trPr>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NUMBER OF</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WITH: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1,502,547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1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4" w:lineRule="exact"/>
        <w:rPr>
          <w:rFonts w:ascii="Courier New" w:cs="Courier New" w:eastAsia="Courier New" w:hAnsi="Courier New"/>
          <w:sz w:val="16"/>
          <w:szCs w:val="16"/>
          <w:color w:val="auto"/>
        </w:rPr>
      </w:pPr>
    </w:p>
    <w:p>
      <w:pPr>
        <w:ind w:left="158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10.22% (based on a total number of shares outstanding as of October 31, 1998 of 14,698,021, as stated on the cover page of Itron, Inc.'s quarterly report on Form 10-Q for its quarterly period ended September 30, 1998, as filed with the Securities and Exchange Commission)</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12TYPE OF REPORTING PERSON (SEE INSTRUCTIONS)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7"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960" w:hanging="741"/>
        <w:spacing w:after="0" w:line="238"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Arkla Finance Corporation, I.R.S. Identification No. 51-0347823</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580" w:hanging="624"/>
        <w:spacing w:after="0"/>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10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WITH:</w:t>
            </w:r>
          </w:p>
        </w:tc>
        <w:tc>
          <w:tcPr>
            <w:tcW w:w="122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1,502,547 shares</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1,502,547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1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4" w:lineRule="exact"/>
        <w:rPr>
          <w:rFonts w:ascii="Courier New" w:cs="Courier New" w:eastAsia="Courier New" w:hAnsi="Courier New"/>
          <w:sz w:val="16"/>
          <w:szCs w:val="16"/>
          <w:color w:val="auto"/>
        </w:rPr>
      </w:pPr>
    </w:p>
    <w:p>
      <w:pPr>
        <w:ind w:left="158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10.22% (based on a total number of shares outstanding as of October 31, 1998 of 14,698,021, as stated on the cover page of Itron, Inc.'s quarterly report on Form 10-Q for its quarterly period ended September 30, 1998, as filed with the Securities and Exchange Commission)</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12TYPE OF REPORTING PERSON (SEE INSTRUCTIONS)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Page 5 of 7 pages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2818 North Sullivan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Spokane, Washington 99216-1897</w:t>
      </w:r>
    </w:p>
    <w:p>
      <w:pPr>
        <w:spacing w:after="0" w:line="200" w:lineRule="exact"/>
        <w:rPr>
          <w:sz w:val="20"/>
          <w:szCs w:val="20"/>
          <w:color w:val="auto"/>
        </w:rPr>
      </w:pPr>
    </w:p>
    <w:p>
      <w:pPr>
        <w:sectPr>
          <w:pgSz w:w="11900" w:h="16838" w:orient="portrait"/>
          <w:cols w:equalWidth="0" w:num="2">
            <w:col w:w="4540" w:space="320"/>
            <w:col w:w="535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Persons Filing:</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Houston Industries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Incorporated d/b/a Reliant</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Energy, Incorporated</w:t>
      </w:r>
    </w:p>
    <w:p>
      <w:pPr>
        <w:spacing w:after="0" w:line="238" w:lineRule="auto"/>
        <w:tabs>
          <w:tab w:leader="none" w:pos="600" w:val="left"/>
        </w:tabs>
        <w:rPr>
          <w:sz w:val="20"/>
          <w:szCs w:val="20"/>
          <w:color w:val="auto"/>
        </w:rPr>
      </w:pPr>
      <w:r>
        <w:rPr>
          <w:rFonts w:ascii="Courier New" w:cs="Courier New" w:eastAsia="Courier New" w:hAnsi="Courier New"/>
          <w:sz w:val="18"/>
          <w:szCs w:val="18"/>
          <w:color w:val="auto"/>
        </w:rPr>
        <w:t>(ii)</w:t>
        <w:tab/>
        <w:t>Reliant Energy Resources</w:t>
      </w:r>
    </w:p>
    <w:p>
      <w:pPr>
        <w:ind w:left="620"/>
        <w:spacing w:after="0"/>
        <w:rPr>
          <w:sz w:val="20"/>
          <w:szCs w:val="20"/>
          <w:color w:val="auto"/>
        </w:rPr>
      </w:pPr>
      <w:r>
        <w:rPr>
          <w:rFonts w:ascii="Courier New" w:cs="Courier New" w:eastAsia="Courier New" w:hAnsi="Courier New"/>
          <w:sz w:val="18"/>
          <w:szCs w:val="18"/>
          <w:color w:val="auto"/>
        </w:rPr>
        <w:t>Corp. (formerly NorAm</w:t>
      </w:r>
    </w:p>
    <w:p>
      <w:pPr>
        <w:ind w:left="620"/>
        <w:spacing w:after="0" w:line="237" w:lineRule="auto"/>
        <w:rPr>
          <w:sz w:val="20"/>
          <w:szCs w:val="20"/>
          <w:color w:val="auto"/>
        </w:rPr>
      </w:pPr>
      <w:r>
        <w:rPr>
          <w:rFonts w:ascii="Courier New" w:cs="Courier New" w:eastAsia="Courier New" w:hAnsi="Courier New"/>
          <w:sz w:val="18"/>
          <w:szCs w:val="18"/>
          <w:color w:val="auto"/>
        </w:rPr>
        <w:t>Energy Corp.)</w:t>
      </w:r>
    </w:p>
    <w:p>
      <w:pPr>
        <w:spacing w:after="0" w:line="238" w:lineRule="auto"/>
        <w:rPr>
          <w:sz w:val="20"/>
          <w:szCs w:val="20"/>
          <w:color w:val="auto"/>
        </w:rPr>
      </w:pPr>
      <w:r>
        <w:rPr>
          <w:rFonts w:ascii="Courier New" w:cs="Courier New" w:eastAsia="Courier New" w:hAnsi="Courier New"/>
          <w:sz w:val="18"/>
          <w:szCs w:val="18"/>
          <w:color w:val="auto"/>
        </w:rPr>
        <w:t>(iii) Arkla Finance Corporation</w:t>
      </w:r>
    </w:p>
    <w:p>
      <w:pPr>
        <w:spacing w:after="0" w:line="200" w:lineRule="exact"/>
        <w:rPr>
          <w:sz w:val="20"/>
          <w:szCs w:val="20"/>
          <w:color w:val="auto"/>
        </w:rPr>
      </w:pPr>
    </w:p>
    <w:p>
      <w:pPr>
        <w:sectPr>
          <w:pgSz w:w="11900" w:h="16838" w:orient="portrait"/>
          <w:cols w:equalWidth="0" w:num="3">
            <w:col w:w="1160" w:space="420"/>
            <w:col w:w="2560" w:space="720"/>
            <w:col w:w="5359"/>
          </w:cols>
          <w:pgMar w:left="240" w:top="317" w:right="1440" w:bottom="1440" w:gutter="0" w:footer="0" w:header="0"/>
          <w:type w:val="continuous"/>
        </w:sectPr>
      </w:pP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ind w:right="440"/>
        <w:spacing w:after="0" w:line="279" w:lineRule="auto"/>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and (ii): 1111 Louisiana,</w:t>
      </w:r>
    </w:p>
    <w:p>
      <w:pPr>
        <w:spacing w:after="0" w:line="4"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Houston, Texas 77002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1209 Orange Street,</w:t>
      </w:r>
    </w:p>
    <w:p>
      <w:pPr>
        <w:ind w:left="740"/>
        <w:spacing w:after="0" w:line="238" w:lineRule="auto"/>
        <w:rPr>
          <w:sz w:val="20"/>
          <w:szCs w:val="20"/>
          <w:color w:val="auto"/>
        </w:rPr>
      </w:pPr>
      <w:r>
        <w:rPr>
          <w:rFonts w:ascii="Courier New" w:cs="Courier New" w:eastAsia="Courier New" w:hAnsi="Courier New"/>
          <w:sz w:val="18"/>
          <w:szCs w:val="18"/>
          <w:color w:val="auto"/>
        </w:rPr>
        <w:t>Wilmington, Delaware 19801</w:t>
      </w:r>
    </w:p>
    <w:p>
      <w:pPr>
        <w:spacing w:after="0" w:line="200" w:lineRule="exact"/>
        <w:rPr>
          <w:sz w:val="20"/>
          <w:szCs w:val="20"/>
          <w:color w:val="auto"/>
        </w:rPr>
      </w:pPr>
    </w:p>
    <w:p>
      <w:pPr>
        <w:sectPr>
          <w:pgSz w:w="11900" w:h="16838" w:orient="portrait"/>
          <w:cols w:equalWidth="0" w:num="3">
            <w:col w:w="1160" w:space="420"/>
            <w:col w:w="2560" w:space="720"/>
            <w:col w:w="5359"/>
          </w:cols>
          <w:pgMar w:left="240" w:top="317"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8"/>
          <w:szCs w:val="18"/>
          <w:color w:val="auto"/>
        </w:rPr>
        <w:t>(i):</w:t>
        <w:tab/>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 and (iii):</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0" w:lineRule="exact"/>
        <w:rPr>
          <w:sz w:val="20"/>
          <w:szCs w:val="20"/>
          <w:color w:val="auto"/>
        </w:rPr>
      </w:pPr>
    </w:p>
    <w:p>
      <w:pPr>
        <w:sectPr>
          <w:pgSz w:w="11900" w:h="16838" w:orient="portrait"/>
          <w:cols w:equalWidth="0" w:num="4">
            <w:col w:w="1160" w:space="420"/>
            <w:col w:w="2560" w:space="720"/>
            <w:col w:w="1580" w:space="200"/>
            <w:col w:w="3579"/>
          </w:cols>
          <w:pgMar w:left="240" w:top="317"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no par value</w:t>
      </w:r>
    </w:p>
    <w:p>
      <w:pPr>
        <w:spacing w:after="0" w:line="200" w:lineRule="exact"/>
        <w:rPr>
          <w:sz w:val="20"/>
          <w:szCs w:val="20"/>
          <w:color w:val="auto"/>
        </w:rPr>
      </w:pPr>
    </w:p>
    <w:p>
      <w:pPr>
        <w:sectPr>
          <w:pgSz w:w="11900" w:h="16838" w:orient="portrait"/>
          <w:cols w:equalWidth="0" w:num="3">
            <w:col w:w="1160" w:space="420"/>
            <w:col w:w="3060" w:space="220"/>
            <w:col w:w="5359"/>
          </w:cols>
          <w:pgMar w:left="240" w:top="317"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00" w:lineRule="exact"/>
        <w:rPr>
          <w:sz w:val="20"/>
          <w:szCs w:val="20"/>
          <w:color w:val="auto"/>
        </w:rPr>
      </w:pPr>
    </w:p>
    <w:p>
      <w:pPr>
        <w:sectPr>
          <w:pgSz w:w="11900" w:h="16838" w:orient="portrait"/>
          <w:cols w:equalWidth="0" w:num="3">
            <w:col w:w="1160" w:space="420"/>
            <w:col w:w="2560" w:space="720"/>
            <w:col w:w="5359"/>
          </w:cols>
          <w:pgMar w:left="240" w:top="317" w:right="1440" w:bottom="1440" w:gutter="0" w:footer="0" w:header="0"/>
          <w:type w:val="continuous"/>
        </w:sectPr>
      </w:pPr>
    </w:p>
    <w:p>
      <w:pPr>
        <w:spacing w:after="0" w:line="22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SECTIONS 240.13D-1(B)</w:t>
      </w:r>
    </w:p>
    <w:p>
      <w:pPr>
        <w:ind w:left="158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7" w:lineRule="exact"/>
        <w:rPr>
          <w:sz w:val="20"/>
          <w:szCs w:val="20"/>
          <w:color w:val="auto"/>
        </w:rPr>
      </w:pPr>
    </w:p>
    <w:p>
      <w:pPr>
        <w:ind w:left="2860" w:right="1999" w:hanging="1272"/>
        <w:spacing w:after="0" w:line="235" w:lineRule="auto"/>
        <w:tabs>
          <w:tab w:leader="none" w:pos="21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860" w:right="2199" w:hanging="1272"/>
        <w:spacing w:after="0" w:line="235" w:lineRule="auto"/>
        <w:tabs>
          <w:tab w:leader="none" w:pos="21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 (15 U.S.C. 78c).</w:t>
      </w:r>
    </w:p>
    <w:p>
      <w:pPr>
        <w:spacing w:after="0" w:line="208" w:lineRule="exact"/>
        <w:rPr>
          <w:rFonts w:ascii="Courier New" w:cs="Courier New" w:eastAsia="Courier New" w:hAnsi="Courier New"/>
          <w:sz w:val="18"/>
          <w:szCs w:val="18"/>
          <w:color w:val="auto"/>
        </w:rPr>
      </w:pPr>
    </w:p>
    <w:p>
      <w:pPr>
        <w:ind w:left="2860" w:right="1999" w:hanging="1272"/>
        <w:spacing w:after="0" w:line="235" w:lineRule="auto"/>
        <w:tabs>
          <w:tab w:leader="none" w:pos="21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860" w:right="1879" w:hanging="1272"/>
        <w:spacing w:after="0" w:line="290" w:lineRule="auto"/>
        <w:tabs>
          <w:tab w:leader="none" w:pos="21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investment adviser in accordance with</w:t>
      </w:r>
    </w:p>
    <w:p>
      <w:pPr>
        <w:ind w:left="2860"/>
        <w:spacing w:after="0" w:line="238" w:lineRule="auto"/>
        <w:rPr>
          <w:sz w:val="20"/>
          <w:szCs w:val="20"/>
          <w:color w:val="auto"/>
        </w:rPr>
      </w:pPr>
      <w:r>
        <w:rPr>
          <w:rFonts w:ascii="Courier New" w:cs="Courier New" w:eastAsia="Courier New" w:hAnsi="Courier New"/>
          <w:sz w:val="18"/>
          <w:szCs w:val="18"/>
          <w:color w:val="auto"/>
        </w:rPr>
        <w:t>sections 240.13d-1(b)(1)(ii)(E);</w:t>
      </w:r>
    </w:p>
    <w:p>
      <w:pPr>
        <w:spacing w:after="0" w:line="207" w:lineRule="exact"/>
        <w:rPr>
          <w:sz w:val="20"/>
          <w:szCs w:val="20"/>
          <w:color w:val="auto"/>
        </w:rPr>
      </w:pPr>
    </w:p>
    <w:p>
      <w:pPr>
        <w:ind w:left="2860" w:right="2319" w:hanging="1272"/>
        <w:spacing w:after="0" w:line="290" w:lineRule="auto"/>
        <w:tabs>
          <w:tab w:leader="none" w:pos="212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employee benefit plan or endowment fund in accordance with sections 240.13d-1(b)(1)(ii)(F);</w:t>
      </w:r>
    </w:p>
    <w:p>
      <w:pPr>
        <w:spacing w:after="0" w:line="169" w:lineRule="exact"/>
        <w:rPr>
          <w:rFonts w:ascii="Courier New" w:cs="Courier New" w:eastAsia="Courier New" w:hAnsi="Courier New"/>
          <w:sz w:val="18"/>
          <w:szCs w:val="18"/>
          <w:color w:val="auto"/>
        </w:rPr>
      </w:pPr>
    </w:p>
    <w:p>
      <w:pPr>
        <w:jc w:val="right"/>
        <w:ind w:left="2860" w:right="2619" w:hanging="1272"/>
        <w:spacing w:after="0" w:line="290" w:lineRule="auto"/>
        <w:tabs>
          <w:tab w:leader="none" w:pos="212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parent holding company or control person in accordance with sections 240.13d-1(b)(ii)(G);</w:t>
      </w:r>
    </w:p>
    <w:p>
      <w:pPr>
        <w:sectPr>
          <w:pgSz w:w="11900" w:h="16838" w:orient="portrait"/>
          <w:cols w:equalWidth="0" w:num="1">
            <w:col w:w="10219"/>
          </w:cols>
          <w:pgMar w:left="240" w:top="317"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17" w:right="1440" w:bottom="1440" w:gutter="0" w:footer="0" w:header="0"/>
          <w:type w:val="continuous"/>
        </w:sectPr>
      </w:pPr>
    </w:p>
    <w:p>
      <w:pPr>
        <w:spacing w:after="0" w:line="24" w:lineRule="exact"/>
        <w:rPr>
          <w:sz w:val="20"/>
          <w:szCs w:val="20"/>
          <w:color w:val="auto"/>
        </w:rPr>
      </w:pPr>
    </w:p>
    <w:p>
      <w:pPr>
        <w:ind w:left="2860" w:right="1879" w:hanging="1272"/>
        <w:spacing w:after="0" w:line="290" w:lineRule="auto"/>
        <w:tabs>
          <w:tab w:leader="none" w:pos="21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savings associations as defined in Section 3(b) of the Federal Deposit Insurance Act (12 U.S.C. 1813);</w:t>
      </w:r>
    </w:p>
    <w:p>
      <w:pPr>
        <w:spacing w:after="0" w:line="169" w:lineRule="exact"/>
        <w:rPr>
          <w:rFonts w:ascii="Courier New" w:cs="Courier New" w:eastAsia="Courier New" w:hAnsi="Courier New"/>
          <w:sz w:val="18"/>
          <w:szCs w:val="18"/>
          <w:color w:val="auto"/>
        </w:rPr>
      </w:pPr>
    </w:p>
    <w:p>
      <w:pPr>
        <w:ind w:left="2860" w:right="2099" w:hanging="1272"/>
        <w:spacing w:after="0" w:line="268" w:lineRule="auto"/>
        <w:tabs>
          <w:tab w:leader="none" w:pos="21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80a-3);</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ss.240.13d-1(b)(1)(ii)(J);</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000" w:hanging="412"/>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1,502,547 shares*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10.22%*</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3280" w:right="1999" w:hanging="638"/>
        <w:spacing w:after="0" w:line="235" w:lineRule="auto"/>
        <w:tabs>
          <w:tab w:leader="none" w:pos="3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- 0 - shares*</w:t>
      </w:r>
    </w:p>
    <w:p>
      <w:pPr>
        <w:spacing w:after="0" w:line="208" w:lineRule="exact"/>
        <w:rPr>
          <w:rFonts w:ascii="Courier New" w:cs="Courier New" w:eastAsia="Courier New" w:hAnsi="Courier New"/>
          <w:sz w:val="18"/>
          <w:szCs w:val="18"/>
          <w:color w:val="auto"/>
        </w:rPr>
      </w:pPr>
    </w:p>
    <w:p>
      <w:pPr>
        <w:ind w:left="3280" w:right="2419" w:hanging="638"/>
        <w:spacing w:after="0" w:line="235" w:lineRule="auto"/>
        <w:tabs>
          <w:tab w:leader="none" w:pos="3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1,502,547 shares*</w:t>
      </w:r>
    </w:p>
    <w:p>
      <w:pPr>
        <w:spacing w:after="0" w:line="208" w:lineRule="exact"/>
        <w:rPr>
          <w:rFonts w:ascii="Courier New" w:cs="Courier New" w:eastAsia="Courier New" w:hAnsi="Courier New"/>
          <w:sz w:val="18"/>
          <w:szCs w:val="18"/>
          <w:color w:val="auto"/>
        </w:rPr>
      </w:pPr>
    </w:p>
    <w:p>
      <w:pPr>
        <w:ind w:left="3280" w:right="2939" w:hanging="638"/>
        <w:spacing w:after="0" w:line="235" w:lineRule="auto"/>
        <w:tabs>
          <w:tab w:leader="none" w:pos="3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- 0 - shares*</w:t>
      </w:r>
    </w:p>
    <w:p>
      <w:pPr>
        <w:spacing w:after="0" w:line="208" w:lineRule="exact"/>
        <w:rPr>
          <w:rFonts w:ascii="Courier New" w:cs="Courier New" w:eastAsia="Courier New" w:hAnsi="Courier New"/>
          <w:sz w:val="18"/>
          <w:szCs w:val="18"/>
          <w:color w:val="auto"/>
        </w:rPr>
      </w:pPr>
    </w:p>
    <w:p>
      <w:pPr>
        <w:ind w:left="3280" w:right="2739" w:hanging="638"/>
        <w:spacing w:after="0" w:line="235" w:lineRule="auto"/>
        <w:tabs>
          <w:tab w:leader="none" w:pos="3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1,502,547 shares*</w:t>
      </w:r>
    </w:p>
    <w:p>
      <w:pPr>
        <w:spacing w:after="0" w:line="200" w:lineRule="exact"/>
        <w:rPr>
          <w:sz w:val="20"/>
          <w:szCs w:val="20"/>
          <w:color w:val="auto"/>
        </w:rPr>
      </w:pPr>
    </w:p>
    <w:p>
      <w:pPr>
        <w:spacing w:after="0" w:line="20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*The share amounts and the percentage figure stated in this Item</w:t>
      </w:r>
    </w:p>
    <w:p>
      <w:pPr>
        <w:spacing w:after="0" w:line="4" w:lineRule="exact"/>
        <w:rPr>
          <w:sz w:val="20"/>
          <w:szCs w:val="20"/>
          <w:color w:val="auto"/>
        </w:rPr>
      </w:pPr>
    </w:p>
    <w:p>
      <w:pPr>
        <w:jc w:val="both"/>
        <w:ind w:left="1580" w:right="2319" w:firstLine="8"/>
        <w:spacing w:after="0" w:line="236"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provided for each of Houston Industries Incorporated, d/b/a Reliant Energy, Incorporated, Reliant Energy Resources Corp. and Arkla Finance Corporation.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If this statement is being filed to report to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580" w:right="219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7"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860" w:space="720"/>
            <w:col w:w="8639"/>
          </w:cols>
          <w:pgMar w:left="240" w:top="3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720"/>
            <w:col w:w="8639"/>
          </w:cols>
          <w:pgMar w:left="240" w:top="317" w:right="1440" w:bottom="1440" w:gutter="0" w:footer="0" w:header="0"/>
          <w:type w:val="continuous"/>
        </w:sectPr>
      </w:pPr>
    </w:p>
    <w:p>
      <w:pPr>
        <w:spacing w:after="0" w:line="24" w:lineRule="exact"/>
        <w:rPr>
          <w:sz w:val="20"/>
          <w:szCs w:val="20"/>
          <w:color w:val="auto"/>
        </w:rPr>
      </w:pPr>
    </w:p>
    <w:p>
      <w:pPr>
        <w:ind w:left="15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Date: March 8, 1999</w:t>
            </w:r>
          </w:p>
        </w:tc>
        <w:tc>
          <w:tcPr>
            <w:tcW w:w="5200" w:type="dxa"/>
            <w:vAlign w:val="bottom"/>
            <w:gridSpan w:val="3"/>
          </w:tcPr>
          <w:p>
            <w:pPr>
              <w:ind w:left="880"/>
              <w:spacing w:after="0"/>
              <w:rPr>
                <w:sz w:val="20"/>
                <w:szCs w:val="20"/>
                <w:color w:val="auto"/>
              </w:rPr>
            </w:pPr>
            <w:r>
              <w:rPr>
                <w:rFonts w:ascii="Courier New" w:cs="Courier New" w:eastAsia="Courier New" w:hAnsi="Courier New"/>
                <w:sz w:val="18"/>
                <w:szCs w:val="18"/>
                <w:color w:val="auto"/>
              </w:rPr>
              <w:t>HOUSTON INDUSTRIES INCORPORATED</w:t>
            </w:r>
          </w:p>
        </w:tc>
      </w:tr>
      <w:tr>
        <w:trPr>
          <w:trHeight w:val="203"/>
        </w:trPr>
        <w:tc>
          <w:tcPr>
            <w:tcW w:w="2700" w:type="dxa"/>
            <w:vAlign w:val="bottom"/>
          </w:tcPr>
          <w:p>
            <w:pPr>
              <w:spacing w:after="0"/>
              <w:rPr>
                <w:sz w:val="17"/>
                <w:szCs w:val="17"/>
                <w:color w:val="auto"/>
              </w:rPr>
            </w:pPr>
          </w:p>
        </w:tc>
        <w:tc>
          <w:tcPr>
            <w:tcW w:w="5200" w:type="dxa"/>
            <w:vAlign w:val="bottom"/>
            <w:gridSpan w:val="3"/>
          </w:tcPr>
          <w:p>
            <w:pPr>
              <w:ind w:left="880"/>
              <w:spacing w:after="0" w:line="203" w:lineRule="exact"/>
              <w:rPr>
                <w:sz w:val="20"/>
                <w:szCs w:val="20"/>
                <w:color w:val="auto"/>
              </w:rPr>
            </w:pPr>
            <w:r>
              <w:rPr>
                <w:rFonts w:ascii="Courier New" w:cs="Courier New" w:eastAsia="Courier New" w:hAnsi="Courier New"/>
                <w:sz w:val="18"/>
                <w:szCs w:val="18"/>
                <w:color w:val="auto"/>
              </w:rPr>
              <w:t>d/b/a Reliant Energy, Incorporated</w:t>
            </w:r>
          </w:p>
        </w:tc>
      </w:tr>
      <w:tr>
        <w:trPr>
          <w:trHeight w:val="405"/>
        </w:trPr>
        <w:tc>
          <w:tcPr>
            <w:tcW w:w="270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By:</w:t>
            </w:r>
          </w:p>
        </w:tc>
        <w:tc>
          <w:tcPr>
            <w:tcW w:w="1000" w:type="dxa"/>
            <w:vAlign w:val="bottom"/>
          </w:tcPr>
          <w:p>
            <w:pPr>
              <w:ind w:left="620"/>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Name: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Title: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Vice President and Comptroller</w:t>
            </w:r>
          </w:p>
        </w:tc>
      </w:tr>
      <w:tr>
        <w:trPr>
          <w:trHeight w:val="608"/>
        </w:trPr>
        <w:tc>
          <w:tcPr>
            <w:tcW w:w="2700" w:type="dxa"/>
            <w:vAlign w:val="bottom"/>
          </w:tcPr>
          <w:p>
            <w:pPr>
              <w:spacing w:after="0"/>
              <w:rPr>
                <w:sz w:val="24"/>
                <w:szCs w:val="24"/>
                <w:color w:val="auto"/>
              </w:rPr>
            </w:pPr>
          </w:p>
        </w:tc>
        <w:tc>
          <w:tcPr>
            <w:tcW w:w="520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RELIANT ENERGY RESOURCES CORP.</w:t>
            </w:r>
          </w:p>
        </w:tc>
      </w:tr>
      <w:tr>
        <w:trPr>
          <w:trHeight w:val="608"/>
        </w:trPr>
        <w:tc>
          <w:tcPr>
            <w:tcW w:w="270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By:</w:t>
            </w:r>
          </w:p>
        </w:tc>
        <w:tc>
          <w:tcPr>
            <w:tcW w:w="1000" w:type="dxa"/>
            <w:vAlign w:val="bottom"/>
          </w:tcPr>
          <w:p>
            <w:pPr>
              <w:ind w:left="620"/>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Name: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Title: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Vice President and Comptroller</w:t>
            </w:r>
          </w:p>
        </w:tc>
      </w:tr>
      <w:tr>
        <w:trPr>
          <w:trHeight w:val="608"/>
        </w:trPr>
        <w:tc>
          <w:tcPr>
            <w:tcW w:w="2700" w:type="dxa"/>
            <w:vAlign w:val="bottom"/>
          </w:tcPr>
          <w:p>
            <w:pPr>
              <w:spacing w:after="0"/>
              <w:rPr>
                <w:sz w:val="24"/>
                <w:szCs w:val="24"/>
                <w:color w:val="auto"/>
              </w:rPr>
            </w:pPr>
          </w:p>
        </w:tc>
        <w:tc>
          <w:tcPr>
            <w:tcW w:w="520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ARKLA FINANCE CORPORATION</w:t>
            </w:r>
          </w:p>
        </w:tc>
      </w:tr>
      <w:tr>
        <w:trPr>
          <w:trHeight w:val="608"/>
        </w:trPr>
        <w:tc>
          <w:tcPr>
            <w:tcW w:w="270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By:</w:t>
            </w:r>
          </w:p>
        </w:tc>
        <w:tc>
          <w:tcPr>
            <w:tcW w:w="1000" w:type="dxa"/>
            <w:vAlign w:val="bottom"/>
          </w:tcPr>
          <w:p>
            <w:pPr>
              <w:ind w:left="620"/>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Name: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Mary P. Ricciardello</w:t>
            </w:r>
          </w:p>
        </w:tc>
      </w:tr>
      <w:tr>
        <w:trPr>
          <w:trHeight w:val="203"/>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Title: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317"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3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75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Joint Filing Agreement dated March 8, 1999 among Houston Industries Incorporated d/b/a Reliant Energy, Incorporated, Reliant Energy Resources Corp. and Arkla Finance Corporation</w:t>
      </w:r>
    </w:p>
    <w:p>
      <w:pPr>
        <w:sectPr>
          <w:pgSz w:w="11900" w:h="16838" w:orient="portrait"/>
          <w:cols w:equalWidth="0" w:num="3">
            <w:col w:w="960" w:space="200"/>
            <w:col w:w="220" w:space="320"/>
            <w:col w:w="85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jc w:val="right"/>
        <w:ind w:right="1879"/>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In accordance with Rule 13d-1(k) of the Securities Exchange Act of 1934, as amended, the undersigned agree to the joint filing on behalf of each of them of a statement on Schedule 13G (including any and all amendments thereto) with respect to the common stock, no par value, of Itron, Inc., a Washington corporation, and further agree that this Joint Filing Agreement shall be included as an exhibit to such joint filings.</w:t>
      </w:r>
    </w:p>
    <w:p>
      <w:pPr>
        <w:spacing w:after="0" w:line="210"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undersigned further agree that each party hereto is responsible for the timely filing of such statement on Schedule 13G and any amendments thereto, and for the completeness and accuracy of the information concerning such party contained therein; provided that no party is responsible for the completeness or accuracy of the information concerning the other parties, unless such party knows or has reason to believe that such information is inaccurate.</w:t>
      </w:r>
    </w:p>
    <w:p>
      <w:pPr>
        <w:spacing w:after="0" w:line="211"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Joint Filing Agreement may be executed in one or more counterparts, each of which shall be deemed to be an original instrument, but all of such counterparts together shall constitute but one agreement.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In evidence thereof the undersigned, being duly authorized, hereby execute this Joint Filing Agreement this 8th day of March, 1999.</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HOUSTON INDUSTRIES INCORPORATED</w:t>
      </w:r>
    </w:p>
    <w:p>
      <w:pPr>
        <w:ind w:left="3160"/>
        <w:spacing w:after="0" w:line="238" w:lineRule="auto"/>
        <w:rPr>
          <w:sz w:val="20"/>
          <w:szCs w:val="20"/>
          <w:color w:val="auto"/>
        </w:rPr>
      </w:pPr>
      <w:r>
        <w:rPr>
          <w:rFonts w:ascii="Courier New" w:cs="Courier New" w:eastAsia="Courier New" w:hAnsi="Courier New"/>
          <w:sz w:val="18"/>
          <w:szCs w:val="18"/>
          <w:color w:val="auto"/>
        </w:rPr>
        <w:t>d/b/a Reliant Energy, Incorporated</w:t>
      </w:r>
    </w:p>
    <w:p>
      <w:pPr>
        <w:spacing w:after="0" w:line="200" w:lineRule="exact"/>
        <w:rPr>
          <w:sz w:val="20"/>
          <w:szCs w:val="20"/>
          <w:color w:val="auto"/>
        </w:rPr>
      </w:pPr>
    </w:p>
    <w:p>
      <w:pPr>
        <w:spacing w:after="0" w:line="204" w:lineRule="exact"/>
        <w:rPr>
          <w:sz w:val="20"/>
          <w:szCs w:val="20"/>
          <w:color w:val="auto"/>
        </w:rPr>
      </w:pPr>
    </w:p>
    <w:tbl>
      <w:tblPr>
        <w:tblLayout w:type="fixed"/>
        <w:tblInd w:w="316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MARY P. RICCIARDELLO</w:t>
            </w:r>
          </w:p>
        </w:tc>
      </w:tr>
      <w:tr>
        <w:trPr>
          <w:trHeight w:val="203"/>
        </w:trPr>
        <w:tc>
          <w:tcPr>
            <w:tcW w:w="4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 Ricciardello</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Title: Vice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Comptroller</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RELIANT ENERGY</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RESOURCES CORP.</w:t>
            </w: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MARY P. RICCIARDELLO</w:t>
            </w:r>
          </w:p>
        </w:tc>
      </w:tr>
      <w:tr>
        <w:trPr>
          <w:trHeight w:val="203"/>
        </w:trPr>
        <w:tc>
          <w:tcPr>
            <w:tcW w:w="4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 Ricciardello</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Title: Vice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Comptroller</w:t>
            </w:r>
          </w:p>
        </w:tc>
      </w:tr>
      <w:tr>
        <w:trPr>
          <w:trHeight w:val="608"/>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ARKLA FINANCE CORPORATION</w:t>
            </w: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MARY P. RICCIARDELLO</w:t>
            </w:r>
          </w:p>
        </w:tc>
      </w:tr>
      <w:tr>
        <w:trPr>
          <w:trHeight w:val="203"/>
        </w:trPr>
        <w:tc>
          <w:tcPr>
            <w:tcW w:w="4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 Ricciardello</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Agent</w:t>
            </w:r>
          </w:p>
        </w:tc>
        <w:tc>
          <w:tcPr>
            <w:tcW w:w="274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1"/>
      <w:numFmt w:val="bullet"/>
      <w:start w:val="1"/>
    </w:lvl>
    <w:lvl w:ilvl="2">
      <w:lvlJc w:val="left"/>
      <w:lvlText w:val="(%3)"/>
      <w:numFmt w:val="lowerLetter"/>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
      <w:numFmt w:val="bullet"/>
      <w:start w:val="1"/>
    </w:lvl>
    <w:lvl w:ilvl="1">
      <w:lvlJc w:val="left"/>
      <w:lvlText w:val="(%2)"/>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
      <w:numFmt w:val="bullet"/>
      <w:start w:val="1"/>
    </w:lvl>
    <w:lvl w:ilvl="1">
      <w:lvlJc w:val="left"/>
      <w:lvlText w:val="(%2)"/>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8"/>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2019-12-13T15:24:54Z</dcterms:created>
  <dcterms:modified xsi:type="dcterms:W3CDTF">2019-12-13T15:24:54Z</dcterms:modified>
</cp:coreProperties>
</file>