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723265</wp:posOffset>
            </wp:positionV>
            <wp:extent cx="6926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9"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02" w:lineRule="exact"/>
        <w:rPr>
          <w:sz w:val="24"/>
          <w:szCs w:val="24"/>
          <w:color w:val="auto"/>
        </w:rPr>
      </w:pPr>
    </w:p>
    <w:p>
      <w:pPr>
        <w:ind w:left="660"/>
        <w:spacing w:after="0"/>
        <w:tabs>
          <w:tab w:leader="none" w:pos="35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000-22418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CB2C31"/>
        </w:rPr>
        <w:t>Itron, Inc.</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99060</wp:posOffset>
            </wp:positionV>
            <wp:extent cx="106299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445770"/>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91-1011792</w:t>
      </w:r>
    </w:p>
    <w:p>
      <w:pPr>
        <w:spacing w:after="0" w:line="3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1285"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2111 N Molter Road, Liberty Lake, Washington 99019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11"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7960" w:type="dxa"/>
            <w:vAlign w:val="bottom"/>
            <w:gridSpan w:val="5"/>
          </w:tcPr>
          <w:p>
            <w:pPr>
              <w:jc w:val="center"/>
              <w:ind w:right="3090"/>
              <w:spacing w:after="0"/>
              <w:rPr>
                <w:sz w:val="20"/>
                <w:szCs w:val="20"/>
                <w:color w:val="auto"/>
              </w:rPr>
            </w:pPr>
            <w:r>
              <w:rPr>
                <w:rFonts w:ascii="Times New Roman" w:cs="Times New Roman" w:eastAsia="Times New Roman" w:hAnsi="Times New Roman"/>
                <w:sz w:val="14"/>
                <w:szCs w:val="14"/>
                <w:b w:val="1"/>
                <w:bCs w:val="1"/>
                <w:color w:val="auto"/>
              </w:rPr>
              <w:t>(Address and telephone number of registrant's principal executive offices)</w:t>
            </w:r>
          </w:p>
        </w:tc>
      </w:tr>
      <w:tr>
        <w:trPr>
          <w:trHeight w:val="469"/>
        </w:trPr>
        <w:tc>
          <w:tcPr>
            <w:tcW w:w="3140" w:type="dxa"/>
            <w:vAlign w:val="bottom"/>
          </w:tcPr>
          <w:p>
            <w:pPr>
              <w:spacing w:after="0"/>
              <w:rPr>
                <w:sz w:val="24"/>
                <w:szCs w:val="24"/>
                <w:color w:val="auto"/>
              </w:rPr>
            </w:pPr>
          </w:p>
        </w:tc>
        <w:tc>
          <w:tcPr>
            <w:tcW w:w="7960" w:type="dxa"/>
            <w:vAlign w:val="bottom"/>
            <w:gridSpan w:val="5"/>
          </w:tcPr>
          <w:p>
            <w:pPr>
              <w:jc w:val="center"/>
              <w:ind w:right="30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56"/>
        </w:trPr>
        <w:tc>
          <w:tcPr>
            <w:tcW w:w="314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40" w:type="dxa"/>
            <w:vAlign w:val="bottom"/>
            <w:tcBorders>
              <w:top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ITRI</w:t>
            </w:r>
          </w:p>
        </w:tc>
        <w:tc>
          <w:tcPr>
            <w:tcW w:w="10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17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Rule</w:t>
            </w:r>
          </w:p>
        </w:tc>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12b-2</w:t>
            </w: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w:t>
            </w:r>
          </w:p>
        </w:tc>
        <w:tc>
          <w:tcPr>
            <w:tcW w:w="1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w:t>
            </w:r>
          </w:p>
        </w:tc>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Act.</w:t>
            </w:r>
          </w:p>
        </w:tc>
      </w:tr>
      <w:tr>
        <w:trPr>
          <w:trHeight w:val="301"/>
        </w:trPr>
        <w:tc>
          <w:tcPr>
            <w:tcW w:w="24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Large accelerated filer</w:t>
            </w: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Accelerated filer</w:t>
            </w:r>
          </w:p>
        </w:tc>
        <w:tc>
          <w:tcPr>
            <w:tcW w:w="1260" w:type="dxa"/>
            <w:vAlign w:val="bottom"/>
          </w:tcPr>
          <w:p>
            <w:pPr>
              <w:spacing w:after="0"/>
              <w:rPr>
                <w:sz w:val="24"/>
                <w:szCs w:val="24"/>
                <w:color w:val="auto"/>
              </w:rPr>
            </w:pP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Non-accelerated filer</w:t>
            </w:r>
          </w:p>
        </w:tc>
        <w:tc>
          <w:tcPr>
            <w:tcW w:w="480" w:type="dxa"/>
            <w:vAlign w:val="bottom"/>
          </w:tcPr>
          <w:p>
            <w:pPr>
              <w:spacing w:after="0"/>
              <w:rPr>
                <w:sz w:val="24"/>
                <w:szCs w:val="24"/>
                <w:color w:val="auto"/>
              </w:rPr>
            </w:pP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1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28, 2024, there were outstanding 45,089,570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6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Itron, Inc.</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0" w:type="dxa"/>
            <w:vAlign w:val="bottom"/>
            <w:vMerge w:val="restart"/>
          </w:tcPr>
          <w:p>
            <w:pPr>
              <w:spacing w:after="0"/>
              <w:rPr>
                <w:sz w:val="24"/>
                <w:szCs w:val="24"/>
                <w:color w:val="auto"/>
              </w:rPr>
            </w:pPr>
          </w:p>
        </w:tc>
        <w:tc>
          <w:tcPr>
            <w:tcW w:w="102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9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60" w:type="dxa"/>
            <w:vAlign w:val="bottom"/>
            <w:vMerge w:val="continue"/>
          </w:tcPr>
          <w:p>
            <w:pPr>
              <w:spacing w:after="0"/>
              <w:rPr>
                <w:sz w:val="14"/>
                <w:szCs w:val="14"/>
                <w:color w:val="auto"/>
              </w:rPr>
            </w:pPr>
          </w:p>
        </w:tc>
        <w:tc>
          <w:tcPr>
            <w:tcW w:w="10200" w:type="dxa"/>
            <w:vAlign w:val="bottom"/>
            <w:gridSpan w:val="17"/>
            <w:vMerge w:val="continue"/>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tcPr>
          <w:p>
            <w:pPr>
              <w:ind w:left="38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Financial Statements (Unaudited)</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400" w:type="dxa"/>
            <w:vAlign w:val="bottom"/>
            <w:gridSpan w:val="5"/>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4920" w:type="dxa"/>
            <w:vAlign w:val="bottom"/>
            <w:gridSpan w:val="2"/>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tcPr>
          <w:p>
            <w:pPr>
              <w:ind w:left="38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vMerge w:val="restart"/>
          </w:tcPr>
          <w:p>
            <w:pPr>
              <w:spacing w:after="0"/>
              <w:rPr>
                <w:sz w:val="12"/>
                <w:szCs w:val="12"/>
                <w:color w:val="auto"/>
              </w:rPr>
            </w:pPr>
          </w:p>
        </w:tc>
        <w:tc>
          <w:tcPr>
            <w:tcW w:w="102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3"/>
        </w:trPr>
        <w:tc>
          <w:tcPr>
            <w:tcW w:w="60" w:type="dxa"/>
            <w:vAlign w:val="bottom"/>
            <w:vMerge w:val="continue"/>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60" w:type="dxa"/>
            <w:vAlign w:val="bottom"/>
          </w:tcPr>
          <w:p>
            <w:pPr>
              <w:spacing w:after="0"/>
              <w:rPr>
                <w:sz w:val="24"/>
                <w:szCs w:val="24"/>
                <w:color w:val="auto"/>
              </w:rPr>
            </w:pPr>
          </w:p>
        </w:tc>
        <w:tc>
          <w:tcPr>
            <w:tcW w:w="2780" w:type="dxa"/>
            <w:vAlign w:val="bottom"/>
            <w:tcBorders>
              <w:top w:val="single" w:sz="8" w:color="0000FF"/>
            </w:tcBorders>
            <w:gridSpan w:val="8"/>
          </w:tcPr>
          <w:p>
            <w:pPr>
              <w:ind w:left="38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Legal Proceedings</w:t>
            </w:r>
          </w:p>
        </w:tc>
        <w:tc>
          <w:tcPr>
            <w:tcW w:w="7420" w:type="dxa"/>
            <w:vAlign w:val="bottom"/>
            <w:gridSpan w:val="9"/>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FF"/>
              </w:rPr>
              <w:t>Risk Factors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Unregistered Sales of Equity Securities and Use of Proceeds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FF"/>
              </w:rPr>
              <w:t>Other Information</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FF"/>
              </w:rPr>
              <w:t>Exhibits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260" w:type="dxa"/>
            <w:vAlign w:val="bottom"/>
            <w:gridSpan w:val="18"/>
            <w:vMerge w:val="restart"/>
          </w:tcPr>
          <w:p>
            <w:pPr>
              <w:ind w:left="60"/>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6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10260" w:type="dxa"/>
            <w:vAlign w:val="bottom"/>
            <w:gridSpan w:val="18"/>
            <w:vMerge w:val="continue"/>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2"/>
        </w:trPr>
        <w:tc>
          <w:tcPr>
            <w:tcW w:w="60" w:type="dxa"/>
            <w:vAlign w:val="bottom"/>
            <w:tcBorders>
              <w:bottom w:val="single" w:sz="8" w:color="9A9A9A"/>
            </w:tcBorders>
          </w:tcPr>
          <w:p>
            <w:pPr>
              <w:spacing w:after="0"/>
              <w:rPr>
                <w:sz w:val="24"/>
                <w:szCs w:val="24"/>
                <w:color w:val="auto"/>
              </w:rPr>
            </w:pPr>
          </w:p>
        </w:tc>
        <w:tc>
          <w:tcPr>
            <w:tcW w:w="9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100" w:type="dxa"/>
            <w:vAlign w:val="bottom"/>
            <w:gridSpan w:val="4"/>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2"/>
        </w:trPr>
        <w:tc>
          <w:tcPr>
            <w:tcW w:w="4300" w:type="dxa"/>
            <w:vAlign w:val="bottom"/>
            <w:tcBorders>
              <w:bottom w:val="single" w:sz="8" w:color="auto"/>
            </w:tcBorders>
            <w:vMerge w:val="continue"/>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1,598,978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1,361,482</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Service revenues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234,978</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1,827,973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1,596,460</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cost of revenues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951,666</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Service cost of revenues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127,276</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cost of revenues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1,202,536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1,078,942</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517,518</w:t>
            </w:r>
          </w:p>
        </w:tc>
        <w:tc>
          <w:tcPr>
            <w:tcW w:w="0" w:type="dxa"/>
            <w:vAlign w:val="bottom"/>
          </w:tcPr>
          <w:p>
            <w:pPr>
              <w:spacing w:after="0"/>
              <w:rPr>
                <w:sz w:val="1"/>
                <w:szCs w:val="1"/>
                <w:color w:val="auto"/>
              </w:rPr>
            </w:pPr>
          </w:p>
        </w:tc>
      </w:tr>
      <w:tr>
        <w:trPr>
          <w:trHeight w:val="256"/>
        </w:trPr>
        <w:tc>
          <w:tcPr>
            <w:tcW w:w="4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231,176</w:t>
            </w:r>
          </w:p>
        </w:tc>
        <w:tc>
          <w:tcPr>
            <w:tcW w:w="0" w:type="dxa"/>
            <w:vAlign w:val="bottom"/>
          </w:tcPr>
          <w:p>
            <w:pPr>
              <w:spacing w:after="0"/>
              <w:rPr>
                <w:sz w:val="1"/>
                <w:szCs w:val="1"/>
                <w:color w:val="auto"/>
              </w:rPr>
            </w:pPr>
          </w:p>
        </w:tc>
      </w:tr>
      <w:tr>
        <w:trPr>
          <w:trHeight w:val="229"/>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154,769</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0" w:type="dxa"/>
            <w:vAlign w:val="bottom"/>
          </w:tcPr>
          <w:p>
            <w:pPr>
              <w:spacing w:after="0"/>
              <w:rPr>
                <w:sz w:val="1"/>
                <w:szCs w:val="1"/>
                <w:color w:val="auto"/>
              </w:rPr>
            </w:pPr>
          </w:p>
        </w:tc>
      </w:tr>
      <w:tr>
        <w:trPr>
          <w:trHeight w:val="229"/>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36,868</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sale of business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437,921</w:t>
            </w:r>
          </w:p>
        </w:tc>
        <w:tc>
          <w:tcPr>
            <w:tcW w:w="0" w:type="dxa"/>
            <w:vAlign w:val="bottom"/>
          </w:tcPr>
          <w:p>
            <w:pPr>
              <w:spacing w:after="0"/>
              <w:rPr>
                <w:sz w:val="1"/>
                <w:szCs w:val="1"/>
                <w:color w:val="auto"/>
              </w:rPr>
            </w:pPr>
          </w:p>
        </w:tc>
      </w:tr>
      <w:tr>
        <w:trPr>
          <w:trHeight w:val="237"/>
        </w:trPr>
        <w:tc>
          <w:tcPr>
            <w:tcW w:w="4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79,597</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36"/>
        </w:trPr>
        <w:tc>
          <w:tcPr>
            <w:tcW w:w="4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77,924</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(24,513)</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53,411</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Itron,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45,393</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45,768</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8"/>
                <w:szCs w:val="18"/>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auto"/>
            </w:tcBorders>
            <w:vMerge w:val="continue"/>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53,411</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benefit obligation adjustment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0" w:type="dxa"/>
            <w:vAlign w:val="bottom"/>
          </w:tcPr>
          <w:p>
            <w:pPr>
              <w:spacing w:after="0"/>
              <w:rPr>
                <w:sz w:val="1"/>
                <w:szCs w:val="1"/>
                <w:color w:val="auto"/>
              </w:rPr>
            </w:pPr>
          </w:p>
        </w:tc>
      </w:tr>
      <w:tr>
        <w:trPr>
          <w:trHeight w:val="250"/>
        </w:trPr>
        <w:tc>
          <w:tcPr>
            <w:tcW w:w="4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 net of tax</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47,245</w:t>
            </w:r>
          </w:p>
        </w:tc>
        <w:tc>
          <w:tcPr>
            <w:tcW w:w="0" w:type="dxa"/>
            <w:vAlign w:val="bottom"/>
          </w:tcPr>
          <w:p>
            <w:pPr>
              <w:spacing w:after="0"/>
              <w:rPr>
                <w:sz w:val="1"/>
                <w:szCs w:val="1"/>
                <w:color w:val="auto"/>
              </w:rPr>
            </w:pPr>
          </w:p>
        </w:tc>
      </w:tr>
      <w:tr>
        <w:trPr>
          <w:trHeight w:val="250"/>
        </w:trPr>
        <w:tc>
          <w:tcPr>
            <w:tcW w:w="4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Comprehensive income (loss) attributable to</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interests, net of tax</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Itron,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687"/>
        </w:trPr>
        <w:tc>
          <w:tcPr>
            <w:tcW w:w="1280" w:type="dxa"/>
            <w:vAlign w:val="bottom"/>
            <w:tcBorders>
              <w:top w:val="single" w:sz="8" w:color="0000FF"/>
            </w:tcBorders>
          </w:tcPr>
          <w:p>
            <w:pPr>
              <w:spacing w:after="0"/>
              <w:rPr>
                <w:sz w:val="24"/>
                <w:szCs w:val="24"/>
                <w:color w:val="auto"/>
              </w:rPr>
            </w:pPr>
          </w:p>
        </w:tc>
        <w:tc>
          <w:tcPr>
            <w:tcW w:w="548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rPr>
              <w:t>ITRON, INC.</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780" w:type="dxa"/>
            <w:vAlign w:val="bottom"/>
            <w:gridSpan w:val="4"/>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5480" w:type="dxa"/>
            <w:vAlign w:val="bottom"/>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7"/>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2"/>
                <w:szCs w:val="22"/>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22"/>
                <w:szCs w:val="22"/>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8"/>
        </w:trPr>
        <w:tc>
          <w:tcPr>
            <w:tcW w:w="1280" w:type="dxa"/>
            <w:vAlign w:val="bottom"/>
            <w:tcBorders>
              <w:top w:val="single" w:sz="8" w:color="auto"/>
            </w:tcBorders>
          </w:tcPr>
          <w:p>
            <w:pPr>
              <w:spacing w:after="0"/>
              <w:rPr>
                <w:sz w:val="18"/>
                <w:szCs w:val="18"/>
                <w:color w:val="auto"/>
              </w:rPr>
            </w:pPr>
          </w:p>
        </w:tc>
        <w:tc>
          <w:tcPr>
            <w:tcW w:w="5480" w:type="dxa"/>
            <w:vAlign w:val="bottom"/>
            <w:tcBorders>
              <w:top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r>
      <w:tr>
        <w:trPr>
          <w:trHeight w:val="23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302,049</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303,821</w:t>
            </w: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283,686</w:t>
            </w:r>
          </w:p>
        </w:tc>
      </w:tr>
      <w:tr>
        <w:trPr>
          <w:trHeight w:val="229"/>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156,642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159,882</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1,754,534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1,049,438</w:t>
            </w:r>
          </w:p>
        </w:tc>
      </w:tr>
      <w:tr>
        <w:trPr>
          <w:trHeight w:val="257"/>
        </w:trPr>
        <w:tc>
          <w:tcPr>
            <w:tcW w:w="676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128,806</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247,211</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38,836</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41,186</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r>
      <w:tr>
        <w:trPr>
          <w:trHeight w:val="229"/>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1,073,757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1,052,504</w:t>
            </w: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3,365,413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2,604,263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2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30"/>
        </w:trPr>
        <w:tc>
          <w:tcPr>
            <w:tcW w:w="1280" w:type="dxa"/>
            <w:vAlign w:val="bottom"/>
            <w:shd w:val="clear" w:color="auto" w:fill="CCEEFF"/>
          </w:tcPr>
          <w:p>
            <w:pPr>
              <w:spacing w:after="0"/>
              <w:rPr>
                <w:sz w:val="19"/>
                <w:szCs w:val="19"/>
                <w:color w:val="auto"/>
              </w:rPr>
            </w:pPr>
          </w:p>
        </w:tc>
        <w:tc>
          <w:tcPr>
            <w:tcW w:w="5480" w:type="dxa"/>
            <w:vAlign w:val="bottom"/>
            <w:shd w:val="clear" w:color="auto" w:fill="CCEEFF"/>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9"/>
              </w:rPr>
              <w:t>LIABILITIES AND EQUITY</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199,520</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54,407</w:t>
            </w: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135,803</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Taxes payable</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warranty</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14,663</w:t>
            </w:r>
          </w:p>
        </w:tc>
      </w:tr>
      <w:tr>
        <w:trPr>
          <w:trHeight w:val="229"/>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Unearned revenue</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124,207</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537,236</w:t>
            </w:r>
          </w:p>
        </w:tc>
      </w:tr>
      <w:tr>
        <w:trPr>
          <w:trHeight w:val="216"/>
        </w:trPr>
        <w:tc>
          <w:tcPr>
            <w:tcW w:w="67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1,240,950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454,827</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warranty</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63,887</w:t>
            </w: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32,656</w:t>
            </w:r>
          </w:p>
        </w:tc>
      </w:tr>
      <w:tr>
        <w:trPr>
          <w:trHeight w:val="229"/>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176,028</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1,996,726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1,272,832</w:t>
            </w:r>
          </w:p>
        </w:tc>
      </w:tr>
      <w:tr>
        <w:trPr>
          <w:trHeight w:val="216"/>
        </w:trPr>
        <w:tc>
          <w:tcPr>
            <w:tcW w:w="67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 issued or outstanding</w:t>
            </w:r>
          </w:p>
        </w:tc>
        <w:tc>
          <w:tcPr>
            <w:tcW w:w="220" w:type="dxa"/>
            <w:vAlign w:val="bottom"/>
          </w:tcPr>
          <w:p>
            <w:pPr>
              <w:spacing w:after="0"/>
              <w:rPr>
                <w:sz w:val="19"/>
                <w:szCs w:val="19"/>
                <w:color w:val="auto"/>
              </w:rPr>
            </w:pP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676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no par value, 75,000 shares authorized, 45,016 and 45,512 shares issued</w:t>
            </w:r>
          </w:p>
        </w:tc>
        <w:tc>
          <w:tcPr>
            <w:tcW w:w="2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43"/>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w:t>
            </w:r>
          </w:p>
        </w:tc>
        <w:tc>
          <w:tcPr>
            <w:tcW w:w="22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1,673,916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1,820,510</w:t>
            </w:r>
          </w:p>
        </w:tc>
      </w:tr>
      <w:tr>
        <w:trPr>
          <w:trHeight w:val="229"/>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(81,190)</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(247,411)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(428,409)</w:t>
            </w:r>
          </w:p>
        </w:tc>
      </w:tr>
      <w:tr>
        <w:trPr>
          <w:trHeight w:val="223"/>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Itron, Inc. shareholders' equity</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1,348,319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1,310,911</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w:t>
            </w:r>
          </w:p>
        </w:tc>
      </w:tr>
      <w:tr>
        <w:trPr>
          <w:trHeight w:val="223"/>
        </w:trPr>
        <w:tc>
          <w:tcPr>
            <w:tcW w:w="676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1,368,687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1,331,431</w:t>
            </w: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3,365,413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2,604,263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Itron, Inc.</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98"/>
        </w:trPr>
        <w:tc>
          <w:tcPr>
            <w:tcW w:w="28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45,512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1,820,510</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(81,190)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(428,409)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1,310,911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1,331,431</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51,787</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(10,908)</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11,429</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Registration fee</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March 31,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1,833,510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1,364,724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1,385,310</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51,860</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10,416</w:t>
            </w:r>
          </w:p>
        </w:tc>
        <w:tc>
          <w:tcPr>
            <w:tcW w:w="0" w:type="dxa"/>
            <w:vAlign w:val="bottom"/>
          </w:tcPr>
          <w:p>
            <w:pPr>
              <w:spacing w:after="0"/>
              <w:rPr>
                <w:sz w:val="1"/>
                <w:szCs w:val="1"/>
                <w:color w:val="auto"/>
              </w:rPr>
            </w:pPr>
          </w:p>
        </w:tc>
      </w:tr>
      <w:tr>
        <w:trPr>
          <w:trHeight w:val="139"/>
        </w:trPr>
        <w:tc>
          <w:tcPr>
            <w:tcW w:w="28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Payments on call spread for convertible</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(82,304)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(82,304)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(82,304)</w:t>
            </w: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 net of tax</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repurchased</w:t>
            </w:r>
          </w:p>
        </w:tc>
        <w:tc>
          <w:tcPr>
            <w:tcW w:w="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(972)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Registration fee</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June 30,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1,662,965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(325,370)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1,239,563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1,260,691</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78,910</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19,846</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10,222</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Excise tax related to shares repurchased</w:t>
            </w: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190"/>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September 30, 2024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45,016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1,673,916</w:t>
            </w:r>
          </w:p>
        </w:tc>
        <w:tc>
          <w:tcPr>
            <w:tcW w:w="100" w:type="dxa"/>
            <w:vAlign w:val="bottom"/>
          </w:tcPr>
          <w:p>
            <w:pPr>
              <w:spacing w:after="0"/>
              <w:rPr>
                <w:sz w:val="16"/>
                <w:szCs w:val="16"/>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(78,186)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(247,411)</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1,348,319</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20,368</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1,368,687</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Itron, Inc.</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96"/>
        </w:trPr>
        <w:tc>
          <w:tcPr>
            <w:tcW w:w="28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1,788,479</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(94,674)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(525,332)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1,168,473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1,191,556</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(12,037)</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7,119</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6,919</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March 31,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1,796,005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(537,168)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1,171,282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1,194,143</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25,103</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6,775</w:t>
            </w:r>
          </w:p>
        </w:tc>
        <w:tc>
          <w:tcPr>
            <w:tcW w:w="0" w:type="dxa"/>
            <w:vAlign w:val="bottom"/>
          </w:tcPr>
          <w:p>
            <w:pPr>
              <w:spacing w:after="0"/>
              <w:rPr>
                <w:sz w:val="1"/>
                <w:szCs w:val="1"/>
                <w:color w:val="auto"/>
              </w:rPr>
            </w:pPr>
          </w:p>
        </w:tc>
      </w:tr>
      <w:tr>
        <w:trPr>
          <w:trHeight w:val="189"/>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June 30,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1,803,813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(512,967)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1,205,124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1,228,887</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40,345</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(15,118)</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6,837</w:t>
            </w:r>
          </w:p>
        </w:tc>
        <w:tc>
          <w:tcPr>
            <w:tcW w:w="0" w:type="dxa"/>
            <w:vAlign w:val="bottom"/>
          </w:tcPr>
          <w:p>
            <w:pPr>
              <w:spacing w:after="0"/>
              <w:rPr>
                <w:sz w:val="1"/>
                <w:szCs w:val="1"/>
                <w:color w:val="auto"/>
              </w:rPr>
            </w:pPr>
          </w:p>
        </w:tc>
      </w:tr>
      <w:tr>
        <w:trPr>
          <w:trHeight w:val="190"/>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September 30, 2023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45,474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1,811,365</w:t>
            </w:r>
          </w:p>
        </w:tc>
        <w:tc>
          <w:tcPr>
            <w:tcW w:w="100" w:type="dxa"/>
            <w:vAlign w:val="bottom"/>
          </w:tcPr>
          <w:p>
            <w:pPr>
              <w:spacing w:after="0"/>
              <w:rPr>
                <w:sz w:val="16"/>
                <w:szCs w:val="16"/>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(100,840)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(472,795)</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1,237,730</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1,257,730</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182,557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53,411</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Depreciation and amortization of intangible assets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40,979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42,013</w:t>
            </w:r>
          </w:p>
        </w:tc>
        <w:tc>
          <w:tcPr>
            <w:tcW w:w="0" w:type="dxa"/>
            <w:vAlign w:val="bottom"/>
          </w:tcPr>
          <w:p>
            <w:pPr>
              <w:spacing w:after="0"/>
              <w:rPr>
                <w:sz w:val="1"/>
                <w:szCs w:val="1"/>
                <w:color w:val="auto"/>
              </w:rPr>
            </w:pPr>
          </w:p>
        </w:tc>
      </w:tr>
      <w:tr>
        <w:trPr>
          <w:trHeight w:val="195"/>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11,481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12,197</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32,067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20,531</w:t>
            </w:r>
          </w:p>
        </w:tc>
        <w:tc>
          <w:tcPr>
            <w:tcW w:w="0" w:type="dxa"/>
            <w:vAlign w:val="bottom"/>
          </w:tcPr>
          <w:p>
            <w:pPr>
              <w:spacing w:after="0"/>
              <w:rPr>
                <w:sz w:val="1"/>
                <w:szCs w:val="1"/>
                <w:color w:val="auto"/>
              </w:rPr>
            </w:pPr>
          </w:p>
        </w:tc>
      </w:tr>
      <w:tr>
        <w:trPr>
          <w:trHeight w:val="195"/>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Amortization of prepaid debt fees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3,669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2,761</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Deferred taxes, net</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0" w:type="dxa"/>
            <w:vAlign w:val="bottom"/>
          </w:tcPr>
          <w:p>
            <w:pPr>
              <w:spacing w:after="0"/>
              <w:rPr>
                <w:sz w:val="1"/>
                <w:szCs w:val="1"/>
                <w:color w:val="auto"/>
              </w:rPr>
            </w:pPr>
          </w:p>
        </w:tc>
      </w:tr>
      <w:tr>
        <w:trPr>
          <w:trHeight w:val="195"/>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Loss on sale of business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Restructuring, non-cash</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0" w:type="dxa"/>
            <w:vAlign w:val="bottom"/>
          </w:tcPr>
          <w:p>
            <w:pPr>
              <w:spacing w:after="0"/>
              <w:rPr>
                <w:sz w:val="1"/>
                <w:szCs w:val="1"/>
                <w:color w:val="auto"/>
              </w:rPr>
            </w:pPr>
          </w:p>
        </w:tc>
      </w:tr>
      <w:tr>
        <w:trPr>
          <w:trHeight w:val="195"/>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Other adjustments, net</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 and sale of business: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(37,832)</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(48,280)</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current assets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4,102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(43,240)</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long-term assets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3,392</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 other current liabilities, and taxes payable</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(39,054)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Wages and benefits payable</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17,361</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Unearned revenue</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33,453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38,619</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Warranty</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Restructuring</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23,966</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operating, net</w:t>
            </w: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(27,736)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(9,071)</w:t>
            </w:r>
          </w:p>
        </w:tc>
        <w:tc>
          <w:tcPr>
            <w:tcW w:w="0" w:type="dxa"/>
            <w:vAlign w:val="bottom"/>
          </w:tcPr>
          <w:p>
            <w:pPr>
              <w:spacing w:after="0"/>
              <w:rPr>
                <w:sz w:val="1"/>
                <w:szCs w:val="1"/>
                <w:color w:val="auto"/>
              </w:rPr>
            </w:pPr>
          </w:p>
        </w:tc>
      </w:tr>
      <w:tr>
        <w:trPr>
          <w:trHeight w:val="189"/>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158,326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77,076</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proceeds (payments) related to the sale of business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Acquisitions of property, plant, and equipment</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(20,878)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(18,304)</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Business acquisitions, net of cash and cash equivalents acquired</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investing, net</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(54,387)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(19,003)</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805,000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 on call spread for convertible offering</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(108,997)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debt fees</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financing, net</w:t>
            </w: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(4,488)</w:t>
            </w:r>
          </w:p>
        </w:tc>
        <w:tc>
          <w:tcPr>
            <w:tcW w:w="0" w:type="dxa"/>
            <w:vAlign w:val="bottom"/>
          </w:tcPr>
          <w:p>
            <w:pPr>
              <w:spacing w:after="0"/>
              <w:rPr>
                <w:sz w:val="1"/>
                <w:szCs w:val="1"/>
                <w:color w:val="auto"/>
              </w:rPr>
            </w:pPr>
          </w:p>
        </w:tc>
      </w:tr>
      <w:tr>
        <w:trPr>
          <w:trHeight w:val="189"/>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576,085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(2,639)</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in cash and cash equivalents</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680,458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52,764</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302,049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202,007</w:t>
            </w:r>
          </w:p>
        </w:tc>
        <w:tc>
          <w:tcPr>
            <w:tcW w:w="0" w:type="dxa"/>
            <w:vAlign w:val="bottom"/>
          </w:tcPr>
          <w:p>
            <w:pPr>
              <w:spacing w:after="0"/>
              <w:rPr>
                <w:sz w:val="1"/>
                <w:szCs w:val="1"/>
                <w:color w:val="auto"/>
              </w:rPr>
            </w:pPr>
          </w:p>
        </w:tc>
      </w:tr>
      <w:tr>
        <w:trPr>
          <w:trHeight w:val="221"/>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982,507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254,771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Supplemental disclosure of cash flow information:</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Income taxes, net</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59,212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29,031</w:t>
            </w:r>
          </w:p>
        </w:tc>
        <w:tc>
          <w:tcPr>
            <w:tcW w:w="0" w:type="dxa"/>
            <w:vAlign w:val="bottom"/>
          </w:tcPr>
          <w:p>
            <w:pPr>
              <w:spacing w:after="0"/>
              <w:rPr>
                <w:sz w:val="1"/>
                <w:szCs w:val="1"/>
                <w:color w:val="auto"/>
              </w:rPr>
            </w:pPr>
          </w:p>
        </w:tc>
      </w:tr>
      <w:tr>
        <w:trPr>
          <w:trHeight w:val="188"/>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Interest</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4,062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the terms "we", "us", "our", "Itron", and the "Company" refer to Itron, Inc. and its subsidiaries.</w:t>
      </w:r>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Financial Statement Preparation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presented in this Quarterly Report on Form 10-Q are unaudited and reflect entries necessary for the fair presentation of the Consolidated Statements of Operations and the Consolidated Statements of Comprehensive Income (Loss) for the three and nine months ended September 30, 2024 and 2023, Consolidated Statements of Equity for the three months ended September 30, 2024 and 2023, June 30, 2024 and 2023, and March 31, 2024 and 2023, the Consolidated Statements of Cash Flows for the nine months ended September 30, 2024 and 2023, and the Consolidated Balance Sheets as of September 30, 2024 and December 31, 2023, of Itron, Inc. and its subsidiaries. All entries required for the fair presentation of the financial statements are of a normal recurring nature, except as disclosed. The results of operations for the three and nine months ended September 30, 2024 are not necessarily indicative of the results expected for the full year or for any other period.</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information and notes normally included in financial statements prepared in accordance with U.S. generally accepted accounting principles (GAAP) have been partially or completely omitted pursuant to the rules and regulations of the U.S. Securities and Exchange Commission (SEC) regarding interim results. These consolidated financial statements should be read in conjunction with the consolidated financial statements and the notes thereto for the fiscal year ended December 31, 2023 filed with the SEC in our Annual Report on Form 10-K on February 26, 2024 (2023 Annual Report). There have been no significant changes in financial statement preparation or significant accounting policies since December 31, 2023.</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Cash and Cash Equivalents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and cash equivalents that are contractually restricted from operating use are classified as restricted cash and cash equivalents. We had $1.8 million pledged for standby letters of credit as of September 30, 2024 and December 31, 2023.</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Global economic impacts, such as pandemics and various ongoing conflicts around the world, may create disruption in customer demand and global supply chains, resulting in market volatility, which our management continues to monitor. In the aftermath of these types of events, global supply chains, including labor, may struggle to keep pace with rapidly changing demand. Temporary imbalance in supply and demand may create business uncertainties that include costs and availability. Efforts continue with suppliers to improve supply resiliency, including the approval of alternate sources. Additionally, inflation in our raw materials and component costs, freight charges, sanctions, tariffs, and labor costs may increase above historical levels due to, among other things, the continuing impacts of an uncertain economic environment. We may or may not be able to fully recover these increased costs through pricing actions with our customers. Currently, we have not identified any significant decrease in long-term customer demand for our products and services.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limited direct business exposure in areas with current conflict, such as Ukraine and Israel, military actions globally and any resulting sanctions or tariffs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the military action, sanctions, tariffs, and resulting market and/or supply disruptions are impossible to predict but could be substantial, and our management continues to monitor these events closely</w:t>
      </w:r>
      <w:r>
        <w:rPr>
          <w:rFonts w:ascii="Times New Roman" w:cs="Times New Roman" w:eastAsia="Times New Roman" w:hAnsi="Times New Roman"/>
          <w:sz w:val="18"/>
          <w:szCs w:val="18"/>
          <w:color w:val="333333"/>
        </w:rPr>
        <w: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w:t>
      </w:r>
    </w:p>
    <w:p>
      <w:pPr>
        <w:spacing w:after="0" w:line="9" w:lineRule="exact"/>
        <w:rPr>
          <w:sz w:val="20"/>
          <w:szCs w:val="20"/>
          <w:color w:val="auto"/>
        </w:rPr>
      </w:pPr>
    </w:p>
    <w:p>
      <w:pPr>
        <w:jc w:val="both"/>
        <w:ind w:firstLine="8"/>
        <w:spacing w:after="0" w:line="253" w:lineRule="auto"/>
        <w:tabs>
          <w:tab w:leader="none" w:pos="41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to Reportable Segment Disclosures, which amends the reportable segment disclosure requirements, primarily through enhanced disclosures about significant segment expenses. ASU 2023-07 is effective for our annual financial reporting in 2024 and interim financial reports for the first quarter of 2025, with early adoption permitted. These amendments are to be applied retrospectively to all prior periods presented in the financial statements. We are currently evaluating the impact this standard will have on our consolidated financial statement disclosures for our reportable segment information.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amends Income Taxes (Topic 740). The FASB issued this update to improve annual basis income tax disclosures related to (1) rate reconciliation, (2) income taxes paid, and (3) other disclosures related to pretax income (or loss) and income tax expense (or benefit) from continuing operations. The effective date for this amendment is January 1, 2025, with early adoption permitted. These amendments are to be applied on a prospective basis; however, retrospective application is permitted. We are currently evaluating the impact this standard will have on our consolidated financial statement disclosures.</w:t>
      </w:r>
    </w:p>
    <w:p>
      <w:pPr>
        <w:spacing w:after="0" w:line="20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(EPS):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6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52,537</w:t>
            </w:r>
          </w:p>
        </w:tc>
        <w:tc>
          <w:tcPr>
            <w:tcW w:w="0" w:type="dxa"/>
            <w:vAlign w:val="bottom"/>
          </w:tcPr>
          <w:p>
            <w:pPr>
              <w:spacing w:after="0"/>
              <w:rPr>
                <w:sz w:val="1"/>
                <w:szCs w:val="1"/>
                <w:color w:val="auto"/>
              </w:rPr>
            </w:pPr>
          </w:p>
        </w:tc>
      </w:tr>
      <w:tr>
        <w:trPr>
          <w:trHeight w:val="257"/>
        </w:trPr>
        <w:tc>
          <w:tcPr>
            <w:tcW w:w="4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45,393</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Dilutive effect of stock-based awards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Dilutive effect of convertible notes</w:t>
            </w: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2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45,839</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45,950</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46,239</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45,768</w:t>
            </w:r>
          </w:p>
        </w:tc>
        <w:tc>
          <w:tcPr>
            <w:tcW w:w="0" w:type="dxa"/>
            <w:vAlign w:val="bottom"/>
          </w:tcPr>
          <w:p>
            <w:pPr>
              <w:spacing w:after="0"/>
              <w:rPr>
                <w:sz w:val="1"/>
                <w:szCs w:val="1"/>
                <w:color w:val="auto"/>
              </w:rPr>
            </w:pPr>
          </w:p>
        </w:tc>
      </w:tr>
      <w:tr>
        <w:trPr>
          <w:trHeight w:val="234"/>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4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Awards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1,000 and 23,000 stock-based awards were excluded from the calculation of diluted EPS for the three and nine months ended September 30, 2024 because they were anti-dilutive. Approximately 0.2 million and 0.3 million stock-based awards were excluded from the calculation of diluted EPS for the three and nine months ended September 30, 2023 because they were anti-dilutive. These stock-based awards could be dilutive in future periods.</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Convertible Notes and Share Hedges</w:t>
      </w: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2021 Notes, Warrants and Call Option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our convertible notes issued in March 2021 (the 2021 Notes), the dilutive effect is calculated using the if-converted method. We are required, pursuant to the indenture governing the notes, to settle the principal amount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notes were converted. The average closing prices of our common stock for the quarter ended September 30, 2024 were used as the basis for determining the dilutive effect on EPS. The quarterly average closing prices for our common stock did not exceed the conversion price of $126.00, and therefore all associated shares were anti-dilutive.</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conjunction with the issuance of the 2021 Notes, we sold warrants to purchase 3.7 million shares of Itron common stock. The warrants have a strike price of $180.00 per share. For calculating the dilutive effect of the warrants, we use the treasury stock method. With this method, we assume exercise of the warrants at the beginning of the period, or at time of issuance if later, and the issuance of common stock upon exercise. Proceeds from the exercise of the warrants are assumed to be used to repurchase shares of our stock at the average market price during the period. The incremental shares, representing the number of shares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assumed to be exercised with the warrants less the number of shares repurchased, are included in diluted weighted average common shares outstanding. For periods where the warrants strike price of $180.00 per share is greater than the average share price of Itron stock for the period, the warrants would be anti-dilutive. For the three and nine months ended September 30, 2024, the quarterly average closing prices of our common stock did not exceed the warrant strike price and therefore 3.7 million shares were considered anti-dilutive.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2021 Notes, we entered into privately negotiated call option contracts on our common stock (the 2021 call option transactions) with certain commercial banks. The 2021 call option transactions cover, subject to anti-dilution adjustments substantially similar to those in the 2021 Notes, approximately 3.7 million shares of our common stock, the same number of shares initially underlying the notes, at a strike price of approximately $126.00, subject to customary adjustments. The 2021 call option transactions will expire upon the maturity of the 2021 Notes, subject to earlier exercise or termination. Exercise of the 2021 call option transactions would reduce the number of shares of our common stock outstanding and therefore would be anti-dilutive.</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2024 Notes and Capped Call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our convertible notes issued in June 2024 (the 2024 Notes),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closing prices of our common stock for the quarter ended September 30, 2024 were used as the basis for determining the dilutive effect on EPS. The quarterly average closing prices for our common stock did not exceed the conversion price of $131.24, and therefore all associated shares were anti-dilutive.</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2024 Notes, we entered into privately negotiated capped call transactions (the 2024 capped call transactions) on our common stock with certain commercial banks. The 2024 capped call transactions cover, subject to anti-dilution adjustments substantially similar to those in the 2024 Notes, approximately 6.1 million shares of our common stock, the same number of shares initially underlying the convertible notes, at a strike price of approximately $131.2353, subject to customary adjustments. The cap price of the 2024 capped call transactions will initially be $205.86 per share, which represents a premium of 100% over the last reported stock price per share of the Company's common stock on June 17, 2024, and is subject to certain adjustments under the terms of the 2024 capped call transactions. The 2024 capped call transactions will expire upon the maturity of the 2024 Notes, subject to earlier exercise or termination. Exercise of the 2024 capped call transactions would reduce the number of shares of our common stock outstanding and therefore would be anti-dilutive.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Certain Balance Sheet Components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accounts receivable from contracts with customers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Accounts receivable, net</w:t>
            </w: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9"/>
                <w:szCs w:val="19"/>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60" w:type="dxa"/>
            <w:vAlign w:val="bottom"/>
          </w:tcPr>
          <w:p>
            <w:pPr>
              <w:spacing w:after="0"/>
              <w:rPr>
                <w:sz w:val="19"/>
                <w:szCs w:val="19"/>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 (net of allowance of $591 and $738)</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307,696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272,890</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31,073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30,931</w:t>
            </w:r>
          </w:p>
        </w:tc>
      </w:tr>
      <w:tr>
        <w:trPr>
          <w:trHeight w:val="237"/>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338,769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303,821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Allowance for credit losses account activity</w:t>
            </w: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3120" w:type="dxa"/>
            <w:vAlign w:val="bottom"/>
            <w:gridSpan w:val="7"/>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0" w:type="dxa"/>
            <w:vAlign w:val="bottom"/>
          </w:tcPr>
          <w:p>
            <w:pPr>
              <w:spacing w:after="0"/>
              <w:rPr>
                <w:sz w:val="1"/>
                <w:szCs w:val="1"/>
                <w:color w:val="auto"/>
              </w:rPr>
            </w:pP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(release of) doubtful accounts, net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written-off,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4,643</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i w:val="1"/>
                <w:iCs w:val="1"/>
                <w:color w:val="auto"/>
              </w:rPr>
              <w:t>Inventories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7"/>
        </w:trPr>
        <w:tc>
          <w:tcPr>
            <w:tcW w:w="4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195,045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213,303</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17,849</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66,389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52,534</w:t>
            </w:r>
          </w:p>
        </w:tc>
        <w:tc>
          <w:tcPr>
            <w:tcW w:w="0" w:type="dxa"/>
            <w:vAlign w:val="bottom"/>
          </w:tcPr>
          <w:p>
            <w:pPr>
              <w:spacing w:after="0"/>
              <w:rPr>
                <w:sz w:val="1"/>
                <w:szCs w:val="1"/>
                <w:color w:val="auto"/>
              </w:rPr>
            </w:pPr>
          </w:p>
        </w:tc>
      </w:tr>
      <w:tr>
        <w:trPr>
          <w:trHeight w:val="209"/>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inventories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276,616</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283,686</w:t>
            </w:r>
          </w:p>
        </w:tc>
        <w:tc>
          <w:tcPr>
            <w:tcW w:w="0" w:type="dxa"/>
            <w:vAlign w:val="bottom"/>
          </w:tcPr>
          <w:p>
            <w:pPr>
              <w:spacing w:after="0"/>
              <w:rPr>
                <w:sz w:val="1"/>
                <w:szCs w:val="1"/>
                <w:color w:val="auto"/>
              </w:rPr>
            </w:pPr>
          </w:p>
        </w:tc>
      </w:tr>
      <w:tr>
        <w:trPr>
          <w:trHeight w:val="21"/>
        </w:trPr>
        <w:tc>
          <w:tcPr>
            <w:tcW w:w="43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i w:val="1"/>
                <w:iCs w:val="1"/>
                <w:color w:val="auto"/>
              </w:rPr>
              <w:t>Property, plant, and equipment, net</w:t>
            </w: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0"/>
        </w:trPr>
        <w:tc>
          <w:tcPr>
            <w:tcW w:w="4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325,716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318,546</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Computers and software</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126,043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126,149</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furniture, and improvements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126,041</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7,846</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 including purchased equipment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24,316</w:t>
            </w:r>
          </w:p>
        </w:tc>
        <w:tc>
          <w:tcPr>
            <w:tcW w:w="0" w:type="dxa"/>
            <w:vAlign w:val="bottom"/>
          </w:tcPr>
          <w:p>
            <w:pPr>
              <w:spacing w:after="0"/>
              <w:rPr>
                <w:sz w:val="1"/>
                <w:szCs w:val="1"/>
                <w:color w:val="auto"/>
              </w:rPr>
            </w:pPr>
          </w:p>
        </w:tc>
      </w:tr>
      <w:tr>
        <w:trPr>
          <w:trHeight w:val="207"/>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cost</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604,297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602,898</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(483,848)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(474,092)</w:t>
            </w:r>
          </w:p>
        </w:tc>
        <w:tc>
          <w:tcPr>
            <w:tcW w:w="0" w:type="dxa"/>
            <w:vAlign w:val="bottom"/>
          </w:tcPr>
          <w:p>
            <w:pPr>
              <w:spacing w:after="0"/>
              <w:rPr>
                <w:sz w:val="1"/>
                <w:szCs w:val="1"/>
                <w:color w:val="auto"/>
              </w:rPr>
            </w:pPr>
          </w:p>
        </w:tc>
      </w:tr>
      <w:tr>
        <w:trPr>
          <w:trHeight w:val="210"/>
        </w:trPr>
        <w:tc>
          <w:tcPr>
            <w:tcW w:w="43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120,449</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128,806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Borders>
              <w:bottom w:val="single" w:sz="8" w:color="auto"/>
            </w:tcBorders>
            <w:gridSpan w:val="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Depreciation expense</w:t>
            </w:r>
          </w:p>
        </w:tc>
        <w:tc>
          <w:tcPr>
            <w:tcW w:w="260" w:type="dxa"/>
            <w:vAlign w:val="bottom"/>
          </w:tcPr>
          <w:p>
            <w:pPr>
              <w:spacing w:after="0"/>
              <w:rPr>
                <w:sz w:val="24"/>
                <w:szCs w:val="24"/>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24"/>
                <w:szCs w:val="24"/>
                <w:color w:val="auto"/>
              </w:rPr>
            </w:pPr>
          </w:p>
        </w:tc>
        <w:tc>
          <w:tcPr>
            <w:tcW w:w="3120" w:type="dxa"/>
            <w:vAlign w:val="bottom"/>
            <w:gridSpan w:val="7"/>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Intangible Assets and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(accretion) of our intangible assets and liabilities, other than goodwill,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280" w:type="dxa"/>
            <w:vAlign w:val="bottom"/>
          </w:tcPr>
          <w:p>
            <w:pPr>
              <w:spacing w:after="0"/>
              <w:rPr>
                <w:sz w:val="14"/>
                <w:szCs w:val="14"/>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Net</w:t>
            </w:r>
          </w:p>
        </w:tc>
        <w:tc>
          <w:tcPr>
            <w:tcW w:w="24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(Amortization)</w:t>
            </w:r>
          </w:p>
        </w:tc>
        <w:tc>
          <w:tcPr>
            <w:tcW w:w="280" w:type="dxa"/>
            <w:vAlign w:val="bottom"/>
          </w:tcPr>
          <w:p>
            <w:pPr>
              <w:spacing w:after="0"/>
              <w:rPr>
                <w:sz w:val="14"/>
                <w:szCs w:val="14"/>
                <w:color w:val="auto"/>
              </w:rPr>
            </w:pPr>
          </w:p>
        </w:tc>
        <w:tc>
          <w:tcPr>
            <w:tcW w:w="9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30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Accretion</w:t>
            </w:r>
          </w:p>
        </w:tc>
        <w:tc>
          <w:tcPr>
            <w:tcW w:w="2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Accretion</w:t>
            </w: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Core-developed technology</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516,107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(503,763)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502,010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(499,571)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335,283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42,035</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intangible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937,340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(889,371)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47,969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917,178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(870,896)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Liabilities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intangible assets and liabilities activity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gross beginning balance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917,178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905,134</w:t>
            </w:r>
          </w:p>
        </w:tc>
      </w:tr>
      <w:tr>
        <w:trPr>
          <w:trHeight w:val="216"/>
        </w:trPr>
        <w:tc>
          <w:tcPr>
            <w:tcW w:w="784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Intangible assets acquired </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w:t>
            </w: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gross ending balance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937,340</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902,903</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7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liabilities, gross beginning balance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liabilities, gross ending balance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(23,900)</w:t>
            </w:r>
          </w:p>
        </w:tc>
      </w:tr>
      <w:tr>
        <w:trPr>
          <w:trHeight w:val="23"/>
        </w:trPr>
        <w:tc>
          <w:tcPr>
            <w:tcW w:w="7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ind w:firstLine="8"/>
        <w:spacing w:after="0" w:line="263" w:lineRule="auto"/>
        <w:tabs>
          <w:tab w:leader="none" w:pos="162"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March 1, 2024, we completed the acquisition of 100% of the shares Elpis2, Inc. (Elpis Squared), a privately held software and services company. The purchase resulted in the addition of intangible assets of $15.0 million including $12.5 million identified core-developed technology and $2.5 million of customer contracts and relationships. The core-developed technology and customer contract and relationships will be amortized over the weighted-average five-year and three-year useful lives, respectively, using the straight-line method. Refer to Note 5: Goodwill and Note 17: Business Combination for additional information.</w:t>
      </w:r>
    </w:p>
    <w:p>
      <w:pPr>
        <w:spacing w:after="0" w:line="2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Assumed intangible liabilities reflect the present value of the projected cash outflows for a then existing contract for which remaining costs were expected to exceed projected 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annual amortization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Estimated Annual</w:t>
            </w:r>
          </w:p>
        </w:tc>
        <w:tc>
          <w:tcPr>
            <w:tcW w:w="0" w:type="dxa"/>
            <w:vAlign w:val="bottom"/>
          </w:tcPr>
          <w:p>
            <w:pPr>
              <w:spacing w:after="0"/>
              <w:rPr>
                <w:sz w:val="1"/>
                <w:szCs w:val="1"/>
                <w:color w:val="auto"/>
              </w:rPr>
            </w:pPr>
          </w:p>
        </w:tc>
      </w:tr>
      <w:tr>
        <w:trPr>
          <w:trHeight w:val="214"/>
        </w:trPr>
        <w:tc>
          <w:tcPr>
            <w:tcW w:w="96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09"/>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(amount remaining at September 30,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4,566</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17,775</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13,726</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8,273</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0" w:type="dxa"/>
            <w:vAlign w:val="bottom"/>
          </w:tcPr>
          <w:p>
            <w:pPr>
              <w:spacing w:after="0"/>
              <w:rPr>
                <w:sz w:val="1"/>
                <w:szCs w:val="1"/>
                <w:color w:val="auto"/>
              </w:rPr>
            </w:pPr>
          </w:p>
        </w:tc>
      </w:tr>
      <w:tr>
        <w:trPr>
          <w:trHeight w:val="213"/>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234"/>
        </w:trPr>
        <w:tc>
          <w:tcPr>
            <w:tcW w:w="9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intangible assets subject to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47,969</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reflects changes in the carrying amount of goodwill for the nine months ended September 30, 2024:</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7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Networked Solutions</w:t>
            </w:r>
          </w:p>
        </w:tc>
        <w:tc>
          <w:tcPr>
            <w:tcW w:w="280" w:type="dxa"/>
            <w:vAlign w:val="bottom"/>
          </w:tcPr>
          <w:p>
            <w:pPr>
              <w:spacing w:after="0"/>
              <w:rPr>
                <w:sz w:val="18"/>
                <w:szCs w:val="18"/>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180" w:type="dxa"/>
            <w:vAlign w:val="bottom"/>
          </w:tcPr>
          <w:p>
            <w:pPr>
              <w:spacing w:after="0"/>
              <w:rPr>
                <w:sz w:val="18"/>
                <w:szCs w:val="18"/>
                <w:color w:val="auto"/>
              </w:rPr>
            </w:pPr>
          </w:p>
        </w:tc>
        <w:tc>
          <w:tcPr>
            <w:tcW w:w="14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Company</w:t>
            </w:r>
          </w:p>
        </w:tc>
      </w:tr>
      <w:tr>
        <w:trPr>
          <w:trHeight w:val="213"/>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balance at January 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911,847</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140,657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1,052,504</w:t>
            </w:r>
          </w:p>
        </w:tc>
      </w:tr>
      <w:tr>
        <w:trPr>
          <w:trHeight w:val="216"/>
        </w:trPr>
        <w:tc>
          <w:tcPr>
            <w:tcW w:w="436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Goodwill acquired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19,661</w:t>
            </w: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r>
      <w:tr>
        <w:trPr>
          <w:trHeight w:val="20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balance at September 30, 2024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913,229</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160,528</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1,073,757</w:t>
            </w:r>
          </w:p>
        </w:tc>
      </w:tr>
      <w:tr>
        <w:trPr>
          <w:trHeight w:val="23"/>
        </w:trPr>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324" w:lineRule="exact"/>
        <w:rPr>
          <w:sz w:val="20"/>
          <w:szCs w:val="20"/>
          <w:color w:val="auto"/>
        </w:rPr>
      </w:pPr>
    </w:p>
    <w:p>
      <w:pPr>
        <w:ind w:left="20" w:firstLine="8"/>
        <w:spacing w:after="0" w:line="286" w:lineRule="auto"/>
        <w:tabs>
          <w:tab w:leader="none" w:pos="169"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March 1, 2024, we acquired Elpis Squared. The purchase resulted in the recognition of $19.7 million in goodwill allocated to our Outcomes operating segment and reporting unit. Refer to Note 4: Intangible Assets and Liabilities and Note 17: Business Combination for additional information on the transaction.</w:t>
      </w:r>
    </w:p>
    <w:p>
      <w:pPr>
        <w:spacing w:after="0" w:line="174"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6:</w:t>
        <w:tab/>
        <w:t>Debt</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components of our borrowings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Credit facility</w:t>
            </w: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1,265,000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2"/>
        </w:trPr>
        <w:tc>
          <w:tcPr>
            <w:tcW w:w="2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debt</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3"/>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Less: unamortized prepaid debt fees - convertible notes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24,050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5,173</w:t>
            </w:r>
          </w:p>
        </w:tc>
      </w:tr>
      <w:tr>
        <w:trPr>
          <w:trHeight w:val="234"/>
        </w:trPr>
        <w:tc>
          <w:tcPr>
            <w:tcW w:w="20" w:type="dxa"/>
            <w:vAlign w:val="bottom"/>
          </w:tcPr>
          <w:p>
            <w:pPr>
              <w:spacing w:after="0"/>
              <w:rPr>
                <w:sz w:val="19"/>
                <w:szCs w:val="19"/>
                <w:color w:val="auto"/>
              </w:rPr>
            </w:pPr>
          </w:p>
        </w:tc>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Long-term debt,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1,240,950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454,827</w:t>
            </w: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9"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Our current credit facility, entered on January 5, 2018 (as amended, the 2018 credit facility), originally provided for committed credit facilities in the amount of $1.2 billion U.S. dollars. This facility now consists of a multicurrency revolving line of credit (the revolver) with a principal amount of up to $500 million. The revolver also contains a $300 million standby letter of credit sub-facility and a $50 million swingline sub-facility. The $650 million U.S. dollar term loan (the term loan) included in the original facility was fully repaid in August 2021.</w:t>
      </w:r>
    </w:p>
    <w:p>
      <w:pPr>
        <w:spacing w:after="0" w:line="216"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The 2018 credit facility permits us and certain of our foreign subsidiaries to borrow in U.S. dollars, euros,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September 30, 2024.</w:t>
      </w:r>
    </w:p>
    <w:p>
      <w:pPr>
        <w:spacing w:after="0" w:line="219"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Under the 2018 credit facility, we elect applicable market interest rates for both the term loan and any outstanding revolving loans. We also pay an applicable margin, which is based on our total net leverage ratio as defined in the credit agreement. The applicable rates per annum may be based on either:</w:t>
      </w:r>
    </w:p>
    <w:p>
      <w:pPr>
        <w:jc w:val="both"/>
        <w:ind w:left="20" w:firstLine="8"/>
        <w:spacing w:after="0" w:line="253" w:lineRule="auto"/>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 The cessation of LIBOR occurred in June 2023</w:t>
      </w:r>
      <w:r>
        <w:rPr>
          <w:rFonts w:ascii="Cambria" w:cs="Cambria" w:eastAsia="Cambria" w:hAnsi="Cambria"/>
          <w:sz w:val="19"/>
          <w:szCs w:val="19"/>
          <w:b w:val="1"/>
          <w:bCs w:val="1"/>
          <w:color w:val="1F497D"/>
        </w:rPr>
        <w:t>.</w:t>
      </w:r>
      <w:r>
        <w:rPr>
          <w:rFonts w:ascii="Times New Roman" w:cs="Times New Roman" w:eastAsia="Times New Roman" w:hAnsi="Times New Roman"/>
          <w:sz w:val="18"/>
          <w:szCs w:val="18"/>
          <w:color w:val="auto"/>
        </w:rPr>
        <w:t xml:space="preserve"> On November 23, 2022, we amended the 2018 credit facility to replace the LIBOR rate with the Term Secured Overnight Financing Rate (SOFR) as the base interest rate. On February 21, 2023, we entered into a sixth amendment to the 2018 credit facility. This amendment modified debt covenant provisions to allow for the addback of non-recurring cash expenses related to restructuring charges incurred during the quarter ended March 31, 2023. On October 13, 2023, we entered into a seventh amendment to extend the maturity date to October 18, 2026. However, that date may be advanced to December 14, 2025 if Itron does not settle or extend a sufficient portion of outstanding convertible notes detailed in the amendment. In addition, the amendment revises the interest cost, as follows: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Leverage Ratio</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Cost</w:t>
            </w:r>
          </w:p>
        </w:tc>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 Fee</w:t>
            </w:r>
          </w:p>
        </w:tc>
      </w:tr>
      <w:tr>
        <w:trPr>
          <w:trHeight w:val="213"/>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4.00</w:t>
            </w:r>
          </w:p>
        </w:tc>
        <w:tc>
          <w:tcPr>
            <w:tcW w:w="1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+ 250 bps</w:t>
            </w:r>
          </w:p>
        </w:tc>
        <w:tc>
          <w:tcPr>
            <w:tcW w:w="1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 bps</w:t>
            </w:r>
          </w:p>
        </w:tc>
      </w:tr>
      <w:tr>
        <w:trPr>
          <w:trHeight w:val="21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3.51 to 4.00</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 + 225 bps</w:t>
            </w:r>
          </w:p>
        </w:tc>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35 bps</w:t>
            </w:r>
          </w:p>
        </w:tc>
      </w:tr>
      <w:tr>
        <w:trPr>
          <w:trHeight w:val="21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2.51 to 3.50</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+ 200 bps</w:t>
            </w: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bps</w:t>
            </w:r>
          </w:p>
        </w:tc>
      </w:tr>
      <w:tr>
        <w:trPr>
          <w:trHeight w:val="21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than or equal to 2.50</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 + 175 bps</w:t>
            </w:r>
          </w:p>
        </w:tc>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25 bps</w:t>
            </w:r>
          </w:p>
        </w:tc>
      </w:tr>
    </w:tbl>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14, 2024, we entered into an eighth amendment of the 2018 credit facility. In contemplation of the issuance of the 2024 convertible notes, this amendment to the Credit Agreement removed the $500 million maximum amount of convertible notes we could offer.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2024, there were no outstanding loan balances under the credit facility, and $46.8 million was utilized by outstanding standby letters of credit, resulting in $453.2 million available for additional borrowings or standby letters of credit within the revolver. At September 30, 2024, $253.2 million was available for additional standby letters of credit under the letter of credit sub-facility, and no amounts were outstanding under the swingline sub-facility.</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2021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12, 2021, we closed the sale of $460 million of convertible notes in a private placement to qualified institutional buyers, resulting in net proceeds to us of $448.5 million after deducting initial purchasers' discounts of the offering. The 2021 Notes do not bear regular interest, and the principal amount does not accrete. The 2021 Notes will mature on March 15, 2026, unless earlier repurchased, redeemed, or converted in accordance with their terms. No sinking fund is provided for the 2021 Notes.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conversion rate of the 2021 Notes is 7.9365 shares of our common stock per $1,000 principal amount of notes, which is equivalent to an initial conversion price of approximately $126.00 per share. The conversion rate is subject to adjustment upon the occurrence of certain specified events. In addition, upon the occurrence of a make-whole fundamental change (as defined in the indenture governing the 2021 Notes) or upon a notice of redemption, we will, in certain circumstances, increase the conversion rate for a holder that elects to convert its convertible notes in connection with such make-whole fundamental change or notice of redemption, as the case may be.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December 15, 2025, the 2021 Notes are convertible at the option of the holders only under the following circumstances: (1) during any calendar quarter commencing after the calendar quarter ending on June 30, 2021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the notes for each trading day of the measurement period was less than 98% of the product of the last reported sale price of the common stock and the conversion rate on each such trading day; (3) upon the occurrence of specified corporate events; or (4) upon redemption by us. On or after December 15, 2025, until the close of business on the second scheduled trading day immediately preceding March 15, 2026, holders of the 2021 Notes may convert all or a portion of their notes at any time. Upon conversion, we will pay cash up to the aggregate principal amount to be converted and pay and/or deliver, as the case may be, cash, shares of common stock or a combination of cash and shares of common stock, at our election, in respect of the remainder, if any, of our conversion obligation in excess of the aggregate principal amount of the notes being converted.</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Subsequent to March 20, 2024 and prior to December 15, 2025, we may redeem for cash all or part of the 2021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The redemption price of each convertible note to be redeemed will be the principal amount of such note, plus accrued and unpaid special interest, if any. Upon the occurrence of a fundamental change (as defined in the indenture governing the convertible notes), subject to a limited exception described in the indenture governing the convertible notes, holders may require us to repurchase all or a portion of their notes for cash at a price equal to plus accrued and unpaid special interest to, but not including, the fundamental change repurchase date (as defined in the indenture governing the convertible notes).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2021 Notes are senior unsecured obligations and rank equally in right of payment with all of our existing and future unsubordinated debt and senior in right of payment to any future debt that is expressly subordinated in right of payment to the convertible notes. The convertible notes will be effectively subordinated to any of our existing and future secured debt to the extent of the assets securing such indebtedness. The convertible notes will be structurally subordinated to all existing debt and any future debt and any other liabilities of our subsidiaries.</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2024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21, 2024, we closed the sale of $805 million of convertible notes in a private placement to qualified institutional buyers, resulting in net proceeds to us of $784 million after deducting initial purchasers' discounts of the offering. The 2024 Notes accrue interest at a rate of 1.375% per annum, payable semi-annually in arrears on January 15 and July 15 of each year, beginning on January 15, 2025. The 2024 Notes mature on July 15, 2030, unless earlier repurchased, redeemed, or converted in accordance with their terms.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conversion rate of the 2024 Notes is 7.6199 shares of our common stock per $1,000 principal amount of notes, which is equivalent to an initial conversion price of approximately $131.24 per share. The conversion rate of the notes is subject to adjustment upon the occurrence of certain specified events. In addition, upon the occurrence of a make-whole fundamental change (as defined in the indenture governing the convertible notes) or upon a notice of redemption, we will, in certain circumstances, increase the conversion rate for a holder that elects to convert its notes in connection with such make-whole fundamental change or notice of redemption, as the case may be.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April 15, 2030, the 2024 Notes are convertible at the option of the holders only under the following circumstances: (1) during any calendar quarter commencing after the calendar quarter ending on September 30, 2024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the notes for each trading day of the measurement period was less than 98% of the product of the last reported sale price of the common stock and the conversion rate on each such trading day; (3) upon the occurrence of specified corporate events; or (4) upon redemption by us. On or after April 15, 2030, until the close of business on the second scheduled trading day immediately preceding July 15, 2030, holders of the notes may convert all or a portion of their notes at any time. Upon conversion, we will pay cash up to the aggregate principal amount of the notes to be converted and pay and/or deliver, as the case may be, cash, shares of common stock or a combination of cash and shares of common stock, at our election, in respect of the remainder, if any, of our conversion obligation in excess of the aggregate principal amount of the notes being converted.</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Subsequent to July 20, 2028 and prior to April 15, 2030, we may redeem for cash all or part of the 2024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However, we may not redeem less than all of the outstanding notes unless at least $100.0 million aggregate principal amount of notes are outstanding and not called for redemption as of the time we send related redemption notices. The redemption price of each note to be redeemed will be the principal amount of such note, plus accrued and unpaid special interest, if any. Upon the occurrence of a fundamental change (as defined in the indenture governing the 2024 Notes), subject to a limited exception described in the indenture governing the notes, holders may require us to repurchase all or a portion of their notes for cash at a price equal to plus accrued and unpaid special interest to, but not including, the fundamental change repurchase date (as defined in the indenture governing the 2024 Notes).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Notes are senior unsecured obligations and rank equally in right of payment with all of our existing and future unsubordinated debt and senior in right of payment to any future debt that is expressly subordinated in right of payment to the notes. The notes will be effectively subordinated to any of our existing and future secured debt to the extent of the assets securing such indebtedness. The notes will be structurally subordinated to all existing debt and any future debt and any other liabilities of our subsidiaries.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Debt Maturities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required minimum principal payments on our long-term debt in aggregate over the next five years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1"/>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(amount remaining at September 30, 2024)</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805,000</w:t>
            </w:r>
          </w:p>
        </w:tc>
      </w:tr>
      <w:tr>
        <w:trPr>
          <w:trHeight w:val="237"/>
        </w:trPr>
        <w:tc>
          <w:tcPr>
            <w:tcW w:w="9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minimum payments on debt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1,265,000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7:</w:t>
        <w:tab/>
        <w:t>Derivative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our risk management strategy, we use derivative instruments to hedge certain foreign currency and interest rate exposures. Refer to Note 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and Note 14: Fair Value of Financial Instruments for additional disclosures on our derivative instruments.</w:t>
      </w: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Relationships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September 30, 2024, a total of 35 contracts were offsetting our exposures from the euro, pound sterling, Indonesian rupiah, Canadian dollar, Australian dollar, and various other currencies, with notional amounts ranging from $112,600 to $40.6 million.</w:t>
      </w: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continue to monitor and assess our interest rate and foreign exchange risk and may institute additional derivative instruments to manage such risk in the future.</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Defined Benefit Pension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offering death and disability, retirement, and special termination benefits for certain of our international employees, primarily in Germany, France, India, and Indonesia. The defined benefit obligation is calculated annually by using the projected unit credit method. The measurement date for the pension plans was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on the Consolidated Balance Sheets consist of:</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0"/>
        </w:trPr>
        <w:tc>
          <w:tcPr>
            <w:tcW w:w="6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Plan assets in other long-term assets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57"/>
        </w:trPr>
        <w:tc>
          <w:tcPr>
            <w:tcW w:w="6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3"/>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pension benefit obligation in wages and benefits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3,623</w:t>
            </w:r>
          </w:p>
        </w:tc>
      </w:tr>
      <w:tr>
        <w:trPr>
          <w:trHeight w:val="21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portion of pension benefit obligation</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63,887</w:t>
            </w:r>
          </w:p>
        </w:tc>
      </w:tr>
      <w:tr>
        <w:trPr>
          <w:trHeight w:val="20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benefit obligation,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69,201</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67,430</w:t>
            </w:r>
          </w:p>
        </w:tc>
      </w:tr>
      <w:tr>
        <w:trPr>
          <w:trHeight w:val="23"/>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benefit cost for our plans include the following components: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actuarial net loss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Curtailment</w:t>
            </w:r>
          </w:p>
        </w:tc>
        <w:tc>
          <w:tcPr>
            <w:tcW w:w="1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1,130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total other income (expense) on the Consolidated Statements of Operations.</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grant stock-based compensation awards, including restricted stock units, phantom stock, and unrestricted stock units, under the Second Amended and Restated 2010 Stock Incentive Plan (Stock Incentive Plan). Prior to December 31, 2020, stock options were also granted as part of the stock-based compensation awards. In the Stock Incentive Plan, we have 13,991,273 shares of common stock authorized for issuance subject to stock splits, dividends, and other similar events, and at September 30, 2024, 4,590,911 shares were available for grant. We issue new shares of common stock upon the exercise of stock options or when vesting conditions on restricted stock units are fully satisfied. These shares are subject to a fungible share provision such that the authorized share available for grant under the Plan is reduced by (i) one share for every one share subject to a stock option or share appreciation right granted and (ii) 1.7 shares for every one share of common stock that was subject to an award other than an option or share appreciation right.</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award phantom stock units, which are settled in cash upon vesting and accounted for as liability-based awards, with no impact to the shares available for grant.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maintain the Employee Stock Purchase Plan (ESPP), for which 486,098 shares of common stock were available for future issuance at September 30,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ESPP activity and stock-based grants other than stock options and restricted stock units were not significant for the three and nine months ended September 30, 2024 and 2023.</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and the related tax benefit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9,886</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6,581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19,680</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Unrestricted stock awards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r>
      <w:tr>
        <w:trPr>
          <w:trHeight w:val="21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Phantom stock units</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1,616</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1,190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3,114</w:t>
            </w:r>
          </w:p>
        </w:tc>
      </w:tr>
      <w:tr>
        <w:trPr>
          <w:trHeight w:val="237"/>
        </w:trPr>
        <w:tc>
          <w:tcPr>
            <w:tcW w:w="4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11,838</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8,027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36,445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23,645</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1"/>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tax benefit</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1,686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5,059</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stock option activity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4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280" w:type="dxa"/>
            <w:vAlign w:val="bottom"/>
            <w:vMerge w:val="restart"/>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480" w:type="dxa"/>
            <w:vAlign w:val="bottom"/>
          </w:tcPr>
          <w:p>
            <w:pPr>
              <w:jc w:val="center"/>
              <w:ind w:left="119"/>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144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0" w:type="dxa"/>
            <w:vAlign w:val="bottom"/>
          </w:tcPr>
          <w:p>
            <w:pPr>
              <w:spacing w:after="0"/>
              <w:rPr>
                <w:sz w:val="1"/>
                <w:szCs w:val="1"/>
                <w:color w:val="auto"/>
              </w:rPr>
            </w:pPr>
          </w:p>
        </w:tc>
      </w:tr>
      <w:tr>
        <w:trPr>
          <w:trHeight w:val="214"/>
        </w:trPr>
        <w:tc>
          <w:tcPr>
            <w:tcW w:w="25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Price per Share</w:t>
            </w:r>
          </w:p>
        </w:tc>
        <w:tc>
          <w:tcPr>
            <w:tcW w:w="14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14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1280" w:type="dxa"/>
            <w:vAlign w:val="bottom"/>
            <w:tcBorders>
              <w:top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i w:val="1"/>
                <w:iCs w:val="1"/>
                <w:color w:val="auto"/>
                <w:w w:val="98"/>
              </w:rPr>
              <w:t>Years</w:t>
            </w: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60.63</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Canceled</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September 30, 2023</w:t>
            </w:r>
          </w:p>
        </w:tc>
        <w:tc>
          <w:tcPr>
            <w:tcW w:w="12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60.69</w:t>
            </w:r>
          </w:p>
        </w:tc>
        <w:tc>
          <w:tcPr>
            <w:tcW w:w="12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4.1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5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Outstanding, January 1, 2024</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Pr>
          <w:p>
            <w:pPr>
              <w:spacing w:after="0"/>
              <w:rPr>
                <w:sz w:val="18"/>
                <w:szCs w:val="18"/>
                <w:color w:val="auto"/>
              </w:rPr>
            </w:pP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61.36</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4.0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54.19</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Canceled</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September 30, 2024</w:t>
            </w: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September 30, 2024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61.92</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all stock-based compensation expense related to nonvested stock options has been recognized.</w:t>
      </w: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218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340" w:type="dxa"/>
            <w:vAlign w:val="bottom"/>
          </w:tcPr>
          <w:p>
            <w:pPr>
              <w:spacing w:after="0"/>
              <w:rPr>
                <w:sz w:val="16"/>
                <w:szCs w:val="16"/>
                <w:color w:val="auto"/>
              </w:rPr>
            </w:pPr>
          </w:p>
        </w:tc>
        <w:tc>
          <w:tcPr>
            <w:tcW w:w="1840" w:type="dxa"/>
            <w:vAlign w:val="bottom"/>
            <w:vMerge w:val="restart"/>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fair value</w:t>
            </w:r>
          </w:p>
        </w:tc>
        <w:tc>
          <w:tcPr>
            <w:tcW w:w="2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34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60" w:type="dxa"/>
            <w:vAlign w:val="bottom"/>
            <w:vMerge w:val="continue"/>
          </w:tcPr>
          <w:p>
            <w:pPr>
              <w:spacing w:after="0"/>
              <w:rPr>
                <w:sz w:val="18"/>
                <w:szCs w:val="18"/>
                <w:color w:val="auto"/>
              </w:rPr>
            </w:pPr>
          </w:p>
        </w:tc>
        <w:tc>
          <w:tcPr>
            <w:tcW w:w="21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340" w:type="dxa"/>
            <w:vAlign w:val="bottom"/>
          </w:tcPr>
          <w:p>
            <w:pPr>
              <w:spacing w:after="0"/>
              <w:rPr>
                <w:sz w:val="18"/>
                <w:szCs w:val="18"/>
                <w:color w:val="auto"/>
              </w:rPr>
            </w:pPr>
          </w:p>
        </w:tc>
        <w:tc>
          <w:tcPr>
            <w:tcW w:w="18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11"/>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2023</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September 30, 2023</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2024</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33,372</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64.45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September 30, 2024</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but not released, September 30, 2024</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Shares released is presented as gross shares and does not reflect shares withheld by us for employee payroll tax obligations.</w:t>
      </w:r>
    </w:p>
    <w:p>
      <w:pPr>
        <w:spacing w:after="0" w:line="23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2024, total unrecognized compensation expense on restricted stock units was $51.9 million, which is expected to be recognized over a weighted average period of approximately 1.7 years.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weighted average assumptions used to estimate the fair value of performance-based restricted stock units granted with a service and market condition and the resulting weighted average fair value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Pr>
          <w:p>
            <w:pPr>
              <w:spacing w:after="0"/>
              <w:rPr>
                <w:sz w:val="18"/>
                <w:szCs w:val="18"/>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80" w:type="dxa"/>
            <w:vAlign w:val="bottom"/>
            <w:tcBorders>
              <w:bottom w:val="single" w:sz="8" w:color="auto"/>
            </w:tcBorders>
          </w:tcPr>
          <w:p>
            <w:pPr>
              <w:spacing w:after="0"/>
              <w:rPr>
                <w:sz w:val="18"/>
                <w:szCs w:val="18"/>
                <w:color w:val="auto"/>
              </w:rPr>
            </w:pPr>
          </w:p>
        </w:tc>
      </w:tr>
      <w:tr>
        <w:trPr>
          <w:trHeight w:val="211"/>
        </w:trPr>
        <w:tc>
          <w:tcPr>
            <w:tcW w:w="76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r>
      <w:tr>
        <w:trPr>
          <w:trHeight w:val="21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r>
      <w:tr>
        <w:trPr>
          <w:trHeight w:val="21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57"/>
        </w:trPr>
        <w:tc>
          <w:tcPr>
            <w:tcW w:w="7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fair value</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83.26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59.52</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as well as significant unusual or infrequently occurring items that are separately reported, are excluded from the annual effective tax rate.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tax rate for the three and nine months ended September 30, 2024 of 4% and 15%, respectively, differed from the federal statutory rate of 21% due to the impact of valuation allowances on deferred tax assets, the forecasted mix of earnings in domestic and international jurisdictions, U.S. taxation of foreign earnings including GILTI (Global Intangible Low-Taxed Income) tax, net of Section 250 deduction (largely driven by research and development capitalization), Subpart F income, a benefit related to stock-based compensation, tax credits, state taxes, and uncertain tax positions. During the quarter, approximately $14 million in discrete tax benefits were recorded related to the favorable resolution of a foreign tax audit.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tax rate for the three and nine months ended September 30, 2023 of 28% and 31%, respectively, differed from the federal statutory rate of 21% due to the impact of valuation allowances on deferred tax assets, the forecasted mix of earnings in domestic and international jurisdictions, U.S. taxation of foreign earnings including GILTI (Global Intangible Low-Taxed Income) tax, net of Section 250 deduction (largely driven by research and development capitalization), Subpart F income, an expense related to stock-based compensation, tax credits, and uncertain tax positions.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January 1, 2022, the Tax Cuts and Jobs Act of 2017 eliminated the option to deduct research and development expenditures currently and requires taxpayers to capitalize and amortize them over five or fifteen years, dependent upon the geography in which the expenditures are incurred. Although Congress has considered legislation that would defer, modify, or repeal the capitalization and amortization requirement, as of quarter end no such deferral has been passed. The income tax provision has been prepared according to currently enacted tax legislation, including the effect of guidance issued in December 2023 that provided clarity regarding research providers and recipients.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2022, the Inflation Reduction Act was signed into law, which made a number of changes to the Internal Revenue Code, including adding a 1% excise tax on stock buybacks by publicly traded corporations and a 15% minimum tax on adjusted financial statement income of certain large companies. We are subject to the new 1% excise tax beginning January 1, 2023, but the amount will vary depending upon various factors. The 15% minimum tax only applies to corporations with average book income in excess of $1 billion, therefore it is not currently applicable.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Legislation is in various stages of adoption, from formal legislative proposals to passage into law, in most countries where Itron has significant operations, and is expected to take effect for calendar year 2024. The OECD continues to release more guidance on these rules and framework and we are evaluating the impact to our financial position. These enactments or amendments could adversely affect our tax rate and ultimately result in a negative impact on our operating results and cash flows. Based upon forecast calculations for calendar year 2024, the Company expects to meet the safe harbors in most jurisdictions, and the remaining top-up tax is forecasted to be immaterial.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classify interest expense and penalties related to unrecognized tax benefits and interest income on tax overpayments as components of income tax expense. The net interest and penalties expense amounts recognized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and penalties expense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(5,508)</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and penalties recognized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4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30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9,794</w:t>
            </w:r>
          </w:p>
        </w:tc>
      </w:tr>
      <w:tr>
        <w:trPr>
          <w:trHeight w:val="210"/>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penalties</w:t>
            </w:r>
          </w:p>
        </w:tc>
        <w:tc>
          <w:tcPr>
            <w:tcW w:w="30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r>
    </w:tbl>
    <w:p>
      <w:pPr>
        <w:spacing w:after="0" w:line="31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Unrecognized tax benefits related to uncertain tax positions and the amount of unrecognized tax benefits that, if recognized, would affect our effective tax rate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4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benefits related to uncertain tax positions</w:t>
            </w:r>
          </w:p>
        </w:tc>
        <w:tc>
          <w:tcPr>
            <w:tcW w:w="5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115,220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130,067</w:t>
            </w:r>
          </w:p>
        </w:tc>
      </w:tr>
      <w:tr>
        <w:trPr>
          <w:trHeight w:val="210"/>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amount of unrecognized tax benefits that, if recognized, would affect our effective tax rate</w:t>
            </w:r>
          </w:p>
        </w:tc>
        <w:tc>
          <w:tcPr>
            <w:tcW w:w="5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129,591</w:t>
            </w:r>
          </w:p>
        </w:tc>
      </w:tr>
    </w:tbl>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2024, we are under examination by certain tax authorities. As a result of the favorable resolution of a foreign tax audit, a reduction in uncertain tax positions of approximately $14 million was recorded this quarter.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income tax returns in various jurisdictions. The material jurisdictions where we are subject to examination include, among others, the United States, France, Germany, India, Italy, Indonesia, and the United Kingdom.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11:</w:t>
        <w:tab/>
        <w:t>Commitments and Contingencies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available lines of credit, outstanding standby LOCs, and bonds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0"/>
        </w:trPr>
        <w:tc>
          <w:tcPr>
            <w:tcW w:w="6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(46,756)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(59,059)</w:t>
            </w:r>
          </w:p>
        </w:tc>
      </w:tr>
      <w:tr>
        <w:trPr>
          <w:trHeight w:val="235"/>
        </w:trPr>
        <w:tc>
          <w:tcPr>
            <w:tcW w:w="67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under the multicurrency revolving line of credit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453,244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440,941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available for additional standby LOCs under sub-facility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253,244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240,941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multicurrency revolving lines of credit with various financial institutions</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lines of credit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93,562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84,318</w:t>
            </w: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(21,853)</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26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676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and LOCs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73,185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62,465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surety bonds in force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247,358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271,164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any such standby LOC or bond were called, we would be obligated to reimburse the issuer of the standby LOC or bond. As of October 31, 2024, we are not aware of any valid claims against our outstanding standby LOCs or bonds.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warranty accrual account activity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25,698</w:t>
            </w: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New product warranties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5,094</w:t>
            </w: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adjustments and expirations,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Claims activity</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(5,935)</w:t>
            </w: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07"/>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23,483</w:t>
            </w: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warranty</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16,221</w:t>
            </w:r>
          </w:p>
        </w:tc>
      </w:tr>
      <w:tr>
        <w:trPr>
          <w:trHeight w:val="212"/>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warranty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7,262</w:t>
            </w:r>
          </w:p>
        </w:tc>
      </w:tr>
      <w:tr>
        <w:trPr>
          <w:trHeight w:val="21"/>
        </w:trPr>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Total warranty expense is classified within cost of revenues and consists of new product warranties issued, costs related to insurance and supplier recoveries, other changes and adjustments to warranties, and customer claims. Warranty expense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warranty expense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3,785</w:t>
            </w:r>
          </w:p>
        </w:tc>
      </w:tr>
    </w:tbl>
    <w:p>
      <w:pPr>
        <w:spacing w:after="0" w:line="30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12:</w:t>
        <w:tab/>
        <w:t>Restructuring</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2023 Projects</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are expected to be substantially complete by early 2025.</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2023 Projects were as follows:</w:t>
      </w:r>
    </w:p>
    <w:tbl>
      <w:tblPr>
        <w:tblLayout w:type="fixed"/>
        <w:tblInd w:w="0" w:type="dxa"/>
        <w:tblCellMar>
          <w:top w:w="0" w:type="dxa"/>
          <w:left w:w="0" w:type="dxa"/>
          <w:bottom w:w="0" w:type="dxa"/>
          <w:right w:w="0" w:type="dxa"/>
        </w:tblCellMar>
      </w:tblPr>
      <w:tr>
        <w:trPr>
          <w:trHeight w:val="165"/>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Total Expected Costs at</w:t>
            </w:r>
          </w:p>
        </w:tc>
        <w:tc>
          <w:tcPr>
            <w:tcW w:w="120" w:type="dxa"/>
            <w:vAlign w:val="bottom"/>
          </w:tcPr>
          <w:p>
            <w:pPr>
              <w:spacing w:after="0"/>
              <w:rPr>
                <w:sz w:val="14"/>
                <w:szCs w:val="14"/>
                <w:color w:val="auto"/>
              </w:rPr>
            </w:pPr>
          </w:p>
        </w:tc>
        <w:tc>
          <w:tcPr>
            <w:tcW w:w="2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100" w:type="dxa"/>
            <w:vAlign w:val="bottom"/>
          </w:tcPr>
          <w:p>
            <w:pPr>
              <w:spacing w:after="0"/>
              <w:rPr>
                <w:sz w:val="14"/>
                <w:szCs w:val="14"/>
                <w:color w:val="auto"/>
              </w:rPr>
            </w:pPr>
          </w:p>
        </w:tc>
        <w:tc>
          <w:tcPr>
            <w:tcW w:w="2080" w:type="dxa"/>
            <w:vAlign w:val="bottom"/>
            <w:gridSpan w:val="2"/>
          </w:tcPr>
          <w:p>
            <w:pPr>
              <w:jc w:val="center"/>
              <w:ind w:right="200"/>
              <w:spacing w:after="0" w:line="165" w:lineRule="exact"/>
              <w:rPr>
                <w:sz w:val="20"/>
                <w:szCs w:val="20"/>
                <w:color w:val="auto"/>
              </w:rPr>
            </w:pPr>
            <w:r>
              <w:rPr>
                <w:rFonts w:ascii="Times New Roman" w:cs="Times New Roman" w:eastAsia="Times New Roman" w:hAnsi="Times New Roman"/>
                <w:sz w:val="16"/>
                <w:szCs w:val="16"/>
                <w:b w:val="1"/>
                <w:bCs w:val="1"/>
                <w:color w:val="auto"/>
              </w:rPr>
              <w:t>Adjustments Recognized</w:t>
            </w:r>
          </w:p>
        </w:tc>
        <w:tc>
          <w:tcPr>
            <w:tcW w:w="208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Expected Remaining Costs to</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During the Nine Months</w:t>
            </w:r>
          </w:p>
        </w:tc>
        <w:tc>
          <w:tcPr>
            <w:tcW w:w="20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be Recognized at September</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100" w:type="dxa"/>
            <w:vAlign w:val="bottom"/>
          </w:tcPr>
          <w:p>
            <w:pPr>
              <w:spacing w:after="0"/>
              <w:rPr>
                <w:sz w:val="18"/>
                <w:szCs w:val="18"/>
                <w:color w:val="auto"/>
              </w:rPr>
            </w:pP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Ended September 30, 2024</w:t>
            </w:r>
          </w:p>
        </w:tc>
        <w:tc>
          <w:tcPr>
            <w:tcW w:w="420" w:type="dxa"/>
            <w:vAlign w:val="bottom"/>
          </w:tcPr>
          <w:p>
            <w:pPr>
              <w:spacing w:after="0"/>
              <w:rPr>
                <w:sz w:val="18"/>
                <w:szCs w:val="18"/>
                <w:color w:val="auto"/>
              </w:rPr>
            </w:pPr>
          </w:p>
        </w:tc>
        <w:tc>
          <w:tcPr>
            <w:tcW w:w="166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30, 2024</w:t>
            </w:r>
          </w:p>
        </w:tc>
        <w:tc>
          <w:tcPr>
            <w:tcW w:w="0" w:type="dxa"/>
            <w:vAlign w:val="bottom"/>
          </w:tcPr>
          <w:p>
            <w:pPr>
              <w:spacing w:after="0"/>
              <w:rPr>
                <w:sz w:val="1"/>
                <w:szCs w:val="1"/>
                <w:color w:val="auto"/>
              </w:rPr>
            </w:pPr>
          </w:p>
        </w:tc>
      </w:tr>
      <w:tr>
        <w:trPr>
          <w:trHeight w:val="211"/>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severance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43,347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 impairments &amp; net loss (gain) on</w:t>
            </w:r>
          </w:p>
        </w:tc>
        <w:tc>
          <w:tcPr>
            <w:tcW w:w="16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 or disposal</w:t>
            </w:r>
          </w:p>
        </w:tc>
        <w:tc>
          <w:tcPr>
            <w:tcW w:w="16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1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0" w:type="dxa"/>
            <w:vAlign w:val="bottom"/>
          </w:tcPr>
          <w:p>
            <w:pPr>
              <w:spacing w:after="0"/>
              <w:rPr>
                <w:sz w:val="1"/>
                <w:szCs w:val="1"/>
                <w:color w:val="auto"/>
              </w:rPr>
            </w:pPr>
          </w:p>
        </w:tc>
      </w:tr>
      <w:tr>
        <w:trPr>
          <w:trHeight w:val="212"/>
        </w:trPr>
        <w:tc>
          <w:tcPr>
            <w:tcW w:w="26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50,254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48,528</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2021 Projects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29, 2021, our Board of Directors approved a restructuring plan (the 2021 Projects), which in conjunction with the announcement of the sale of certain Gas product lines from our Device Solutions manufacturing and business operations in Europe and North America to Dresser Utility Solutions, includes activities to drive reductions in certain locations and functional support areas. These projects are expected to be substantially complete by the end of 2024.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2021 Projects were as follows:</w:t>
      </w:r>
    </w:p>
    <w:tbl>
      <w:tblPr>
        <w:tblLayout w:type="fixed"/>
        <w:tblInd w:w="0" w:type="dxa"/>
        <w:tblCellMar>
          <w:top w:w="0" w:type="dxa"/>
          <w:left w:w="0" w:type="dxa"/>
          <w:bottom w:w="0" w:type="dxa"/>
          <w:right w:w="0" w:type="dxa"/>
        </w:tblCellMar>
      </w:tblPr>
      <w:tr>
        <w:trPr>
          <w:trHeight w:val="165"/>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Total Expected Costs at</w:t>
            </w:r>
          </w:p>
        </w:tc>
        <w:tc>
          <w:tcPr>
            <w:tcW w:w="120" w:type="dxa"/>
            <w:vAlign w:val="bottom"/>
          </w:tcPr>
          <w:p>
            <w:pPr>
              <w:spacing w:after="0"/>
              <w:rPr>
                <w:sz w:val="14"/>
                <w:szCs w:val="14"/>
                <w:color w:val="auto"/>
              </w:rPr>
            </w:pPr>
          </w:p>
        </w:tc>
        <w:tc>
          <w:tcPr>
            <w:tcW w:w="2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100" w:type="dxa"/>
            <w:vAlign w:val="bottom"/>
          </w:tcPr>
          <w:p>
            <w:pPr>
              <w:spacing w:after="0"/>
              <w:rPr>
                <w:sz w:val="14"/>
                <w:szCs w:val="14"/>
                <w:color w:val="auto"/>
              </w:rPr>
            </w:pPr>
          </w:p>
        </w:tc>
        <w:tc>
          <w:tcPr>
            <w:tcW w:w="2080" w:type="dxa"/>
            <w:vAlign w:val="bottom"/>
            <w:gridSpan w:val="2"/>
          </w:tcPr>
          <w:p>
            <w:pPr>
              <w:jc w:val="center"/>
              <w:ind w:right="200"/>
              <w:spacing w:after="0" w:line="165" w:lineRule="exact"/>
              <w:rPr>
                <w:sz w:val="20"/>
                <w:szCs w:val="20"/>
                <w:color w:val="auto"/>
              </w:rPr>
            </w:pPr>
            <w:r>
              <w:rPr>
                <w:rFonts w:ascii="Times New Roman" w:cs="Times New Roman" w:eastAsia="Times New Roman" w:hAnsi="Times New Roman"/>
                <w:sz w:val="16"/>
                <w:szCs w:val="16"/>
                <w:b w:val="1"/>
                <w:bCs w:val="1"/>
                <w:color w:val="auto"/>
              </w:rPr>
              <w:t>Adjustments Recognized</w:t>
            </w:r>
          </w:p>
        </w:tc>
        <w:tc>
          <w:tcPr>
            <w:tcW w:w="208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Expected Remaining Costs to</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During the Nine Months</w:t>
            </w:r>
          </w:p>
        </w:tc>
        <w:tc>
          <w:tcPr>
            <w:tcW w:w="20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be Recognized at September</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100" w:type="dxa"/>
            <w:vAlign w:val="bottom"/>
          </w:tcPr>
          <w:p>
            <w:pPr>
              <w:spacing w:after="0"/>
              <w:rPr>
                <w:sz w:val="18"/>
                <w:szCs w:val="18"/>
                <w:color w:val="auto"/>
              </w:rPr>
            </w:pP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Ended September 30, 2024</w:t>
            </w:r>
          </w:p>
        </w:tc>
        <w:tc>
          <w:tcPr>
            <w:tcW w:w="420" w:type="dxa"/>
            <w:vAlign w:val="bottom"/>
          </w:tcPr>
          <w:p>
            <w:pPr>
              <w:spacing w:after="0"/>
              <w:rPr>
                <w:sz w:val="18"/>
                <w:szCs w:val="18"/>
                <w:color w:val="auto"/>
              </w:rPr>
            </w:pPr>
          </w:p>
        </w:tc>
        <w:tc>
          <w:tcPr>
            <w:tcW w:w="166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30, 2024</w:t>
            </w:r>
          </w:p>
        </w:tc>
        <w:tc>
          <w:tcPr>
            <w:tcW w:w="0" w:type="dxa"/>
            <w:vAlign w:val="bottom"/>
          </w:tcPr>
          <w:p>
            <w:pPr>
              <w:spacing w:after="0"/>
              <w:rPr>
                <w:sz w:val="1"/>
                <w:szCs w:val="1"/>
                <w:color w:val="auto"/>
              </w:rPr>
            </w:pPr>
          </w:p>
        </w:tc>
      </w:tr>
      <w:tr>
        <w:trPr>
          <w:trHeight w:val="211"/>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severance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34,367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 impairments &amp; net loss (gain) on</w:t>
            </w:r>
          </w:p>
        </w:tc>
        <w:tc>
          <w:tcPr>
            <w:tcW w:w="16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8,379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 or disposal</w:t>
            </w:r>
          </w:p>
        </w:tc>
        <w:tc>
          <w:tcPr>
            <w:tcW w:w="16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1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0" w:type="dxa"/>
            <w:vAlign w:val="bottom"/>
          </w:tcPr>
          <w:p>
            <w:pPr>
              <w:spacing w:after="0"/>
              <w:rPr>
                <w:sz w:val="1"/>
                <w:szCs w:val="1"/>
                <w:color w:val="auto"/>
              </w:rPr>
            </w:pPr>
          </w:p>
        </w:tc>
      </w:tr>
      <w:tr>
        <w:trPr>
          <w:trHeight w:val="212"/>
        </w:trPr>
        <w:tc>
          <w:tcPr>
            <w:tcW w:w="26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47,404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46,929</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activity within the restructuring related balance sheet accounts for the 2023 Projects and the 2021 Projects during the nine months ended September 30, 2024:</w:t>
      </w:r>
    </w:p>
    <w:tbl>
      <w:tblPr>
        <w:tblLayout w:type="fixed"/>
        <w:tblInd w:w="0" w:type="dxa"/>
        <w:tblCellMar>
          <w:top w:w="0" w:type="dxa"/>
          <w:left w:w="0" w:type="dxa"/>
          <w:bottom w:w="0" w:type="dxa"/>
          <w:right w:w="0" w:type="dxa"/>
        </w:tblCellMar>
      </w:tblPr>
      <w:tr>
        <w:trPr>
          <w:trHeight w:val="165"/>
        </w:trPr>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Accrued Employee</w:t>
            </w:r>
          </w:p>
        </w:tc>
        <w:tc>
          <w:tcPr>
            <w:tcW w:w="140" w:type="dxa"/>
            <w:vAlign w:val="bottom"/>
          </w:tcPr>
          <w:p>
            <w:pPr>
              <w:spacing w:after="0"/>
              <w:rPr>
                <w:sz w:val="14"/>
                <w:szCs w:val="14"/>
                <w:color w:val="auto"/>
              </w:rPr>
            </w:pPr>
          </w:p>
        </w:tc>
        <w:tc>
          <w:tcPr>
            <w:tcW w:w="206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rPr>
              <w:t>Asset Impairments &amp; Net</w:t>
            </w:r>
          </w:p>
        </w:tc>
        <w:tc>
          <w:tcPr>
            <w:tcW w:w="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Loss (Gain) on Sale or</w:t>
            </w:r>
          </w:p>
        </w:tc>
        <w:tc>
          <w:tcPr>
            <w:tcW w:w="200" w:type="dxa"/>
            <w:vAlign w:val="bottom"/>
          </w:tcPr>
          <w:p>
            <w:pPr>
              <w:spacing w:after="0"/>
              <w:rPr>
                <w:sz w:val="14"/>
                <w:szCs w:val="14"/>
                <w:color w:val="auto"/>
              </w:rPr>
            </w:pPr>
          </w:p>
        </w:tc>
        <w:tc>
          <w:tcPr>
            <w:tcW w:w="1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Other Accrued Costs</w:t>
            </w:r>
          </w:p>
        </w:tc>
        <w:tc>
          <w:tcPr>
            <w:tcW w:w="480" w:type="dxa"/>
            <w:vAlign w:val="bottom"/>
          </w:tcPr>
          <w:p>
            <w:pPr>
              <w:spacing w:after="0"/>
              <w:rPr>
                <w:sz w:val="14"/>
                <w:szCs w:val="14"/>
                <w:color w:val="auto"/>
              </w:rPr>
            </w:pPr>
          </w:p>
        </w:tc>
        <w:tc>
          <w:tcPr>
            <w:tcW w:w="1600" w:type="dxa"/>
            <w:vAlign w:val="bottom"/>
            <w:vMerge w:val="restart"/>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14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Disposal</w:t>
            </w:r>
          </w:p>
        </w:tc>
        <w:tc>
          <w:tcPr>
            <w:tcW w:w="20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January 1, 2024</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68,698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72,376</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charged to expense</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(20,141)</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assets disposed and impaired</w:t>
            </w:r>
          </w:p>
        </w:tc>
        <w:tc>
          <w:tcPr>
            <w:tcW w:w="24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0" w:type="dxa"/>
            <w:vAlign w:val="bottom"/>
          </w:tcPr>
          <w:p>
            <w:pPr>
              <w:spacing w:after="0"/>
              <w:rPr>
                <w:sz w:val="1"/>
                <w:szCs w:val="1"/>
                <w:color w:val="auto"/>
              </w:rPr>
            </w:pPr>
          </w:p>
        </w:tc>
      </w:tr>
      <w:tr>
        <w:trPr>
          <w:trHeight w:val="21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September 30, 2024</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49,568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52,548</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restructuring costs include expenses for employee relocation, professional fees associated with employee severance, costs to exit the facilities once the operations in those facilities have ceased, and other costs associated with the liquidation of any affected legal entities.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Restructuring expense is recognized within the Corporate unallocated segment and does not impact the results of our operating segments.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portions of restructuring liabilities were $25.2 million and $21.0 million as of September 30, 2024 and December 31, 2023 and are classified within other current liabilities on the Consolidated Balance Sheets. The long-term portions of restructuring liabilities were $27.3 million and $51.4 million as of September 30, 2024 and December 31, 2023. The long-term portions of restructuring liabilities are classified within other long-term obligations on the Consolidated Balance Sheets and include severance accruals and facility exit costs.</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September 30, 2024 or December 31, 2023.</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Programs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September 19, 2024, Itron's Board of Directors authorized a share repurchase up to $100 million of our common stock over an 18-month period (the 2024 Stock Repurchase Program). The repurchase program is intended to comply with Rule 10b-18 promulgated under the Securities Exchange Act of 1934, as amended. We repurchased no shares under the 2024 Stock Repurchase Program.</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May 11, 2023, Itron's Board of Directors authorized a share repurchase up to $100 million of our common stock over an 18-month period (the 2023 Stock Repurchase Program). In June 2024, we repurchased 971,534 shares under the 2023 Stock Repurchase Program at an average price of $102.93 (excluding commissions) for a total of $100.0 million. This repurchase was completed in conjunction with the issuance of the convertible notes.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2021 Call Option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paid an aggregate amount of $84.1 million for the 2021 call option transactions. The 2021 call option transactions cover, subject to anti-dilution adjustments substantially similar to those in the 2021 Notes, approximately 3.7 million shares of our common stock, the same number of shares initially underlying the 2021 Notes, at a strike price of approximately $126.00, subject to customary adjustments. The 2021 call option transactions will expire upon the maturity of the 2021 Notes, subject to earlier exercise or termination. The 2021 call option transactions are expected generally to reduce the potential dilutive effect of the conversion of our 2021 Notes and/or offset any cash payments we are required to make in excess of the principal amount of the converted notes, as the case may be, in the event that the market price per share of our common stock, as measured under the terms of the 2021 call option transactions, is greater than the strike price of the 2021 call option transactions. The 2021 call option transactions meet the criteria in Accounting Standards Codification (ASC) 815-40 to be classified within Stockholders' Equity, and therefore they are not revalued after their issuance.</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a tax election to integrate the 2021 Notes and the 2021 call option transactions.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2021 Notes, and results in a $20.6 million deferred tax asset recognized through equity.</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Warrant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concurrently with entering into the 2021 call option transactions, we separately entered into privately-negotiated warrant transactions (the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and therefore the warrants are not revalued after issuance.</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2024 Capped Call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issuance of the 2024 Notes, we entered into privately negotiated capped call transactions on our common stock with certain commercial banks. The 2024 capped call transactions cover, subject to anti-dilution adjustments substantially similar to those in the 2024 Notes, approximately 6.1 million shares of our common stock, the same number of shares initially underlying the convertible notes, at a strike price of approximately $131.2353, subject to customary adjustments. The cap price of the 2024 capped call transactions will initially be $205.86 per share, which represents a premium of 100% over the last reported stock price per share of the Company's common stock on June 17, 2024, and is subject to certain adjustments under the terms of the 2024 capped call transactions. The 2024 capped call transactions will expire upon the maturity of the 2024 Notes, subject to earlier exercise or termination.</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a tax election to integrate the 2024 Notes and the 2024 capped call transactions. We are retaining the identification statements in our books and records, together with a schedule providing the accruals on the synthetic debt instruments. The accounting impact of this tax election makes the capped call transactions deductible as original issue discount for tax purposes over the term of the 2024 Notes, and results in a $26.7 million deferred tax asset recognized through equity.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 (AOCI)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components of AOCI, net of tax,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5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40" w:type="dxa"/>
            <w:vAlign w:val="bottom"/>
          </w:tcPr>
          <w:p>
            <w:pPr>
              <w:spacing w:after="0"/>
              <w:rPr>
                <w:sz w:val="16"/>
                <w:szCs w:val="16"/>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Gain (Loss) on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Gain (Loss) on</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4"/>
                <w:szCs w:val="14"/>
                <w:color w:val="auto"/>
              </w:rPr>
            </w:pPr>
          </w:p>
        </w:tc>
        <w:tc>
          <w:tcPr>
            <w:tcW w:w="14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Nonderivative</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Obligation</w:t>
            </w:r>
          </w:p>
        </w:tc>
        <w:tc>
          <w:tcPr>
            <w:tcW w:w="140" w:type="dxa"/>
            <w:vAlign w:val="bottom"/>
          </w:tcPr>
          <w:p>
            <w:pPr>
              <w:spacing w:after="0"/>
              <w:rPr>
                <w:sz w:val="14"/>
                <w:szCs w:val="14"/>
                <w:color w:val="auto"/>
              </w:rPr>
            </w:pPr>
          </w:p>
        </w:tc>
        <w:tc>
          <w:tcPr>
            <w:tcW w:w="130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3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0" w:type="dxa"/>
            <w:vAlign w:val="bottom"/>
          </w:tcPr>
          <w:p>
            <w:pPr>
              <w:spacing w:after="0"/>
              <w:rPr>
                <w:sz w:val="1"/>
                <w:szCs w:val="1"/>
                <w:color w:val="auto"/>
              </w:rPr>
            </w:pPr>
          </w:p>
        </w:tc>
      </w:tr>
      <w:tr>
        <w:trPr>
          <w:trHeight w:val="211"/>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(83,193)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(94,674)</w:t>
            </w:r>
          </w:p>
        </w:tc>
        <w:tc>
          <w:tcPr>
            <w:tcW w:w="0" w:type="dxa"/>
            <w:vAlign w:val="bottom"/>
          </w:tcPr>
          <w:p>
            <w:pPr>
              <w:spacing w:after="0"/>
              <w:rPr>
                <w:sz w:val="1"/>
                <w:szCs w:val="1"/>
                <w:color w:val="auto"/>
              </w:rPr>
            </w:pPr>
          </w:p>
        </w:tc>
      </w:tr>
      <w:tr>
        <w:trPr>
          <w:trHeight w:val="207"/>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(5,844)</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(5,844)</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(6,166)</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September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(100,840)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(67,643)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(81,190)</w:t>
            </w:r>
          </w:p>
        </w:tc>
        <w:tc>
          <w:tcPr>
            <w:tcW w:w="0" w:type="dxa"/>
            <w:vAlign w:val="bottom"/>
          </w:tcPr>
          <w:p>
            <w:pPr>
              <w:spacing w:after="0"/>
              <w:rPr>
                <w:sz w:val="1"/>
                <w:szCs w:val="1"/>
                <w:color w:val="auto"/>
              </w:rPr>
            </w:pPr>
          </w:p>
        </w:tc>
      </w:tr>
      <w:tr>
        <w:trPr>
          <w:trHeight w:val="207"/>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September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(78,186)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before-tax, income tax (provision) benefit, and net-of-tax amounts related to each component of other comprehensive income (OCI)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9"/>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Before-tax amount</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(5,834)</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before tax</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19,908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Tax (provision) benefit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42"/>
        </w:trPr>
        <w:tc>
          <w:tcPr>
            <w:tcW w:w="43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Total other comprehensive income (loss) tax (provision)</w:t>
            </w: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2"/>
                <w:szCs w:val="12"/>
                <w:color w:val="auto"/>
              </w:rPr>
            </w:pP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2"/>
                <w:szCs w:val="12"/>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2"/>
                <w:szCs w:val="12"/>
                <w:color w:val="auto"/>
              </w:rPr>
            </w:pP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9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26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Net-of-tax amount</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(5,844)</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net of tax</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5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fair values at September 30, 2024 and December 31, 2023 do not reflect subsequent changes in the economy, interest rates, tax rates, and other variables that may affect the determination of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w w:val="98"/>
              </w:rPr>
              <w:t>September 30, 2024</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2060" w:type="dxa"/>
            <w:vAlign w:val="bottom"/>
            <w:gridSpan w:val="3"/>
          </w:tcPr>
          <w:p>
            <w:pPr>
              <w:jc w:val="center"/>
              <w:ind w:right="102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20" w:type="dxa"/>
            <w:vAlign w:val="bottom"/>
          </w:tcPr>
          <w:p>
            <w:pPr>
              <w:jc w:val="center"/>
              <w:ind w:right="539"/>
              <w:spacing w:after="0" w:line="158"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3"/>
          </w:tcPr>
          <w:p>
            <w:pPr>
              <w:jc w:val="center"/>
              <w:ind w:right="102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20" w:type="dxa"/>
            <w:vAlign w:val="bottom"/>
          </w:tcPr>
          <w:p>
            <w:pPr>
              <w:jc w:val="right"/>
              <w:ind w:right="57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3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gridSpan w:val="3"/>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20" w:type="dxa"/>
            <w:vAlign w:val="bottom"/>
            <w:gridSpan w:val="3"/>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60" w:type="dxa"/>
            <w:vAlign w:val="bottom"/>
            <w:gridSpan w:val="3"/>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8"/>
        </w:trPr>
        <w:tc>
          <w:tcPr>
            <w:tcW w:w="4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42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   $</w:t>
            </w:r>
          </w:p>
        </w:tc>
        <w:tc>
          <w:tcPr>
            <w:tcW w:w="206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1,240,950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1,333,393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454,827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423,476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fair values: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Due to the liquid nature of these instruments, the carrying amount approximates fair value (Level 1).</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Credit facility - multicurrency revolving line of credit: </w:t>
      </w:r>
      <w:r>
        <w:rPr>
          <w:rFonts w:ascii="Times New Roman" w:cs="Times New Roman" w:eastAsia="Times New Roman" w:hAnsi="Times New Roman"/>
          <w:sz w:val="18"/>
          <w:szCs w:val="18"/>
          <w:color w:val="auto"/>
        </w:rPr>
        <w:t>The revolver is not traded publicly. The fair values, which are determined based upon a hypothetical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participant, are calculated using a discounted cash flow model with Level 2 inputs, including estimates of incremental borrowing rates for debt with similar terms, maturities, and credit profiles. Refer to Note 6: Debt for a further discussion of our debt.</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The convertible notes are not listed on any securities exchange but may be actively traded. The fair value is estimated using 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as it is based on quoted prices for these instruments in active markets.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Each derivative asset and liability has a carrying value equal to fair value. The fair values of our derivative instruments are determined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income approach and significant other observable inputs (and are classified as Level 2 in the fair value hierarchy). We have used observable market inputs based on the type of derivative and the nature of the underlying instrument. The key inputs include foreign exchange spot and forward rates, all of which are available in an active market. We have utilized the mid-market pricing convention for these inputs.</w:t>
      </w:r>
    </w:p>
    <w:p>
      <w:pPr>
        <w:spacing w:after="0" w:line="20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 Outcomes.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Goodwill impairment charges are recognized in Corporate unallocated. In addition, we allocate only certain production assets and intangible assets to our operating segments. We do not manage the performance of the segments on a balance sheet basis.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Products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Device Solutions </w:t>
      </w:r>
      <w:r>
        <w:rPr>
          <w:rFonts w:ascii="Times New Roman" w:cs="Times New Roman" w:eastAsia="Times New Roman" w:hAnsi="Times New Roman"/>
          <w:sz w:val="18"/>
          <w:szCs w:val="18"/>
          <w:color w:val="auto"/>
        </w:rPr>
        <w:t>– This segment primarily includes hardware products used for measurement, control, or sensing. These products generally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capability or may be designed for use with non-Itron systems.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and designed to meet market requirements; and the implementation and installation of said hardware products.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Networked Solutions </w:t>
      </w:r>
      <w:r>
        <w:rPr>
          <w:rFonts w:ascii="Times New Roman" w:cs="Times New Roman" w:eastAsia="Times New Roman" w:hAnsi="Times New Roman"/>
          <w:sz w:val="18"/>
          <w:szCs w:val="18"/>
          <w:color w:val="auto"/>
        </w:rPr>
        <w:t>– This segment primarily includes a combination of communicating devices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and associated head-end management and application software designed and sold as a complete solution for acquiring and transporting robust application-specific data. Networked Solutions includes products and software for the implementation, installation, and management of communicating devices and data networks. The Industrial Internet of Things (IIoT) solutions supported by this segment include automated meter reading (AMR); advanced metering infrastructure (AMI) for electricity, water and gas; distributed energy resource management (DERMs); smart grid and distribution automation; smart street lighting; and leak detection and applications for both gas and water systems. Our IIoT platform allows utility and smart city applications to be run and managed on a flexible multi-purpose network.</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Outcomes </w:t>
      </w:r>
      <w:r>
        <w:rPr>
          <w:rFonts w:ascii="Times New Roman" w:cs="Times New Roman" w:eastAsia="Times New Roman" w:hAnsi="Times New Roman"/>
          <w:sz w:val="18"/>
          <w:szCs w:val="18"/>
          <w:color w:val="auto"/>
        </w:rPr>
        <w:t>– This segment primarily includes our value-added, enhanced software and services, artificial intelligence, and machine learning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enable grid edge intelligence and manage, organize, analyze, and interpret raw, anonymized data to improve decision making, maximize operational profitability, enhance resource efficiency, improve grid analytics, and deliver results for consumers, utilities, and smart cities. Outcomes supports high-value use cases, such as data management, grid operations, distributed intelligence, AMI operations, gas distribution and safety, water operations management, revenue assurance, DERMs, energy forecasting, consumer engagement, smart payment, and fleet energy resource management. Utilities leverage these outcomes to unlock the capabilities of their networks and devices, improve the productivity of their workforce, increase the reliability of their operations, manage and optimize the proliferation of distributed energy resources (DERs), address grid complexity, and enhance the customer experience. Revenue from these offerings are primarily recurring in nature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would include any direct management of Device Solutions, Networked Solutions, and other third-parties' products on behalf of our end customers.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gross profit, and operating income associated with our operating segments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10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Product revenues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365,956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340,098</w:t>
            </w: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390,201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1,158,857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964,909</w:t>
            </w: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74,165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56,475</w:t>
            </w:r>
          </w:p>
        </w:tc>
      </w:tr>
      <w:tr>
        <w:trPr>
          <w:trHeight w:val="207"/>
        </w:trPr>
        <w:tc>
          <w:tcPr>
            <w:tcW w:w="43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538,249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480,355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1,598,978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1,361,482</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Service revenues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w:t>
            </w: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94,460</w:t>
            </w: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47,586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148,835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138,433</w:t>
            </w:r>
          </w:p>
        </w:tc>
      </w:tr>
      <w:tr>
        <w:trPr>
          <w:trHeight w:val="207"/>
        </w:trPr>
        <w:tc>
          <w:tcPr>
            <w:tcW w:w="43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77,213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80,417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228,995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234,978</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368,040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342,183</w:t>
            </w: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416,713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384,971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1,236,933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1,059,369</w:t>
            </w: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65,032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223,000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194,908</w:t>
            </w:r>
          </w:p>
        </w:tc>
      </w:tr>
      <w:tr>
        <w:trPr>
          <w:trHeight w:val="207"/>
        </w:trPr>
        <w:tc>
          <w:tcPr>
            <w:tcW w:w="43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615,462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560,772</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1,827,973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1,596,460</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94,637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75,351</w:t>
            </w: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362,852</w:t>
            </w: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77,970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79,315</w:t>
            </w:r>
          </w:p>
        </w:tc>
      </w:tr>
      <w:tr>
        <w:trPr>
          <w:trHeight w:val="207"/>
        </w:trPr>
        <w:tc>
          <w:tcPr>
            <w:tcW w:w="43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209,598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187,203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625,437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517,518</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71,913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45,837</w:t>
            </w: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349,353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266,052</w:t>
            </w: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35,867</w:t>
            </w:r>
          </w:p>
        </w:tc>
      </w:tr>
      <w:tr>
        <w:trPr>
          <w:trHeight w:val="213"/>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Corporate unallocated</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(78,969)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(75,568)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(250,814)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(268,159)</w:t>
            </w:r>
          </w:p>
        </w:tc>
      </w:tr>
      <w:tr>
        <w:trPr>
          <w:trHeight w:val="212"/>
        </w:trPr>
        <w:tc>
          <w:tcPr>
            <w:tcW w:w="4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201,380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79,597</w:t>
            </w:r>
          </w:p>
        </w:tc>
      </w:tr>
      <w:tr>
        <w:trPr>
          <w:trHeight w:val="213"/>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13,301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w:t>
            </w:r>
          </w:p>
        </w:tc>
      </w:tr>
      <w:tr>
        <w:trPr>
          <w:trHeight w:val="235"/>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82,425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55,733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214,681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77,924</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one customer represented 10.7% of total company revenue. This revenue is included in both the Networked Solutions and Outcomes reporting segments. For the three months ended September 30, 2023, and the nine months ended September 30, 2024 and 2023, no single customer represented more than 10% of total company revenue.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region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10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and Canada</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505,606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452,583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1,486,090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1,256,042</w:t>
            </w: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272,107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265,814</w:t>
            </w: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69,776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74,604</w:t>
            </w:r>
          </w:p>
        </w:tc>
      </w:tr>
      <w:tr>
        <w:trPr>
          <w:trHeight w:val="207"/>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615,462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560,772</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1,827,973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1,596,460</w:t>
            </w:r>
          </w:p>
        </w:tc>
      </w:tr>
      <w:tr>
        <w:trPr>
          <w:trHeight w:val="23"/>
        </w:trPr>
        <w:tc>
          <w:tcPr>
            <w:tcW w:w="4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is allocated to the operating segments based upon each segment's use of the assets. All amortization expense is recognized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unallocated. Depreciation and amortization of intangible assets expense associated with our operating segments was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Device Solutions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9,467</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Networked Solutions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12,273</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Outcomes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w:t>
            </w:r>
          </w:p>
        </w:tc>
      </w:tr>
      <w:tr>
        <w:trPr>
          <w:trHeight w:val="21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unallocated</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16,525</w:t>
            </w:r>
          </w:p>
        </w:tc>
      </w:tr>
      <w:tr>
        <w:trPr>
          <w:trHeight w:val="235"/>
        </w:trPr>
        <w:tc>
          <w:tcPr>
            <w:tcW w:w="4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40,979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42,013</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significant net changes in the contract assets and the contract liabilities balances during the period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6"/>
                <w:szCs w:val="16"/>
                <w:color w:val="auto"/>
              </w:rPr>
            </w:pPr>
          </w:p>
        </w:tc>
        <w:tc>
          <w:tcPr>
            <w:tcW w:w="20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Contract Liabilities, Less</w:t>
            </w:r>
          </w:p>
        </w:tc>
        <w:tc>
          <w:tcPr>
            <w:tcW w:w="0" w:type="dxa"/>
            <w:vAlign w:val="bottom"/>
          </w:tcPr>
          <w:p>
            <w:pPr>
              <w:spacing w:after="0"/>
              <w:rPr>
                <w:sz w:val="1"/>
                <w:szCs w:val="1"/>
                <w:color w:val="auto"/>
              </w:rPr>
            </w:pPr>
          </w:p>
        </w:tc>
      </w:tr>
      <w:tr>
        <w:trPr>
          <w:trHeight w:val="214"/>
        </w:trPr>
        <w:tc>
          <w:tcPr>
            <w:tcW w:w="90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Contract Assets</w:t>
            </w:r>
          </w:p>
        </w:tc>
        <w:tc>
          <w:tcPr>
            <w:tcW w:w="0" w:type="dxa"/>
            <w:vAlign w:val="bottom"/>
          </w:tcPr>
          <w:p>
            <w:pPr>
              <w:spacing w:after="0"/>
              <w:rPr>
                <w:sz w:val="1"/>
                <w:szCs w:val="1"/>
                <w:color w:val="auto"/>
              </w:rPr>
            </w:pPr>
          </w:p>
        </w:tc>
      </w:tr>
      <w:tr>
        <w:trPr>
          <w:trHeight w:val="211"/>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January 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82,885</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recognized from beginning contract liability</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(63,720)</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Cumulative catch-up adjustments</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Increases due to amounts collected or due</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265,285</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recognized from current period increases</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(163,207)</w:t>
            </w:r>
          </w:p>
        </w:tc>
        <w:tc>
          <w:tcPr>
            <w:tcW w:w="0" w:type="dxa"/>
            <w:vAlign w:val="bottom"/>
          </w:tcPr>
          <w:p>
            <w:pPr>
              <w:spacing w:after="0"/>
              <w:rPr>
                <w:sz w:val="1"/>
                <w:szCs w:val="1"/>
                <w:color w:val="auto"/>
              </w:rPr>
            </w:pP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37"/>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September 30,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124,412</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 2024, total contract assets were $80.1 million and total contract liabilities were $163.0 million. On September 30, 2024, total contract assets were $74.1 million and total contract liabilities were $198.5 million. The contract assets primarily relate to contracts that include a retention clause and allocations related to contracts with multiple performance obligations. The contract liabilities primarily relate to deferred revenue, such as extended warranty and maintenance agreements. The cumulative catch-up adjustments relate to contract modifications, measure-of-progress changes, and changes in the estimate of the transaction price.</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Transaction price allocated to the remaining performance obligations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related to contracts is approximately $1.5 billion for the next 12 months and approximately $1.6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recognized over the extended warranty period, and hardware, which is recognized as units are delivered. The estimate of when remaining performance obligations will be recognized requires significant judgment.</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to obtain a contract and cost to fulfill a contract with a customer</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Refer to Note 15: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spacing w:after="0" w:line="2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Business Combination</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Elpis2, Inc.</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 2024, we completed the acquisition of 100% of the shares of Elpis2, Inc. (Elpis Squared), a privately held software and services company. This acquisition provides value to Itron through the leverage of Elpis Squared's utility grid analytics, services, and operational software platforms to enhance Itron's Outcomes offerings. The acquisition was deemed a business acquisition. The sales, results of operations, and acquisition-related costs associated with the acquisition were not material.</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price for this acquisition is $34.1 million. The purchase price was allocated to assets acquired and liabilities assumed, primarily $15.0 million in finite-lived intangible assets and $19.7 million in goodwill. Since this was a stock acquisition, none of the goodwill is deductible for tax purposes. The purchase was funded through cash on hand. Refer to Note 4: Intangible Assets and Liabilities and Note 5: Goodwill for additional information</w:t>
      </w:r>
      <w:r>
        <w:rPr>
          <w:rFonts w:ascii="Times New Roman" w:cs="Times New Roman" w:eastAsia="Times New Roman" w:hAnsi="Times New Roman"/>
          <w:sz w:val="16"/>
          <w:szCs w:val="16"/>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unaudited consolidated financial statements and notes included in this report and with the consolidated financial statements and the notes thereto for the fiscal year ended December 31, 2023 filed with the Securities and Exchange Commission (SEC) in our Annual Report on Form 10-K on February 26, 2024 (2023 Annual Report).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 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the analysis will enhance a reader's understanding of our financial condition, cash flows, and other changes in financial condition and results of operations.</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Documents we provide to the SEC are available free of charge under the Investors section of our website at </w:t>
      </w:r>
      <w:r>
        <w:rPr>
          <w:rFonts w:ascii="Times New Roman" w:cs="Times New Roman" w:eastAsia="Times New Roman" w:hAnsi="Times New Roman"/>
          <w:sz w:val="18"/>
          <w:szCs w:val="18"/>
          <w:i w:val="1"/>
          <w:iCs w:val="1"/>
          <w:color w:val="auto"/>
        </w:rPr>
        <w:t>https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www.itron.com</w:t>
      </w:r>
      <w:r>
        <w:rPr>
          <w:rFonts w:ascii="Times New Roman" w:cs="Times New Roman" w:eastAsia="Times New Roman" w:hAnsi="Times New Roman"/>
          <w:sz w:val="18"/>
          <w:szCs w:val="18"/>
          <w:color w:val="auto"/>
        </w:rPr>
        <w:t xml:space="preserve"> as soon as practicable after they are filed with or furnished to the SEC. In addition, these documents are available at the SEC's website (</w:t>
      </w:r>
      <w:r>
        <w:rPr>
          <w:rFonts w:ascii="Times New Roman" w:cs="Times New Roman" w:eastAsia="Times New Roman" w:hAnsi="Times New Roman"/>
          <w:sz w:val="18"/>
          <w:szCs w:val="18"/>
          <w:i w:val="1"/>
          <w:iCs w:val="1"/>
          <w:color w:val="auto"/>
        </w:rPr>
        <w:t>https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Forward-Looking Statements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222222"/>
        </w:rPr>
        <w:t>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Quarterly Report on Form 10-Q.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222222"/>
        </w:rPr>
        <w:t>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2023 Annual Report and other reports on file with the SEC. We undertake no obligation to update or revise any forward-looking statement, whether written or oral.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technology, solutions,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The product and operating definitions of the three segments are as follows:</w:t>
      </w: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Device Solutions </w:t>
      </w:r>
      <w:r>
        <w:rPr>
          <w:rFonts w:ascii="Times New Roman" w:cs="Times New Roman" w:eastAsia="Times New Roman" w:hAnsi="Times New Roman"/>
          <w:sz w:val="18"/>
          <w:szCs w:val="18"/>
          <w:color w:val="auto"/>
        </w:rPr>
        <w:t>– This segment primarily includes hardware products used for measurement, control, or sensing. These products generally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capability or may be designed for use with non-Itron systems.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and designed to meet market requirements; and the implementation and installation of said hardware products.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Networked Solutions </w:t>
      </w:r>
      <w:r>
        <w:rPr>
          <w:rFonts w:ascii="Times New Roman" w:cs="Times New Roman" w:eastAsia="Times New Roman" w:hAnsi="Times New Roman"/>
          <w:sz w:val="18"/>
          <w:szCs w:val="18"/>
          <w:color w:val="auto"/>
        </w:rPr>
        <w:t>– This segment primarily includes a combination of communicating devices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and associated head-end management and application software designed and sold as a complete solution for acquiring and transporting robust application-specific data. Networked Solutions includes products and software for the implementation, installation, and management of communicating devices and data networks. The IIoT solutions supported by this segment include automated meter reading (AMR); advanced metering infrastructure (AMI) for electricity, water and gas; distributed energy resource management (DERMs); smart grid and distribution automation; smart street lighting; and leak detection and applications for both gas and water systems. Our IIoT platform allows utility and smart city applications to be run and managed on a flexible multi-purpose network.</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Outcomes </w:t>
      </w:r>
      <w:r>
        <w:rPr>
          <w:rFonts w:ascii="Times New Roman" w:cs="Times New Roman" w:eastAsia="Times New Roman" w:hAnsi="Times New Roman"/>
          <w:sz w:val="18"/>
          <w:szCs w:val="18"/>
          <w:color w:val="auto"/>
        </w:rPr>
        <w:t>– This segment primarily includes our value-added, enhanced software and services, artificial intelligence, and machine learning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enable grid edge intelligence and manage, organize, analyze, and interpret raw, anonymized data to improve decision making, maximize operational profitability, enhance resource efficiency, improve grid analytics, and deliver results for consumers, utilities, and smart cities. Outcomes supports high-value use cases, such as data management, grid operations, distributed intelligence, AMI operations, gas distribution and safety, water operations management, revenue assurance, DERMs, energy forecasting, consumer engagement, smart payment, and fleet energy resource management. Utilities leverage these outcomes to unlock the capabilities of their networks and devices, improve the productivity of their workforce, increase the reliability of their operations, manage and optimize the proliferation of distributed energy resources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Non-GAAP Measures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free cash flow, and constant currency.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our discussions of the operating results below, we may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constant currency</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Refer to the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section below on pages 44-47 for information about these non-GAAP measures and the detailed reconciliation of items that impacted non-GAAP operating expenses, non-GAAP operating income, non-GAAP net income, non-GAAP diluted EPS, adjusted EBITDA, and free cash flow in the periods presented.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Highlights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 xml:space="preserve">Highlights and significant developments for the </w:t>
      </w:r>
      <w:r>
        <w:rPr>
          <w:rFonts w:ascii="Times New Roman" w:cs="Times New Roman" w:eastAsia="Times New Roman" w:hAnsi="Times New Roman"/>
          <w:sz w:val="18"/>
          <w:szCs w:val="18"/>
          <w:i w:val="1"/>
          <w:iCs w:val="1"/>
          <w:color w:val="000000"/>
        </w:rPr>
        <w:t>three months ended September 30, 2024 compared with the three months ended September 30, 2023</w:t>
      </w:r>
    </w:p>
    <w:p>
      <w:pPr>
        <w:spacing w:after="0" w:line="65" w:lineRule="exact"/>
        <w:rPr>
          <w:sz w:val="20"/>
          <w:szCs w:val="20"/>
          <w:color w:val="auto"/>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Revenues were $615.5 million compared with $560.8 million in 2023, an increase of 10%</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Gross margin was </w:t>
      </w:r>
      <w:r>
        <w:rPr>
          <w:rFonts w:ascii="Times New Roman" w:cs="Times New Roman" w:eastAsia="Times New Roman" w:hAnsi="Times New Roman"/>
          <w:sz w:val="18"/>
          <w:szCs w:val="18"/>
          <w:color w:val="000000"/>
        </w:rPr>
        <w:t>34.1%</w:t>
      </w:r>
      <w:r>
        <w:rPr>
          <w:rFonts w:ascii="Times New Roman" w:cs="Times New Roman" w:eastAsia="Times New Roman" w:hAnsi="Times New Roman"/>
          <w:sz w:val="18"/>
          <w:szCs w:val="18"/>
          <w:color w:val="222222"/>
        </w:rPr>
        <w:t>, compared with 33.4% in 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Operating expenses increased $3.4 million, or 3%, compared with 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Net income attributable to Itron, Inc. was $78.0 million compared with net income of $40.2 million in 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GAAP diluted EPS increased by </w:t>
      </w:r>
      <w:r>
        <w:rPr>
          <w:rFonts w:ascii="Times New Roman" w:cs="Times New Roman" w:eastAsia="Times New Roman" w:hAnsi="Times New Roman"/>
          <w:sz w:val="18"/>
          <w:szCs w:val="18"/>
          <w:color w:val="000000"/>
        </w:rPr>
        <w:t>$0.83</w:t>
      </w:r>
      <w:r>
        <w:rPr>
          <w:rFonts w:ascii="Times New Roman" w:cs="Times New Roman" w:eastAsia="Times New Roman" w:hAnsi="Times New Roman"/>
          <w:sz w:val="18"/>
          <w:szCs w:val="18"/>
          <w:color w:val="222222"/>
        </w:rPr>
        <w:t xml:space="preserve"> to $1.70 in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net income attributable to Itron, Inc. was $84.3 million compared with $44.9 million in 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diluted EPS was $1.84, an increase of $0.86 compared with 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Adjusted EBITDA was $88.6 million compared with $68.5 million in 2023</w:t>
      </w:r>
    </w:p>
    <w:p>
      <w:pPr>
        <w:spacing w:after="0" w:line="63" w:lineRule="exact"/>
        <w:rPr>
          <w:rFonts w:ascii="Times New Roman" w:cs="Times New Roman" w:eastAsia="Times New Roman" w:hAnsi="Times New Roman"/>
          <w:sz w:val="18"/>
          <w:szCs w:val="18"/>
          <w:color w:val="222222"/>
        </w:rPr>
      </w:pPr>
    </w:p>
    <w:p>
      <w:pPr>
        <w:ind w:left="260" w:right="20" w:hanging="171"/>
        <w:spacing w:after="0" w:line="282" w:lineRule="auto"/>
        <w:tabs>
          <w:tab w:leader="none" w:pos="255"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Total backlog was $4.0 billion and twelve-month backlog was $1.7 billion at </w:t>
      </w:r>
      <w:r>
        <w:rPr>
          <w:rFonts w:ascii="Times New Roman" w:cs="Times New Roman" w:eastAsia="Times New Roman" w:hAnsi="Times New Roman"/>
          <w:sz w:val="18"/>
          <w:szCs w:val="18"/>
          <w:color w:val="000000"/>
        </w:rPr>
        <w:t>September 30, 2024, compared with</w:t>
      </w:r>
      <w:r>
        <w:rPr>
          <w:rFonts w:ascii="Times New Roman" w:cs="Times New Roman" w:eastAsia="Times New Roman" w:hAnsi="Times New Roman"/>
          <w:sz w:val="18"/>
          <w:szCs w:val="18"/>
          <w:color w:val="222222"/>
        </w:rPr>
        <w:t xml:space="preserve"> $4.2 billion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22222"/>
        </w:rPr>
        <w:t xml:space="preserve"> $2.0 billion </w:t>
      </w:r>
      <w:r>
        <w:rPr>
          <w:rFonts w:ascii="Times New Roman" w:cs="Times New Roman" w:eastAsia="Times New Roman" w:hAnsi="Times New Roman"/>
          <w:sz w:val="18"/>
          <w:szCs w:val="18"/>
          <w:color w:val="000000"/>
        </w:rPr>
        <w:t>at</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 xml:space="preserve">Highlights and significant developments for the </w:t>
      </w:r>
      <w:r>
        <w:rPr>
          <w:rFonts w:ascii="Times New Roman" w:cs="Times New Roman" w:eastAsia="Times New Roman" w:hAnsi="Times New Roman"/>
          <w:sz w:val="18"/>
          <w:szCs w:val="18"/>
          <w:i w:val="1"/>
          <w:iCs w:val="1"/>
          <w:color w:val="000000"/>
        </w:rPr>
        <w:t>nine</w:t>
      </w:r>
      <w:r>
        <w:rPr>
          <w:rFonts w:ascii="Times New Roman" w:cs="Times New Roman" w:eastAsia="Times New Roman" w:hAnsi="Times New Roman"/>
          <w:sz w:val="18"/>
          <w:szCs w:val="18"/>
          <w:i w:val="1"/>
          <w:iCs w:val="1"/>
          <w:color w:val="222222"/>
        </w:rPr>
        <w:t xml:space="preserve"> months ended </w:t>
      </w:r>
      <w:r>
        <w:rPr>
          <w:rFonts w:ascii="Times New Roman" w:cs="Times New Roman" w:eastAsia="Times New Roman" w:hAnsi="Times New Roman"/>
          <w:sz w:val="18"/>
          <w:szCs w:val="18"/>
          <w:i w:val="1"/>
          <w:iCs w:val="1"/>
          <w:color w:val="000000"/>
        </w:rPr>
        <w:t>September 30, 2024 compared with the nine months ended September 30, 2023</w:t>
      </w:r>
    </w:p>
    <w:p>
      <w:pPr>
        <w:spacing w:after="0" w:line="65" w:lineRule="exact"/>
        <w:rPr>
          <w:sz w:val="20"/>
          <w:szCs w:val="20"/>
          <w:color w:val="auto"/>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Revenues were $1.8 billion compared with $1.6 billion in 2023, an increase of $231.5 million, or 15%</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Gross margin was 34.2% compared with 32.4% in 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Operating expenses decreased $13.9 million, or 3%, compared with 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 xml:space="preserve">Net income attributable to Itron, Inc. was $181.0 million compared with net income of $52.5 million in </w:t>
      </w:r>
      <w:r>
        <w:rPr>
          <w:rFonts w:ascii="Times New Roman" w:cs="Times New Roman" w:eastAsia="Times New Roman" w:hAnsi="Times New Roman"/>
          <w:sz w:val="18"/>
          <w:szCs w:val="18"/>
          <w:color w:val="222222"/>
        </w:rPr>
        <w:t>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GAAP diluted EPS increased by $2.76 to $3.91 in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Non-GAAP net income attributable to Itron, Inc. was </w:t>
      </w:r>
      <w:r>
        <w:rPr>
          <w:rFonts w:ascii="Times New Roman" w:cs="Times New Roman" w:eastAsia="Times New Roman" w:hAnsi="Times New Roman"/>
          <w:sz w:val="18"/>
          <w:szCs w:val="18"/>
          <w:color w:val="000000"/>
        </w:rPr>
        <w:t>$197.6 million</w:t>
      </w:r>
      <w:r>
        <w:rPr>
          <w:rFonts w:ascii="Times New Roman" w:cs="Times New Roman" w:eastAsia="Times New Roman" w:hAnsi="Times New Roman"/>
          <w:sz w:val="18"/>
          <w:szCs w:val="18"/>
          <w:color w:val="222222"/>
        </w:rPr>
        <w:t xml:space="preserve"> compared with </w:t>
      </w:r>
      <w:r>
        <w:rPr>
          <w:rFonts w:ascii="Times New Roman" w:cs="Times New Roman" w:eastAsia="Times New Roman" w:hAnsi="Times New Roman"/>
          <w:sz w:val="18"/>
          <w:szCs w:val="18"/>
          <w:color w:val="000000"/>
        </w:rPr>
        <w:t>$97.1 million</w:t>
      </w:r>
      <w:r>
        <w:rPr>
          <w:rFonts w:ascii="Times New Roman" w:cs="Times New Roman" w:eastAsia="Times New Roman" w:hAnsi="Times New Roman"/>
          <w:sz w:val="18"/>
          <w:szCs w:val="18"/>
          <w:color w:val="222222"/>
        </w:rPr>
        <w:t xml:space="preserve"> in 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diluted EPS was $4.27, an increase of $2.15 compared with 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 xml:space="preserve">Adjusted EBITDA was $242.2 million compared with $157.2 million in </w:t>
      </w:r>
      <w:r>
        <w:rPr>
          <w:rFonts w:ascii="Times New Roman" w:cs="Times New Roman" w:eastAsia="Times New Roman" w:hAnsi="Times New Roman"/>
          <w:sz w:val="18"/>
          <w:szCs w:val="18"/>
          <w:color w:val="222222"/>
        </w:rPr>
        <w:t>2023</w:t>
      </w:r>
    </w:p>
    <w:p>
      <w:pPr>
        <w:spacing w:after="0" w:line="3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Programs</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September 19, 2024, Itron's Board of Directors authorized a share repurchase up to $100 million of our common stock over an 18-month period (the 2024 Stock Repurchase Program). The repurchase program is intended to comply with Rule 10b-18 promulgated under the Securities Exchange Act of 1934, as amended. We repurchased no shares under the 2024 Stock Repurchase Program.</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2024, we repurchased 971,534 shares under the 2023 Stock Repurchase Program at an average price of $102.93 (excluding commissions) for a total of $100.0 million. This repurchase was completed in conjunction with the issuance of the convertible notes.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Amendment to 2018 credit facility</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entered into our credit facility on January 5, 2018 (the 2018 credit facility). On June 14, 2024, we entered into an eighth amendment of the 2018 credit facility. In contemplation of the issuance of the 2024 convertible notes, this amendment to the Credit Agreement removed the $500 million maximum amount of convertible notes we could offer.</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21, 2024, we closed the sale of $805 million of convertible notes (the 2024 Notes) in a private placement to qualified institutional buyers, resulting in net proceeds to us of $784 million. The 2024 Notes accrue interest at a rate of 1.375% per annum, payable semi-annually in arrears on January 15 and July 15 of each year, beginning on January 15, 2025. The 2024 Notes mature on July 15, 2030, unless earlier repurchased, redeemed, or converted in accordance with their terms. Refer to Item 1: Financial Statements (Unaudited), Note 6: Debt, and Note 13: Shareholders' Equity included in this Quarterly Report on Form 10-Q for additional information.</w:t>
      </w:r>
    </w:p>
    <w:p>
      <w:pPr>
        <w:spacing w:after="0" w:line="2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Business Acquisition</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 2024, we completed the acquisition of 100% of the shares of Elpis2, Inc. (Elpis Squared), a privately held software and services company. This acquisition provides value to Itron through the leverage of Elpis Squared's utility grid analytics, services, and operational software platforms to enhance Itron's Outcomes offerings. The acquisition was deemed a business acquisition. The sales, results of operations, and acquisition-related costs associated with the acquisition were not material. The purchase price for this acquisition is $34.1 million. The purchase price was allocated to assets acquired and liabilities assumed, primarily $15.0 million in finite-lived intangible assets and $19.7 million in goodwill. Since this was a stock acquisition, none of the goodwill is deductible for tax purposes. The purchase was funded through cash on hand.</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Global Geopolitical and Economic Supply Chain Risk</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Global economic impacts, such as pandemics and various ongoing conflicts around the world, may create disruption in customer demand and global supply chains, resulting in market volatility, which our management continues to monitor. In the aftermath of these types of events, global supply chains, including labor, may struggle to keep pace with rapidly changing demand. Temporary imbalance in supply and demand may create business uncertainties that include costs and availability. Efforts continue with suppliers to improve supply resiliency, including the approval of alternate sources. Additionally, inflation in our raw materials and component costs, freight charges, sanctions, tariffs, and labor costs may increase above historical levels due to, among other things, the continuing impacts of an uncertain economic environment. We may or may not be able to fully recover these increased costs through pricing actions with our customers. Currently, we have not identified any significant decrease in long-term customer demand for our products and services. For more information on risks associated with global economic challenges, please see our risk in Part I, Item 1A: Risk Factors in our 2023 Annual Report.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limited direct business exposure in areas with current conflict, such as Ukraine and Israel, military actions globally and any resulting sanctions or tariffs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the military action, sanctions, tariffs, and resulting market and/or supply disruptions are impossible to predict but could be substantial, and our management continues to monitor these events closely.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GAAP and Non-GAAP Highlights and Endpoints Under Management: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gridSpan w:val="7"/>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350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2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i w:val="1"/>
                <w:iCs w:val="1"/>
                <w:color w:val="auto"/>
              </w:rPr>
              <w:t>In thousands, except margin and per share data</w:t>
            </w: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171"/>
        </w:trPr>
        <w:tc>
          <w:tcPr>
            <w:tcW w:w="20" w:type="dxa"/>
            <w:vAlign w:val="bottom"/>
          </w:tcPr>
          <w:p>
            <w:pPr>
              <w:spacing w:after="0"/>
              <w:rPr>
                <w:sz w:val="14"/>
                <w:szCs w:val="14"/>
                <w:color w:val="auto"/>
              </w:rPr>
            </w:pPr>
          </w:p>
        </w:tc>
        <w:tc>
          <w:tcPr>
            <w:tcW w:w="3720" w:type="dxa"/>
            <w:vAlign w:val="bottom"/>
            <w:gridSpan w:val="5"/>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GAAP</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Product 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538,249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480,355</w:t>
            </w:r>
          </w:p>
        </w:tc>
        <w:tc>
          <w:tcPr>
            <w:tcW w:w="11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1,598,978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1,361,482</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5"/>
              </w:rPr>
              <w:t>17%</w:t>
            </w:r>
          </w:p>
        </w:tc>
      </w:tr>
      <w:tr>
        <w:trPr>
          <w:trHeight w:val="213"/>
        </w:trPr>
        <w:tc>
          <w:tcPr>
            <w:tcW w:w="20" w:type="dxa"/>
            <w:vAlign w:val="bottom"/>
            <w:tcBorders>
              <w:bottom w:val="single" w:sz="8" w:color="CCEEFF"/>
            </w:tcBorders>
          </w:tcPr>
          <w:p>
            <w:pPr>
              <w:spacing w:after="0"/>
              <w:rPr>
                <w:sz w:val="18"/>
                <w:szCs w:val="18"/>
                <w:color w:val="auto"/>
              </w:rPr>
            </w:pPr>
          </w:p>
        </w:tc>
        <w:tc>
          <w:tcPr>
            <w:tcW w:w="3720" w:type="dxa"/>
            <w:vAlign w:val="bottom"/>
            <w:tcBorders>
              <w:bottom w:val="single" w:sz="8" w:color="CCEEFF"/>
            </w:tcBorders>
            <w:gridSpan w:val="5"/>
          </w:tcPr>
          <w:p>
            <w:pPr>
              <w:ind w:left="200"/>
              <w:spacing w:after="0"/>
              <w:rPr>
                <w:sz w:val="20"/>
                <w:szCs w:val="20"/>
                <w:color w:val="auto"/>
              </w:rPr>
            </w:pPr>
            <w:r>
              <w:rPr>
                <w:rFonts w:ascii="Times New Roman" w:cs="Times New Roman" w:eastAsia="Times New Roman" w:hAnsi="Times New Roman"/>
                <w:sz w:val="16"/>
                <w:szCs w:val="16"/>
                <w:color w:val="auto"/>
              </w:rPr>
              <w:t>Service revenues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77,213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80,417</w:t>
            </w:r>
          </w:p>
        </w:tc>
        <w:tc>
          <w:tcPr>
            <w:tcW w:w="116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228,995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234,978</w:t>
            </w:r>
          </w:p>
        </w:tc>
        <w:tc>
          <w:tcPr>
            <w:tcW w:w="118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(3)%</w:t>
            </w:r>
          </w:p>
        </w:tc>
      </w:tr>
      <w:tr>
        <w:trPr>
          <w:trHeight w:val="212"/>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615,462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560,772</w:t>
            </w:r>
          </w:p>
        </w:tc>
        <w:tc>
          <w:tcPr>
            <w:tcW w:w="11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1,827,973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1,596,460</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5"/>
              </w:rPr>
              <w:t>15%</w:t>
            </w:r>
          </w:p>
        </w:tc>
      </w:tr>
      <w:tr>
        <w:trPr>
          <w:trHeight w:val="257"/>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209,598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187,203</w:t>
            </w:r>
          </w:p>
        </w:tc>
        <w:tc>
          <w:tcPr>
            <w:tcW w:w="11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625,437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517,518</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5"/>
              </w:rPr>
              <w:t>21%</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135,665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132,313</w:t>
            </w:r>
          </w:p>
        </w:tc>
        <w:tc>
          <w:tcPr>
            <w:tcW w:w="11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424,057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437,921</w:t>
            </w:r>
          </w:p>
        </w:tc>
        <w:tc>
          <w:tcPr>
            <w:tcW w:w="1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(3)%</w:t>
            </w: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73,933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54,890</w:t>
            </w:r>
          </w:p>
        </w:tc>
        <w:tc>
          <w:tcPr>
            <w:tcW w:w="11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201,380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79,597</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6"/>
              </w:rPr>
              <w:t>153%</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843</w:t>
            </w:r>
          </w:p>
        </w:tc>
        <w:tc>
          <w:tcPr>
            <w:tcW w:w="11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907%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13,301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(1,673)</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(15,388)</w:t>
            </w:r>
          </w:p>
        </w:tc>
        <w:tc>
          <w:tcPr>
            <w:tcW w:w="11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(32,124)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(24,513)</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5"/>
              </w:rPr>
              <w:t>31%</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 attributable to Itron, Inc.</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77,959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40,172</w:t>
            </w:r>
          </w:p>
        </w:tc>
        <w:tc>
          <w:tcPr>
            <w:tcW w:w="11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180,998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52,537</w:t>
            </w:r>
          </w:p>
        </w:tc>
        <w:tc>
          <w:tcPr>
            <w:tcW w:w="1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6"/>
              </w:rPr>
              <w:t>245%</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372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Non-GAAP</w:t>
            </w:r>
            <w:r>
              <w:rPr>
                <w:rFonts w:ascii="Times New Roman" w:cs="Times New Roman" w:eastAsia="Times New Roman" w:hAnsi="Times New Roman"/>
                <w:sz w:val="20"/>
                <w:szCs w:val="20"/>
                <w:b w:val="1"/>
                <w:bCs w:val="1"/>
                <w:color w:val="auto"/>
                <w:vertAlign w:val="superscript"/>
              </w:rPr>
              <w:t>(1)</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130,628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128,197</w:t>
            </w:r>
          </w:p>
        </w:tc>
        <w:tc>
          <w:tcPr>
            <w:tcW w:w="11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410,058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385,833</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3"/>
              </w:rPr>
              <w:t>6%</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Non-GAAP operating income</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78,970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59,006</w:t>
            </w:r>
          </w:p>
        </w:tc>
        <w:tc>
          <w:tcPr>
            <w:tcW w:w="11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215,379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131,685</w:t>
            </w:r>
          </w:p>
        </w:tc>
        <w:tc>
          <w:tcPr>
            <w:tcW w:w="1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5"/>
              </w:rPr>
              <w:t>64%</w:t>
            </w: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84,251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44,892</w:t>
            </w:r>
          </w:p>
        </w:tc>
        <w:tc>
          <w:tcPr>
            <w:tcW w:w="11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197,644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97,098</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6"/>
              </w:rPr>
              <w:t>104%</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88,598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68,461</w:t>
            </w:r>
          </w:p>
        </w:tc>
        <w:tc>
          <w:tcPr>
            <w:tcW w:w="11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242,183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157,229</w:t>
            </w:r>
          </w:p>
        </w:tc>
        <w:tc>
          <w:tcPr>
            <w:tcW w:w="1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5"/>
              </w:rPr>
              <w:t>54%</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37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GAAP Margins and Earnings Per Share</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2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Product gross margin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30.9 %</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 gross margin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72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Total gross margin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0.88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0.87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3"/>
        </w:trPr>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175"/>
        </w:trPr>
        <w:tc>
          <w:tcPr>
            <w:tcW w:w="20" w:type="dxa"/>
            <w:vAlign w:val="bottom"/>
          </w:tcPr>
          <w:p>
            <w:pPr>
              <w:spacing w:after="0"/>
              <w:rPr>
                <w:sz w:val="15"/>
                <w:szCs w:val="15"/>
                <w:color w:val="auto"/>
              </w:rPr>
            </w:pPr>
          </w:p>
        </w:tc>
        <w:tc>
          <w:tcPr>
            <w:tcW w:w="372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Non-GAAP Earnings Per Share</w:t>
            </w:r>
            <w:r>
              <w:rPr>
                <w:rFonts w:ascii="Times New Roman" w:cs="Times New Roman" w:eastAsia="Times New Roman" w:hAnsi="Times New Roman"/>
                <w:sz w:val="20"/>
                <w:szCs w:val="20"/>
                <w:b w:val="1"/>
                <w:bCs w:val="1"/>
                <w:color w:val="auto"/>
                <w:vertAlign w:val="superscript"/>
              </w:rPr>
              <w:t>(1)</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EPS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0.98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bl>
    <w:p>
      <w:pPr>
        <w:spacing w:after="0" w:line="81" w:lineRule="exact"/>
        <w:rPr>
          <w:sz w:val="20"/>
          <w:szCs w:val="20"/>
          <w:color w:val="auto"/>
        </w:rPr>
      </w:pPr>
    </w:p>
    <w:p>
      <w:pPr>
        <w:ind w:left="340" w:right="20" w:hanging="332"/>
        <w:spacing w:after="0" w:line="225" w:lineRule="auto"/>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measures exclude certain expenses that we do not believe are indicative of our core operating results. See pages 44-47 for information about these non-GAAP measures and reconciliations to the most comparable GAAP measures.</w:t>
      </w: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Definition of an Endpoint Under Management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"endpoint under management" is a unique endpoint, or data from that endpoint, which Itron manages via our networked platform or a third party's platform that is connected to one or multiple types of endpoints. Itron's management of an endpoint occurs when on behalf of our client, we manage one or more of the physical endpoints, operating system, data, application, data analytics, and/or outcome deriving from this unique endpoint. Itron has the ability to monitor and/or manage endpoints or the data from the endpoints via Network-as-a-Service (NaaS), Software-as-a-Service (SaaS), and/or a licensed offering at a remote location designated by our client. Our offerings typically, but not exclusively, provide an Itron product or Itron certified partner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to our clients that has the capability of one-way communication or two-way communication of data that may include remote product configuration and upgradability. Examples of these offerings include our Temetra, OpenWay®, OpenWay® Riva and Gen X.</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metric primarily includes Itron or third-party endpoints deployed within the electricity, water, and gas utility industries, as well as within cities and municipalities around the globe. Endpoints under management also include smart communication modules and network interface cards (NICs) within Itron's platforms. At times, these NICs are communicating modules that were sold separately from an Itron product directly to our customers or to third party manufacturers for use in endpoints such as electric, water, and gas meters; streetlights and other types of IIoT sensors and actuators; sensors and other capabilities that the end customer would like Itron to connect and manage on its behalf.</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endpoints under management metric only accounts for the specific, unique endpoint itself, though that endpoint may have multiple applications, services, outcomes, and higher margin recurring offerings associated with it. This metric does not reflect the multi-application value that can be derived from the individual endpoint itself. Additionally, this metric excludes those endpoints that are non-communicating, non-Itron system hardware component sales or licensed applications for which Itron does not manage the unit or the data from that unit directly.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one-time sale of the platform and endpoints is primarily delivered via our Networked Solutions segment, our enhanced solutions, on-going monitoring, maintenance, software, analytics, and distributed intelligent applications are predominantly recognized in our Outcomes segment. We anticipate the opportunity to increase our penetration of Outcomes applications, software, and managed applications will increase as our endpoints under management increases. Management believes using the endpoints under management metric enhances insight of the strategic and operational direction of our Networked Solutions and Outcomes segments to serve clients for years following their one-time installation of an endpoint.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endpoints under management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24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000" w:type="dxa"/>
            <w:vAlign w:val="bottom"/>
            <w:tcBorders>
              <w:bottom w:val="single" w:sz="8" w:color="auto"/>
            </w:tcBorders>
          </w:tcPr>
          <w:p>
            <w:pPr>
              <w:spacing w:after="0"/>
              <w:rPr>
                <w:sz w:val="18"/>
                <w:szCs w:val="18"/>
                <w:color w:val="auto"/>
              </w:rPr>
            </w:pP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Units in thousands</w:t>
            </w:r>
          </w:p>
        </w:tc>
        <w:tc>
          <w:tcPr>
            <w:tcW w:w="16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Endpoints under management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100,999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96,143</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revenues and gross profit were as follows: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615,462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560,772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center"/>
              <w:ind w:left="939"/>
              <w:spacing w:after="0"/>
              <w:rPr>
                <w:sz w:val="20"/>
                <w:szCs w:val="20"/>
                <w:color w:val="auto"/>
              </w:rPr>
            </w:pPr>
            <w:r>
              <w:rPr>
                <w:rFonts w:ascii="Times New Roman" w:cs="Times New Roman" w:eastAsia="Times New Roman" w:hAnsi="Times New Roman"/>
                <w:sz w:val="16"/>
                <w:szCs w:val="16"/>
                <w:color w:val="auto"/>
                <w:w w:val="99"/>
              </w:rPr>
              <w:t>998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54,690</w:t>
            </w:r>
          </w:p>
        </w:tc>
        <w:tc>
          <w:tcPr>
            <w:tcW w:w="0" w:type="dxa"/>
            <w:vAlign w:val="bottom"/>
          </w:tcPr>
          <w:p>
            <w:pPr>
              <w:spacing w:after="0"/>
              <w:rPr>
                <w:sz w:val="1"/>
                <w:szCs w:val="1"/>
                <w:color w:val="auto"/>
              </w:rPr>
            </w:pPr>
          </w:p>
        </w:tc>
      </w:tr>
      <w:tr>
        <w:trPr>
          <w:trHeight w:val="210"/>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209,598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left="939"/>
              <w:spacing w:after="0"/>
              <w:rPr>
                <w:sz w:val="20"/>
                <w:szCs w:val="20"/>
                <w:color w:val="auto"/>
              </w:rPr>
            </w:pPr>
            <w:r>
              <w:rPr>
                <w:rFonts w:ascii="Times New Roman" w:cs="Times New Roman" w:eastAsia="Times New Roman" w:hAnsi="Times New Roman"/>
                <w:sz w:val="16"/>
                <w:szCs w:val="16"/>
                <w:color w:val="auto"/>
                <w:w w:val="99"/>
              </w:rPr>
              <w:t>169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22,395</w:t>
            </w:r>
          </w:p>
        </w:tc>
        <w:tc>
          <w:tcPr>
            <w:tcW w:w="0" w:type="dxa"/>
            <w:vAlign w:val="bottom"/>
          </w:tcPr>
          <w:p>
            <w:pPr>
              <w:spacing w:after="0"/>
              <w:rPr>
                <w:sz w:val="1"/>
                <w:szCs w:val="1"/>
                <w:color w:val="auto"/>
              </w:rPr>
            </w:pPr>
          </w:p>
        </w:tc>
      </w:tr>
      <w:tr>
        <w:trPr>
          <w:trHeight w:val="789"/>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1,827,973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1,596,460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center"/>
              <w:ind w:left="939"/>
              <w:spacing w:after="0"/>
              <w:rPr>
                <w:sz w:val="20"/>
                <w:szCs w:val="20"/>
                <w:color w:val="auto"/>
              </w:rPr>
            </w:pPr>
            <w:r>
              <w:rPr>
                <w:rFonts w:ascii="Times New Roman" w:cs="Times New Roman" w:eastAsia="Times New Roman" w:hAnsi="Times New Roman"/>
                <w:sz w:val="16"/>
                <w:szCs w:val="16"/>
                <w:color w:val="auto"/>
                <w:w w:val="99"/>
              </w:rPr>
              <w:t>540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231,513</w:t>
            </w:r>
          </w:p>
        </w:tc>
        <w:tc>
          <w:tcPr>
            <w:tcW w:w="0" w:type="dxa"/>
            <w:vAlign w:val="bottom"/>
          </w:tcPr>
          <w:p>
            <w:pPr>
              <w:spacing w:after="0"/>
              <w:rPr>
                <w:sz w:val="1"/>
                <w:szCs w:val="1"/>
                <w:color w:val="auto"/>
              </w:rPr>
            </w:pPr>
          </w:p>
        </w:tc>
      </w:tr>
      <w:tr>
        <w:trPr>
          <w:trHeight w:val="210"/>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625,437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517,518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left="899"/>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107,919</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2024 vs. Three months ended September 30, 2023</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revenues increased $54.7 million, or 10%, in the current 2024 quarter, compared with the same period in 2023. Product revenues increased by $57.9 million, and service revenues decreased $3.2 million. Device Solutions increased by $12.0 million; Networked Solutions increased by $31.7 million; and Outcomes increased by $11.0 million when compared with the same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last year. Changes in exchange rates favorably impacted total revenues by $1.0 million, of which $0.5 million impacted Device Solutions.</w:t>
      </w: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2024 vs. Nine months ended September 30, 2023</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22222"/>
        </w:rPr>
        <w:t xml:space="preserve">Total revenues increased $231.5 million, or 15%, compared with the same period in </w:t>
      </w:r>
      <w:r>
        <w:rPr>
          <w:rFonts w:ascii="Times New Roman" w:cs="Times New Roman" w:eastAsia="Times New Roman" w:hAnsi="Times New Roman"/>
          <w:sz w:val="18"/>
          <w:szCs w:val="18"/>
          <w:color w:val="000000"/>
        </w:rPr>
        <w:t>2023. Product revenues increased by $237.5 million, and service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revenues decreased by $6.0 million. </w:t>
      </w:r>
      <w:r>
        <w:rPr>
          <w:rFonts w:ascii="Times New Roman" w:cs="Times New Roman" w:eastAsia="Times New Roman" w:hAnsi="Times New Roman"/>
          <w:sz w:val="18"/>
          <w:szCs w:val="18"/>
          <w:color w:val="222222"/>
        </w:rPr>
        <w:t>Device Solutions increased by $25.9 million; Networked Solutions increased by</w:t>
      </w:r>
      <w:r>
        <w:rPr>
          <w:rFonts w:ascii="Times New Roman" w:cs="Times New Roman" w:eastAsia="Times New Roman" w:hAnsi="Times New Roman"/>
          <w:sz w:val="18"/>
          <w:szCs w:val="18"/>
          <w:color w:val="000000"/>
        </w:rPr>
        <w:t xml:space="preserve"> $177.6 million</w:t>
      </w:r>
      <w:r>
        <w:rPr>
          <w:rFonts w:ascii="Times New Roman" w:cs="Times New Roman" w:eastAsia="Times New Roman" w:hAnsi="Times New Roman"/>
          <w:sz w:val="18"/>
          <w:szCs w:val="18"/>
          <w:color w:val="222222"/>
        </w:rPr>
        <w:t>; and Outcomes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increased by $28.1 million when compared with the same period last year. C</w:t>
      </w:r>
      <w:r>
        <w:rPr>
          <w:rFonts w:ascii="Times New Roman" w:cs="Times New Roman" w:eastAsia="Times New Roman" w:hAnsi="Times New Roman"/>
          <w:sz w:val="18"/>
          <w:szCs w:val="18"/>
          <w:color w:val="000000"/>
        </w:rPr>
        <w:t>hanges in exchange rates favorably impacted total revenues by</w:t>
      </w:r>
      <w:r>
        <w:rPr>
          <w:rFonts w:ascii="Times New Roman" w:cs="Times New Roman" w:eastAsia="Times New Roman" w:hAnsi="Times New Roman"/>
          <w:sz w:val="18"/>
          <w:szCs w:val="18"/>
          <w:color w:val="222222"/>
        </w:rPr>
        <w:t xml:space="preserve"> $0.5 million</w:t>
      </w:r>
      <w:r>
        <w:rPr>
          <w:rFonts w:ascii="Times New Roman" w:cs="Times New Roman" w:eastAsia="Times New Roman" w:hAnsi="Times New Roman"/>
          <w:sz w:val="18"/>
          <w:szCs w:val="18"/>
          <w:color w:val="000000"/>
        </w:rPr>
        <w:t>.</w:t>
      </w:r>
    </w:p>
    <w:p>
      <w:pPr>
        <w:spacing w:after="0" w:line="2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 - Three months ended September 30, 2024 vs. Three months ended September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222222"/>
        </w:rPr>
        <w:t xml:space="preserve">Gross margin in the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22222"/>
        </w:rPr>
        <w:t xml:space="preserve"> period was 34.1%, compared with 33.4% in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22222"/>
        </w:rPr>
        <w:t xml:space="preserve">. Product sales gross margin increased to 32.6% for the quarter in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22222"/>
        </w:rPr>
        <w:t xml:space="preserve">, compared with 30.9% in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22222"/>
        </w:rPr>
        <w:t xml:space="preserve">. Gross margin on service revenues decreased to 43.9% in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22222"/>
        </w:rPr>
        <w:t xml:space="preserve">, compared with 48.4% in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22222"/>
        </w:rPr>
        <w:t>.</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 - Nine months ended September 30, 2024 vs. Nine months ended September 30, 2023</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222222"/>
        </w:rPr>
        <w:t xml:space="preserve">Gross margin was 34.2%, compared with 32.4% in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22222"/>
        </w:rPr>
        <w:t xml:space="preserve">. Product sales gross margin increased to 32.7%, compared with 30.1% in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22222"/>
        </w:rPr>
        <w:t xml:space="preserve"> and gross margin on service revenues decreased to 44.8%, compared with 45.8% in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22222"/>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Operating Segment Results section below for further detail on total company revenues and gross margin.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operating expenses were as follows: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0" w:type="dxa"/>
            <w:vAlign w:val="bottom"/>
          </w:tcPr>
          <w:p>
            <w:pPr>
              <w:spacing w:after="0"/>
              <w:rPr>
                <w:sz w:val="1"/>
                <w:szCs w:val="1"/>
                <w:color w:val="auto"/>
              </w:rPr>
            </w:pPr>
          </w:p>
        </w:tc>
      </w:tr>
      <w:tr>
        <w:trPr>
          <w:trHeight w:val="213"/>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3"/>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0" w:type="dxa"/>
            <w:vAlign w:val="bottom"/>
          </w:tcPr>
          <w:p>
            <w:pPr>
              <w:spacing w:after="0"/>
              <w:rPr>
                <w:sz w:val="1"/>
                <w:szCs w:val="1"/>
                <w:color w:val="auto"/>
              </w:rPr>
            </w:pPr>
          </w:p>
        </w:tc>
      </w:tr>
      <w:tr>
        <w:trPr>
          <w:trHeight w:val="207"/>
        </w:trPr>
        <w:tc>
          <w:tcPr>
            <w:tcW w:w="3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135,665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132,313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3,352</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0"/>
        </w:trPr>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22,847</w:t>
            </w:r>
          </w:p>
        </w:tc>
        <w:tc>
          <w:tcPr>
            <w:tcW w:w="0" w:type="dxa"/>
            <w:vAlign w:val="bottom"/>
          </w:tcPr>
          <w:p>
            <w:pPr>
              <w:spacing w:after="0"/>
              <w:rPr>
                <w:sz w:val="1"/>
                <w:szCs w:val="1"/>
                <w:color w:val="auto"/>
              </w:rPr>
            </w:pPr>
          </w:p>
        </w:tc>
      </w:tr>
      <w:tr>
        <w:trPr>
          <w:trHeight w:val="213"/>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0" w:type="dxa"/>
            <w:vAlign w:val="bottom"/>
          </w:tcPr>
          <w:p>
            <w:pPr>
              <w:spacing w:after="0"/>
              <w:rPr>
                <w:sz w:val="1"/>
                <w:szCs w:val="1"/>
                <w:color w:val="auto"/>
              </w:rPr>
            </w:pPr>
          </w:p>
        </w:tc>
      </w:tr>
      <w:tr>
        <w:trPr>
          <w:trHeight w:val="213"/>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(37,492)</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7"/>
        </w:trPr>
        <w:tc>
          <w:tcPr>
            <w:tcW w:w="3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424,057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437,921</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(13,864)</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increased $3.4 million for the third quarter of 2024 as compared with the same period in 2023. This was primarily the result of an increase of $3.1 million in sales, general and administrative expenses, primarily driven by increased labor costs.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decreased $13.9 million for the nine months ended September 30, 2024 as compared with the same period in 2023. This was primarily the result of a $37.5 million decrease in restructuring costs and a $1.1 million decrease in amortization of intangible assets. The decrease was partially offset by an increase of $22.8 million in sales, general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and a $1.9 million increase in research and development expenses, both driven by increased labor costs and professional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details, refer to Item 1: Financial Statements (Unaudited), Note 12: Restructuring included in this Quarterly Report on Form 10-Q.</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income (expense):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80" w:type="dxa"/>
            <w:vAlign w:val="bottom"/>
          </w:tcPr>
          <w:p>
            <w:pPr>
              <w:spacing w:after="0"/>
              <w:rPr>
                <w:sz w:val="18"/>
                <w:szCs w:val="18"/>
                <w:color w:val="auto"/>
              </w:rPr>
            </w:pPr>
          </w:p>
        </w:tc>
      </w:tr>
      <w:tr>
        <w:trPr>
          <w:trHeight w:val="237"/>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0"/>
                <w:szCs w:val="20"/>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13"/>
        </w:trPr>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w w:val="99"/>
              </w:rPr>
              <w:t>5,968</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275%</w:t>
            </w:r>
          </w:p>
        </w:tc>
      </w:tr>
      <w:tr>
        <w:trPr>
          <w:trHeight w:val="207"/>
        </w:trPr>
        <w:tc>
          <w:tcPr>
            <w:tcW w:w="2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prepaid debt fees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0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w w:val="98"/>
              </w:rPr>
              <w:t>(2,761)</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33%</w:t>
            </w:r>
          </w:p>
        </w:tc>
      </w:tr>
      <w:tr>
        <w:trPr>
          <w:trHeight w:val="219"/>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0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color w:val="auto"/>
                <w:w w:val="98"/>
              </w:rPr>
              <w:t>(3,718)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65%</w:t>
            </w:r>
          </w:p>
        </w:tc>
      </w:tr>
      <w:tr>
        <w:trPr>
          <w:trHeight w:val="207"/>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w:t>
            </w:r>
          </w:p>
        </w:tc>
        <w:tc>
          <w:tcPr>
            <w:tcW w:w="10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w w:val="98"/>
              </w:rPr>
              <w:t>(6,479)</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51%</w:t>
            </w:r>
          </w:p>
        </w:tc>
      </w:tr>
      <w:tr>
        <w:trPr>
          <w:trHeight w:val="21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color w:val="auto"/>
                <w:w w:val="98"/>
              </w:rPr>
              <w:t>(1,162)</w:t>
            </w: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09"/>
        </w:trPr>
        <w:tc>
          <w:tcPr>
            <w:tcW w:w="2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2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13,301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center"/>
              <w:ind w:left="559"/>
              <w:spacing w:after="0"/>
              <w:rPr>
                <w:sz w:val="20"/>
                <w:szCs w:val="20"/>
                <w:color w:val="auto"/>
              </w:rPr>
            </w:pPr>
            <w:r>
              <w:rPr>
                <w:rFonts w:ascii="Times New Roman" w:cs="Times New Roman" w:eastAsia="Times New Roman" w:hAnsi="Times New Roman"/>
                <w:sz w:val="16"/>
                <w:szCs w:val="16"/>
                <w:color w:val="auto"/>
                <w:w w:val="98"/>
              </w:rPr>
              <w:t>(1,673)</w:t>
            </w:r>
          </w:p>
        </w:tc>
        <w:tc>
          <w:tcPr>
            <w:tcW w:w="100" w:type="dxa"/>
            <w:vAlign w:val="bottom"/>
            <w:tcBorders>
              <w:bottom w:val="single" w:sz="8" w:color="auto"/>
            </w:tcBorders>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1"/>
        </w:trPr>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other income (expense) for the three and nine months ended September 30, 2024 was income of $8.5 million and $13.3 million, compared with net income of $0.8 million and net expense of $1.7 million in the same periods in 2023.</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other income for the three months ended September 30, 2024, as compared with the same period in 2023, was driven by the $10.8 million increase in interest income primarily due to interest earned from the cash proceeds of the 2024 Notes, offset by an increase in other interest expense driven by a $2.8 million interest accrual for the 2024 Notes recognized during the period.</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net other income for the nine months ended September 30, 2024, as compared with the same period in 2023, was driven by the $16.4 million increase in interest income primarily due to interest earned from the cash proceeds of the 2024 Notes, as well as increased other income driven by a $1.9 million foreign currency loss recognized in the nine months ended September 30, 2023. This increase was offset by an increase in other interest expense driven by a $3.1 million interest accrual for the 2024 Notes recognized in the nine months ended September 30, 2024. Refer to Item 1: Financial Statements (Unaudited), Note 6: Debt, and Note 13: Shareholders' Equity included in this Quarterly Report on Form 10-Q for additional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three and nine months ended September 30, 2024, our income tax expense was $3.5 million and $32.1 million, compared with income tax expense of $15.4 million and $24.5 million for the same periods in 2023. Our tax rate for the three and nine months ended September 30, 2024 of 4% and 15% differed from the federal statutory rate of 21% due to the impact of valuation allowances on deferred tax assets, the forecasted mix of earnings in domestic and international jurisdictions, U.S. taxation of foreign earnings including GILTI (Global Intangible Low-Taxed Income), net of Section 250 deduction, Subpart F income, a benefit related to stock-based compensation, tax credits, state taxes, and uncertain tax positions. During the quarter, approximately $14 million in discrete tax benefits were recorded related to the favorable resolution of a foreign tax audit. Our tax rate for the three and nine months ended September 30, 2023 of 28% and 31%, differed from the federal statutory rate of 21% due to the impact of valuation allowances on deferred tax assets, the forecasted mix of earnings in domestic and international jurisdictions, U.S. taxation of foreign earnings including GILTI (Global Intangible Low-Taxed Income), net of Section 250 deduction, Subpart F income, an expense related to stock-based compensation, tax credits, and uncertain tax positions.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January 1, 2022, the Tax Cuts and Jobs Act of 2017 eliminated the option to deduct research and development expenditures currently and requires taxpayers to capitalize and amortize them over five or fifteen years, dependent upon the geography in which the expenditures are incurred. Although Congress has considered legislation that would defer, modify, or repeal the capitalization and amortization requirement, as of year-end no such deferral has been passed. The income tax provision has been prepared according to currently enacted tax legislation, including the effect of guidance issued in December 2023 that provided clarity regarding research providers and recipients.</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August 2022, the Inflation Reduction Act was signed into law, which made a number of changes to the Internal Revenue Code, including adding a 1% excise tax on stock buybacks by publicly traded corporations and a 15% minimum tax on adjusted financial statement income of certain large companies. We are subject to the new 1% excise tax beginning January 1, 2023, but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will vary depending upon various factors. The 15% minimum tax only applies to corporations with average book income in excess of $1 billion, therefore it is not currently applicable.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Legislation is in various stages of adoption, from formal legislative proposals to passage into law, in most countries where Itron has significant operations, and is expected to take effect for calendar year 2024. The OECD continues to release more guidance on these rules and framework and we are evaluating the impact to our financial position. These enactments or amendments could adversely affect our tax rate and ultimately result in a negative impact on our operating results and cash flows. Based upon forecast calculations for calendar year 2024, the Company expects to meet the safe harbors in most jurisdictions, and the remaining top-up tax is forecasted to be immaterial.</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discussion related to income taxes, see Item 1: Financial Statements (Unaudited), Note 10: Income Taxes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 Results</w:t>
      </w:r>
    </w:p>
    <w:p>
      <w:pPr>
        <w:spacing w:after="0" w:line="25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For a description of our operating segments, refer to Item 1: Financial Statements (Unaudited), Note 15: Segment Information included in this Quarterly Report on Form 10-Q. The following tables and discussion highlight significant changes in trends or components of each operating segment:</w:t>
      </w:r>
    </w:p>
    <w:tbl>
      <w:tblPr>
        <w:tblLayout w:type="fixed"/>
        <w:tblInd w:w="0" w:type="dxa"/>
        <w:tblCellMar>
          <w:top w:w="0" w:type="dxa"/>
          <w:left w:w="0" w:type="dxa"/>
          <w:bottom w:w="0" w:type="dxa"/>
          <w:right w:w="0" w:type="dxa"/>
        </w:tblCellMar>
      </w:tblPr>
      <w:tr>
        <w:trPr>
          <w:trHeight w:val="165"/>
        </w:trPr>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6"/>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revenues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122,738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368,040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416,713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384,971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1,236,933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1,059,369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223,000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615,462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560,772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1,827,973</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1,596,460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9"/>
        </w:trPr>
        <w:tc>
          <w:tcPr>
            <w:tcW w:w="2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84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Gross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0" w:type="dxa"/>
            <w:vAlign w:val="bottom"/>
          </w:tcPr>
          <w:p>
            <w:pPr>
              <w:spacing w:after="0"/>
              <w:rPr>
                <w:sz w:val="1"/>
                <w:szCs w:val="1"/>
                <w:color w:val="auto"/>
              </w:rPr>
            </w:pPr>
          </w:p>
        </w:tc>
      </w:tr>
      <w:tr>
        <w:trPr>
          <w:trHeight w:val="215"/>
        </w:trPr>
        <w:tc>
          <w:tcPr>
            <w:tcW w:w="2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209"/>
        </w:trPr>
        <w:tc>
          <w:tcPr>
            <w:tcW w:w="2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gross profit and margin</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24.3%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6"/>
              </w:rPr>
              <w:t>25.7%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6"/>
              </w:rPr>
              <w:t>35.1%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6"/>
              </w:rPr>
              <w:t>36.6%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362,852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38.6%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77,970</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6"/>
              </w:rPr>
              <w:t>35.0%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r>
        <w:trPr>
          <w:trHeight w:val="212"/>
        </w:trPr>
        <w:tc>
          <w:tcPr>
            <w:tcW w:w="2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gross profit and margin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187,203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6"/>
              </w:rPr>
              <w:t>33.4%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625,437</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6"/>
              </w:rPr>
              <w:t>34.2%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517,518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6"/>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operating expenses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22,724</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47,042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unallocated</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78,969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75,568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250,814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268,159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ind w:right="19"/>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424,057</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360" w:type="dxa"/>
            <w:vAlign w:val="bottom"/>
            <w:tcBorders>
              <w:top w:val="single" w:sz="8" w:color="CCEEFF"/>
            </w:tcBorders>
            <w:gridSpan w:val="5"/>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120" w:type="dxa"/>
            <w:vAlign w:val="bottom"/>
            <w:tcBorders>
              <w:top w:val="single" w:sz="8" w:color="CCEEFF"/>
            </w:tcBorders>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86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84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86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0" w:type="dxa"/>
            <w:vAlign w:val="bottom"/>
          </w:tcPr>
          <w:p>
            <w:pPr>
              <w:spacing w:after="0"/>
              <w:rPr>
                <w:sz w:val="1"/>
                <w:szCs w:val="1"/>
                <w:color w:val="auto"/>
              </w:rPr>
            </w:pPr>
          </w:p>
        </w:tc>
      </w:tr>
      <w:tr>
        <w:trPr>
          <w:trHeight w:val="215"/>
        </w:trPr>
        <w:tc>
          <w:tcPr>
            <w:tcW w:w="2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156"/>
        </w:trPr>
        <w:tc>
          <w:tcPr>
            <w:tcW w:w="256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6"/>
                <w:szCs w:val="16"/>
                <w:b w:val="1"/>
                <w:bCs w:val="1"/>
                <w:i w:val="1"/>
                <w:iCs w:val="1"/>
                <w:color w:val="auto"/>
              </w:rPr>
              <w:t>Segment operating income and</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operating margin</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16.0%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6"/>
              </w:rPr>
              <w:t>19.5%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6"/>
              </w:rPr>
              <w:t>26.6%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6"/>
              </w:rPr>
              <w:t>28.2%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15.8%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6"/>
              </w:rPr>
              <w:t>13.9%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unallocated</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(78,969)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(75,568)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color w:val="auto"/>
              </w:rPr>
              <w:t>(250,814)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(268,159)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center"/>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45"/>
        </w:trPr>
        <w:tc>
          <w:tcPr>
            <w:tcW w:w="256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6"/>
                <w:szCs w:val="16"/>
                <w:color w:val="auto"/>
              </w:rPr>
              <w:t>Total operating income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73,933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54,890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5"/>
              </w:rPr>
              <w:t>9.8%</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201,380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6"/>
              </w:rPr>
              <w:t>11.0%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79,597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9"/>
        </w:trPr>
        <w:tc>
          <w:tcPr>
            <w:tcW w:w="25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margin</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Device Solutions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Device Solutions segment financial results were as follows: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122,738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110,769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11,969</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6,423</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w:t>
            </w:r>
          </w:p>
        </w:tc>
        <w:tc>
          <w:tcPr>
            <w:tcW w:w="0" w:type="dxa"/>
            <w:vAlign w:val="bottom"/>
          </w:tcPr>
          <w:p>
            <w:pPr>
              <w:spacing w:after="0"/>
              <w:rPr>
                <w:sz w:val="1"/>
                <w:szCs w:val="1"/>
                <w:color w:val="auto"/>
              </w:rPr>
            </w:pPr>
          </w:p>
        </w:tc>
      </w:tr>
      <w:tr>
        <w:trPr>
          <w:trHeight w:val="783"/>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368,040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25,857</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19,286</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(6,790)</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2024 vs. Three months ended September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increased $12.0 million, or 11%. Changes in foreign currency exchange rates favorably impacted revenues by $0.5 million. The 2024 increase in revenues was driven primarily by increased smart water and electric product sales.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2024 vs. Nine months ended September 30, 2023</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Revenues increased $25.9 million, or 8%. Changes in foreign currency exchange rates favorably impacted revenues by $0.5 million. The 2024 increase in revenues was driven primarily by increased smart water and electric product sales.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September 30, 2024 vs. Three months ended September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three months ended September 30, 2024, gross margin was 27.2%, compared with 24.3% for the same period in 2023. The 290 basis point increase over the prior year was primarily due to improved volume and manufacturing efficiencies.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Nine months ended September 30, 2024 vs. Nine months ended September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nine months ended September 30, 2024, gross margin was 25.7%, compared with 22.0% for the same period in 2023. The 370 basis point increase over the prior year was primarily due to an improved product mix and manufacturing efficiencies.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September 30, 2024 vs. Three months ended September 30, 2023</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decreased $2.4 million, or 26%, compared with 2023. The decrease was primarily due to lower product development costs.</w:t>
      </w: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Nine months ended September 30, 2024 vs. Nine months ended September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decreased $6.8 million, or 23%, for the first nine months of 2024, compared with the same period in 2023. The decrease was primarily due to lower product development costs.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Networked Solutions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Networked Solutions segment financial results were as follows: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416,713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384,971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31,742</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14,445</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0" w:type="dxa"/>
            <w:vAlign w:val="bottom"/>
          </w:tcPr>
          <w:p>
            <w:pPr>
              <w:spacing w:after="0"/>
              <w:rPr>
                <w:sz w:val="1"/>
                <w:szCs w:val="1"/>
                <w:color w:val="auto"/>
              </w:rPr>
            </w:pPr>
          </w:p>
        </w:tc>
      </w:tr>
      <w:tr>
        <w:trPr>
          <w:trHeight w:val="823"/>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1,236,933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1,059,369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177,564</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362,852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89,978</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6,677</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2024 vs. Three months ended September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increased $31.7 million, or 8%, in 2024 compared with 2023. The increase was primarily from product revenues due to the ramp of new projects and ongoing deployments.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2024 vs. Nine months ended September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increased $177.6 million, or 17%, for the first nine months of 2024 compared with the same period in 2023. The increase was primarily from product revenues due to the ramp of new projects and ongoing deployments.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September 30, 2024 vs. Three months ended September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was 35.9% for the period ending September 30, 2024, compared with 35.1% in 2023. The 80 basis point increase was primarily related to favorable product volumes and improved operational efficiencies.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Nine months ended September 30, 2024 vs. Nine months ended September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was 36.6% for the 2024 period, compared with 34.3% in 2023. The 230 basis point increase was primarily related to favorable product and solutions volumes and mix as well as improved operational efficiencies.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September 30, 2024 vs. Three months ended September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increased $1.7 million, or 5%, for the quarter in 2024, compared with the same period in 2023. The increase was primarily related to higher product development costs.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Nine months ended September 30, 2024 vs. Nine months ended September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increased $6.7 million, or 7%, for the first nine months of 2024, compared with the same period in 2023. The increase was primarily related to higher product development costs.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Outcomes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Outcomes segment financial results were as follows: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76,011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10,979</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824"/>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194,908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28,092</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2024 vs. Three months ended September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2024 period, revenues increased $11.0 million, or 17%, compared with the 2023 period. This increase was driven by professional services and software.</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2024 vs. Nine months ended September 30, 2023</w:t>
      </w:r>
    </w:p>
    <w:p>
      <w:pPr>
        <w:spacing w:after="0" w:line="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Revenues increased $28.1 million, or 14%, for the first nine months of 2024, compared with 2023. This increase was driven by services and the Elpis squared acquisition. This revenue growth was partially offset by a decrease in software.</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September 30, 2024 vs. Three months ended September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decreased to 35.0% for the third quarter of 2024, compared with 38.6% for the same period last year. The 360 basis point decrease was driven primarily by increased services costs.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Nine months ended September 30, 2024 vs. Nine months ended September 30, 2023</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Gross margin decreased to 35.0% for the period ending in 2024, compared with 40.7% for last year. The 570 basis point decrease was driven by increased services cost and product mix in the current period.</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September 30, 2024 vs. Three months ended September 30, 2023</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Operating expenses for the 2024 period increased $0.6 million, or 4%, compared with the same period last year. This was primarily related to increased product development investment.</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Nine months ended September 30, 2024 vs. Nine months ended September 30,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for the first nine months of 2024 increased $3.6 million, or 8%, compared with the same period last year. This was primarily related to increased product development investment.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Unallocated</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Corporate Unallocated Expenses - Three months ended September 30, 2024 vs. Three months ended September 30, 2023</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expenses not directly associated with an operating segment are classified as Corporate unallocated. These expenses increased $3.4 million, or 5%, for the three months ended September 30, 2024 compared with the same period in 2023. This increase was primarily the result of $2.8 million increase in sales, general and administrative expenses, driven by increased labor costs.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Corporate Unallocated Expenses - Nine months ended September 30, 2024 vs. Nine months ended September 30, 2023</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first nine months of 2024, Corporate unallocated expenses decreased $17.3 million, or 6%, compared with the 2023 period. This was primarily the result of a $37.5 million decrease in restructuring costs, as well as a $1.1 million decrease in amortization of intangible assets. The decreases were offset by a $21.2 million increase in sales, general and administrative expenses, primarily driven by increased labor costs and professional services.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Bookings and Backlog of Orders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reflects our understanding of customer's desired deployment over the next 12 months. The actual revenue recognized and timing of revenue earned from backlog may vary based on actual currency rates at the time of shipment, availability of critical supply components, and adjusted customer project timing. Backlog is not a complete measure of our future revenues as we also receive book-and-ship orders and frame contracts. Bookings and backlog vary from period to period primarily due to the timing of large project awards. In addition, annual or multi-year contracts are subject to rescheduling due to the long-term nature of the contracts. Certain of our customers have the right to cancel contracts, but we do not have a history of any significant cancellations. Beginning total backlog, plus bookings, minus revenues, will not equal ending total backlog due to miscellaneous contract adjustments, foreign currency fluctuations, and other factors. Total bookings and backlog include certain contracts with a termination for convenience clause, which will not agree to the total transaction price allocated to the remaining performance obligations disclosed in Item 1: Financial Statements (Unaudited), Note 16: Revenues included in this Quarterly Report on Form 10-Q.</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3620" w:type="dxa"/>
            <w:vAlign w:val="bottom"/>
            <w:vMerge w:val="restart"/>
          </w:tcPr>
          <w:p>
            <w:pPr>
              <w:jc w:val="center"/>
              <w:ind w:left="2679"/>
              <w:spacing w:after="0"/>
              <w:rPr>
                <w:sz w:val="20"/>
                <w:szCs w:val="20"/>
                <w:color w:val="auto"/>
              </w:rPr>
            </w:pPr>
            <w:r>
              <w:rPr>
                <w:rFonts w:ascii="Times New Roman" w:cs="Times New Roman" w:eastAsia="Times New Roman" w:hAnsi="Times New Roman"/>
                <w:sz w:val="16"/>
                <w:szCs w:val="16"/>
                <w:b w:val="1"/>
                <w:bCs w:val="1"/>
                <w:color w:val="auto"/>
              </w:rPr>
              <w:t>Quarterly</w:t>
            </w: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360" w:type="dxa"/>
            <w:vAlign w:val="bottom"/>
          </w:tcPr>
          <w:p>
            <w:pPr>
              <w:spacing w:after="0"/>
              <w:rPr>
                <w:sz w:val="16"/>
                <w:szCs w:val="16"/>
                <w:color w:val="auto"/>
              </w:rPr>
            </w:pPr>
          </w:p>
        </w:tc>
        <w:tc>
          <w:tcPr>
            <w:tcW w:w="13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0" w:type="dxa"/>
            <w:vAlign w:val="bottom"/>
          </w:tcPr>
          <w:p>
            <w:pPr>
              <w:spacing w:after="0"/>
              <w:rPr>
                <w:sz w:val="1"/>
                <w:szCs w:val="1"/>
                <w:color w:val="auto"/>
              </w:rPr>
            </w:pPr>
          </w:p>
        </w:tc>
      </w:tr>
      <w:tr>
        <w:trPr>
          <w:trHeight w:val="162"/>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36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center"/>
              <w:ind w:right="279"/>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360" w:type="dxa"/>
            <w:vAlign w:val="bottom"/>
          </w:tcPr>
          <w:p>
            <w:pPr>
              <w:spacing w:after="0"/>
              <w:rPr>
                <w:sz w:val="14"/>
                <w:szCs w:val="14"/>
                <w:color w:val="auto"/>
              </w:rPr>
            </w:pPr>
          </w:p>
        </w:tc>
        <w:tc>
          <w:tcPr>
            <w:tcW w:w="1360" w:type="dxa"/>
            <w:vAlign w:val="bottom"/>
          </w:tcPr>
          <w:p>
            <w:pPr>
              <w:jc w:val="center"/>
              <w:ind w:right="199"/>
              <w:spacing w:after="0" w:line="162" w:lineRule="exact"/>
              <w:rPr>
                <w:sz w:val="20"/>
                <w:szCs w:val="20"/>
                <w:color w:val="auto"/>
              </w:rPr>
            </w:pPr>
            <w:r>
              <w:rPr>
                <w:rFonts w:ascii="Times New Roman" w:cs="Times New Roman" w:eastAsia="Times New Roman" w:hAnsi="Times New Roman"/>
                <w:sz w:val="16"/>
                <w:szCs w:val="16"/>
                <w:b w:val="1"/>
                <w:bCs w:val="1"/>
                <w:color w:val="auto"/>
              </w:rPr>
              <w:t>12-Month</w:t>
            </w:r>
          </w:p>
        </w:tc>
        <w:tc>
          <w:tcPr>
            <w:tcW w:w="0" w:type="dxa"/>
            <w:vAlign w:val="bottom"/>
          </w:tcPr>
          <w:p>
            <w:pPr>
              <w:spacing w:after="0"/>
              <w:rPr>
                <w:sz w:val="1"/>
                <w:szCs w:val="1"/>
                <w:color w:val="auto"/>
              </w:rPr>
            </w:pPr>
          </w:p>
        </w:tc>
      </w:tr>
      <w:tr>
        <w:trPr>
          <w:trHeight w:val="214"/>
        </w:trPr>
        <w:tc>
          <w:tcPr>
            <w:tcW w:w="3720" w:type="dxa"/>
            <w:vAlign w:val="bottom"/>
            <w:tcBorders>
              <w:bottom w:val="single" w:sz="8" w:color="auto"/>
            </w:tcBorders>
            <w:vMerge w:val="continue"/>
          </w:tcPr>
          <w:p>
            <w:pPr>
              <w:spacing w:after="0"/>
              <w:rPr>
                <w:sz w:val="18"/>
                <w:szCs w:val="18"/>
                <w:color w:val="auto"/>
              </w:rPr>
            </w:pPr>
          </w:p>
        </w:tc>
        <w:tc>
          <w:tcPr>
            <w:tcW w:w="3620" w:type="dxa"/>
            <w:vAlign w:val="bottom"/>
            <w:tcBorders>
              <w:bottom w:val="single" w:sz="8" w:color="auto"/>
            </w:tcBorders>
          </w:tcPr>
          <w:p>
            <w:pPr>
              <w:jc w:val="center"/>
              <w:ind w:left="2659"/>
              <w:spacing w:after="0"/>
              <w:rPr>
                <w:sz w:val="20"/>
                <w:szCs w:val="20"/>
                <w:color w:val="auto"/>
              </w:rPr>
            </w:pPr>
            <w:r>
              <w:rPr>
                <w:rFonts w:ascii="Times New Roman" w:cs="Times New Roman" w:eastAsia="Times New Roman" w:hAnsi="Times New Roman"/>
                <w:sz w:val="16"/>
                <w:szCs w:val="16"/>
                <w:b w:val="1"/>
                <w:bCs w:val="1"/>
                <w:color w:val="auto"/>
              </w:rPr>
              <w:t>Bookings</w:t>
            </w: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2024</w:t>
            </w:r>
          </w:p>
        </w:tc>
        <w:tc>
          <w:tcPr>
            <w:tcW w:w="362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487</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3,970</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30, 2024</w:t>
            </w:r>
          </w:p>
        </w:tc>
        <w:tc>
          <w:tcPr>
            <w:tcW w:w="362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447</w:t>
            </w:r>
          </w:p>
        </w:tc>
        <w:tc>
          <w:tcPr>
            <w:tcW w:w="4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4,093</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2024</w:t>
            </w:r>
          </w:p>
        </w:tc>
        <w:tc>
          <w:tcPr>
            <w:tcW w:w="36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361</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4,272</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362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839</w:t>
            </w:r>
          </w:p>
        </w:tc>
        <w:tc>
          <w:tcPr>
            <w:tcW w:w="4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4,511</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2023</w:t>
            </w:r>
          </w:p>
        </w:tc>
        <w:tc>
          <w:tcPr>
            <w:tcW w:w="36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413</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4,241</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Information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158,326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77,076</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(54,387)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(19,003)</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576,085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(2,670)</w:t>
            </w:r>
          </w:p>
        </w:tc>
      </w:tr>
      <w:tr>
        <w:trPr>
          <w:trHeight w:val="234"/>
        </w:trPr>
        <w:tc>
          <w:tcPr>
            <w:tcW w:w="7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Increase in cash and cash equivalents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680,458</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were $982.5 million at September 30, 2024, compared with $302.0 million at December 31, 2023. The $680.5 million increase in cash and cash equivalents in the 2024 period was primarily the net proceeds provided by the convertible notes issuance and cash provided by operations as a result of higher earnings, partially offset by cash used in investing activities for the acquisition of Elpis Squared.</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provided by operating activities during the nine months in 2024 was $158.3 million compared with $77.1 million during the same period in 2023. The increase was primarily due to increased earnings and working capital conversion, partially offset by higher restructuring payments in 2024.</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2024, net cash used in investing activities was $54.4 million compared with $19.0 million in 2023, resulting in a change of $35.4 million. The increase in cash used was primarily the result of the acquisition of Elpis Squared for $34.1 million in 2024 and increase of $2.6 million in property, plant, and equipment purchased in 2024 compared with the same period in 2023.</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in 2024 was $576.1 million, compared with net cash used of $2.6 million for the same period in 2023. The change is due primarily to the issuance of convertible notes, net of total debt issuance cost, totaling $784 million, partially offset by the purchase of the capped call for the convertible offering of $109.0 million and common stock repurchase of $100.0 million.</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Effect of exchange rates on cash and cash equivalents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 of exchange rates on the cash balances of currencies held in foreign denominations at September 30, 2024 was an increase of $0.4 million, compared with a decrease of $2.7 million for the same period in 2023. Our foreign currency exposure relates to non-U.S. dollar denominated balances in our international subsidiary operations.</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Free cash flow (Non-GAAP)</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158,326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77,076</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(20,878)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6"/>
                <w:szCs w:val="16"/>
                <w:color w:val="auto"/>
              </w:rPr>
              <w:t>(18,304)</w:t>
            </w:r>
          </w:p>
        </w:tc>
      </w:tr>
      <w:tr>
        <w:trPr>
          <w:trHeight w:val="237"/>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Free cash flow</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137,448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58,772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fluctuated primarily as a result of changes in cash provided by increased earnings. See the cash flow discussion of operating activities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financing agreements or guarantees as defined by Item 303 of Regulation S-K at September 30, 2024 and December 31, 2023 that we believe could reasonably likely have a current or future effect on our financial condition,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 We expect existing cash, cash flows from operations, and access to capital markets to continue to be sufficient to fund our operating activities and cash commitments, such as material capital expenditures and debt obligations, for at least the next 12 months and into the foreseeable future.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originally entered into our credit facility on January 5, 2018 (together with the subsequent eight amendments, the 2018 credit facility). The 2018 credit facility provides a multicurrency revolving line of credit (the revolver) with a principal amount of up to $500 million. The revolver also contains a $300 million standby letter of credit sub-facility and a $50 million swingline sub-facility. At September 30, 2024, no amount was outstanding under the 2018 credit facility, and $46.8 million was utilized by outstanding standby letters of credit, resulting in $453.2 million available for borrowing or standby letters of credit under the revolver. At September 30, 2024, $253.2 million was available for additional standby letters of credit under the letter of credit sub-facility, and no amounts were outstanding under the swingline sub-facility. Amounts borrowed under the revolver may be repaid and reborrowed until the revolver's maturity on October 18, 2026, at which time all outstanding loans together with all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accrued and unpaid interest must be repaid. However, that date may be advanced to December 14, 2025 if Itron does not settle or extend a sufficient portion of the outstanding 2021 convertible notes, as detailed in the seventh amendment.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12, 2021, we closed the sale of $460 million in convertible notes in a private placement to qualified institutional buyers. The convertible notes do not bear regular interest, and the principal amount does not accrete. The convertible notes will mature on March 15, 2026, unless earlier repurchased, redeemed, or converted in accordance with their terms.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21, 2024, we closed the sale of $805 million in convertible notes in a private placement to qualified institutional buyers. The convertible notes accrue interest at a rate of 1.375% per annum, payable semi-annually in arrears on January 15 and July 15 of each year, beginning on January 15, 2025. The notes will mature on July 15, 2030, unless earlier repurchased, redeemed, or converted in accordance with their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description of our borrowings, refer to Item 1: Financial Statements (Unaudited), Note 6: Debt included in this Quarterly Report on Form 10-Q.</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(Unaudited), Note 11: Commitments and Contingencies included in this Quarterly Report on Form 10-Q.</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29, 2021, our Board of Directors approved a restructuring plan (the 2021 Projects), which in conjunction with the announcement of the sale of certain Gas product lines from our Device Solutions manufacturing and business operations in Europe and North America to Dresser Utility Solutions, includes activities to drive reductions in certain locations and functional support areas. These projects are expected to be substantially complete by the end of 2024, with an estimated $15.9 million in cash payments remaining as of September 30, 2024 with cash outflows expected through 2026.</w:t>
      </w:r>
    </w:p>
    <w:p>
      <w:pPr>
        <w:spacing w:after="0" w:line="21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are expected to be substantially complete by early 2025, with an estimated $36.6 million in cash payments remaining as of September 30, 2024 with cash outflows expected through 2027.</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we paid out $20.1 million related to all our restructuring projects. As of September 30, 2024, $52.5 million was accrued for these restructuring projects, of which $25.2 million is expected to be paid within the next 12 months.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details regarding our restructuring activities, refer to Item 1: Financial Statements (Unaudited), Note 12: Restructuring included in this Quarterly Report on Form 10-Q.</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Programs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September 19, 2024, Itron's Board of Directors authorized a share repurchase up to $100 million of our common stock over an 18-month period (the 2024 Stock Repurchase Program). The repurchase program is intended to comply with Rule 10b-18 promulgated under the Securities Exchange Act of 1934, as amended. We repurchased no shares under the 2024 Stock Repurchase Program.</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May 11, 2023, Itron's Board of Directors authorized a share repurchase up to $100 million of our common stock over an 18-month period (the 2023 Stock Repurchase Program). In June 2024, we repurchased 971,534 shares under the 2023 Stock Repurchase Program at an average price of $102.93 (excluding commissions) for a total of $100.0 million. This repurchase was completed in conjunction with the issuance of the convertible notes.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Liquidity Considerations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$43 million in U.S federal taxes, $11 million in state taxes, and $26 million in local and foreign taxes during 2024. For a discussion of our tax provision and unrecognized tax benefits, see Item 1: Financial Statements (Unaudited), Note 10: Income Taxes included in this Quarterly Report on Form 10-Q.</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we are under examination by certain tax authorities. As a result of the favorable resolution of a foreign tax audit, a reduction in uncertain tax positions of approximately $14 million was recorded this quarter. We believe we have appropriately accrued for the expected outcome of all tax matters and do not currently anticipate that the ultimate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of these examinations will have a material adverse effect on our financial condition, future results of operations, or liquidity.</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there was $50.4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certain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September 30, 2024, $4.0 million of our consolidated cash balance was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 Liquidity Overview</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w:t>
      </w:r>
      <w:r>
        <w:rPr>
          <w:rFonts w:ascii="Times New Roman" w:cs="Times New Roman" w:eastAsia="Times New Roman" w:hAnsi="Times New Roman"/>
          <w:sz w:val="18"/>
          <w:szCs w:val="18"/>
          <w:color w:val="222222"/>
        </w:rPr>
        <w:t>our dependence on certain key vendors and components,</w:t>
      </w:r>
      <w:r>
        <w:rPr>
          <w:rFonts w:ascii="Times New Roman" w:cs="Times New Roman" w:eastAsia="Times New Roman" w:hAnsi="Times New Roman"/>
          <w:sz w:val="18"/>
          <w:szCs w:val="18"/>
          <w:color w:val="auto"/>
        </w:rPr>
        <w:t xml:space="preserve"> changes in estimated liabilities for product warranties and/or litigation, supply constraints, future business combinations, capital market fluctuations, international risks, and other factors described under Part I, Item 1A: Risk Factors of our 2023 Annual Report, as well as Part I, Item 3: Quantitative and Qualitative Disclosures About Market Risk included in this Quarterly Report on Form 10-Q.</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 included in this Quarterly Report on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that require the use of estimates and assumptions were discussed in detail in the 2023 Annual Report and have not changed materially.</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restructuring, loss on sale of business, strategic initiative expenses, or acquisition and integration related expenses.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Non-GAAP operating expenses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operating income </w:t>
      </w:r>
      <w:r>
        <w:rPr>
          <w:rFonts w:ascii="Times New Roman" w:cs="Times New Roman" w:eastAsia="Times New Roman" w:hAnsi="Times New Roman"/>
          <w:sz w:val="18"/>
          <w:szCs w:val="18"/>
          <w:color w:val="auto"/>
        </w:rPr>
        <w:t>– We define non-GAAP operating expenses as operating expenses excluding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amortization of intangible assets, restructuring, loss on sale of business, strategic initiative expenses, and acquisition and integration related expenses. We define non-GAAP operating income as operating income excluding the expenses related to the amortization of intangible assets, restructuring, loss on sale of business, strategic initiative expenses, and acquisition and integration related expenses.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Non-GAAP net income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diluted EPS </w:t>
      </w:r>
      <w:r>
        <w:rPr>
          <w:rFonts w:ascii="Times New Roman" w:cs="Times New Roman" w:eastAsia="Times New Roman" w:hAnsi="Times New Roman"/>
          <w:sz w:val="18"/>
          <w:szCs w:val="18"/>
          <w:color w:val="auto"/>
        </w:rPr>
        <w:t>– We define non-GAAP net income as net income attributable to Itron, Inc. excluding the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amortization of intangible assets, amortization of debt placement fees, restructuring, loss on sale of business, strategic initiative expenses, acquisition and integration related expenses, and the tax effect of excluding these expenses. We define non-GAAP diluted EPS as non-GAAP net income divided by diluted weighted-average shares outstanding during the period calculated on a GAAP basis and then reduced to reflect any anti-dilutive impact of the convertible notes hedge transactions.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the year and use the most recent AETR anytime it increases or decreases by 200 basis points or more from the prior interim period.</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 We define adjusted EBITDA as net income (a) minus interest income, (b) plus interest expense,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 loss on sale of business, strategic initiative expenses, acquisition and integration related expenses,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20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 We define free cash flow as net cash provided by operating activities less cash used for acquisitions of property, plant and equipment.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Constant currency </w:t>
      </w:r>
      <w:r>
        <w:rPr>
          <w:rFonts w:ascii="Times New Roman" w:cs="Times New Roman" w:eastAsia="Times New Roman" w:hAnsi="Times New Roman"/>
          <w:sz w:val="18"/>
          <w:szCs w:val="18"/>
          <w:color w:val="auto"/>
        </w:rPr>
        <w:t>– We refer to the impact of foreign currency exchange rate fluctuations in our discussions of financial results, which references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 to the Most Directly Comparable GAAP Financial Measures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COMPANY RECONCILIATIONS</w:t>
            </w:r>
          </w:p>
        </w:tc>
        <w:tc>
          <w:tcPr>
            <w:tcW w:w="260" w:type="dxa"/>
            <w:vAlign w:val="bottom"/>
          </w:tcPr>
          <w:p>
            <w:pPr>
              <w:spacing w:after="0"/>
              <w:rPr>
                <w:sz w:val="18"/>
                <w:szCs w:val="18"/>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EXPENSES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operating expenses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135,665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437,921</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(14,433)</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(36,868)</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100" w:type="dxa"/>
            <w:vAlign w:val="bottom"/>
            <w:tcBorders>
              <w:bottom w:val="single" w:sz="8" w:color="CCEEFF"/>
            </w:tcBorders>
          </w:tcPr>
          <w:p>
            <w:pPr>
              <w:spacing w:after="0"/>
              <w:rPr>
                <w:sz w:val="18"/>
                <w:szCs w:val="18"/>
                <w:color w:val="auto"/>
              </w:rPr>
            </w:pPr>
          </w:p>
        </w:tc>
        <w:tc>
          <w:tcPr>
            <w:tcW w:w="4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4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130,628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410,058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385,833</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GAAP operating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73,933</w:t>
            </w:r>
          </w:p>
        </w:tc>
        <w:tc>
          <w:tcPr>
            <w:tcW w:w="12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54,890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201,380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79,597</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14,433</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36,868</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operating income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78,970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59,006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215,379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131,685</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 &amp; DILUTED EPS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net income attributable to Itron, Inc.</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77,959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52,537</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14,433</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placement fees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36,868</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3"/>
        </w:trPr>
        <w:tc>
          <w:tcPr>
            <w:tcW w:w="100" w:type="dxa"/>
            <w:vAlign w:val="bottom"/>
            <w:tcBorders>
              <w:bottom w:val="single" w:sz="8" w:color="CCEEFF"/>
            </w:tcBorders>
          </w:tcPr>
          <w:p>
            <w:pPr>
              <w:spacing w:after="0"/>
              <w:rPr>
                <w:sz w:val="18"/>
                <w:szCs w:val="18"/>
                <w:color w:val="auto"/>
              </w:rPr>
            </w:pPr>
          </w:p>
        </w:tc>
        <w:tc>
          <w:tcPr>
            <w:tcW w:w="4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(10,156)</w:t>
            </w:r>
          </w:p>
        </w:tc>
        <w:tc>
          <w:tcPr>
            <w:tcW w:w="0" w:type="dxa"/>
            <w:vAlign w:val="bottom"/>
          </w:tcPr>
          <w:p>
            <w:pPr>
              <w:spacing w:after="0"/>
              <w:rPr>
                <w:sz w:val="1"/>
                <w:szCs w:val="1"/>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4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84,251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197,644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97,098</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4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Non-GAAP diluted EPS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6"/>
                <w:szCs w:val="16"/>
                <w:color w:val="auto"/>
              </w:rPr>
              <w:t>Non-GAAP weighted average common shares outstanding -</w:t>
            </w:r>
          </w:p>
        </w:tc>
        <w:tc>
          <w:tcPr>
            <w:tcW w:w="26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45,839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46,239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45,768</w:t>
            </w:r>
          </w:p>
        </w:tc>
        <w:tc>
          <w:tcPr>
            <w:tcW w:w="0" w:type="dxa"/>
            <w:vAlign w:val="bottom"/>
          </w:tcPr>
          <w:p>
            <w:pPr>
              <w:spacing w:after="0"/>
              <w:rPr>
                <w:sz w:val="1"/>
                <w:szCs w:val="1"/>
                <w:color w:val="auto"/>
              </w:rPr>
            </w:pPr>
          </w:p>
        </w:tc>
      </w:tr>
      <w:tr>
        <w:trPr>
          <w:trHeight w:val="209"/>
        </w:trPr>
        <w:tc>
          <w:tcPr>
            <w:tcW w:w="100" w:type="dxa"/>
            <w:vAlign w:val="bottom"/>
            <w:tcBorders>
              <w:bottom w:val="single" w:sz="8" w:color="CCEEFF"/>
            </w:tcBorders>
            <w:shd w:val="clear" w:color="auto" w:fill="CCEEFF"/>
          </w:tcPr>
          <w:p>
            <w:pPr>
              <w:spacing w:after="0"/>
              <w:rPr>
                <w:sz w:val="18"/>
                <w:szCs w:val="18"/>
                <w:color w:val="auto"/>
              </w:rPr>
            </w:pPr>
          </w:p>
        </w:tc>
        <w:tc>
          <w:tcPr>
            <w:tcW w:w="4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COMPANY RECONCILIATIONS</w:t>
            </w:r>
          </w:p>
        </w:tc>
        <w:tc>
          <w:tcPr>
            <w:tcW w:w="260" w:type="dxa"/>
            <w:vAlign w:val="bottom"/>
          </w:tcPr>
          <w:p>
            <w:pPr>
              <w:spacing w:after="0"/>
              <w:rPr>
                <w:sz w:val="18"/>
                <w:szCs w:val="18"/>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GAAP net income attributable to Itron, Inc.</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77,959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52,537</w:t>
            </w:r>
          </w:p>
        </w:tc>
      </w:tr>
      <w:tr>
        <w:trPr>
          <w:trHeight w:val="213"/>
        </w:trPr>
        <w:tc>
          <w:tcPr>
            <w:tcW w:w="4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(5,968)</w:t>
            </w:r>
          </w:p>
        </w:tc>
      </w:tr>
      <w:tr>
        <w:trPr>
          <w:trHeight w:val="219"/>
        </w:trPr>
        <w:tc>
          <w:tcPr>
            <w:tcW w:w="4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6,479</w:t>
            </w:r>
          </w:p>
        </w:tc>
      </w:tr>
      <w:tr>
        <w:trPr>
          <w:trHeight w:val="213"/>
        </w:trPr>
        <w:tc>
          <w:tcPr>
            <w:tcW w:w="4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 provision</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24,513</w:t>
            </w:r>
          </w:p>
        </w:tc>
      </w:tr>
      <w:tr>
        <w:trPr>
          <w:trHeight w:val="219"/>
        </w:trPr>
        <w:tc>
          <w:tcPr>
            <w:tcW w:w="4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42,013</w:t>
            </w:r>
          </w:p>
        </w:tc>
      </w:tr>
      <w:tr>
        <w:trPr>
          <w:trHeight w:val="213"/>
        </w:trPr>
        <w:tc>
          <w:tcPr>
            <w:tcW w:w="4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36,868</w:t>
            </w:r>
          </w:p>
        </w:tc>
      </w:tr>
      <w:tr>
        <w:trPr>
          <w:trHeight w:val="219"/>
        </w:trPr>
        <w:tc>
          <w:tcPr>
            <w:tcW w:w="4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213"/>
        </w:trPr>
        <w:tc>
          <w:tcPr>
            <w:tcW w:w="4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Strategic initiative</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6"/>
        </w:trPr>
        <w:tc>
          <w:tcPr>
            <w:tcW w:w="4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2"/>
        </w:trPr>
        <w:tc>
          <w:tcPr>
            <w:tcW w:w="4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88,598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68,461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242,183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157,229</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4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77,076</w:t>
            </w:r>
          </w:p>
        </w:tc>
      </w:tr>
      <w:tr>
        <w:trPr>
          <w:trHeight w:val="213"/>
        </w:trPr>
        <w:tc>
          <w:tcPr>
            <w:tcW w:w="44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(20,878)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(18,304)</w:t>
            </w:r>
          </w:p>
        </w:tc>
      </w:tr>
      <w:tr>
        <w:trPr>
          <w:trHeight w:val="237"/>
        </w:trPr>
        <w:tc>
          <w:tcPr>
            <w:tcW w:w="44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Free Cash Flow</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58,678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137,448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58,772</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may be exposed to interest rate risk through our variable rate debt instruments, namely the multicurrency revolving line of credit. At September 30, 2024, we had no outstanding variable rate debt.</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continually monitor and assess our interest rate risk and may institute additional interest rate swaps or other derivative instruments to manage such risk in the future if we were to have variable rate debt outstanding.</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a number of countries. Revenues denominated in functional currencies other than the U.S. dollar were 22% and 23% of total revenues for the three and nine months ended September 30, 2024 compared with 22% and 24% for the same respective periods in 2023.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September 30, 2024, a total of 35 contracts were offsetting our exposures from the euro, pound sterling, Indonesian rupiah, Canadian dollar, Australian dollar, and various other currencies, with notional amounts ranging from $112,600 to $40.6 million.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future periods, we may use additional derivative contracts to protect against foreign currency exchange rate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September 30, 2024,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September 30, 2024 that materially affected, or are reasonably likely to materially affect, internal control over financial reporting.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 included in this Quarterly Report on Form 10-Q.</w:t>
      </w:r>
    </w:p>
    <w:p>
      <w:pPr>
        <w:spacing w:after="0" w:line="2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complete list of Risk Factors, refer to Part I, Item 1A: Risk Factors of our Annual Report on Form 10-K for the fiscal year ended December 31, 2023, which was filed with the Securities and Exchange Commission on February 26, 2024.</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0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Repurchase of Equity Securities.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Maximum Dollar</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8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8"/>
              </w:rPr>
              <w:t>May Yet Be</w:t>
            </w:r>
          </w:p>
        </w:tc>
        <w:tc>
          <w:tcPr>
            <w:tcW w:w="0" w:type="dxa"/>
            <w:vAlign w:val="bottom"/>
          </w:tcPr>
          <w:p>
            <w:pPr>
              <w:spacing w:after="0"/>
              <w:rPr>
                <w:sz w:val="1"/>
                <w:szCs w:val="1"/>
                <w:color w:val="auto"/>
              </w:rPr>
            </w:pPr>
          </w:p>
        </w:tc>
      </w:tr>
      <w:tr>
        <w:trPr>
          <w:trHeight w:val="162"/>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2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4"/>
                <w:szCs w:val="14"/>
                <w:color w:val="auto"/>
              </w:rPr>
            </w:pPr>
          </w:p>
        </w:tc>
        <w:tc>
          <w:tcPr>
            <w:tcW w:w="16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4540" w:type="dxa"/>
            <w:vAlign w:val="bottom"/>
            <w:vMerge w:val="continue"/>
          </w:tcPr>
          <w:p>
            <w:pPr>
              <w:spacing w:after="0"/>
              <w:rPr>
                <w:sz w:val="18"/>
                <w:szCs w:val="18"/>
                <w:color w:val="auto"/>
              </w:rPr>
            </w:pPr>
          </w:p>
        </w:tc>
        <w:tc>
          <w:tcPr>
            <w:tcW w:w="182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21"/>
                <w:szCs w:val="21"/>
                <w:b w:val="1"/>
                <w:bCs w:val="1"/>
                <w:color w:val="auto"/>
                <w:vertAlign w:val="superscript"/>
              </w:rPr>
              <w:t>(1) (3)</w:t>
            </w:r>
          </w:p>
        </w:tc>
        <w:tc>
          <w:tcPr>
            <w:tcW w:w="158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per Share </w:t>
            </w:r>
            <w:r>
              <w:rPr>
                <w:rFonts w:ascii="Times New Roman" w:cs="Times New Roman" w:eastAsia="Times New Roman" w:hAnsi="Times New Roman"/>
                <w:sz w:val="21"/>
                <w:szCs w:val="21"/>
                <w:b w:val="1"/>
                <w:bCs w:val="1"/>
                <w:color w:val="auto"/>
                <w:w w:val="96"/>
                <w:vertAlign w:val="superscript"/>
              </w:rPr>
              <w:t>(2)</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Plans or Programs</w:t>
            </w:r>
          </w:p>
        </w:tc>
        <w:tc>
          <w:tcPr>
            <w:tcW w:w="0" w:type="dxa"/>
            <w:vAlign w:val="bottom"/>
          </w:tcPr>
          <w:p>
            <w:pPr>
              <w:spacing w:after="0"/>
              <w:rPr>
                <w:sz w:val="1"/>
                <w:szCs w:val="1"/>
                <w:color w:val="auto"/>
              </w:rPr>
            </w:pPr>
          </w:p>
        </w:tc>
      </w:tr>
      <w:tr>
        <w:trPr>
          <w:trHeight w:val="208"/>
        </w:trPr>
        <w:tc>
          <w:tcPr>
            <w:tcW w:w="45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2024 through July 31, 2024</w:t>
            </w:r>
          </w:p>
        </w:tc>
        <w:tc>
          <w:tcPr>
            <w:tcW w:w="182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 2024 through August 31, 2024</w:t>
            </w:r>
          </w:p>
        </w:tc>
        <w:tc>
          <w:tcPr>
            <w:tcW w:w="1820" w:type="dxa"/>
            <w:vAlign w:val="bottom"/>
            <w:gridSpan w:val="3"/>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2024 through September 30, 2024</w:t>
            </w:r>
          </w:p>
        </w:tc>
        <w:tc>
          <w:tcPr>
            <w:tcW w:w="182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09"/>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0" w:type="dxa"/>
            <w:vAlign w:val="bottom"/>
            <w:tcBorders>
              <w:top w:val="single" w:sz="8" w:color="auto"/>
              <w:bottom w:val="single" w:sz="8" w:color="auto"/>
            </w:tcBorders>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bottom w:val="single" w:sz="8" w:color="auto"/>
            </w:tcBorders>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40" w:hanging="332"/>
        <w:spacing w:after="0"/>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September 19, 2024, Itron's Board of Directors authorized a share repurchase program of up to $100 million of Itron's common stock over an 18-month period.</w:t>
      </w:r>
    </w:p>
    <w:p>
      <w:pPr>
        <w:spacing w:after="0" w:line="159"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commissions.</w:t>
      </w:r>
    </w:p>
    <w:p>
      <w:pPr>
        <w:spacing w:after="0" w:line="64" w:lineRule="exact"/>
        <w:rPr>
          <w:rFonts w:ascii="Times New Roman" w:cs="Times New Roman" w:eastAsia="Times New Roman" w:hAnsi="Times New Roman"/>
          <w:sz w:val="21"/>
          <w:szCs w:val="21"/>
          <w:color w:val="auto"/>
          <w:vertAlign w:val="superscript"/>
        </w:rPr>
      </w:pPr>
    </w:p>
    <w:p>
      <w:pPr>
        <w:ind w:left="340" w:hanging="332"/>
        <w:spacing w:after="0" w:line="215"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Shares purchased may include shares transferred to us by certain employees who vested in restricted stock units and used shares to pay all, or a portion of, the related taxes.</w:t>
      </w:r>
    </w:p>
    <w:p>
      <w:pPr>
        <w:spacing w:after="0" w:line="22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94"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was required to be disclosed in a report on Form 8-K during the third quarter of 2024 that was not reported.</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 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14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52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52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800" w:type="dxa"/>
            <w:vAlign w:val="bottom"/>
            <w:gridSpan w:val="2"/>
            <w:vMerge w:val="restart"/>
          </w:tcPr>
          <w:p>
            <w:pPr>
              <w:ind w:left="402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8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5"/>
                <w:szCs w:val="15"/>
                <w:color w:val="auto"/>
              </w:rPr>
            </w:pPr>
          </w:p>
        </w:tc>
        <w:tc>
          <w:tcPr>
            <w:tcW w:w="5240" w:type="dxa"/>
            <w:vAlign w:val="bottom"/>
            <w:tcBorders>
              <w:top w:val="single" w:sz="8" w:color="auto"/>
              <w:bottom w:val="single" w:sz="8" w:color="0000FF"/>
            </w:tcBorders>
          </w:tcPr>
          <w:p>
            <w:pPr>
              <w:ind w:left="20"/>
              <w:spacing w:after="0" w:line="182" w:lineRule="exact"/>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w:t>
            </w:r>
          </w:p>
        </w:tc>
        <w:tc>
          <w:tcPr>
            <w:tcW w:w="4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5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5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1440" w:right="20" w:hanging="939"/>
        <w:spacing w:after="0" w:line="224" w:lineRule="auto"/>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Itron, Inc.'s Quarterly Report on Form 10-Q for the quarter ended September 30, 2024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p>
      <w:pPr>
        <w:spacing w:after="0" w:line="159" w:lineRule="exact"/>
        <w:rPr>
          <w:sz w:val="20"/>
          <w:szCs w:val="20"/>
          <w:color w:val="auto"/>
        </w:rPr>
      </w:pPr>
    </w:p>
    <w:p>
      <w:pPr>
        <w:ind w:left="1440" w:hanging="939"/>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ITRON, INC.</w:t>
            </w:r>
          </w:p>
        </w:tc>
      </w:tr>
      <w:tr>
        <w:trPr>
          <w:trHeight w:val="486"/>
        </w:trPr>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October 31, 2024</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6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JOAN S. HOOPER</w:t>
            </w:r>
          </w:p>
        </w:tc>
      </w:tr>
      <w:tr>
        <w:trPr>
          <w:trHeight w:val="214"/>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80" w:type="dxa"/>
            <w:vAlign w:val="bottom"/>
          </w:tcPr>
          <w:p>
            <w:pPr>
              <w:spacing w:after="0"/>
              <w:rPr>
                <w:sz w:val="18"/>
                <w:szCs w:val="18"/>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Joan S. Hooper</w:t>
            </w:r>
          </w:p>
        </w:tc>
      </w:tr>
      <w:tr>
        <w:trPr>
          <w:trHeight w:val="238"/>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L. Deitrich, certify that:</w:t>
      </w:r>
    </w:p>
    <w:p>
      <w:pPr>
        <w:spacing w:after="0" w:line="25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7600"/>
        <w:spacing w:after="0"/>
        <w:tabs>
          <w:tab w:leader="none" w:pos="8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17145</wp:posOffset>
            </wp:positionV>
            <wp:extent cx="20574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Thomas L. Deitrich</w:t>
      </w: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ectPr>
          <w:pgSz w:w="11900" w:h="16838" w:orient="portrait"/>
          <w:cols w:equalWidth="0" w:num="1">
            <w:col w:w="11240"/>
          </w:cols>
          <w:pgMar w:left="320" w:top="11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Joan S. Hooper, certify that:</w:t>
      </w:r>
    </w:p>
    <w:p>
      <w:pPr>
        <w:spacing w:after="0" w:line="25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540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ectPr>
          <w:pgSz w:w="11900" w:h="16838" w:orient="portrait"/>
          <w:cols w:equalWidth="0" w:num="1">
            <w:col w:w="11240"/>
          </w:cols>
          <w:pgMar w:left="320" w:top="11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of Itron, Inc. (the Company) on Form 10-Q for the quarterly period ended September 30, 2024 (the Report) for the purpose of complying with Rule 13a-14(b) or Rule 15d-14(b) of the Securities Exchange Act of 1934 and Section 1350 of Chapter 63 of Title 18 of the United States Code.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Thomas L. Deitrich, the Chief Executive Officer, and Joan S. Hooper, the Chief Financial Officer, of the Company each certifies that to the best of his or her knowledge:</w:t>
      </w:r>
    </w:p>
    <w:p>
      <w:pPr>
        <w:spacing w:after="0" w:line="162" w:lineRule="exact"/>
        <w:rPr>
          <w:sz w:val="20"/>
          <w:szCs w:val="20"/>
          <w:color w:val="auto"/>
        </w:rPr>
      </w:pPr>
    </w:p>
    <w:p>
      <w:pPr>
        <w:ind w:left="840" w:hanging="387"/>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60" w:right="740" w:hanging="407"/>
        <w:spacing w:after="0" w:line="282" w:lineRule="auto"/>
        <w:tabs>
          <w:tab w:leader="none" w:pos="84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/s/ THOMAS L. DEITRICH</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31, 2024</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Thomas L. Deitrich</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43"/>
        </w:trPr>
        <w:tc>
          <w:tcPr>
            <w:tcW w:w="60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3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/s/ JOAN S. HOOPER</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31, 2024</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Joan S. Hooper</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49"/>
        </w:trPr>
        <w:tc>
          <w:tcPr>
            <w:tcW w:w="60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c>
          <w:tcPr>
            <w:tcW w:w="3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020" w:type="dxa"/>
            <w:vAlign w:val="bottom"/>
            <w:gridSpan w:val="2"/>
            <w:vMerge w:val="continue"/>
          </w:tcPr>
          <w:p>
            <w:pPr>
              <w:spacing w:after="0"/>
              <w:rPr>
                <w:sz w:val="7"/>
                <w:szCs w:val="7"/>
                <w:color w:val="auto"/>
              </w:rPr>
            </w:pP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280"/>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decimal"/>
      <w:start w:val="101"/>
    </w:lvl>
  </w:abstractNum>
  <w:abstractNum w:abstractNumId="14">
    <w:nsid w:val="4E6AFB66"/>
    <w:multiLevelType w:val="hybridMultilevel"/>
    <w:lvl w:ilvl="0">
      <w:lvlJc w:val="left"/>
      <w:lvlText w:val="%1"/>
      <w:numFmt w:val="decimal"/>
      <w:start w:val="104"/>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2024-10-31T11:44:44Z</dcterms:created>
  <dcterms:modified xsi:type="dcterms:W3CDTF">2024-10-31T11:44:44Z</dcterms:modified>
</cp:coreProperties>
</file>