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2522220</wp:posOffset>
            </wp:positionH>
            <wp:positionV relativeFrom="paragraph">
              <wp:posOffset>274955</wp:posOffset>
            </wp:positionV>
            <wp:extent cx="221234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123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5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0" w:lineRule="exact"/>
        <w:rPr>
          <w:sz w:val="24"/>
          <w:szCs w:val="24"/>
          <w:color w:val="auto"/>
        </w:rPr>
      </w:pP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November 5,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26035</wp:posOffset>
            </wp:positionV>
            <wp:extent cx="21780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34"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Date of Report (Date of Earliest Event Reported)</w:t>
      </w:r>
    </w:p>
    <w:p>
      <w:pPr>
        <w:spacing w:after="0" w:line="16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ITRON,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1823085</wp:posOffset>
            </wp:positionH>
            <wp:positionV relativeFrom="paragraph">
              <wp:posOffset>26035</wp:posOffset>
            </wp:positionV>
            <wp:extent cx="36188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4"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248" w:lineRule="exact"/>
        <w:rPr>
          <w:sz w:val="24"/>
          <w:szCs w:val="24"/>
          <w:color w:val="auto"/>
        </w:rPr>
      </w:pPr>
    </w:p>
    <w:tbl>
      <w:tblPr>
        <w:tblLayout w:type="fixed"/>
        <w:tblInd w:w="300" w:type="dxa"/>
        <w:tblCellMar>
          <w:top w:w="0" w:type="dxa"/>
          <w:left w:w="0" w:type="dxa"/>
          <w:bottom w:w="0" w:type="dxa"/>
          <w:right w:w="0" w:type="dxa"/>
        </w:tblCellMar>
      </w:tblPr>
      <w:tr>
        <w:trPr>
          <w:trHeight w:val="241"/>
        </w:trPr>
        <w:tc>
          <w:tcPr>
            <w:tcW w:w="3260" w:type="dxa"/>
            <w:vAlign w:val="bottom"/>
          </w:tcPr>
          <w:p>
            <w:pPr>
              <w:jc w:val="center"/>
              <w:spacing w:after="0"/>
              <w:rPr>
                <w:sz w:val="20"/>
                <w:szCs w:val="20"/>
                <w:color w:val="auto"/>
              </w:rPr>
            </w:pPr>
            <w:r>
              <w:rPr>
                <w:rFonts w:ascii="Arial" w:cs="Arial" w:eastAsia="Arial" w:hAnsi="Arial"/>
                <w:sz w:val="18"/>
                <w:szCs w:val="18"/>
                <w:b w:val="1"/>
                <w:bCs w:val="1"/>
                <w:color w:val="auto"/>
                <w:w w:val="89"/>
              </w:rPr>
              <w:t>Washington</w:t>
            </w:r>
          </w:p>
        </w:tc>
        <w:tc>
          <w:tcPr>
            <w:tcW w:w="3800" w:type="dxa"/>
            <w:vAlign w:val="bottom"/>
            <w:gridSpan w:val="2"/>
          </w:tcPr>
          <w:p>
            <w:pPr>
              <w:jc w:val="center"/>
              <w:ind w:left="450"/>
              <w:spacing w:after="0"/>
              <w:rPr>
                <w:sz w:val="20"/>
                <w:szCs w:val="20"/>
                <w:color w:val="auto"/>
              </w:rPr>
            </w:pPr>
            <w:r>
              <w:rPr>
                <w:rFonts w:ascii="Arial" w:cs="Arial" w:eastAsia="Arial" w:hAnsi="Arial"/>
                <w:sz w:val="18"/>
                <w:szCs w:val="18"/>
                <w:b w:val="1"/>
                <w:bCs w:val="1"/>
                <w:color w:val="auto"/>
                <w:w w:val="90"/>
              </w:rPr>
              <w:t>000-22418</w:t>
            </w:r>
          </w:p>
        </w:tc>
        <w:tc>
          <w:tcPr>
            <w:tcW w:w="540" w:type="dxa"/>
            <w:vAlign w:val="bottom"/>
          </w:tcPr>
          <w:p>
            <w:pPr>
              <w:spacing w:after="0"/>
              <w:rPr>
                <w:sz w:val="20"/>
                <w:szCs w:val="20"/>
                <w:color w:val="auto"/>
              </w:rPr>
            </w:pPr>
          </w:p>
        </w:tc>
        <w:tc>
          <w:tcPr>
            <w:tcW w:w="3240" w:type="dxa"/>
            <w:vAlign w:val="bottom"/>
          </w:tcPr>
          <w:p>
            <w:pPr>
              <w:jc w:val="center"/>
              <w:spacing w:after="0"/>
              <w:rPr>
                <w:sz w:val="20"/>
                <w:szCs w:val="20"/>
                <w:color w:val="auto"/>
              </w:rPr>
            </w:pPr>
            <w:r>
              <w:rPr>
                <w:rFonts w:ascii="Arial" w:cs="Arial" w:eastAsia="Arial" w:hAnsi="Arial"/>
                <w:sz w:val="18"/>
                <w:szCs w:val="18"/>
                <w:b w:val="1"/>
                <w:bCs w:val="1"/>
                <w:color w:val="auto"/>
                <w:w w:val="89"/>
              </w:rPr>
              <w:t>91-1011792</w:t>
            </w:r>
          </w:p>
        </w:tc>
      </w:tr>
      <w:tr>
        <w:trPr>
          <w:trHeight w:val="215"/>
        </w:trPr>
        <w:tc>
          <w:tcPr>
            <w:tcW w:w="3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(State or Other Jurisdiction</w:t>
            </w:r>
          </w:p>
        </w:tc>
        <w:tc>
          <w:tcPr>
            <w:tcW w:w="560" w:type="dxa"/>
            <w:vAlign w:val="bottom"/>
          </w:tcPr>
          <w:p>
            <w:pPr>
              <w:spacing w:after="0"/>
              <w:rPr>
                <w:sz w:val="18"/>
                <w:szCs w:val="18"/>
                <w:color w:val="auto"/>
              </w:rPr>
            </w:pPr>
          </w:p>
        </w:tc>
        <w:tc>
          <w:tcPr>
            <w:tcW w:w="3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(Commission File No.)</w:t>
            </w:r>
          </w:p>
        </w:tc>
        <w:tc>
          <w:tcPr>
            <w:tcW w:w="540" w:type="dxa"/>
            <w:vAlign w:val="bottom"/>
          </w:tcPr>
          <w:p>
            <w:pPr>
              <w:spacing w:after="0"/>
              <w:rPr>
                <w:sz w:val="18"/>
                <w:szCs w:val="18"/>
                <w:color w:val="auto"/>
              </w:rPr>
            </w:pPr>
          </w:p>
        </w:tc>
        <w:tc>
          <w:tcPr>
            <w:tcW w:w="3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(IRS Employer</w:t>
            </w:r>
          </w:p>
        </w:tc>
      </w:tr>
      <w:tr>
        <w:trPr>
          <w:trHeight w:val="230"/>
        </w:trPr>
        <w:tc>
          <w:tcPr>
            <w:tcW w:w="3260" w:type="dxa"/>
            <w:vAlign w:val="bottom"/>
          </w:tcPr>
          <w:p>
            <w:pPr>
              <w:jc w:val="center"/>
              <w:spacing w:after="0"/>
              <w:rPr>
                <w:sz w:val="20"/>
                <w:szCs w:val="20"/>
                <w:color w:val="auto"/>
              </w:rPr>
            </w:pPr>
            <w:r>
              <w:rPr>
                <w:rFonts w:ascii="Arial" w:cs="Arial" w:eastAsia="Arial" w:hAnsi="Arial"/>
                <w:sz w:val="18"/>
                <w:szCs w:val="18"/>
                <w:color w:val="auto"/>
                <w:w w:val="94"/>
              </w:rPr>
              <w:t>of Incorporation)</w:t>
            </w:r>
          </w:p>
        </w:tc>
        <w:tc>
          <w:tcPr>
            <w:tcW w:w="5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4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66"/>
        </w:trPr>
        <w:tc>
          <w:tcPr>
            <w:tcW w:w="326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8"/>
                <w:szCs w:val="18"/>
                <w:b w:val="1"/>
                <w:bCs w:val="1"/>
                <w:color w:val="auto"/>
                <w:w w:val="93"/>
              </w:rPr>
              <w:t>2111 N. Molter Road, Liberty Lake, WA 99019</w:t>
            </w:r>
          </w:p>
        </w:tc>
        <w:tc>
          <w:tcPr>
            <w:tcW w:w="3240" w:type="dxa"/>
            <w:vAlign w:val="bottom"/>
            <w:tcBorders>
              <w:bottom w:val="single" w:sz="8" w:color="auto"/>
            </w:tcBorders>
          </w:tcPr>
          <w:p>
            <w:pPr>
              <w:spacing w:after="0"/>
              <w:rPr>
                <w:sz w:val="24"/>
                <w:szCs w:val="24"/>
                <w:color w:val="auto"/>
              </w:rPr>
            </w:pPr>
          </w:p>
        </w:tc>
      </w:tr>
      <w:tr>
        <w:trPr>
          <w:trHeight w:val="230"/>
        </w:trPr>
        <w:tc>
          <w:tcPr>
            <w:tcW w:w="3260" w:type="dxa"/>
            <w:vAlign w:val="bottom"/>
          </w:tcPr>
          <w:p>
            <w:pPr>
              <w:spacing w:after="0"/>
              <w:rPr>
                <w:sz w:val="20"/>
                <w:szCs w:val="20"/>
                <w:color w:val="auto"/>
              </w:rPr>
            </w:pPr>
          </w:p>
        </w:tc>
        <w:tc>
          <w:tcPr>
            <w:tcW w:w="4340" w:type="dxa"/>
            <w:vAlign w:val="bottom"/>
            <w:gridSpan w:val="3"/>
          </w:tcPr>
          <w:p>
            <w:pPr>
              <w:jc w:val="center"/>
              <w:ind w:right="40"/>
              <w:spacing w:after="0"/>
              <w:rPr>
                <w:sz w:val="20"/>
                <w:szCs w:val="20"/>
                <w:color w:val="auto"/>
              </w:rPr>
            </w:pPr>
            <w:r>
              <w:rPr>
                <w:rFonts w:ascii="Arial" w:cs="Arial" w:eastAsia="Arial" w:hAnsi="Arial"/>
                <w:sz w:val="18"/>
                <w:szCs w:val="18"/>
                <w:color w:val="auto"/>
                <w:w w:val="92"/>
              </w:rPr>
              <w:t>(Address of Principal Executive Offices, Zip Code)</w:t>
            </w:r>
          </w:p>
        </w:tc>
        <w:tc>
          <w:tcPr>
            <w:tcW w:w="3240" w:type="dxa"/>
            <w:vAlign w:val="bottom"/>
          </w:tcPr>
          <w:p>
            <w:pPr>
              <w:spacing w:after="0"/>
              <w:rPr>
                <w:sz w:val="20"/>
                <w:szCs w:val="20"/>
                <w:color w:val="auto"/>
              </w:rPr>
            </w:pPr>
          </w:p>
        </w:tc>
      </w:tr>
      <w:tr>
        <w:trPr>
          <w:trHeight w:val="465"/>
        </w:trPr>
        <w:tc>
          <w:tcPr>
            <w:tcW w:w="326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2"/>
          </w:tcPr>
          <w:p>
            <w:pPr>
              <w:jc w:val="center"/>
              <w:ind w:left="430"/>
              <w:spacing w:after="0"/>
              <w:rPr>
                <w:sz w:val="20"/>
                <w:szCs w:val="20"/>
                <w:color w:val="auto"/>
              </w:rPr>
            </w:pPr>
            <w:r>
              <w:rPr>
                <w:rFonts w:ascii="Arial" w:cs="Arial" w:eastAsia="Arial" w:hAnsi="Arial"/>
                <w:sz w:val="18"/>
                <w:szCs w:val="18"/>
                <w:b w:val="1"/>
                <w:bCs w:val="1"/>
                <w:color w:val="auto"/>
                <w:w w:val="90"/>
              </w:rPr>
              <w:t>(509) 924-9900</w:t>
            </w:r>
          </w:p>
        </w:tc>
        <w:tc>
          <w:tcPr>
            <w:tcW w:w="54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r>
      <w:tr>
        <w:trPr>
          <w:trHeight w:val="230"/>
        </w:trPr>
        <w:tc>
          <w:tcPr>
            <w:tcW w:w="3260" w:type="dxa"/>
            <w:vAlign w:val="bottom"/>
          </w:tcPr>
          <w:p>
            <w:pPr>
              <w:spacing w:after="0"/>
              <w:rPr>
                <w:sz w:val="20"/>
                <w:szCs w:val="20"/>
                <w:color w:val="auto"/>
              </w:rPr>
            </w:pPr>
          </w:p>
        </w:tc>
        <w:tc>
          <w:tcPr>
            <w:tcW w:w="4340" w:type="dxa"/>
            <w:vAlign w:val="bottom"/>
            <w:gridSpan w:val="3"/>
          </w:tcPr>
          <w:p>
            <w:pPr>
              <w:jc w:val="center"/>
              <w:ind w:right="60"/>
              <w:spacing w:after="0"/>
              <w:rPr>
                <w:sz w:val="20"/>
                <w:szCs w:val="20"/>
                <w:color w:val="auto"/>
              </w:rPr>
            </w:pPr>
            <w:r>
              <w:rPr>
                <w:rFonts w:ascii="Arial" w:cs="Arial" w:eastAsia="Arial" w:hAnsi="Arial"/>
                <w:sz w:val="18"/>
                <w:szCs w:val="18"/>
                <w:color w:val="auto"/>
                <w:w w:val="91"/>
              </w:rPr>
              <w:t>(Registrant’s Telephone Number, Including Area Code)</w:t>
            </w:r>
          </w:p>
        </w:tc>
        <w:tc>
          <w:tcPr>
            <w:tcW w:w="324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299720</wp:posOffset>
            </wp:positionV>
            <wp:extent cx="68776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2" w:lineRule="exact"/>
        <w:rPr>
          <w:sz w:val="24"/>
          <w:szCs w:val="24"/>
          <w:color w:val="auto"/>
        </w:rPr>
      </w:pPr>
    </w:p>
    <w:p>
      <w:pPr>
        <w:ind w:right="2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207" w:lineRule="exact"/>
        <w:rPr>
          <w:sz w:val="24"/>
          <w:szCs w:val="24"/>
          <w:color w:val="auto"/>
        </w:rPr>
      </w:pPr>
    </w:p>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18" w:lineRule="exact"/>
        <w:rPr>
          <w:sz w:val="24"/>
          <w:szCs w:val="24"/>
          <w:color w:val="auto"/>
        </w:rPr>
      </w:pPr>
    </w:p>
    <w:p>
      <w:pPr>
        <w:spacing w:after="0" w:line="274" w:lineRule="auto"/>
        <w:rPr>
          <w:sz w:val="20"/>
          <w:szCs w:val="20"/>
          <w:color w:val="auto"/>
        </w:rPr>
      </w:pPr>
      <w:r>
        <w:rPr>
          <w:rFonts w:ascii="Arial" w:cs="Arial" w:eastAsia="Arial" w:hAnsi="Arial"/>
          <w:sz w:val="21"/>
          <w:szCs w:val="21"/>
          <w:color w:val="auto"/>
        </w:rPr>
        <w:t>Indicate by check mark whether the registrant is an emerging growth company as defined in Rule 405 of the Securities Act of 1933 (17 CFR §230.405) or Rule 12b-2 of the Securities Exchange Act of 1934 (17 CFR §240.12b-2).</w:t>
      </w:r>
    </w:p>
    <w:p>
      <w:pPr>
        <w:spacing w:after="0" w:line="172" w:lineRule="exact"/>
        <w:rPr>
          <w:sz w:val="24"/>
          <w:szCs w:val="24"/>
          <w:color w:val="auto"/>
        </w:rPr>
      </w:pPr>
    </w:p>
    <w:p>
      <w:pPr>
        <w:ind w:left="9000"/>
        <w:spacing w:after="0"/>
        <w:rPr>
          <w:sz w:val="20"/>
          <w:szCs w:val="20"/>
          <w:color w:val="auto"/>
        </w:rPr>
      </w:pPr>
      <w:r>
        <w:rPr>
          <w:rFonts w:ascii="Arial" w:cs="Arial" w:eastAsia="Arial" w:hAnsi="Arial"/>
          <w:sz w:val="18"/>
          <w:szCs w:val="18"/>
          <w:color w:val="auto"/>
        </w:rPr>
        <w:t>Emerging growth company</w:t>
      </w:r>
    </w:p>
    <w:p>
      <w:pPr>
        <w:spacing w:after="0" w:line="279" w:lineRule="exact"/>
        <w:rPr>
          <w:sz w:val="24"/>
          <w:szCs w:val="24"/>
          <w:color w:val="auto"/>
        </w:rPr>
      </w:pPr>
    </w:p>
    <w:p>
      <w:pPr>
        <w:ind w:right="680"/>
        <w:spacing w:after="0" w:line="224"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w:t>
      </w:r>
      <w:r>
        <w:rPr>
          <w:rFonts w:ascii="Arial Unicode MS" w:cs="Arial Unicode MS" w:eastAsia="Arial Unicode MS" w:hAnsi="Arial Unicode MS"/>
          <w:sz w:val="18"/>
          <w:szCs w:val="18"/>
          <w:color w:val="auto"/>
        </w:rPr>
        <w:t></w:t>
      </w:r>
      <w:r>
        <w:rPr>
          <w:rFonts w:ascii="Arial" w:cs="Arial" w:eastAsia="Arial" w:hAnsi="Arial"/>
          <w:sz w:val="18"/>
          <w:szCs w:val="18"/>
          <w:color w:val="auto"/>
        </w:rPr>
        <w:t>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272020" cy="59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 w:name="page2"/>
    <w:bookmarkEnd w:id="1"/>
    <w:p>
      <w:pPr>
        <w:spacing w:after="0"/>
        <w:tabs>
          <w:tab w:leader="none" w:pos="11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83" w:lineRule="exact"/>
        <w:rPr>
          <w:sz w:val="20"/>
          <w:szCs w:val="20"/>
          <w:color w:val="auto"/>
        </w:rPr>
      </w:pPr>
    </w:p>
    <w:p>
      <w:pPr>
        <w:ind w:left="1160" w:right="220"/>
        <w:spacing w:after="0" w:line="308" w:lineRule="auto"/>
        <w:rPr>
          <w:sz w:val="20"/>
          <w:szCs w:val="20"/>
          <w:color w:val="auto"/>
        </w:rPr>
      </w:pPr>
      <w:r>
        <w:rPr>
          <w:rFonts w:ascii="Arial" w:cs="Arial" w:eastAsia="Arial" w:hAnsi="Arial"/>
          <w:sz w:val="17"/>
          <w:szCs w:val="17"/>
          <w:color w:val="auto"/>
        </w:rPr>
        <w:t>On November 5, 2018, Itron, Inc. (the Company) issued a press release announcing its financial results for the three and nine months ended September 30, 2018. A copy of this press release and accompanying financial statements are attached as Exhibit 99.1.</w:t>
      </w:r>
    </w:p>
    <w:p>
      <w:pPr>
        <w:spacing w:after="0" w:line="17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36" w:lineRule="exact"/>
        <w:rPr>
          <w:sz w:val="20"/>
          <w:szCs w:val="20"/>
          <w:color w:val="auto"/>
        </w:rPr>
      </w:pPr>
    </w:p>
    <w:p>
      <w:pPr>
        <w:ind w:left="420"/>
        <w:spacing w:after="0"/>
        <w:rPr>
          <w:sz w:val="20"/>
          <w:szCs w:val="20"/>
          <w:color w:val="auto"/>
        </w:rPr>
      </w:pPr>
      <w:r>
        <w:rPr>
          <w:rFonts w:ascii="Arial" w:cs="Arial" w:eastAsia="Arial" w:hAnsi="Arial"/>
          <w:sz w:val="22"/>
          <w:szCs w:val="22"/>
          <w:color w:val="auto"/>
        </w:rPr>
        <w:t>(d) Exhibits.</w:t>
      </w:r>
    </w:p>
    <w:p>
      <w:pPr>
        <w:spacing w:after="0" w:line="227"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ind w:left="60"/>
        <w:spacing w:after="0"/>
        <w:tabs>
          <w:tab w:leader="none" w:pos="136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8" w:lineRule="exact"/>
        <w:rPr>
          <w:sz w:val="20"/>
          <w:szCs w:val="20"/>
          <w:color w:val="auto"/>
        </w:rPr>
      </w:pPr>
    </w:p>
    <w:p>
      <w:pPr>
        <w:ind w:left="60"/>
        <w:spacing w:after="0"/>
        <w:tabs>
          <w:tab w:leader="none" w:pos="13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November 5, 2018.*</w:t>
      </w: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color w:val="auto"/>
        </w:rPr>
        <w:t>* This exhibit is intended to be furnished and shall not be deemed "filed" for purposes of the Exchange Act.</w:t>
      </w:r>
    </w:p>
    <w:p>
      <w:pPr>
        <w:spacing w:after="0" w:line="206"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The information presented in this Current Report on Form 8-K may contain forward-looking statements within in the meaning of the Private Securities Litigation Reform Act of 1995. These statements relate to our expectations about revenues, operations, financial performance, earnings, earnings per share, cash flows, and other financial results. Although we believe the estimates and assumptions upon which these forward-looking statements are based are reasonable, any of these estimates or assumptions could prove to be inaccurate and the forward-looking statements based on these estimates and assumptions could be incorrect. Our operations involve risks and uncertainties, many of which are outside our control, and any one of which, or a combination of which, could materially affect our results of operations and whether the forward-looking statements ultimately prove to be correct. Actual results and trends in the future may differ materially from those suggested or implied by the forward-looking statements depending on a variety of factors. Some of the factors that we believe could affect our results include our ability to execute on our restructuring plans, our ability to achieve estimated cost savings, the rate and timing of customer demand for our products, rescheduling of current customer orders, changes in estimated liabilities for product warranties, adverse impacts of litigation, changes in laws and regulations, our dependence on new product development and intellectual property, future acquisitions, changes in estimates for stock-based and bonus compensation, increasing volatility in foreign exchange rates, international business risks and other factors that are more fully described in our Annual Report on Form 10-K for the year ended December 31, 2017 and other reports on file with the Securities and Exchange Commission. The Company undertakes no obligation to update or revise any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257810</wp:posOffset>
            </wp:positionV>
            <wp:extent cx="7272020" cy="59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35"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2" w:lineRule="exact"/>
        <w:rPr>
          <w:sz w:val="20"/>
          <w:szCs w:val="20"/>
          <w:color w:val="auto"/>
        </w:rPr>
      </w:pPr>
    </w:p>
    <w:p>
      <w:pPr>
        <w:ind w:right="260"/>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0" w:type="dxa"/>
            <w:vAlign w:val="bottom"/>
          </w:tcPr>
          <w:p>
            <w:pPr>
              <w:spacing w:after="0"/>
              <w:rPr>
                <w:sz w:val="20"/>
                <w:szCs w:val="20"/>
                <w:color w:val="auto"/>
              </w:rPr>
            </w:pPr>
          </w:p>
        </w:tc>
        <w:tc>
          <w:tcPr>
            <w:tcW w:w="7620" w:type="dxa"/>
            <w:vAlign w:val="bottom"/>
            <w:gridSpan w:val="2"/>
          </w:tcPr>
          <w:p>
            <w:pPr>
              <w:ind w:left="1920"/>
              <w:spacing w:after="0"/>
              <w:rPr>
                <w:sz w:val="20"/>
                <w:szCs w:val="20"/>
                <w:color w:val="auto"/>
              </w:rPr>
            </w:pPr>
            <w:r>
              <w:rPr>
                <w:rFonts w:ascii="Arial" w:cs="Arial" w:eastAsia="Arial" w:hAnsi="Arial"/>
                <w:sz w:val="18"/>
                <w:szCs w:val="18"/>
                <w:color w:val="auto"/>
              </w:rPr>
              <w:t>ITRON, INC.</w:t>
            </w:r>
          </w:p>
        </w:tc>
      </w:tr>
      <w:tr>
        <w:trPr>
          <w:trHeight w:val="736"/>
        </w:trPr>
        <w:tc>
          <w:tcPr>
            <w:tcW w:w="3800" w:type="dxa"/>
            <w:vAlign w:val="bottom"/>
          </w:tcPr>
          <w:p>
            <w:pPr>
              <w:spacing w:after="0"/>
              <w:rPr>
                <w:sz w:val="20"/>
                <w:szCs w:val="20"/>
                <w:color w:val="auto"/>
              </w:rPr>
            </w:pPr>
            <w:r>
              <w:rPr>
                <w:rFonts w:ascii="Arial" w:cs="Arial" w:eastAsia="Arial" w:hAnsi="Arial"/>
                <w:sz w:val="18"/>
                <w:szCs w:val="18"/>
                <w:color w:val="auto"/>
              </w:rPr>
              <w:t>Dated: November 5, 2018</w:t>
            </w:r>
          </w:p>
        </w:tc>
        <w:tc>
          <w:tcPr>
            <w:tcW w:w="2480" w:type="dxa"/>
            <w:vAlign w:val="bottom"/>
          </w:tcPr>
          <w:p>
            <w:pPr>
              <w:ind w:left="19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Joan S. Hooper</w:t>
            </w:r>
          </w:p>
        </w:tc>
      </w:tr>
      <w:tr>
        <w:trPr>
          <w:trHeight w:val="230"/>
        </w:trPr>
        <w:tc>
          <w:tcPr>
            <w:tcW w:w="3800" w:type="dxa"/>
            <w:vAlign w:val="bottom"/>
          </w:tcPr>
          <w:p>
            <w:pPr>
              <w:spacing w:after="0"/>
              <w:rPr>
                <w:sz w:val="20"/>
                <w:szCs w:val="20"/>
                <w:color w:val="auto"/>
              </w:rPr>
            </w:pPr>
          </w:p>
        </w:tc>
        <w:tc>
          <w:tcPr>
            <w:tcW w:w="2480" w:type="dxa"/>
            <w:vAlign w:val="bottom"/>
          </w:tcPr>
          <w:p>
            <w:pPr>
              <w:ind w:left="1920"/>
              <w:spacing w:after="0"/>
              <w:rPr>
                <w:sz w:val="20"/>
                <w:szCs w:val="20"/>
                <w:color w:val="auto"/>
              </w:rPr>
            </w:pPr>
            <w:r>
              <w:rPr>
                <w:rFonts w:ascii="Arial" w:cs="Arial" w:eastAsia="Arial" w:hAnsi="Arial"/>
                <w:sz w:val="18"/>
                <w:szCs w:val="18"/>
                <w:color w:val="auto"/>
                <w:w w:val="88"/>
              </w:rPr>
              <w:t>Joan S.</w:t>
            </w:r>
          </w:p>
        </w:tc>
        <w:tc>
          <w:tcPr>
            <w:tcW w:w="5140" w:type="dxa"/>
            <w:vAlign w:val="bottom"/>
          </w:tcPr>
          <w:p>
            <w:pPr>
              <w:spacing w:after="0"/>
              <w:rPr>
                <w:sz w:val="20"/>
                <w:szCs w:val="20"/>
                <w:color w:val="auto"/>
              </w:rPr>
            </w:pPr>
            <w:r>
              <w:rPr>
                <w:rFonts w:ascii="Arial" w:cs="Arial" w:eastAsia="Arial" w:hAnsi="Arial"/>
                <w:sz w:val="18"/>
                <w:szCs w:val="18"/>
                <w:color w:val="auto"/>
              </w:rPr>
              <w:t>Hooper</w:t>
            </w:r>
          </w:p>
        </w:tc>
      </w:tr>
      <w:tr>
        <w:trPr>
          <w:trHeight w:val="242"/>
        </w:trPr>
        <w:tc>
          <w:tcPr>
            <w:tcW w:w="3800" w:type="dxa"/>
            <w:vAlign w:val="bottom"/>
          </w:tcPr>
          <w:p>
            <w:pPr>
              <w:spacing w:after="0"/>
              <w:rPr>
                <w:sz w:val="21"/>
                <w:szCs w:val="21"/>
                <w:color w:val="auto"/>
              </w:rPr>
            </w:pPr>
          </w:p>
        </w:tc>
        <w:tc>
          <w:tcPr>
            <w:tcW w:w="7620" w:type="dxa"/>
            <w:vAlign w:val="bottom"/>
            <w:gridSpan w:val="2"/>
          </w:tcPr>
          <w:p>
            <w:pPr>
              <w:ind w:left="1920"/>
              <w:spacing w:after="0"/>
              <w:rPr>
                <w:sz w:val="20"/>
                <w:szCs w:val="20"/>
                <w:color w:val="auto"/>
              </w:rPr>
            </w:pPr>
            <w:r>
              <w:rPr>
                <w:rFonts w:ascii="Arial" w:cs="Arial" w:eastAsia="Arial" w:hAnsi="Arial"/>
                <w:sz w:val="18"/>
                <w:szCs w:val="18"/>
                <w:color w:val="auto"/>
              </w:rPr>
              <w:t>Senior Vice President and Chief Financial Officer</w:t>
            </w:r>
          </w:p>
        </w:tc>
      </w:tr>
      <w:tr>
        <w:trPr>
          <w:trHeight w:val="149"/>
        </w:trPr>
        <w:tc>
          <w:tcPr>
            <w:tcW w:w="3800" w:type="dxa"/>
            <w:vAlign w:val="bottom"/>
            <w:tcBorders>
              <w:bottom w:val="single" w:sz="8" w:color="9A9A9A"/>
            </w:tcBorders>
          </w:tcPr>
          <w:p>
            <w:pPr>
              <w:spacing w:after="0"/>
              <w:rPr>
                <w:sz w:val="12"/>
                <w:szCs w:val="12"/>
                <w:color w:val="auto"/>
              </w:rPr>
            </w:pPr>
          </w:p>
        </w:tc>
        <w:tc>
          <w:tcPr>
            <w:tcW w:w="2480" w:type="dxa"/>
            <w:vAlign w:val="bottom"/>
            <w:tcBorders>
              <w:bottom w:val="single" w:sz="8" w:color="9A9A9A"/>
            </w:tcBorders>
          </w:tcPr>
          <w:p>
            <w:pPr>
              <w:spacing w:after="0"/>
              <w:rPr>
                <w:sz w:val="12"/>
                <w:szCs w:val="12"/>
                <w:color w:val="auto"/>
              </w:rPr>
            </w:pPr>
          </w:p>
        </w:tc>
        <w:tc>
          <w:tcPr>
            <w:tcW w:w="5140" w:type="dxa"/>
            <w:vAlign w:val="bottom"/>
            <w:tcBorders>
              <w:bottom w:val="single" w:sz="8" w:color="9A9A9A"/>
            </w:tcBorders>
          </w:tcPr>
          <w:p>
            <w:pPr>
              <w:spacing w:after="0"/>
              <w:rPr>
                <w:sz w:val="12"/>
                <w:szCs w:val="12"/>
                <w:color w:val="auto"/>
              </w:rPr>
            </w:pPr>
          </w:p>
        </w:tc>
      </w:tr>
      <w:tr>
        <w:trPr>
          <w:trHeight w:val="21"/>
        </w:trPr>
        <w:tc>
          <w:tcPr>
            <w:tcW w:w="3800" w:type="dxa"/>
            <w:vAlign w:val="bottom"/>
            <w:tcBorders>
              <w:bottom w:val="single" w:sz="8" w:color="EEEEEE"/>
            </w:tcBorders>
          </w:tcPr>
          <w:p>
            <w:pPr>
              <w:spacing w:after="0" w:line="20" w:lineRule="exact"/>
              <w:rPr>
                <w:sz w:val="1"/>
                <w:szCs w:val="1"/>
                <w:color w:val="auto"/>
              </w:rPr>
            </w:pPr>
          </w:p>
        </w:tc>
        <w:tc>
          <w:tcPr>
            <w:tcW w:w="2480" w:type="dxa"/>
            <w:vAlign w:val="bottom"/>
            <w:tcBorders>
              <w:bottom w:val="single" w:sz="8" w:color="EEEEEE"/>
            </w:tcBorders>
          </w:tcPr>
          <w:p>
            <w:pPr>
              <w:spacing w:after="0" w:line="20" w:lineRule="exact"/>
              <w:rPr>
                <w:sz w:val="1"/>
                <w:szCs w:val="1"/>
                <w:color w:val="auto"/>
              </w:rPr>
            </w:pPr>
          </w:p>
        </w:tc>
        <w:tc>
          <w:tcPr>
            <w:tcW w:w="51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ind w:left="4880"/>
        <w:spacing w:after="0"/>
        <w:rPr>
          <w:sz w:val="20"/>
          <w:szCs w:val="20"/>
          <w:color w:val="auto"/>
        </w:rPr>
      </w:pPr>
      <w:r>
        <w:rPr>
          <w:rFonts w:ascii="Arial" w:cs="Arial" w:eastAsia="Arial" w:hAnsi="Arial"/>
          <w:sz w:val="22"/>
          <w:szCs w:val="22"/>
          <w:b w:val="1"/>
          <w:bCs w:val="1"/>
          <w:color w:val="auto"/>
        </w:rPr>
        <w:t>EXHIBIT INDEX</w:t>
      </w:r>
    </w:p>
    <w:p>
      <w:pPr>
        <w:spacing w:after="0" w:line="200" w:lineRule="exact"/>
        <w:rPr>
          <w:sz w:val="20"/>
          <w:szCs w:val="20"/>
          <w:color w:val="auto"/>
        </w:rPr>
      </w:pPr>
    </w:p>
    <w:p>
      <w:pPr>
        <w:spacing w:after="0" w:line="27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ind w:left="140"/>
        <w:spacing w:after="0"/>
        <w:tabs>
          <w:tab w:leader="none" w:pos="152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8" w:lineRule="exact"/>
        <w:rPr>
          <w:sz w:val="20"/>
          <w:szCs w:val="20"/>
          <w:color w:val="auto"/>
        </w:rPr>
      </w:pPr>
    </w:p>
    <w:p>
      <w:pPr>
        <w:ind w:left="140"/>
        <w:spacing w:after="0"/>
        <w:tabs>
          <w:tab w:leader="none" w:pos="1500" w:val="left"/>
        </w:tabs>
        <w:rPr>
          <w:rFonts w:ascii="Arial" w:cs="Arial" w:eastAsia="Arial" w:hAnsi="Arial"/>
          <w:sz w:val="15"/>
          <w:szCs w:val="15"/>
          <w:u w:val="single" w:color="auto"/>
          <w:color w:val="0000EE"/>
        </w:rPr>
      </w:pPr>
      <w:hyperlink w:anchor="page5">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5">
        <w:r>
          <w:rPr>
            <w:rFonts w:ascii="Arial" w:cs="Arial" w:eastAsia="Arial" w:hAnsi="Arial"/>
            <w:sz w:val="15"/>
            <w:szCs w:val="15"/>
            <w:u w:val="single" w:color="auto"/>
            <w:color w:val="0000EE"/>
          </w:rPr>
          <w:t>Press release dated November 5, 2018.*</w:t>
        </w:r>
      </w:hyperlink>
    </w:p>
    <w:p>
      <w:pPr>
        <w:spacing w:after="0" w:line="232" w:lineRule="exact"/>
        <w:rPr>
          <w:sz w:val="20"/>
          <w:szCs w:val="20"/>
          <w:color w:val="auto"/>
        </w:rPr>
      </w:pPr>
    </w:p>
    <w:p>
      <w:pPr>
        <w:spacing w:after="0"/>
        <w:rPr>
          <w:sz w:val="20"/>
          <w:szCs w:val="20"/>
          <w:color w:val="auto"/>
        </w:rPr>
      </w:pPr>
      <w:r>
        <w:rPr>
          <w:rFonts w:ascii="Arial" w:cs="Arial" w:eastAsia="Arial" w:hAnsi="Arial"/>
          <w:sz w:val="19"/>
          <w:szCs w:val="19"/>
          <w:color w:val="auto"/>
        </w:rPr>
        <w:t>* This exhibit is intended to be furnished and shall not be deemed "filed" for purposes of the Exchange Act.</w:t>
      </w:r>
    </w:p>
    <w:p>
      <w:pPr>
        <w:sectPr>
          <w:pgSz w:w="11900" w:h="16838" w:orient="portrait"/>
          <w:cols w:equalWidth="0" w:num="1">
            <w:col w:w="10219"/>
          </w:cols>
          <w:pgMar w:left="240" w:top="112"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Itron Announces Third Quarter 2018 Financial Results</w:t>
      </w:r>
    </w:p>
    <w:p>
      <w:pPr>
        <w:spacing w:after="0" w:line="212" w:lineRule="exact"/>
        <w:rPr>
          <w:sz w:val="20"/>
          <w:szCs w:val="20"/>
          <w:color w:val="auto"/>
        </w:rPr>
      </w:pPr>
    </w:p>
    <w:p>
      <w:pPr>
        <w:ind w:right="40"/>
        <w:spacing w:after="0" w:line="251" w:lineRule="auto"/>
        <w:rPr>
          <w:sz w:val="20"/>
          <w:szCs w:val="20"/>
          <w:color w:val="auto"/>
        </w:rPr>
      </w:pPr>
      <w:r>
        <w:rPr>
          <w:rFonts w:ascii="Arial" w:cs="Arial" w:eastAsia="Arial" w:hAnsi="Arial"/>
          <w:sz w:val="22"/>
          <w:szCs w:val="22"/>
          <w:color w:val="auto"/>
        </w:rPr>
        <w:t>LIBERTY LAKE, Wash.--(BUSINESS WIRE)--November 5, 2018--Itron, Inc. (NASDAQ:ITRI) announced today financial results for its third quarter ended Sept. 30, 2018. Key results for the quarter include:</w:t>
      </w:r>
    </w:p>
    <w:p>
      <w:pPr>
        <w:spacing w:after="0" w:line="173" w:lineRule="exact"/>
        <w:rPr>
          <w:sz w:val="20"/>
          <w:szCs w:val="20"/>
          <w:color w:val="auto"/>
        </w:rPr>
      </w:pPr>
    </w:p>
    <w:p>
      <w:pPr>
        <w:ind w:left="540" w:right="3380"/>
        <w:spacing w:after="0" w:line="415" w:lineRule="auto"/>
        <w:rPr>
          <w:sz w:val="20"/>
          <w:szCs w:val="20"/>
          <w:color w:val="auto"/>
        </w:rPr>
      </w:pPr>
      <w:r>
        <w:rPr>
          <w:rFonts w:ascii="Arial" w:cs="Arial" w:eastAsia="Arial" w:hAnsi="Arial"/>
          <w:sz w:val="19"/>
          <w:szCs w:val="19"/>
          <w:color w:val="auto"/>
        </w:rPr>
        <w:t>Revenue of $596 million, compared with $487 million in the third quarter of 2017; Gross margin of 33.1 percent, compared with 34.1 percent in the third quarter of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-418465</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-177800</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1820"/>
        <w:spacing w:after="0" w:line="375" w:lineRule="auto"/>
        <w:rPr>
          <w:sz w:val="20"/>
          <w:szCs w:val="20"/>
          <w:color w:val="auto"/>
        </w:rPr>
      </w:pPr>
      <w:r>
        <w:rPr>
          <w:rFonts w:ascii="Arial" w:cs="Arial" w:eastAsia="Arial" w:hAnsi="Arial"/>
          <w:sz w:val="21"/>
          <w:szCs w:val="21"/>
          <w:color w:val="auto"/>
        </w:rPr>
        <w:t>GAAP diluted earnings per share (EPS) of 50 cents, compared with 65 cents in the third quarter of 2017; Non-GAAP diluted EPS of $1.13, compared with 77 cents in the third quarter of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-417830</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-177165</wp:posOffset>
            </wp:positionV>
            <wp:extent cx="68580"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2620"/>
        <w:spacing w:after="0" w:line="459" w:lineRule="auto"/>
        <w:rPr>
          <w:sz w:val="20"/>
          <w:szCs w:val="20"/>
          <w:color w:val="auto"/>
        </w:rPr>
      </w:pPr>
      <w:r>
        <w:rPr>
          <w:rFonts w:ascii="Arial" w:cs="Arial" w:eastAsia="Arial" w:hAnsi="Arial"/>
          <w:sz w:val="19"/>
          <w:szCs w:val="19"/>
          <w:color w:val="auto"/>
        </w:rPr>
        <w:t>Adjusted EBITDA of $81 million, compared with $58 million in the third quarter of 2017; and Total backlog of $3.1 billion, compared with $1.5 billion at the end of the third quarter of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-469265</wp:posOffset>
            </wp:positionV>
            <wp:extent cx="68580"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-229235</wp:posOffset>
            </wp:positionV>
            <wp:extent cx="68580" cy="68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right="180"/>
        <w:spacing w:after="0"/>
        <w:rPr>
          <w:sz w:val="20"/>
          <w:szCs w:val="20"/>
          <w:color w:val="auto"/>
        </w:rPr>
      </w:pPr>
      <w:r>
        <w:rPr>
          <w:rFonts w:ascii="Arial" w:cs="Arial" w:eastAsia="Arial" w:hAnsi="Arial"/>
          <w:sz w:val="22"/>
          <w:szCs w:val="22"/>
          <w:color w:val="auto"/>
        </w:rPr>
        <w:t>"Our third quarter results were in line with our expectations," said Philip Mezey, Itron's president and chief executive officer. "We achieved strong revenue growth year over year - both organic and through the addition of the Networks segment - and have seen significant improvement year over year and sequentially in our operating income.</w:t>
      </w:r>
    </w:p>
    <w:p>
      <w:pPr>
        <w:spacing w:after="0" w:line="186" w:lineRule="exact"/>
        <w:rPr>
          <w:sz w:val="20"/>
          <w:szCs w:val="20"/>
          <w:color w:val="auto"/>
        </w:rPr>
      </w:pPr>
    </w:p>
    <w:p>
      <w:pPr>
        <w:ind w:right="120"/>
        <w:spacing w:after="0" w:line="297" w:lineRule="auto"/>
        <w:rPr>
          <w:sz w:val="20"/>
          <w:szCs w:val="20"/>
          <w:color w:val="auto"/>
        </w:rPr>
      </w:pPr>
      <w:r>
        <w:rPr>
          <w:rFonts w:ascii="Arial" w:cs="Arial" w:eastAsia="Arial" w:hAnsi="Arial"/>
          <w:sz w:val="19"/>
          <w:szCs w:val="19"/>
          <w:color w:val="auto"/>
        </w:rPr>
        <w:t>"However, we continue to experience external and operational supply chain headwinds, which are expected to remain in the fourth quarter and into 2019," continued Mezey. "We are executing on initiatives to mitigate these cost headwinds, but extended lead times and component shortages are now impacting our top line, resulting in lower revenue guidance for the full year 2018.</w:t>
      </w:r>
    </w:p>
    <w:p>
      <w:pPr>
        <w:spacing w:after="0" w:line="134" w:lineRule="exact"/>
        <w:rPr>
          <w:sz w:val="20"/>
          <w:szCs w:val="20"/>
          <w:color w:val="auto"/>
        </w:rPr>
      </w:pPr>
    </w:p>
    <w:p>
      <w:pPr>
        <w:ind w:right="120"/>
        <w:spacing w:after="0"/>
        <w:rPr>
          <w:sz w:val="20"/>
          <w:szCs w:val="20"/>
          <w:color w:val="auto"/>
        </w:rPr>
      </w:pPr>
      <w:r>
        <w:rPr>
          <w:rFonts w:ascii="Arial" w:cs="Arial" w:eastAsia="Arial" w:hAnsi="Arial"/>
          <w:sz w:val="22"/>
          <w:szCs w:val="22"/>
          <w:color w:val="auto"/>
        </w:rPr>
        <w:t>“We believe these headwinds will subside somewhat in 2019 and do not change our fundamental long-term model. We continue to implement our operational restructuring programs and integration of recent acquisitions, deliver new and innovative products to market and execute our strategy.”</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Summary of Third Quarter Consolidated Financial Results</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(All comparisons made are against the prior year period unless otherwise noted)</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Revenue</w:t>
      </w:r>
    </w:p>
    <w:p>
      <w:pPr>
        <w:spacing w:after="0" w:line="206" w:lineRule="exact"/>
        <w:rPr>
          <w:sz w:val="20"/>
          <w:szCs w:val="20"/>
          <w:color w:val="auto"/>
        </w:rPr>
      </w:pPr>
    </w:p>
    <w:p>
      <w:pPr>
        <w:ind w:right="820"/>
        <w:spacing w:after="0" w:line="251" w:lineRule="auto"/>
        <w:rPr>
          <w:sz w:val="20"/>
          <w:szCs w:val="20"/>
          <w:color w:val="auto"/>
        </w:rPr>
      </w:pPr>
      <w:r>
        <w:rPr>
          <w:rFonts w:ascii="Arial" w:cs="Arial" w:eastAsia="Arial" w:hAnsi="Arial"/>
          <w:sz w:val="22"/>
          <w:szCs w:val="22"/>
          <w:color w:val="auto"/>
        </w:rPr>
        <w:t>Total revenue of $596 million increased 22 percent in the third quarter. Excluding $90 million from the acquired Networks segment, total revenue increased 4 percent.</w:t>
      </w:r>
    </w:p>
    <w:p>
      <w:pPr>
        <w:spacing w:after="0" w:line="173" w:lineRule="exact"/>
        <w:rPr>
          <w:sz w:val="20"/>
          <w:szCs w:val="20"/>
          <w:color w:val="auto"/>
        </w:rPr>
      </w:pPr>
    </w:p>
    <w:p>
      <w:pPr>
        <w:ind w:right="340"/>
        <w:spacing w:after="0"/>
        <w:rPr>
          <w:sz w:val="20"/>
          <w:szCs w:val="20"/>
          <w:color w:val="auto"/>
        </w:rPr>
      </w:pPr>
      <w:r>
        <w:rPr>
          <w:rFonts w:ascii="Arial" w:cs="Arial" w:eastAsia="Arial" w:hAnsi="Arial"/>
          <w:sz w:val="22"/>
          <w:szCs w:val="22"/>
          <w:color w:val="auto"/>
        </w:rPr>
        <w:t>Gas segment revenue grew 19 percent driven by record North America communication module shipments. Electricity segment revenues were in line with the prior year and Water revenue, while decreasing 2 percent as reported, was up 1 percent excluding changes in foreign exchange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119380</wp:posOffset>
            </wp:positionV>
            <wp:extent cx="7272020" cy="596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u w:val="single" w:color="auto"/>
          <w:color w:val="auto"/>
        </w:rPr>
        <w:t>Gross Margin</w:t>
      </w:r>
    </w:p>
    <w:p>
      <w:pPr>
        <w:spacing w:after="0" w:line="207" w:lineRule="exact"/>
        <w:rPr>
          <w:sz w:val="20"/>
          <w:szCs w:val="20"/>
          <w:color w:val="auto"/>
        </w:rPr>
      </w:pPr>
    </w:p>
    <w:p>
      <w:pPr>
        <w:ind w:right="280"/>
        <w:spacing w:after="0"/>
        <w:rPr>
          <w:sz w:val="20"/>
          <w:szCs w:val="20"/>
          <w:color w:val="auto"/>
        </w:rPr>
      </w:pPr>
      <w:r>
        <w:rPr>
          <w:rFonts w:ascii="Arial" w:cs="Arial" w:eastAsia="Arial" w:hAnsi="Arial"/>
          <w:sz w:val="22"/>
          <w:szCs w:val="22"/>
          <w:color w:val="auto"/>
        </w:rPr>
        <w:t>Consolidated company gross margin of 33.1 percent decreased from 34.1 percent in the prior year. The decline was primarily driven by higher component and commodity costs, supply chain inefficiencies and the release of special warranty reserves in the prior year.</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Operating Expenses and Operating Income</w:t>
      </w:r>
    </w:p>
    <w:p>
      <w:pPr>
        <w:spacing w:after="0" w:line="206" w:lineRule="exact"/>
        <w:rPr>
          <w:sz w:val="20"/>
          <w:szCs w:val="20"/>
          <w:color w:val="auto"/>
        </w:rPr>
      </w:pPr>
    </w:p>
    <w:p>
      <w:pPr>
        <w:spacing w:after="0" w:line="297" w:lineRule="auto"/>
        <w:rPr>
          <w:sz w:val="20"/>
          <w:szCs w:val="20"/>
          <w:color w:val="auto"/>
        </w:rPr>
      </w:pPr>
      <w:r>
        <w:rPr>
          <w:rFonts w:ascii="Arial" w:cs="Arial" w:eastAsia="Arial" w:hAnsi="Arial"/>
          <w:sz w:val="19"/>
          <w:szCs w:val="19"/>
          <w:color w:val="auto"/>
        </w:rPr>
        <w:t>GAAP operating expenses of $155 million and non-GAAP operating expenses of $127 million increased compared with last year, driven by the acquired operations. Excluding the Silver Spring Networks acquisition, operating expenses were down year-over-year due to lower discretionary spending, including variable compensation, and benefits from restructuring initiatives.</w:t>
      </w:r>
    </w:p>
    <w:p>
      <w:pPr>
        <w:spacing w:after="0" w:line="134" w:lineRule="exact"/>
        <w:rPr>
          <w:sz w:val="20"/>
          <w:szCs w:val="20"/>
          <w:color w:val="auto"/>
        </w:rPr>
      </w:pPr>
    </w:p>
    <w:p>
      <w:pPr>
        <w:ind w:right="20"/>
        <w:spacing w:after="0"/>
        <w:rPr>
          <w:sz w:val="20"/>
          <w:szCs w:val="20"/>
          <w:color w:val="auto"/>
        </w:rPr>
      </w:pPr>
      <w:r>
        <w:rPr>
          <w:rFonts w:ascii="Arial" w:cs="Arial" w:eastAsia="Arial" w:hAnsi="Arial"/>
          <w:sz w:val="22"/>
          <w:szCs w:val="22"/>
          <w:color w:val="auto"/>
        </w:rPr>
        <w:t>GAAP operating income increased to $42 million from $38 million in the third quarter of 2017. Non-GAAP operating income increased to $70 million from $50 million in 2017 driven by increased gross profit from the Silver Spring Networks acquisition and the Gas segment as well as cost controls.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Net Income and Earnings per Share</w:t>
      </w:r>
    </w:p>
    <w:p>
      <w:pPr>
        <w:spacing w:after="0" w:line="206" w:lineRule="exact"/>
        <w:rPr>
          <w:sz w:val="20"/>
          <w:szCs w:val="20"/>
          <w:color w:val="auto"/>
        </w:rPr>
      </w:pPr>
    </w:p>
    <w:p>
      <w:pPr>
        <w:ind w:right="280"/>
        <w:spacing w:after="0" w:line="258" w:lineRule="auto"/>
        <w:rPr>
          <w:sz w:val="20"/>
          <w:szCs w:val="20"/>
          <w:color w:val="auto"/>
        </w:rPr>
      </w:pPr>
      <w:r>
        <w:rPr>
          <w:rFonts w:ascii="Arial" w:cs="Arial" w:eastAsia="Arial" w:hAnsi="Arial"/>
          <w:sz w:val="21"/>
          <w:szCs w:val="21"/>
          <w:color w:val="auto"/>
        </w:rPr>
        <w:t>Net income attributable to Itron for the quarter was $20 million, or 50 cents per diluted share, a decrease from net income of $26 million, or 65 cents per diluted share, in 2017. Net income decreased due to $11 million in higher interest expense related to acquisition financing, partially offset by higher operating income and lower tax expense.</w:t>
      </w:r>
    </w:p>
    <w:p>
      <w:pPr>
        <w:spacing w:after="0" w:line="167" w:lineRule="exact"/>
        <w:rPr>
          <w:sz w:val="20"/>
          <w:szCs w:val="20"/>
          <w:color w:val="auto"/>
        </w:rPr>
      </w:pPr>
    </w:p>
    <w:p>
      <w:pPr>
        <w:jc w:val="both"/>
        <w:ind w:right="40"/>
        <w:spacing w:after="0" w:line="238" w:lineRule="auto"/>
        <w:rPr>
          <w:sz w:val="20"/>
          <w:szCs w:val="20"/>
          <w:color w:val="auto"/>
        </w:rPr>
      </w:pPr>
      <w:r>
        <w:rPr>
          <w:rFonts w:ascii="Arial" w:cs="Arial" w:eastAsia="Arial" w:hAnsi="Arial"/>
          <w:sz w:val="22"/>
          <w:szCs w:val="22"/>
          <w:color w:val="auto"/>
        </w:rPr>
        <w:t>Non-GAAP net income, which excludes certain charges including restructuring, acquisition and integration-related expenses, and amortization of intangible assets and debt placement fees, was $45 million, or $1.13 per diluted share, compared with $31 million, or 77 cents per diluted share, in 2017. The increase in non-GAAP EPS was due to higher non-GAAP operating income and a lower effective tax rate, partially offset by higher interest expense.</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Cash Flow</w:t>
      </w:r>
    </w:p>
    <w:p>
      <w:pPr>
        <w:spacing w:after="0" w:line="206" w:lineRule="exact"/>
        <w:rPr>
          <w:sz w:val="20"/>
          <w:szCs w:val="20"/>
          <w:color w:val="auto"/>
        </w:rPr>
      </w:pPr>
    </w:p>
    <w:p>
      <w:pPr>
        <w:ind w:right="160"/>
        <w:spacing w:after="0"/>
        <w:rPr>
          <w:sz w:val="20"/>
          <w:szCs w:val="20"/>
          <w:color w:val="auto"/>
        </w:rPr>
      </w:pPr>
      <w:r>
        <w:rPr>
          <w:rFonts w:ascii="Arial" w:cs="Arial" w:eastAsia="Arial" w:hAnsi="Arial"/>
          <w:sz w:val="22"/>
          <w:szCs w:val="22"/>
          <w:color w:val="auto"/>
        </w:rPr>
        <w:t>Net cash provided by operating activities was $51 million in the third quarter compared with $21 million in the same quarter of 2017. Free cash flow was $37 million in the third quarter compared with $9 million in the prior year. Higher cash flow was driven primarily by increased profitability and improved working capital.</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Measures</w:t>
      </w:r>
    </w:p>
    <w:p>
      <w:pPr>
        <w:spacing w:after="0" w:line="212" w:lineRule="exact"/>
        <w:rPr>
          <w:sz w:val="20"/>
          <w:szCs w:val="20"/>
          <w:color w:val="auto"/>
        </w:rPr>
      </w:pPr>
    </w:p>
    <w:p>
      <w:pPr>
        <w:ind w:right="440"/>
        <w:spacing w:after="0" w:line="251" w:lineRule="auto"/>
        <w:rPr>
          <w:sz w:val="20"/>
          <w:szCs w:val="20"/>
          <w:color w:val="auto"/>
        </w:rPr>
      </w:pPr>
      <w:r>
        <w:rPr>
          <w:rFonts w:ascii="Arial" w:cs="Arial" w:eastAsia="Arial" w:hAnsi="Arial"/>
          <w:sz w:val="22"/>
          <w:szCs w:val="22"/>
          <w:color w:val="auto"/>
        </w:rPr>
        <w:t>Total backlog was $3.1 billion and 12 month backlog was $1.4 billion at the end of the quarter, compared with $1.5 billion and $847 million, respectively, in the prior year quarter. Bookings in the quarter totaled $593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272020" cy="596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Financial Guidance Update</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Itron's guidance for the full year 2018 is as follows:</w:t>
      </w:r>
    </w:p>
    <w:p>
      <w:pPr>
        <w:spacing w:after="0" w:line="206" w:lineRule="exact"/>
        <w:rPr>
          <w:sz w:val="20"/>
          <w:szCs w:val="20"/>
          <w:color w:val="auto"/>
        </w:rPr>
      </w:pPr>
    </w:p>
    <w:p>
      <w:pPr>
        <w:ind w:left="540" w:right="2800"/>
        <w:spacing w:after="0" w:line="459" w:lineRule="auto"/>
        <w:rPr>
          <w:sz w:val="20"/>
          <w:szCs w:val="20"/>
          <w:color w:val="auto"/>
        </w:rPr>
      </w:pPr>
      <w:r>
        <w:rPr>
          <w:rFonts w:ascii="Arial" w:cs="Arial" w:eastAsia="Arial" w:hAnsi="Arial"/>
          <w:sz w:val="19"/>
          <w:szCs w:val="19"/>
          <w:color w:val="auto"/>
        </w:rPr>
        <w:t>Revenue between $2.370 - $2.390 billion from previous guidance of $2.425 to $2.475 billion Non-GAAP diluted EPS between $2.40 - $2.50 from previous guidance of $2.75 - $2.90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-469265</wp:posOffset>
            </wp:positionV>
            <wp:extent cx="68580" cy="68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-229235</wp:posOffset>
            </wp:positionV>
            <wp:extent cx="68580" cy="685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34" w:lineRule="auto"/>
        <w:rPr>
          <w:sz w:val="20"/>
          <w:szCs w:val="20"/>
          <w:color w:val="auto"/>
        </w:rPr>
      </w:pPr>
      <w:r>
        <w:rPr>
          <w:rFonts w:ascii="Arial" w:cs="Arial" w:eastAsia="Arial" w:hAnsi="Arial"/>
          <w:sz w:val="22"/>
          <w:szCs w:val="22"/>
          <w:color w:val="auto"/>
        </w:rPr>
        <w:t>The revised guidance assumes a Euro to U.S. dollar foreign currency exchange rate of 1.15 on average in the fourth quarter of 2018, average fully diluted shares outstanding of approximately 40 million for the year, non-GAAP effective tax rate for the year of approximately 27 percent and total interest expense of approximately $51 million for the year. A reconciliation of forward-looking non-GAAP diluted EPS to the GAAP diluted EPS has not been provided because we are unable to predict with reasonable certainty the potential amount or timing of restructuring and acquisition and integration-related expenses and their related tax effects without unreasonable effort. These items are uncertain, depend on various factors and could have a material impact on GAAP results for the guidance period.</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Earnings Conference Call</w:t>
      </w:r>
    </w:p>
    <w:p>
      <w:pPr>
        <w:spacing w:after="0" w:line="212" w:lineRule="exact"/>
        <w:rPr>
          <w:sz w:val="20"/>
          <w:szCs w:val="20"/>
          <w:color w:val="auto"/>
        </w:rPr>
      </w:pPr>
    </w:p>
    <w:p>
      <w:pPr>
        <w:ind w:right="40"/>
        <w:spacing w:after="0" w:line="282" w:lineRule="auto"/>
        <w:rPr>
          <w:sz w:val="20"/>
          <w:szCs w:val="20"/>
          <w:color w:val="auto"/>
        </w:rPr>
      </w:pPr>
      <w:r>
        <w:rPr>
          <w:rFonts w:ascii="Arial" w:cs="Arial" w:eastAsia="Arial" w:hAnsi="Arial"/>
          <w:sz w:val="19"/>
          <w:szCs w:val="19"/>
          <w:color w:val="auto"/>
        </w:rPr>
        <w:t xml:space="preserve">Itron will host a conference call to discuss the financial results and guidance contained in this release at 5 p.m. EST on Nov. 5, 2018. The call will be webcast in a listen-only mode. Webcast information and conference call materials will be made available 10 minutes before the start of the call and will be accessible on Itron’s website at </w:t>
      </w:r>
      <w:r>
        <w:rPr>
          <w:rFonts w:ascii="Arial" w:cs="Arial" w:eastAsia="Arial" w:hAnsi="Arial"/>
          <w:sz w:val="19"/>
          <w:szCs w:val="19"/>
          <w:u w:val="single" w:color="auto"/>
          <w:color w:val="auto"/>
        </w:rPr>
        <w:t>http://investors.itron.com/events.cfm</w:t>
      </w:r>
      <w:r>
        <w:rPr>
          <w:rFonts w:ascii="Arial" w:cs="Arial" w:eastAsia="Arial" w:hAnsi="Arial"/>
          <w:sz w:val="19"/>
          <w:szCs w:val="19"/>
          <w:color w:val="auto"/>
        </w:rPr>
        <w:t xml:space="preserve">. A replay of the audio webcast will be made available at </w:t>
      </w:r>
      <w:r>
        <w:rPr>
          <w:rFonts w:ascii="Arial" w:cs="Arial" w:eastAsia="Arial" w:hAnsi="Arial"/>
          <w:sz w:val="19"/>
          <w:szCs w:val="19"/>
          <w:u w:val="single" w:color="auto"/>
          <w:color w:val="auto"/>
        </w:rPr>
        <w:t>http://investors.itron.com/events.cfm</w:t>
      </w:r>
      <w:r>
        <w:rPr>
          <w:rFonts w:ascii="Arial" w:cs="Arial" w:eastAsia="Arial" w:hAnsi="Arial"/>
          <w:sz w:val="19"/>
          <w:szCs w:val="19"/>
          <w:color w:val="auto"/>
        </w:rPr>
        <w:t xml:space="preserve">. A telephone replay of the conference call will be available through Nov. 10, 2018. To access the telephone replay, dial 888-203-1112 or 719-457-0820, and enter passcode </w:t>
      </w:r>
      <w:r>
        <w:rPr>
          <w:rFonts w:ascii="Arial" w:cs="Arial" w:eastAsia="Arial" w:hAnsi="Arial"/>
          <w:sz w:val="19"/>
          <w:szCs w:val="19"/>
          <w:b w:val="1"/>
          <w:bCs w:val="1"/>
          <w:color w:val="auto"/>
        </w:rPr>
        <w:t>5203944</w:t>
      </w:r>
      <w:r>
        <w:rPr>
          <w:rFonts w:ascii="Arial" w:cs="Arial" w:eastAsia="Arial" w:hAnsi="Arial"/>
          <w:sz w:val="19"/>
          <w:szCs w:val="19"/>
          <w:color w:val="auto"/>
        </w:rPr>
        <w:t>.</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Itron</w:t>
      </w:r>
    </w:p>
    <w:p>
      <w:pPr>
        <w:spacing w:after="0" w:line="212" w:lineRule="exact"/>
        <w:rPr>
          <w:sz w:val="20"/>
          <w:szCs w:val="20"/>
          <w:color w:val="auto"/>
        </w:rPr>
      </w:pPr>
    </w:p>
    <w:p>
      <w:pPr>
        <w:ind w:right="160"/>
        <w:spacing w:after="0" w:line="249" w:lineRule="auto"/>
        <w:rPr>
          <w:sz w:val="20"/>
          <w:szCs w:val="20"/>
          <w:color w:val="auto"/>
        </w:rPr>
      </w:pPr>
      <w:r>
        <w:rPr>
          <w:rFonts w:ascii="Arial" w:cs="Arial" w:eastAsia="Arial" w:hAnsi="Arial"/>
          <w:sz w:val="21"/>
          <w:szCs w:val="21"/>
          <w:color w:val="auto"/>
        </w:rPr>
        <w:t xml:space="preserve">Itron enables utilities and cities to safely, securely and reliably deliver critical infrastructure services to communities in more than 100 countries. Our portfolio of smart networks, software, services, meters and sensors helps our customers better manage electricity, gas and water resources for the people they serve. By working with our customers to ensure their success, we help improve the quality of life, ensure the safety and promote the well-being of millions of people around the globe. Itron is dedicated to creating a more resourceful world. Join us: </w:t>
      </w:r>
      <w:r>
        <w:rPr>
          <w:rFonts w:ascii="Arial" w:cs="Arial" w:eastAsia="Arial" w:hAnsi="Arial"/>
          <w:sz w:val="21"/>
          <w:szCs w:val="21"/>
          <w:u w:val="single" w:color="auto"/>
          <w:color w:val="auto"/>
        </w:rPr>
        <w:t>www.itron.com</w:t>
      </w:r>
      <w:r>
        <w:rPr>
          <w:rFonts w:ascii="Arial" w:cs="Arial" w:eastAsia="Arial" w:hAnsi="Arial"/>
          <w:sz w:val="21"/>
          <w:szCs w:val="21"/>
          <w:color w:val="auto"/>
        </w:rPr>
        <w:t>.</w:t>
      </w:r>
    </w:p>
    <w:p>
      <w:pPr>
        <w:spacing w:after="0" w:line="179" w:lineRule="exact"/>
        <w:rPr>
          <w:sz w:val="20"/>
          <w:szCs w:val="20"/>
          <w:color w:val="auto"/>
        </w:rPr>
      </w:pPr>
    </w:p>
    <w:p>
      <w:pPr>
        <w:ind w:right="260"/>
        <w:spacing w:after="0" w:line="328" w:lineRule="auto"/>
        <w:rPr>
          <w:sz w:val="20"/>
          <w:szCs w:val="20"/>
          <w:color w:val="auto"/>
        </w:rPr>
      </w:pPr>
      <w:r>
        <w:rPr>
          <w:rFonts w:ascii="Arial" w:cs="Arial" w:eastAsia="Arial" w:hAnsi="Arial"/>
          <w:sz w:val="19"/>
          <w:szCs w:val="19"/>
          <w:color w:val="auto"/>
        </w:rPr>
        <w:t>Itron® and OpenWay® are registered trademarks of Itron, Inc. All third-party trademarks are property of their respective owners and any usage herein does not suggest or imply any relationship between Itron and the third party unless expressly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272020" cy="596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00"/>
          </w:cols>
          <w:pgMar w:left="240" w:top="111" w:right="25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auto"/>
        </w:rPr>
        <w:t>Forward Looking Statements</w:t>
      </w:r>
    </w:p>
    <w:p>
      <w:pPr>
        <w:spacing w:after="0" w:line="213"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This release contains forward-looking statements within in the meaning of the Private Securities Litigation Reform Act of 1995. These statements relate to our expectations about revenues, operations, financial performance, earnings, earnings per share and cash flows. Although we believe the estimates and assumptions upon which these forward-looking statements are based are reasonable, any of these estimates or assumptions could prove to be inaccurate and the forward-looking statements based on these estimates and assumptions could be incorrect. Our operations involve risks and uncertainties, many of which are outside our control, and any one of which, or a combination of which, could materially affect our results of operations and whether the forward-looking statements ultimately prove to be correct. Actual results and trends in the future may differ materially from those suggested or implied by the forward-looking statements depending on a variety of factors. Some of the factors that we believe could affect our results include our ability to achieve estimated cost savings, the rate and timing of customer demand for our products, rescheduling of current customer orders, changes in estimated liabilities for product warranties, adverse impacts of litigation, changes in laws and regulations, our dependence on new product development and intellectual property, future acquisitions, changes in estimates for stock-based and bonus compensation, increasing volatility in foreign exchange rates, international business risks and other factors that are more fully described in our Annual Report on Form 10-K for the year ended Dec. 31, 2017 and other reports on file with the Securities and Exchange Commission. Itron undertakes no obligation to update or revise any information in this press release.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Information</w:t>
      </w:r>
    </w:p>
    <w:p>
      <w:pPr>
        <w:spacing w:after="0" w:line="212" w:lineRule="exact"/>
        <w:rPr>
          <w:sz w:val="20"/>
          <w:szCs w:val="20"/>
          <w:color w:val="auto"/>
        </w:rPr>
      </w:pPr>
    </w:p>
    <w:p>
      <w:pPr>
        <w:ind w:right="40"/>
        <w:spacing w:after="0" w:line="273" w:lineRule="auto"/>
        <w:rPr>
          <w:sz w:val="20"/>
          <w:szCs w:val="20"/>
          <w:color w:val="auto"/>
        </w:rPr>
      </w:pPr>
      <w:r>
        <w:rPr>
          <w:rFonts w:ascii="Arial" w:cs="Arial" w:eastAsia="Arial" w:hAnsi="Arial"/>
          <w:sz w:val="19"/>
          <w:szCs w:val="19"/>
          <w:color w:val="auto"/>
        </w:rPr>
        <w:t>To supplement our consolidated financial statements presented in accordance with GAAP, we use certain non-GAAP financial measures, including non-GAAP operating expense, non-GAAP operating income, non-GAAP net income, non-GAAP diluted EPS, adjusted EBITDA, adjusted EBITDA margin, constant currency and free cash flow. We provide these non-GAAP financial measures because we believe they provide greater transparency and represent supplemental information used by management in its financial and operational decision making. We exclude certain costs in our non-GAAP financial measures as we believe the net result is a measure of our core business. The company believes these measures facilitate operating performance comparisons from period to period by eliminating potential differences caused by the existence and timing of certain expense items that would not otherwise be apparent on a GAAP basis. Non-GAAP performance measures should be considered in addition to, and not as a substitute for, results prepared in accordance with GAAP. Our non-GAAP financial measures may be different from those reported by other companies. A more detailed discussion of why we use non-GAAP financial measures, the limitations of using such measures, and reconciliations between non-GAAP and the nearest GAAP financial measures are included in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272020" cy="596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4"/>
          <w:szCs w:val="14"/>
          <w:b w:val="1"/>
          <w:bCs w:val="1"/>
          <w:color w:val="auto"/>
        </w:rPr>
        <w:t>ITRON,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OPERATIONS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220" w:type="dxa"/>
            <w:vAlign w:val="bottom"/>
          </w:tcPr>
          <w:p>
            <w:pPr>
              <w:spacing w:after="0"/>
              <w:rPr>
                <w:sz w:val="20"/>
                <w:szCs w:val="20"/>
                <w:color w:val="auto"/>
              </w:rPr>
            </w:pPr>
            <w:r>
              <w:rPr>
                <w:rFonts w:ascii="Arial" w:cs="Arial" w:eastAsia="Arial" w:hAnsi="Arial"/>
                <w:sz w:val="14"/>
                <w:szCs w:val="14"/>
                <w:color w:val="auto"/>
              </w:rPr>
              <w:t>(Unaudited, in thousands, except per share data)</w:t>
            </w:r>
          </w:p>
        </w:tc>
        <w:tc>
          <w:tcPr>
            <w:tcW w:w="280" w:type="dxa"/>
            <w:vAlign w:val="bottom"/>
          </w:tcPr>
          <w:p>
            <w:pPr>
              <w:spacing w:after="0"/>
              <w:rPr>
                <w:sz w:val="15"/>
                <w:szCs w:val="15"/>
                <w:color w:val="auto"/>
              </w:rPr>
            </w:pPr>
          </w:p>
        </w:tc>
        <w:tc>
          <w:tcPr>
            <w:tcW w:w="2120" w:type="dxa"/>
            <w:vAlign w:val="bottom"/>
            <w:gridSpan w:val="3"/>
            <w:vMerge w:val="restart"/>
          </w:tcPr>
          <w:p>
            <w:pPr>
              <w:jc w:val="right"/>
              <w:ind w:right="488"/>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360" w:type="dxa"/>
            <w:vAlign w:val="bottom"/>
            <w:gridSpan w:val="3"/>
            <w:vMerge w:val="restart"/>
          </w:tcPr>
          <w:p>
            <w:pPr>
              <w:jc w:val="right"/>
              <w:ind w:right="668"/>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38"/>
        </w:trPr>
        <w:tc>
          <w:tcPr>
            <w:tcW w:w="6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3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6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w w:val="83"/>
              </w:rPr>
              <w:t>2017</w:t>
            </w: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w w:val="96"/>
              </w:rPr>
              <w:t>2017</w:t>
            </w:r>
          </w:p>
        </w:tc>
        <w:tc>
          <w:tcPr>
            <w:tcW w:w="0" w:type="dxa"/>
            <w:vAlign w:val="bottom"/>
          </w:tcPr>
          <w:p>
            <w:pPr>
              <w:spacing w:after="0"/>
              <w:rPr>
                <w:sz w:val="1"/>
                <w:szCs w:val="1"/>
                <w:color w:val="auto"/>
              </w:rPr>
            </w:pPr>
          </w:p>
        </w:tc>
      </w:tr>
      <w:tr>
        <w:trPr>
          <w:trHeight w:val="164"/>
        </w:trPr>
        <w:tc>
          <w:tcPr>
            <w:tcW w:w="6220" w:type="dxa"/>
            <w:vAlign w:val="bottom"/>
          </w:tcPr>
          <w:p>
            <w:pPr>
              <w:spacing w:after="0"/>
              <w:rPr>
                <w:sz w:val="20"/>
                <w:szCs w:val="20"/>
                <w:color w:val="auto"/>
              </w:rPr>
            </w:pPr>
            <w:r>
              <w:rPr>
                <w:rFonts w:ascii="Arial" w:cs="Arial" w:eastAsia="Arial" w:hAnsi="Arial"/>
                <w:sz w:val="14"/>
                <w:szCs w:val="14"/>
                <w:color w:val="auto"/>
              </w:rPr>
              <w:t>Revenues</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220" w:type="dxa"/>
            <w:vAlign w:val="bottom"/>
          </w:tcPr>
          <w:p>
            <w:pPr>
              <w:ind w:left="120"/>
              <w:spacing w:after="0"/>
              <w:rPr>
                <w:sz w:val="20"/>
                <w:szCs w:val="20"/>
                <w:color w:val="auto"/>
              </w:rPr>
            </w:pPr>
            <w:r>
              <w:rPr>
                <w:rFonts w:ascii="Arial" w:cs="Arial" w:eastAsia="Arial" w:hAnsi="Arial"/>
                <w:sz w:val="14"/>
                <w:szCs w:val="14"/>
                <w:color w:val="auto"/>
              </w:rPr>
              <w:t>Product revenues</w:t>
            </w:r>
          </w:p>
        </w:tc>
        <w:tc>
          <w:tcPr>
            <w:tcW w:w="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525,716</w:t>
            </w:r>
          </w:p>
        </w:tc>
        <w:tc>
          <w:tcPr>
            <w:tcW w:w="48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433,984</w:t>
            </w:r>
          </w:p>
        </w:tc>
        <w:tc>
          <w:tcPr>
            <w:tcW w:w="44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1,578,740</w:t>
            </w:r>
          </w:p>
        </w:tc>
        <w:tc>
          <w:tcPr>
            <w:tcW w:w="48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1,321,062</w:t>
            </w:r>
          </w:p>
        </w:tc>
        <w:tc>
          <w:tcPr>
            <w:tcW w:w="0" w:type="dxa"/>
            <w:vAlign w:val="bottom"/>
          </w:tcPr>
          <w:p>
            <w:pPr>
              <w:spacing w:after="0"/>
              <w:rPr>
                <w:sz w:val="1"/>
                <w:szCs w:val="1"/>
                <w:color w:val="auto"/>
              </w:rPr>
            </w:pPr>
          </w:p>
        </w:tc>
      </w:tr>
      <w:tr>
        <w:trPr>
          <w:trHeight w:val="181"/>
        </w:trPr>
        <w:tc>
          <w:tcPr>
            <w:tcW w:w="6220" w:type="dxa"/>
            <w:vAlign w:val="bottom"/>
          </w:tcPr>
          <w:p>
            <w:pPr>
              <w:ind w:left="120"/>
              <w:spacing w:after="0"/>
              <w:rPr>
                <w:sz w:val="20"/>
                <w:szCs w:val="20"/>
                <w:color w:val="auto"/>
              </w:rPr>
            </w:pPr>
            <w:r>
              <w:rPr>
                <w:rFonts w:ascii="Arial" w:cs="Arial" w:eastAsia="Arial" w:hAnsi="Arial"/>
                <w:sz w:val="14"/>
                <w:szCs w:val="14"/>
                <w:color w:val="auto"/>
              </w:rPr>
              <w:t>Service revenues</w:t>
            </w: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70,246</w:t>
            </w:r>
          </w:p>
        </w:tc>
        <w:tc>
          <w:tcPr>
            <w:tcW w:w="4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52,763</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210,333</w:t>
            </w:r>
          </w:p>
        </w:tc>
        <w:tc>
          <w:tcPr>
            <w:tcW w:w="4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146,359</w:t>
            </w:r>
          </w:p>
        </w:tc>
        <w:tc>
          <w:tcPr>
            <w:tcW w:w="0" w:type="dxa"/>
            <w:vAlign w:val="bottom"/>
          </w:tcPr>
          <w:p>
            <w:pPr>
              <w:spacing w:after="0"/>
              <w:rPr>
                <w:sz w:val="1"/>
                <w:szCs w:val="1"/>
                <w:color w:val="auto"/>
              </w:rPr>
            </w:pPr>
          </w:p>
        </w:tc>
      </w:tr>
      <w:tr>
        <w:trPr>
          <w:trHeight w:val="164"/>
        </w:trPr>
        <w:tc>
          <w:tcPr>
            <w:tcW w:w="6220" w:type="dxa"/>
            <w:vAlign w:val="bottom"/>
          </w:tcPr>
          <w:p>
            <w:pPr>
              <w:ind w:left="340"/>
              <w:spacing w:after="0"/>
              <w:rPr>
                <w:sz w:val="20"/>
                <w:szCs w:val="20"/>
                <w:color w:val="auto"/>
              </w:rPr>
            </w:pPr>
            <w:r>
              <w:rPr>
                <w:rFonts w:ascii="Arial" w:cs="Arial" w:eastAsia="Arial" w:hAnsi="Arial"/>
                <w:sz w:val="14"/>
                <w:szCs w:val="14"/>
                <w:color w:val="auto"/>
              </w:rPr>
              <w:t>Total revenues</w:t>
            </w:r>
          </w:p>
        </w:tc>
        <w:tc>
          <w:tcPr>
            <w:tcW w:w="280" w:type="dxa"/>
            <w:vAlign w:val="bottom"/>
          </w:tcPr>
          <w:p>
            <w:pPr>
              <w:spacing w:after="0"/>
              <w:rPr>
                <w:sz w:val="14"/>
                <w:szCs w:val="1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595,962</w:t>
            </w:r>
          </w:p>
        </w:tc>
        <w:tc>
          <w:tcPr>
            <w:tcW w:w="48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486,747</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1,789,073</w:t>
            </w:r>
          </w:p>
        </w:tc>
        <w:tc>
          <w:tcPr>
            <w:tcW w:w="480" w:type="dxa"/>
            <w:vAlign w:val="bottom"/>
          </w:tcPr>
          <w:p>
            <w:pPr>
              <w:spacing w:after="0"/>
              <w:rPr>
                <w:sz w:val="14"/>
                <w:szCs w:val="14"/>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1,467,421</w:t>
            </w:r>
          </w:p>
        </w:tc>
        <w:tc>
          <w:tcPr>
            <w:tcW w:w="0" w:type="dxa"/>
            <w:vAlign w:val="bottom"/>
          </w:tcPr>
          <w:p>
            <w:pPr>
              <w:spacing w:after="0"/>
              <w:rPr>
                <w:sz w:val="1"/>
                <w:szCs w:val="1"/>
                <w:color w:val="auto"/>
              </w:rPr>
            </w:pPr>
          </w:p>
        </w:tc>
      </w:tr>
      <w:tr>
        <w:trPr>
          <w:trHeight w:val="176"/>
        </w:trPr>
        <w:tc>
          <w:tcPr>
            <w:tcW w:w="6220" w:type="dxa"/>
            <w:vAlign w:val="bottom"/>
          </w:tcPr>
          <w:p>
            <w:pPr>
              <w:spacing w:after="0"/>
              <w:rPr>
                <w:sz w:val="20"/>
                <w:szCs w:val="20"/>
                <w:color w:val="auto"/>
              </w:rPr>
            </w:pPr>
            <w:r>
              <w:rPr>
                <w:rFonts w:ascii="Arial" w:cs="Arial" w:eastAsia="Arial" w:hAnsi="Arial"/>
                <w:sz w:val="14"/>
                <w:szCs w:val="14"/>
                <w:color w:val="auto"/>
              </w:rPr>
              <w:t>Cost of revenues</w:t>
            </w: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20" w:type="dxa"/>
            <w:vAlign w:val="bottom"/>
          </w:tcPr>
          <w:p>
            <w:pPr>
              <w:ind w:left="120"/>
              <w:spacing w:after="0"/>
              <w:rPr>
                <w:sz w:val="20"/>
                <w:szCs w:val="20"/>
                <w:color w:val="auto"/>
              </w:rPr>
            </w:pPr>
            <w:r>
              <w:rPr>
                <w:rFonts w:ascii="Arial" w:cs="Arial" w:eastAsia="Arial" w:hAnsi="Arial"/>
                <w:sz w:val="14"/>
                <w:szCs w:val="14"/>
                <w:color w:val="auto"/>
              </w:rPr>
              <w:t>Product cost of revenues</w:t>
            </w:r>
          </w:p>
        </w:tc>
        <w:tc>
          <w:tcPr>
            <w:tcW w:w="280" w:type="dxa"/>
            <w:vAlign w:val="bottom"/>
          </w:tcPr>
          <w:p>
            <w:pPr>
              <w:spacing w:after="0"/>
              <w:rPr>
                <w:sz w:val="15"/>
                <w:szCs w:val="15"/>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357,194</w:t>
            </w:r>
          </w:p>
        </w:tc>
        <w:tc>
          <w:tcPr>
            <w:tcW w:w="480" w:type="dxa"/>
            <w:vAlign w:val="bottom"/>
          </w:tcPr>
          <w:p>
            <w:pPr>
              <w:spacing w:after="0"/>
              <w:rPr>
                <w:sz w:val="15"/>
                <w:szCs w:val="15"/>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284,762</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1,106,586</w:t>
            </w:r>
          </w:p>
        </w:tc>
        <w:tc>
          <w:tcPr>
            <w:tcW w:w="480" w:type="dxa"/>
            <w:vAlign w:val="bottom"/>
          </w:tcPr>
          <w:p>
            <w:pPr>
              <w:spacing w:after="0"/>
              <w:rPr>
                <w:sz w:val="15"/>
                <w:szCs w:val="15"/>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865,288</w:t>
            </w:r>
          </w:p>
        </w:tc>
        <w:tc>
          <w:tcPr>
            <w:tcW w:w="0" w:type="dxa"/>
            <w:vAlign w:val="bottom"/>
          </w:tcPr>
          <w:p>
            <w:pPr>
              <w:spacing w:after="0"/>
              <w:rPr>
                <w:sz w:val="1"/>
                <w:szCs w:val="1"/>
                <w:color w:val="auto"/>
              </w:rPr>
            </w:pPr>
          </w:p>
        </w:tc>
      </w:tr>
      <w:tr>
        <w:trPr>
          <w:trHeight w:val="181"/>
        </w:trPr>
        <w:tc>
          <w:tcPr>
            <w:tcW w:w="6220" w:type="dxa"/>
            <w:vAlign w:val="bottom"/>
          </w:tcPr>
          <w:p>
            <w:pPr>
              <w:ind w:left="120"/>
              <w:spacing w:after="0"/>
              <w:rPr>
                <w:sz w:val="20"/>
                <w:szCs w:val="20"/>
                <w:color w:val="auto"/>
              </w:rPr>
            </w:pPr>
            <w:r>
              <w:rPr>
                <w:rFonts w:ascii="Arial" w:cs="Arial" w:eastAsia="Arial" w:hAnsi="Arial"/>
                <w:sz w:val="14"/>
                <w:szCs w:val="14"/>
                <w:color w:val="auto"/>
              </w:rPr>
              <w:t>Service cost of revenues</w:t>
            </w: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41,671</w:t>
            </w:r>
          </w:p>
        </w:tc>
        <w:tc>
          <w:tcPr>
            <w:tcW w:w="4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36,230</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128,958</w:t>
            </w:r>
          </w:p>
        </w:tc>
        <w:tc>
          <w:tcPr>
            <w:tcW w:w="4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100,464</w:t>
            </w:r>
          </w:p>
        </w:tc>
        <w:tc>
          <w:tcPr>
            <w:tcW w:w="0" w:type="dxa"/>
            <w:vAlign w:val="bottom"/>
          </w:tcPr>
          <w:p>
            <w:pPr>
              <w:spacing w:after="0"/>
              <w:rPr>
                <w:sz w:val="1"/>
                <w:szCs w:val="1"/>
                <w:color w:val="auto"/>
              </w:rPr>
            </w:pPr>
          </w:p>
        </w:tc>
      </w:tr>
      <w:tr>
        <w:trPr>
          <w:trHeight w:val="169"/>
        </w:trPr>
        <w:tc>
          <w:tcPr>
            <w:tcW w:w="6220" w:type="dxa"/>
            <w:vAlign w:val="bottom"/>
          </w:tcPr>
          <w:p>
            <w:pPr>
              <w:ind w:left="340"/>
              <w:spacing w:after="0"/>
              <w:rPr>
                <w:sz w:val="20"/>
                <w:szCs w:val="20"/>
                <w:color w:val="auto"/>
              </w:rPr>
            </w:pPr>
            <w:r>
              <w:rPr>
                <w:rFonts w:ascii="Arial" w:cs="Arial" w:eastAsia="Arial" w:hAnsi="Arial"/>
                <w:sz w:val="14"/>
                <w:szCs w:val="14"/>
                <w:color w:val="auto"/>
              </w:rPr>
              <w:t>Total cost of revenues</w:t>
            </w: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398,865</w:t>
            </w:r>
          </w:p>
        </w:tc>
        <w:tc>
          <w:tcPr>
            <w:tcW w:w="4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320,992</w:t>
            </w: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1,235,544</w:t>
            </w:r>
          </w:p>
        </w:tc>
        <w:tc>
          <w:tcPr>
            <w:tcW w:w="4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965,752</w:t>
            </w:r>
          </w:p>
        </w:tc>
        <w:tc>
          <w:tcPr>
            <w:tcW w:w="0" w:type="dxa"/>
            <w:vAlign w:val="bottom"/>
          </w:tcPr>
          <w:p>
            <w:pPr>
              <w:spacing w:after="0"/>
              <w:rPr>
                <w:sz w:val="1"/>
                <w:szCs w:val="1"/>
                <w:color w:val="auto"/>
              </w:rPr>
            </w:pPr>
          </w:p>
        </w:tc>
      </w:tr>
      <w:tr>
        <w:trPr>
          <w:trHeight w:val="176"/>
        </w:trPr>
        <w:tc>
          <w:tcPr>
            <w:tcW w:w="6220" w:type="dxa"/>
            <w:vAlign w:val="bottom"/>
          </w:tcPr>
          <w:p>
            <w:pPr>
              <w:spacing w:after="0"/>
              <w:rPr>
                <w:sz w:val="20"/>
                <w:szCs w:val="20"/>
                <w:color w:val="auto"/>
              </w:rPr>
            </w:pPr>
            <w:r>
              <w:rPr>
                <w:rFonts w:ascii="Arial" w:cs="Arial" w:eastAsia="Arial" w:hAnsi="Arial"/>
                <w:sz w:val="14"/>
                <w:szCs w:val="14"/>
                <w:color w:val="auto"/>
              </w:rPr>
              <w:t>Gross profit</w:t>
            </w:r>
          </w:p>
        </w:tc>
        <w:tc>
          <w:tcPr>
            <w:tcW w:w="280" w:type="dxa"/>
            <w:vAlign w:val="bottom"/>
          </w:tcPr>
          <w:p>
            <w:pPr>
              <w:spacing w:after="0"/>
              <w:rPr>
                <w:sz w:val="15"/>
                <w:szCs w:val="15"/>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197,097</w:t>
            </w:r>
          </w:p>
        </w:tc>
        <w:tc>
          <w:tcPr>
            <w:tcW w:w="480" w:type="dxa"/>
            <w:vAlign w:val="bottom"/>
          </w:tcPr>
          <w:p>
            <w:pPr>
              <w:spacing w:after="0"/>
              <w:rPr>
                <w:sz w:val="15"/>
                <w:szCs w:val="15"/>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165,755</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553,529</w:t>
            </w:r>
          </w:p>
        </w:tc>
        <w:tc>
          <w:tcPr>
            <w:tcW w:w="480" w:type="dxa"/>
            <w:vAlign w:val="bottom"/>
          </w:tcPr>
          <w:p>
            <w:pPr>
              <w:spacing w:after="0"/>
              <w:rPr>
                <w:sz w:val="15"/>
                <w:szCs w:val="15"/>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501,669</w:t>
            </w:r>
          </w:p>
        </w:tc>
        <w:tc>
          <w:tcPr>
            <w:tcW w:w="0" w:type="dxa"/>
            <w:vAlign w:val="bottom"/>
          </w:tcPr>
          <w:p>
            <w:pPr>
              <w:spacing w:after="0"/>
              <w:rPr>
                <w:sz w:val="1"/>
                <w:szCs w:val="1"/>
                <w:color w:val="auto"/>
              </w:rPr>
            </w:pPr>
          </w:p>
        </w:tc>
      </w:tr>
      <w:tr>
        <w:trPr>
          <w:trHeight w:val="339"/>
        </w:trPr>
        <w:tc>
          <w:tcPr>
            <w:tcW w:w="6220" w:type="dxa"/>
            <w:vAlign w:val="bottom"/>
          </w:tcPr>
          <w:p>
            <w:pPr>
              <w:spacing w:after="0"/>
              <w:rPr>
                <w:sz w:val="20"/>
                <w:szCs w:val="20"/>
                <w:color w:val="auto"/>
              </w:rPr>
            </w:pPr>
            <w:r>
              <w:rPr>
                <w:rFonts w:ascii="Arial" w:cs="Arial" w:eastAsia="Arial" w:hAnsi="Arial"/>
                <w:sz w:val="14"/>
                <w:szCs w:val="14"/>
                <w:color w:val="auto"/>
              </w:rPr>
              <w:t>Operating expenses</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220" w:type="dxa"/>
            <w:vAlign w:val="bottom"/>
          </w:tcPr>
          <w:p>
            <w:pPr>
              <w:ind w:left="120"/>
              <w:spacing w:after="0"/>
              <w:rPr>
                <w:sz w:val="20"/>
                <w:szCs w:val="20"/>
                <w:color w:val="auto"/>
              </w:rPr>
            </w:pPr>
            <w:r>
              <w:rPr>
                <w:rFonts w:ascii="Arial" w:cs="Arial" w:eastAsia="Arial" w:hAnsi="Arial"/>
                <w:sz w:val="14"/>
                <w:szCs w:val="14"/>
                <w:color w:val="auto"/>
              </w:rPr>
              <w:t>Sales and marketing</w:t>
            </w:r>
          </w:p>
        </w:tc>
        <w:tc>
          <w:tcPr>
            <w:tcW w:w="280" w:type="dxa"/>
            <w:vAlign w:val="bottom"/>
          </w:tcPr>
          <w:p>
            <w:pPr>
              <w:spacing w:after="0"/>
              <w:rPr>
                <w:sz w:val="15"/>
                <w:szCs w:val="15"/>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47,204</w:t>
            </w:r>
          </w:p>
        </w:tc>
        <w:tc>
          <w:tcPr>
            <w:tcW w:w="480" w:type="dxa"/>
            <w:vAlign w:val="bottom"/>
          </w:tcPr>
          <w:p>
            <w:pPr>
              <w:spacing w:after="0"/>
              <w:rPr>
                <w:sz w:val="15"/>
                <w:szCs w:val="15"/>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40,529</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144,573</w:t>
            </w:r>
          </w:p>
        </w:tc>
        <w:tc>
          <w:tcPr>
            <w:tcW w:w="480" w:type="dxa"/>
            <w:vAlign w:val="bottom"/>
          </w:tcPr>
          <w:p>
            <w:pPr>
              <w:spacing w:after="0"/>
              <w:rPr>
                <w:sz w:val="15"/>
                <w:szCs w:val="15"/>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126,298</w:t>
            </w:r>
          </w:p>
        </w:tc>
        <w:tc>
          <w:tcPr>
            <w:tcW w:w="0" w:type="dxa"/>
            <w:vAlign w:val="bottom"/>
          </w:tcPr>
          <w:p>
            <w:pPr>
              <w:spacing w:after="0"/>
              <w:rPr>
                <w:sz w:val="1"/>
                <w:szCs w:val="1"/>
                <w:color w:val="auto"/>
              </w:rPr>
            </w:pPr>
          </w:p>
        </w:tc>
      </w:tr>
      <w:tr>
        <w:trPr>
          <w:trHeight w:val="176"/>
        </w:trPr>
        <w:tc>
          <w:tcPr>
            <w:tcW w:w="6220" w:type="dxa"/>
            <w:vAlign w:val="bottom"/>
          </w:tcPr>
          <w:p>
            <w:pPr>
              <w:ind w:left="120"/>
              <w:spacing w:after="0"/>
              <w:rPr>
                <w:sz w:val="20"/>
                <w:szCs w:val="20"/>
                <w:color w:val="auto"/>
              </w:rPr>
            </w:pPr>
            <w:r>
              <w:rPr>
                <w:rFonts w:ascii="Arial" w:cs="Arial" w:eastAsia="Arial" w:hAnsi="Arial"/>
                <w:sz w:val="14"/>
                <w:szCs w:val="14"/>
                <w:color w:val="auto"/>
              </w:rPr>
              <w:t>Product development</w:t>
            </w:r>
          </w:p>
        </w:tc>
        <w:tc>
          <w:tcPr>
            <w:tcW w:w="280" w:type="dxa"/>
            <w:vAlign w:val="bottom"/>
          </w:tcPr>
          <w:p>
            <w:pPr>
              <w:spacing w:after="0"/>
              <w:rPr>
                <w:sz w:val="15"/>
                <w:szCs w:val="15"/>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47,239</w:t>
            </w:r>
          </w:p>
        </w:tc>
        <w:tc>
          <w:tcPr>
            <w:tcW w:w="480" w:type="dxa"/>
            <w:vAlign w:val="bottom"/>
          </w:tcPr>
          <w:p>
            <w:pPr>
              <w:spacing w:after="0"/>
              <w:rPr>
                <w:sz w:val="15"/>
                <w:szCs w:val="15"/>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42,455</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162,298</w:t>
            </w:r>
          </w:p>
        </w:tc>
        <w:tc>
          <w:tcPr>
            <w:tcW w:w="480" w:type="dxa"/>
            <w:vAlign w:val="bottom"/>
          </w:tcPr>
          <w:p>
            <w:pPr>
              <w:spacing w:after="0"/>
              <w:rPr>
                <w:sz w:val="15"/>
                <w:szCs w:val="15"/>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126,246</w:t>
            </w:r>
          </w:p>
        </w:tc>
        <w:tc>
          <w:tcPr>
            <w:tcW w:w="0" w:type="dxa"/>
            <w:vAlign w:val="bottom"/>
          </w:tcPr>
          <w:p>
            <w:pPr>
              <w:spacing w:after="0"/>
              <w:rPr>
                <w:sz w:val="1"/>
                <w:szCs w:val="1"/>
                <w:color w:val="auto"/>
              </w:rPr>
            </w:pPr>
          </w:p>
        </w:tc>
      </w:tr>
      <w:tr>
        <w:trPr>
          <w:trHeight w:val="176"/>
        </w:trPr>
        <w:tc>
          <w:tcPr>
            <w:tcW w:w="6220" w:type="dxa"/>
            <w:vAlign w:val="bottom"/>
          </w:tcPr>
          <w:p>
            <w:pPr>
              <w:ind w:left="120"/>
              <w:spacing w:after="0"/>
              <w:rPr>
                <w:sz w:val="20"/>
                <w:szCs w:val="20"/>
                <w:color w:val="auto"/>
              </w:rPr>
            </w:pPr>
            <w:r>
              <w:rPr>
                <w:rFonts w:ascii="Arial" w:cs="Arial" w:eastAsia="Arial" w:hAnsi="Arial"/>
                <w:sz w:val="14"/>
                <w:szCs w:val="14"/>
                <w:color w:val="auto"/>
              </w:rPr>
              <w:t>General and administrative</w:t>
            </w:r>
          </w:p>
        </w:tc>
        <w:tc>
          <w:tcPr>
            <w:tcW w:w="280" w:type="dxa"/>
            <w:vAlign w:val="bottom"/>
          </w:tcPr>
          <w:p>
            <w:pPr>
              <w:spacing w:after="0"/>
              <w:rPr>
                <w:sz w:val="15"/>
                <w:szCs w:val="15"/>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42,352</w:t>
            </w:r>
          </w:p>
        </w:tc>
        <w:tc>
          <w:tcPr>
            <w:tcW w:w="480" w:type="dxa"/>
            <w:vAlign w:val="bottom"/>
          </w:tcPr>
          <w:p>
            <w:pPr>
              <w:spacing w:after="0"/>
              <w:rPr>
                <w:sz w:val="15"/>
                <w:szCs w:val="15"/>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39,598</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188,260</w:t>
            </w:r>
          </w:p>
        </w:tc>
        <w:tc>
          <w:tcPr>
            <w:tcW w:w="480" w:type="dxa"/>
            <w:vAlign w:val="bottom"/>
          </w:tcPr>
          <w:p>
            <w:pPr>
              <w:spacing w:after="0"/>
              <w:rPr>
                <w:sz w:val="15"/>
                <w:szCs w:val="15"/>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119,883</w:t>
            </w:r>
          </w:p>
        </w:tc>
        <w:tc>
          <w:tcPr>
            <w:tcW w:w="0" w:type="dxa"/>
            <w:vAlign w:val="bottom"/>
          </w:tcPr>
          <w:p>
            <w:pPr>
              <w:spacing w:after="0"/>
              <w:rPr>
                <w:sz w:val="1"/>
                <w:szCs w:val="1"/>
                <w:color w:val="auto"/>
              </w:rPr>
            </w:pPr>
          </w:p>
        </w:tc>
      </w:tr>
      <w:tr>
        <w:trPr>
          <w:trHeight w:val="176"/>
        </w:trPr>
        <w:tc>
          <w:tcPr>
            <w:tcW w:w="6220" w:type="dxa"/>
            <w:vAlign w:val="bottom"/>
          </w:tcPr>
          <w:p>
            <w:pPr>
              <w:ind w:left="120"/>
              <w:spacing w:after="0"/>
              <w:rPr>
                <w:sz w:val="20"/>
                <w:szCs w:val="20"/>
                <w:color w:val="auto"/>
              </w:rPr>
            </w:pPr>
            <w:r>
              <w:rPr>
                <w:rFonts w:ascii="Arial" w:cs="Arial" w:eastAsia="Arial" w:hAnsi="Arial"/>
                <w:sz w:val="14"/>
                <w:szCs w:val="14"/>
                <w:color w:val="auto"/>
              </w:rPr>
              <w:t>Amortization of intangible assets</w:t>
            </w:r>
          </w:p>
        </w:tc>
        <w:tc>
          <w:tcPr>
            <w:tcW w:w="280" w:type="dxa"/>
            <w:vAlign w:val="bottom"/>
          </w:tcPr>
          <w:p>
            <w:pPr>
              <w:spacing w:after="0"/>
              <w:rPr>
                <w:sz w:val="15"/>
                <w:szCs w:val="15"/>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17,960</w:t>
            </w:r>
          </w:p>
        </w:tc>
        <w:tc>
          <w:tcPr>
            <w:tcW w:w="480" w:type="dxa"/>
            <w:vAlign w:val="bottom"/>
          </w:tcPr>
          <w:p>
            <w:pPr>
              <w:spacing w:after="0"/>
              <w:rPr>
                <w:sz w:val="15"/>
                <w:szCs w:val="15"/>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5,625</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53,699</w:t>
            </w:r>
          </w:p>
        </w:tc>
        <w:tc>
          <w:tcPr>
            <w:tcW w:w="480" w:type="dxa"/>
            <w:vAlign w:val="bottom"/>
          </w:tcPr>
          <w:p>
            <w:pPr>
              <w:spacing w:after="0"/>
              <w:rPr>
                <w:sz w:val="15"/>
                <w:szCs w:val="15"/>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15,144</w:t>
            </w:r>
          </w:p>
        </w:tc>
        <w:tc>
          <w:tcPr>
            <w:tcW w:w="0" w:type="dxa"/>
            <w:vAlign w:val="bottom"/>
          </w:tcPr>
          <w:p>
            <w:pPr>
              <w:spacing w:after="0"/>
              <w:rPr>
                <w:sz w:val="1"/>
                <w:szCs w:val="1"/>
                <w:color w:val="auto"/>
              </w:rPr>
            </w:pPr>
          </w:p>
        </w:tc>
      </w:tr>
      <w:tr>
        <w:trPr>
          <w:trHeight w:val="181"/>
        </w:trPr>
        <w:tc>
          <w:tcPr>
            <w:tcW w:w="6220" w:type="dxa"/>
            <w:vAlign w:val="bottom"/>
          </w:tcPr>
          <w:p>
            <w:pPr>
              <w:ind w:left="120"/>
              <w:spacing w:after="0"/>
              <w:rPr>
                <w:sz w:val="20"/>
                <w:szCs w:val="20"/>
                <w:color w:val="auto"/>
              </w:rPr>
            </w:pPr>
            <w:r>
              <w:rPr>
                <w:rFonts w:ascii="Arial" w:cs="Arial" w:eastAsia="Arial" w:hAnsi="Arial"/>
                <w:sz w:val="14"/>
                <w:szCs w:val="14"/>
                <w:color w:val="auto"/>
              </w:rPr>
              <w:t>Restructuring</w:t>
            </w: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666</w:t>
            </w:r>
          </w:p>
        </w:tc>
        <w:tc>
          <w:tcPr>
            <w:tcW w:w="4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(678)</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82,908</w:t>
            </w:r>
          </w:p>
        </w:tc>
        <w:tc>
          <w:tcPr>
            <w:tcW w:w="4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7,417</w:t>
            </w:r>
          </w:p>
        </w:tc>
        <w:tc>
          <w:tcPr>
            <w:tcW w:w="0" w:type="dxa"/>
            <w:vAlign w:val="bottom"/>
          </w:tcPr>
          <w:p>
            <w:pPr>
              <w:spacing w:after="0"/>
              <w:rPr>
                <w:sz w:val="1"/>
                <w:szCs w:val="1"/>
                <w:color w:val="auto"/>
              </w:rPr>
            </w:pPr>
          </w:p>
        </w:tc>
      </w:tr>
      <w:tr>
        <w:trPr>
          <w:trHeight w:val="169"/>
        </w:trPr>
        <w:tc>
          <w:tcPr>
            <w:tcW w:w="6220" w:type="dxa"/>
            <w:vAlign w:val="bottom"/>
          </w:tcPr>
          <w:p>
            <w:pPr>
              <w:ind w:left="340"/>
              <w:spacing w:after="0"/>
              <w:rPr>
                <w:sz w:val="20"/>
                <w:szCs w:val="20"/>
                <w:color w:val="auto"/>
              </w:rPr>
            </w:pPr>
            <w:r>
              <w:rPr>
                <w:rFonts w:ascii="Arial" w:cs="Arial" w:eastAsia="Arial" w:hAnsi="Arial"/>
                <w:sz w:val="14"/>
                <w:szCs w:val="14"/>
                <w:color w:val="auto"/>
              </w:rPr>
              <w:t>Total operating expenses</w:t>
            </w: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155,421</w:t>
            </w:r>
          </w:p>
        </w:tc>
        <w:tc>
          <w:tcPr>
            <w:tcW w:w="4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127,529</w:t>
            </w: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631,738</w:t>
            </w:r>
          </w:p>
        </w:tc>
        <w:tc>
          <w:tcPr>
            <w:tcW w:w="4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394,988</w:t>
            </w:r>
          </w:p>
        </w:tc>
        <w:tc>
          <w:tcPr>
            <w:tcW w:w="0" w:type="dxa"/>
            <w:vAlign w:val="bottom"/>
          </w:tcPr>
          <w:p>
            <w:pPr>
              <w:spacing w:after="0"/>
              <w:rPr>
                <w:sz w:val="1"/>
                <w:szCs w:val="1"/>
                <w:color w:val="auto"/>
              </w:rPr>
            </w:pPr>
          </w:p>
        </w:tc>
      </w:tr>
      <w:tr>
        <w:trPr>
          <w:trHeight w:val="339"/>
        </w:trPr>
        <w:tc>
          <w:tcPr>
            <w:tcW w:w="6220" w:type="dxa"/>
            <w:vAlign w:val="bottom"/>
          </w:tcPr>
          <w:p>
            <w:pPr>
              <w:spacing w:after="0"/>
              <w:rPr>
                <w:sz w:val="20"/>
                <w:szCs w:val="20"/>
                <w:color w:val="auto"/>
              </w:rPr>
            </w:pPr>
            <w:r>
              <w:rPr>
                <w:rFonts w:ascii="Arial" w:cs="Arial" w:eastAsia="Arial" w:hAnsi="Arial"/>
                <w:sz w:val="14"/>
                <w:szCs w:val="14"/>
                <w:color w:val="auto"/>
              </w:rPr>
              <w:t>Operating income (loss)</w:t>
            </w:r>
          </w:p>
        </w:tc>
        <w:tc>
          <w:tcPr>
            <w:tcW w:w="280" w:type="dxa"/>
            <w:vAlign w:val="bottom"/>
          </w:tcPr>
          <w:p>
            <w:pPr>
              <w:spacing w:after="0"/>
              <w:rPr>
                <w:sz w:val="24"/>
                <w:szCs w:val="2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41,676</w:t>
            </w:r>
          </w:p>
        </w:tc>
        <w:tc>
          <w:tcPr>
            <w:tcW w:w="480" w:type="dxa"/>
            <w:vAlign w:val="bottom"/>
          </w:tcPr>
          <w:p>
            <w:pPr>
              <w:spacing w:after="0"/>
              <w:rPr>
                <w:sz w:val="24"/>
                <w:szCs w:val="24"/>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38,226</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(78,209)</w:t>
            </w:r>
          </w:p>
        </w:tc>
        <w:tc>
          <w:tcPr>
            <w:tcW w:w="480" w:type="dxa"/>
            <w:vAlign w:val="bottom"/>
          </w:tcPr>
          <w:p>
            <w:pPr>
              <w:spacing w:after="0"/>
              <w:rPr>
                <w:sz w:val="24"/>
                <w:szCs w:val="24"/>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106,681</w:t>
            </w:r>
          </w:p>
        </w:tc>
        <w:tc>
          <w:tcPr>
            <w:tcW w:w="0" w:type="dxa"/>
            <w:vAlign w:val="bottom"/>
          </w:tcPr>
          <w:p>
            <w:pPr>
              <w:spacing w:after="0"/>
              <w:rPr>
                <w:sz w:val="1"/>
                <w:szCs w:val="1"/>
                <w:color w:val="auto"/>
              </w:rPr>
            </w:pPr>
          </w:p>
        </w:tc>
      </w:tr>
      <w:tr>
        <w:trPr>
          <w:trHeight w:val="176"/>
        </w:trPr>
        <w:tc>
          <w:tcPr>
            <w:tcW w:w="6220" w:type="dxa"/>
            <w:vAlign w:val="bottom"/>
          </w:tcPr>
          <w:p>
            <w:pPr>
              <w:spacing w:after="0"/>
              <w:rPr>
                <w:sz w:val="20"/>
                <w:szCs w:val="20"/>
                <w:color w:val="auto"/>
              </w:rPr>
            </w:pPr>
            <w:r>
              <w:rPr>
                <w:rFonts w:ascii="Arial" w:cs="Arial" w:eastAsia="Arial" w:hAnsi="Arial"/>
                <w:sz w:val="14"/>
                <w:szCs w:val="14"/>
                <w:color w:val="auto"/>
              </w:rPr>
              <w:t>Other income (expense)</w:t>
            </w: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20" w:type="dxa"/>
            <w:vAlign w:val="bottom"/>
          </w:tcPr>
          <w:p>
            <w:pPr>
              <w:ind w:left="120"/>
              <w:spacing w:after="0"/>
              <w:rPr>
                <w:sz w:val="20"/>
                <w:szCs w:val="20"/>
                <w:color w:val="auto"/>
              </w:rPr>
            </w:pPr>
            <w:r>
              <w:rPr>
                <w:rFonts w:ascii="Arial" w:cs="Arial" w:eastAsia="Arial" w:hAnsi="Arial"/>
                <w:sz w:val="14"/>
                <w:szCs w:val="14"/>
                <w:color w:val="auto"/>
              </w:rPr>
              <w:t>Interest income</w:t>
            </w:r>
          </w:p>
        </w:tc>
        <w:tc>
          <w:tcPr>
            <w:tcW w:w="280" w:type="dxa"/>
            <w:vAlign w:val="bottom"/>
          </w:tcPr>
          <w:p>
            <w:pPr>
              <w:spacing w:after="0"/>
              <w:rPr>
                <w:sz w:val="15"/>
                <w:szCs w:val="15"/>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431</w:t>
            </w:r>
          </w:p>
        </w:tc>
        <w:tc>
          <w:tcPr>
            <w:tcW w:w="480" w:type="dxa"/>
            <w:vAlign w:val="bottom"/>
          </w:tcPr>
          <w:p>
            <w:pPr>
              <w:spacing w:after="0"/>
              <w:rPr>
                <w:sz w:val="15"/>
                <w:szCs w:val="15"/>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729</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1,725</w:t>
            </w:r>
          </w:p>
        </w:tc>
        <w:tc>
          <w:tcPr>
            <w:tcW w:w="480" w:type="dxa"/>
            <w:vAlign w:val="bottom"/>
          </w:tcPr>
          <w:p>
            <w:pPr>
              <w:spacing w:after="0"/>
              <w:rPr>
                <w:sz w:val="15"/>
                <w:szCs w:val="15"/>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1,468</w:t>
            </w:r>
          </w:p>
        </w:tc>
        <w:tc>
          <w:tcPr>
            <w:tcW w:w="0" w:type="dxa"/>
            <w:vAlign w:val="bottom"/>
          </w:tcPr>
          <w:p>
            <w:pPr>
              <w:spacing w:after="0"/>
              <w:rPr>
                <w:sz w:val="1"/>
                <w:szCs w:val="1"/>
                <w:color w:val="auto"/>
              </w:rPr>
            </w:pPr>
          </w:p>
        </w:tc>
      </w:tr>
      <w:tr>
        <w:trPr>
          <w:trHeight w:val="176"/>
        </w:trPr>
        <w:tc>
          <w:tcPr>
            <w:tcW w:w="6220" w:type="dxa"/>
            <w:vAlign w:val="bottom"/>
          </w:tcPr>
          <w:p>
            <w:pPr>
              <w:ind w:left="120"/>
              <w:spacing w:after="0"/>
              <w:rPr>
                <w:sz w:val="20"/>
                <w:szCs w:val="20"/>
                <w:color w:val="auto"/>
              </w:rPr>
            </w:pPr>
            <w:r>
              <w:rPr>
                <w:rFonts w:ascii="Arial" w:cs="Arial" w:eastAsia="Arial" w:hAnsi="Arial"/>
                <w:sz w:val="14"/>
                <w:szCs w:val="14"/>
                <w:color w:val="auto"/>
              </w:rPr>
              <w:t>Interest expense</w:t>
            </w:r>
          </w:p>
        </w:tc>
        <w:tc>
          <w:tcPr>
            <w:tcW w:w="280" w:type="dxa"/>
            <w:vAlign w:val="bottom"/>
          </w:tcPr>
          <w:p>
            <w:pPr>
              <w:spacing w:after="0"/>
              <w:rPr>
                <w:sz w:val="15"/>
                <w:szCs w:val="15"/>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(14,171)</w:t>
            </w:r>
          </w:p>
        </w:tc>
        <w:tc>
          <w:tcPr>
            <w:tcW w:w="480" w:type="dxa"/>
            <w:vAlign w:val="bottom"/>
          </w:tcPr>
          <w:p>
            <w:pPr>
              <w:spacing w:after="0"/>
              <w:rPr>
                <w:sz w:val="15"/>
                <w:szCs w:val="15"/>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(3,466)</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(44,320)</w:t>
            </w:r>
          </w:p>
        </w:tc>
        <w:tc>
          <w:tcPr>
            <w:tcW w:w="48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(10,076)</w:t>
            </w:r>
          </w:p>
        </w:tc>
        <w:tc>
          <w:tcPr>
            <w:tcW w:w="0" w:type="dxa"/>
            <w:vAlign w:val="bottom"/>
          </w:tcPr>
          <w:p>
            <w:pPr>
              <w:spacing w:after="0"/>
              <w:rPr>
                <w:sz w:val="1"/>
                <w:szCs w:val="1"/>
                <w:color w:val="auto"/>
              </w:rPr>
            </w:pPr>
          </w:p>
        </w:tc>
      </w:tr>
      <w:tr>
        <w:trPr>
          <w:trHeight w:val="181"/>
        </w:trPr>
        <w:tc>
          <w:tcPr>
            <w:tcW w:w="6220" w:type="dxa"/>
            <w:vAlign w:val="bottom"/>
          </w:tcPr>
          <w:p>
            <w:pPr>
              <w:ind w:left="120"/>
              <w:spacing w:after="0"/>
              <w:rPr>
                <w:sz w:val="20"/>
                <w:szCs w:val="20"/>
                <w:color w:val="auto"/>
              </w:rPr>
            </w:pPr>
            <w:r>
              <w:rPr>
                <w:rFonts w:ascii="Arial" w:cs="Arial" w:eastAsia="Arial" w:hAnsi="Arial"/>
                <w:sz w:val="14"/>
                <w:szCs w:val="14"/>
                <w:color w:val="auto"/>
              </w:rPr>
              <w:t>Other income (expense), net</w:t>
            </w: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(2,434)</w:t>
            </w:r>
          </w:p>
        </w:tc>
        <w:tc>
          <w:tcPr>
            <w:tcW w:w="4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(1,995)</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(2,598)</w:t>
            </w:r>
          </w:p>
        </w:tc>
        <w:tc>
          <w:tcPr>
            <w:tcW w:w="4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(7,951)</w:t>
            </w:r>
          </w:p>
        </w:tc>
        <w:tc>
          <w:tcPr>
            <w:tcW w:w="0" w:type="dxa"/>
            <w:vAlign w:val="bottom"/>
          </w:tcPr>
          <w:p>
            <w:pPr>
              <w:spacing w:after="0"/>
              <w:rPr>
                <w:sz w:val="1"/>
                <w:szCs w:val="1"/>
                <w:color w:val="auto"/>
              </w:rPr>
            </w:pPr>
          </w:p>
        </w:tc>
      </w:tr>
      <w:tr>
        <w:trPr>
          <w:trHeight w:val="169"/>
        </w:trPr>
        <w:tc>
          <w:tcPr>
            <w:tcW w:w="6220" w:type="dxa"/>
            <w:vAlign w:val="bottom"/>
          </w:tcPr>
          <w:p>
            <w:pPr>
              <w:ind w:left="340"/>
              <w:spacing w:after="0"/>
              <w:rPr>
                <w:sz w:val="20"/>
                <w:szCs w:val="20"/>
                <w:color w:val="auto"/>
              </w:rPr>
            </w:pPr>
            <w:r>
              <w:rPr>
                <w:rFonts w:ascii="Arial" w:cs="Arial" w:eastAsia="Arial" w:hAnsi="Arial"/>
                <w:sz w:val="14"/>
                <w:szCs w:val="14"/>
                <w:color w:val="auto"/>
              </w:rPr>
              <w:t>Total other income (expense)</w:t>
            </w: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(16,174)</w:t>
            </w:r>
          </w:p>
        </w:tc>
        <w:tc>
          <w:tcPr>
            <w:tcW w:w="4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(4,732)</w:t>
            </w: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(45,193)</w:t>
            </w:r>
          </w:p>
        </w:tc>
        <w:tc>
          <w:tcPr>
            <w:tcW w:w="4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(16,559)</w:t>
            </w:r>
          </w:p>
        </w:tc>
        <w:tc>
          <w:tcPr>
            <w:tcW w:w="0" w:type="dxa"/>
            <w:vAlign w:val="bottom"/>
          </w:tcPr>
          <w:p>
            <w:pPr>
              <w:spacing w:after="0"/>
              <w:rPr>
                <w:sz w:val="1"/>
                <w:szCs w:val="1"/>
                <w:color w:val="auto"/>
              </w:rPr>
            </w:pPr>
          </w:p>
        </w:tc>
      </w:tr>
      <w:tr>
        <w:trPr>
          <w:trHeight w:val="339"/>
        </w:trPr>
        <w:tc>
          <w:tcPr>
            <w:tcW w:w="6220" w:type="dxa"/>
            <w:vAlign w:val="bottom"/>
          </w:tcPr>
          <w:p>
            <w:pPr>
              <w:spacing w:after="0"/>
              <w:rPr>
                <w:sz w:val="20"/>
                <w:szCs w:val="20"/>
                <w:color w:val="auto"/>
              </w:rPr>
            </w:pPr>
            <w:r>
              <w:rPr>
                <w:rFonts w:ascii="Arial" w:cs="Arial" w:eastAsia="Arial" w:hAnsi="Arial"/>
                <w:sz w:val="14"/>
                <w:szCs w:val="14"/>
                <w:color w:val="auto"/>
              </w:rPr>
              <w:t>Income (loss) before income taxes</w:t>
            </w:r>
          </w:p>
        </w:tc>
        <w:tc>
          <w:tcPr>
            <w:tcW w:w="280" w:type="dxa"/>
            <w:vAlign w:val="bottom"/>
          </w:tcPr>
          <w:p>
            <w:pPr>
              <w:spacing w:after="0"/>
              <w:rPr>
                <w:sz w:val="24"/>
                <w:szCs w:val="2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25,502</w:t>
            </w:r>
          </w:p>
        </w:tc>
        <w:tc>
          <w:tcPr>
            <w:tcW w:w="480" w:type="dxa"/>
            <w:vAlign w:val="bottom"/>
          </w:tcPr>
          <w:p>
            <w:pPr>
              <w:spacing w:after="0"/>
              <w:rPr>
                <w:sz w:val="24"/>
                <w:szCs w:val="24"/>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33,494</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(123,402)</w:t>
            </w:r>
          </w:p>
        </w:tc>
        <w:tc>
          <w:tcPr>
            <w:tcW w:w="480" w:type="dxa"/>
            <w:vAlign w:val="bottom"/>
          </w:tcPr>
          <w:p>
            <w:pPr>
              <w:spacing w:after="0"/>
              <w:rPr>
                <w:sz w:val="24"/>
                <w:szCs w:val="24"/>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90,122</w:t>
            </w:r>
          </w:p>
        </w:tc>
        <w:tc>
          <w:tcPr>
            <w:tcW w:w="0" w:type="dxa"/>
            <w:vAlign w:val="bottom"/>
          </w:tcPr>
          <w:p>
            <w:pPr>
              <w:spacing w:after="0"/>
              <w:rPr>
                <w:sz w:val="1"/>
                <w:szCs w:val="1"/>
                <w:color w:val="auto"/>
              </w:rPr>
            </w:pPr>
          </w:p>
        </w:tc>
      </w:tr>
      <w:tr>
        <w:trPr>
          <w:trHeight w:val="181"/>
        </w:trPr>
        <w:tc>
          <w:tcPr>
            <w:tcW w:w="6220" w:type="dxa"/>
            <w:vAlign w:val="bottom"/>
          </w:tcPr>
          <w:p>
            <w:pPr>
              <w:spacing w:after="0"/>
              <w:rPr>
                <w:sz w:val="20"/>
                <w:szCs w:val="20"/>
                <w:color w:val="auto"/>
              </w:rPr>
            </w:pPr>
            <w:r>
              <w:rPr>
                <w:rFonts w:ascii="Arial" w:cs="Arial" w:eastAsia="Arial" w:hAnsi="Arial"/>
                <w:sz w:val="14"/>
                <w:szCs w:val="14"/>
                <w:color w:val="auto"/>
              </w:rPr>
              <w:t>Income tax benefit (provision)</w:t>
            </w: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(5,715)</w:t>
            </w:r>
          </w:p>
        </w:tc>
        <w:tc>
          <w:tcPr>
            <w:tcW w:w="4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(6,640)</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1,692</w:t>
            </w:r>
          </w:p>
        </w:tc>
        <w:tc>
          <w:tcPr>
            <w:tcW w:w="4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(32,247)</w:t>
            </w:r>
          </w:p>
        </w:tc>
        <w:tc>
          <w:tcPr>
            <w:tcW w:w="0" w:type="dxa"/>
            <w:vAlign w:val="bottom"/>
          </w:tcPr>
          <w:p>
            <w:pPr>
              <w:spacing w:after="0"/>
              <w:rPr>
                <w:sz w:val="1"/>
                <w:szCs w:val="1"/>
                <w:color w:val="auto"/>
              </w:rPr>
            </w:pPr>
          </w:p>
        </w:tc>
      </w:tr>
      <w:tr>
        <w:trPr>
          <w:trHeight w:val="164"/>
        </w:trPr>
        <w:tc>
          <w:tcPr>
            <w:tcW w:w="6220" w:type="dxa"/>
            <w:vAlign w:val="bottom"/>
          </w:tcPr>
          <w:p>
            <w:pPr>
              <w:spacing w:after="0"/>
              <w:rPr>
                <w:sz w:val="20"/>
                <w:szCs w:val="20"/>
                <w:color w:val="auto"/>
              </w:rPr>
            </w:pPr>
            <w:r>
              <w:rPr>
                <w:rFonts w:ascii="Arial" w:cs="Arial" w:eastAsia="Arial" w:hAnsi="Arial"/>
                <w:sz w:val="14"/>
                <w:szCs w:val="14"/>
                <w:color w:val="auto"/>
              </w:rPr>
              <w:t>Net income (loss)</w:t>
            </w:r>
          </w:p>
        </w:tc>
        <w:tc>
          <w:tcPr>
            <w:tcW w:w="280" w:type="dxa"/>
            <w:vAlign w:val="bottom"/>
          </w:tcPr>
          <w:p>
            <w:pPr>
              <w:spacing w:after="0"/>
              <w:rPr>
                <w:sz w:val="14"/>
                <w:szCs w:val="1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19,787</w:t>
            </w:r>
          </w:p>
        </w:tc>
        <w:tc>
          <w:tcPr>
            <w:tcW w:w="48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26,854</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(121,710)</w:t>
            </w:r>
          </w:p>
        </w:tc>
        <w:tc>
          <w:tcPr>
            <w:tcW w:w="480" w:type="dxa"/>
            <w:vAlign w:val="bottom"/>
          </w:tcPr>
          <w:p>
            <w:pPr>
              <w:spacing w:after="0"/>
              <w:rPr>
                <w:sz w:val="14"/>
                <w:szCs w:val="14"/>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57,875</w:t>
            </w:r>
          </w:p>
        </w:tc>
        <w:tc>
          <w:tcPr>
            <w:tcW w:w="0" w:type="dxa"/>
            <w:vAlign w:val="bottom"/>
          </w:tcPr>
          <w:p>
            <w:pPr>
              <w:spacing w:after="0"/>
              <w:rPr>
                <w:sz w:val="1"/>
                <w:szCs w:val="1"/>
                <w:color w:val="auto"/>
              </w:rPr>
            </w:pPr>
          </w:p>
        </w:tc>
      </w:tr>
      <w:tr>
        <w:trPr>
          <w:trHeight w:val="181"/>
        </w:trPr>
        <w:tc>
          <w:tcPr>
            <w:tcW w:w="6220" w:type="dxa"/>
            <w:vAlign w:val="bottom"/>
          </w:tcPr>
          <w:p>
            <w:pPr>
              <w:ind w:left="120"/>
              <w:spacing w:after="0"/>
              <w:rPr>
                <w:sz w:val="20"/>
                <w:szCs w:val="20"/>
                <w:color w:val="auto"/>
              </w:rPr>
            </w:pPr>
            <w:r>
              <w:rPr>
                <w:rFonts w:ascii="Arial" w:cs="Arial" w:eastAsia="Arial" w:hAnsi="Arial"/>
                <w:sz w:val="14"/>
                <w:szCs w:val="14"/>
                <w:color w:val="auto"/>
              </w:rPr>
              <w:t>Net income (loss) attributable to noncontrolling interests</w:t>
            </w: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(95)</w:t>
            </w:r>
          </w:p>
        </w:tc>
        <w:tc>
          <w:tcPr>
            <w:tcW w:w="4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1,278</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1,417</w:t>
            </w:r>
          </w:p>
        </w:tc>
        <w:tc>
          <w:tcPr>
            <w:tcW w:w="4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2,357</w:t>
            </w:r>
          </w:p>
        </w:tc>
        <w:tc>
          <w:tcPr>
            <w:tcW w:w="0" w:type="dxa"/>
            <w:vAlign w:val="bottom"/>
          </w:tcPr>
          <w:p>
            <w:pPr>
              <w:spacing w:after="0"/>
              <w:rPr>
                <w:sz w:val="1"/>
                <w:szCs w:val="1"/>
                <w:color w:val="auto"/>
              </w:rPr>
            </w:pPr>
          </w:p>
        </w:tc>
      </w:tr>
      <w:tr>
        <w:trPr>
          <w:trHeight w:val="169"/>
        </w:trPr>
        <w:tc>
          <w:tcPr>
            <w:tcW w:w="6220" w:type="dxa"/>
            <w:vAlign w:val="bottom"/>
          </w:tcPr>
          <w:p>
            <w:pPr>
              <w:spacing w:after="0"/>
              <w:rPr>
                <w:sz w:val="20"/>
                <w:szCs w:val="20"/>
                <w:color w:val="auto"/>
              </w:rPr>
            </w:pPr>
            <w:r>
              <w:rPr>
                <w:rFonts w:ascii="Arial" w:cs="Arial" w:eastAsia="Arial" w:hAnsi="Arial"/>
                <w:sz w:val="14"/>
                <w:szCs w:val="14"/>
                <w:color w:val="auto"/>
              </w:rPr>
              <w:t>Net income (loss) attributable to Itron, Inc.</w:t>
            </w:r>
          </w:p>
        </w:tc>
        <w:tc>
          <w:tcPr>
            <w:tcW w:w="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19,882</w:t>
            </w:r>
          </w:p>
        </w:tc>
        <w:tc>
          <w:tcPr>
            <w:tcW w:w="4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25,576</w:t>
            </w:r>
          </w:p>
        </w:tc>
        <w:tc>
          <w:tcPr>
            <w:tcW w:w="120" w:type="dxa"/>
            <w:vAlign w:val="bottom"/>
          </w:tcPr>
          <w:p>
            <w:pPr>
              <w:spacing w:after="0"/>
              <w:rPr>
                <w:sz w:val="14"/>
                <w:szCs w:val="14"/>
                <w:color w:val="auto"/>
              </w:rPr>
            </w:pPr>
          </w:p>
        </w:tc>
        <w:tc>
          <w:tcPr>
            <w:tcW w:w="3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(123,127)</w:t>
            </w:r>
          </w:p>
        </w:tc>
        <w:tc>
          <w:tcPr>
            <w:tcW w:w="4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55,518</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6220" w:type="dxa"/>
            <w:vAlign w:val="bottom"/>
          </w:tcPr>
          <w:p>
            <w:pPr>
              <w:spacing w:after="0"/>
              <w:rPr>
                <w:sz w:val="20"/>
                <w:szCs w:val="20"/>
                <w:color w:val="auto"/>
              </w:rPr>
            </w:pPr>
            <w:r>
              <w:rPr>
                <w:rFonts w:ascii="Arial" w:cs="Arial" w:eastAsia="Arial" w:hAnsi="Arial"/>
                <w:sz w:val="14"/>
                <w:szCs w:val="14"/>
                <w:color w:val="auto"/>
              </w:rPr>
              <w:t>Earnings (loss) per common share - Basic</w:t>
            </w:r>
          </w:p>
        </w:tc>
        <w:tc>
          <w:tcPr>
            <w:tcW w:w="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0.51</w:t>
            </w:r>
          </w:p>
        </w:tc>
        <w:tc>
          <w:tcPr>
            <w:tcW w:w="4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0.66</w:t>
            </w:r>
          </w:p>
        </w:tc>
        <w:tc>
          <w:tcPr>
            <w:tcW w:w="120" w:type="dxa"/>
            <w:vAlign w:val="bottom"/>
          </w:tcPr>
          <w:p>
            <w:pPr>
              <w:spacing w:after="0"/>
              <w:rPr>
                <w:sz w:val="24"/>
                <w:szCs w:val="24"/>
                <w:color w:val="auto"/>
              </w:rPr>
            </w:pPr>
          </w:p>
        </w:tc>
        <w:tc>
          <w:tcPr>
            <w:tcW w:w="3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(3.14)</w:t>
            </w:r>
          </w:p>
        </w:tc>
        <w:tc>
          <w:tcPr>
            <w:tcW w:w="4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20"/>
        </w:trPr>
        <w:tc>
          <w:tcPr>
            <w:tcW w:w="6220" w:type="dxa"/>
            <w:vAlign w:val="bottom"/>
            <w:vMerge w:val="restart"/>
          </w:tcPr>
          <w:p>
            <w:pPr>
              <w:spacing w:after="0"/>
              <w:rPr>
                <w:sz w:val="20"/>
                <w:szCs w:val="20"/>
                <w:color w:val="auto"/>
              </w:rPr>
            </w:pPr>
            <w:r>
              <w:rPr>
                <w:rFonts w:ascii="Arial" w:cs="Arial" w:eastAsia="Arial" w:hAnsi="Arial"/>
                <w:sz w:val="14"/>
                <w:szCs w:val="14"/>
                <w:color w:val="auto"/>
              </w:rPr>
              <w:t>Earnings (loss) per common share - Diluted</w:t>
            </w: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220" w:type="dxa"/>
            <w:vAlign w:val="bottom"/>
            <w:vMerge w:val="continue"/>
          </w:tcPr>
          <w:p>
            <w:pPr>
              <w:spacing w:after="0"/>
              <w:rPr>
                <w:sz w:val="13"/>
                <w:szCs w:val="13"/>
                <w:color w:val="auto"/>
              </w:rPr>
            </w:pPr>
          </w:p>
        </w:tc>
        <w:tc>
          <w:tcPr>
            <w:tcW w:w="280" w:type="dxa"/>
            <w:vAlign w:val="bottom"/>
            <w:tcBorders>
              <w:top w:val="single" w:sz="8" w:color="auto"/>
              <w:bottom w:val="single" w:sz="8" w:color="auto"/>
            </w:tcBorders>
          </w:tcPr>
          <w:p>
            <w:pPr>
              <w:jc w:val="right"/>
              <w:ind w:right="68"/>
              <w:spacing w:after="0" w:line="156" w:lineRule="exact"/>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48"/>
              <w:spacing w:after="0" w:line="156" w:lineRule="exact"/>
              <w:rPr>
                <w:sz w:val="20"/>
                <w:szCs w:val="20"/>
                <w:color w:val="auto"/>
              </w:rPr>
            </w:pPr>
            <w:r>
              <w:rPr>
                <w:rFonts w:ascii="Arial" w:cs="Arial" w:eastAsia="Arial" w:hAnsi="Arial"/>
                <w:sz w:val="14"/>
                <w:szCs w:val="14"/>
                <w:color w:val="auto"/>
              </w:rPr>
              <w:t>0.50</w:t>
            </w:r>
          </w:p>
        </w:tc>
        <w:tc>
          <w:tcPr>
            <w:tcW w:w="480" w:type="dxa"/>
            <w:vAlign w:val="bottom"/>
            <w:tcBorders>
              <w:top w:val="single" w:sz="8" w:color="auto"/>
              <w:bottom w:val="single" w:sz="8" w:color="auto"/>
            </w:tcBorders>
          </w:tcPr>
          <w:p>
            <w:pPr>
              <w:jc w:val="right"/>
              <w:ind w:right="248"/>
              <w:spacing w:after="0" w:line="156"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88"/>
              <w:spacing w:after="0" w:line="156" w:lineRule="exact"/>
              <w:rPr>
                <w:sz w:val="20"/>
                <w:szCs w:val="20"/>
                <w:color w:val="auto"/>
              </w:rPr>
            </w:pPr>
            <w:r>
              <w:rPr>
                <w:rFonts w:ascii="Arial" w:cs="Arial" w:eastAsia="Arial" w:hAnsi="Arial"/>
                <w:sz w:val="14"/>
                <w:szCs w:val="14"/>
                <w:color w:val="auto"/>
              </w:rPr>
              <w:t>0.65</w:t>
            </w:r>
          </w:p>
        </w:tc>
        <w:tc>
          <w:tcPr>
            <w:tcW w:w="120" w:type="dxa"/>
            <w:vAlign w:val="bottom"/>
          </w:tcPr>
          <w:p>
            <w:pPr>
              <w:spacing w:after="0"/>
              <w:rPr>
                <w:sz w:val="13"/>
                <w:szCs w:val="13"/>
                <w:color w:val="auto"/>
              </w:rPr>
            </w:pPr>
          </w:p>
        </w:tc>
        <w:tc>
          <w:tcPr>
            <w:tcW w:w="320" w:type="dxa"/>
            <w:vAlign w:val="bottom"/>
            <w:tcBorders>
              <w:top w:val="single" w:sz="8" w:color="auto"/>
              <w:bottom w:val="single" w:sz="8" w:color="auto"/>
            </w:tcBorders>
          </w:tcPr>
          <w:p>
            <w:pPr>
              <w:jc w:val="right"/>
              <w:ind w:right="108"/>
              <w:spacing w:after="0" w:line="156" w:lineRule="exact"/>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8"/>
              <w:spacing w:after="0" w:line="156" w:lineRule="exact"/>
              <w:rPr>
                <w:sz w:val="20"/>
                <w:szCs w:val="20"/>
                <w:color w:val="auto"/>
              </w:rPr>
            </w:pPr>
            <w:r>
              <w:rPr>
                <w:rFonts w:ascii="Arial" w:cs="Arial" w:eastAsia="Arial" w:hAnsi="Arial"/>
                <w:sz w:val="14"/>
                <w:szCs w:val="14"/>
                <w:color w:val="auto"/>
              </w:rPr>
              <w:t>(3.14)</w:t>
            </w:r>
          </w:p>
        </w:tc>
        <w:tc>
          <w:tcPr>
            <w:tcW w:w="480" w:type="dxa"/>
            <w:vAlign w:val="bottom"/>
            <w:tcBorders>
              <w:top w:val="single" w:sz="8" w:color="auto"/>
              <w:bottom w:val="single" w:sz="8" w:color="auto"/>
            </w:tcBorders>
          </w:tcPr>
          <w:p>
            <w:pPr>
              <w:jc w:val="right"/>
              <w:ind w:right="268"/>
              <w:spacing w:after="0" w:line="156"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68"/>
              <w:spacing w:after="0" w:line="156" w:lineRule="exact"/>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6220" w:type="dxa"/>
            <w:vAlign w:val="bottom"/>
          </w:tcPr>
          <w:p>
            <w:pPr>
              <w:spacing w:after="0"/>
              <w:rPr>
                <w:sz w:val="20"/>
                <w:szCs w:val="20"/>
                <w:color w:val="auto"/>
              </w:rPr>
            </w:pPr>
            <w:r>
              <w:rPr>
                <w:rFonts w:ascii="Arial" w:cs="Arial" w:eastAsia="Arial" w:hAnsi="Arial"/>
                <w:sz w:val="14"/>
                <w:szCs w:val="14"/>
                <w:color w:val="auto"/>
              </w:rPr>
              <w:t>Weighted average common shares outstanding - Basic</w:t>
            </w:r>
          </w:p>
        </w:tc>
        <w:tc>
          <w:tcPr>
            <w:tcW w:w="280" w:type="dxa"/>
            <w:vAlign w:val="bottom"/>
          </w:tcPr>
          <w:p>
            <w:pPr>
              <w:spacing w:after="0"/>
              <w:rPr>
                <w:sz w:val="24"/>
                <w:szCs w:val="2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39,340</w:t>
            </w:r>
          </w:p>
        </w:tc>
        <w:tc>
          <w:tcPr>
            <w:tcW w:w="480" w:type="dxa"/>
            <w:vAlign w:val="bottom"/>
          </w:tcPr>
          <w:p>
            <w:pPr>
              <w:spacing w:after="0"/>
              <w:rPr>
                <w:sz w:val="24"/>
                <w:szCs w:val="24"/>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38,713</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39,177</w:t>
            </w:r>
          </w:p>
        </w:tc>
        <w:tc>
          <w:tcPr>
            <w:tcW w:w="480" w:type="dxa"/>
            <w:vAlign w:val="bottom"/>
          </w:tcPr>
          <w:p>
            <w:pPr>
              <w:spacing w:after="0"/>
              <w:rPr>
                <w:sz w:val="24"/>
                <w:szCs w:val="24"/>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38,624</w:t>
            </w:r>
          </w:p>
        </w:tc>
        <w:tc>
          <w:tcPr>
            <w:tcW w:w="0" w:type="dxa"/>
            <w:vAlign w:val="bottom"/>
          </w:tcPr>
          <w:p>
            <w:pPr>
              <w:spacing w:after="0"/>
              <w:rPr>
                <w:sz w:val="1"/>
                <w:szCs w:val="1"/>
                <w:color w:val="auto"/>
              </w:rPr>
            </w:pPr>
          </w:p>
        </w:tc>
      </w:tr>
      <w:tr>
        <w:trPr>
          <w:trHeight w:val="182"/>
        </w:trPr>
        <w:tc>
          <w:tcPr>
            <w:tcW w:w="6220" w:type="dxa"/>
            <w:vAlign w:val="bottom"/>
          </w:tcPr>
          <w:p>
            <w:pPr>
              <w:spacing w:after="0"/>
              <w:rPr>
                <w:sz w:val="20"/>
                <w:szCs w:val="20"/>
                <w:color w:val="auto"/>
              </w:rPr>
            </w:pPr>
            <w:r>
              <w:rPr>
                <w:rFonts w:ascii="Arial" w:cs="Arial" w:eastAsia="Arial" w:hAnsi="Arial"/>
                <w:sz w:val="14"/>
                <w:szCs w:val="14"/>
                <w:color w:val="auto"/>
              </w:rPr>
              <w:t>Weighted average common shares outstanding - Diluted</w:t>
            </w:r>
          </w:p>
        </w:tc>
        <w:tc>
          <w:tcPr>
            <w:tcW w:w="280" w:type="dxa"/>
            <w:vAlign w:val="bottom"/>
          </w:tcPr>
          <w:p>
            <w:pPr>
              <w:spacing w:after="0"/>
              <w:rPr>
                <w:sz w:val="15"/>
                <w:szCs w:val="15"/>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39,909</w:t>
            </w:r>
          </w:p>
        </w:tc>
        <w:tc>
          <w:tcPr>
            <w:tcW w:w="480" w:type="dxa"/>
            <w:vAlign w:val="bottom"/>
          </w:tcPr>
          <w:p>
            <w:pPr>
              <w:spacing w:after="0"/>
              <w:rPr>
                <w:sz w:val="15"/>
                <w:szCs w:val="15"/>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39,467</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39,177</w:t>
            </w:r>
          </w:p>
        </w:tc>
        <w:tc>
          <w:tcPr>
            <w:tcW w:w="480" w:type="dxa"/>
            <w:vAlign w:val="bottom"/>
          </w:tcPr>
          <w:p>
            <w:pPr>
              <w:spacing w:after="0"/>
              <w:rPr>
                <w:sz w:val="15"/>
                <w:szCs w:val="15"/>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39,339</w:t>
            </w:r>
          </w:p>
        </w:tc>
        <w:tc>
          <w:tcPr>
            <w:tcW w:w="0" w:type="dxa"/>
            <w:vAlign w:val="bottom"/>
          </w:tcPr>
          <w:p>
            <w:pPr>
              <w:spacing w:after="0"/>
              <w:rPr>
                <w:sz w:val="1"/>
                <w:szCs w:val="1"/>
                <w:color w:val="auto"/>
              </w:rPr>
            </w:pPr>
          </w:p>
        </w:tc>
      </w:tr>
      <w:tr>
        <w:trPr>
          <w:trHeight w:val="309"/>
        </w:trPr>
        <w:tc>
          <w:tcPr>
            <w:tcW w:w="6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622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880" w:type="dxa"/>
            <w:vAlign w:val="bottom"/>
            <w:tcBorders>
              <w:bottom w:val="single" w:sz="8" w:color="EEEEEE"/>
            </w:tcBorders>
          </w:tcPr>
          <w:p>
            <w:pPr>
              <w:spacing w:after="0" w:line="20" w:lineRule="exact"/>
              <w:rPr>
                <w:sz w:val="1"/>
                <w:szCs w:val="1"/>
                <w:color w:val="auto"/>
              </w:rPr>
            </w:pPr>
          </w:p>
        </w:tc>
        <w:tc>
          <w:tcPr>
            <w:tcW w:w="480" w:type="dxa"/>
            <w:vAlign w:val="bottom"/>
            <w:tcBorders>
              <w:bottom w:val="single" w:sz="8" w:color="EEEEEE"/>
            </w:tcBorders>
          </w:tcPr>
          <w:p>
            <w:pPr>
              <w:spacing w:after="0" w:line="20" w:lineRule="exact"/>
              <w:rPr>
                <w:sz w:val="1"/>
                <w:szCs w:val="1"/>
                <w:color w:val="auto"/>
              </w:rPr>
            </w:pPr>
          </w:p>
        </w:tc>
        <w:tc>
          <w:tcPr>
            <w:tcW w:w="7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1020" w:type="dxa"/>
            <w:vAlign w:val="bottom"/>
            <w:tcBorders>
              <w:bottom w:val="single" w:sz="8" w:color="EEEEEE"/>
            </w:tcBorders>
          </w:tcPr>
          <w:p>
            <w:pPr>
              <w:spacing w:after="0" w:line="20" w:lineRule="exact"/>
              <w:rPr>
                <w:sz w:val="1"/>
                <w:szCs w:val="1"/>
                <w:color w:val="auto"/>
              </w:rPr>
            </w:pPr>
          </w:p>
        </w:tc>
        <w:tc>
          <w:tcPr>
            <w:tcW w:w="480" w:type="dxa"/>
            <w:vAlign w:val="bottom"/>
            <w:tcBorders>
              <w:bottom w:val="single" w:sz="8" w:color="EEEEEE"/>
            </w:tcBorders>
          </w:tcPr>
          <w:p>
            <w:pPr>
              <w:spacing w:after="0" w:line="20" w:lineRule="exact"/>
              <w:rPr>
                <w:sz w:val="1"/>
                <w:szCs w:val="1"/>
                <w:color w:val="auto"/>
              </w:rPr>
            </w:pPr>
          </w:p>
        </w:tc>
        <w:tc>
          <w:tcPr>
            <w:tcW w:w="86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4"/>
          <w:szCs w:val="14"/>
          <w:b w:val="1"/>
          <w:bCs w:val="1"/>
          <w:color w:val="auto"/>
        </w:rPr>
        <w:t>ITRON,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SEGMENT INFORMATION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040" w:type="dxa"/>
            <w:vAlign w:val="bottom"/>
          </w:tcPr>
          <w:p>
            <w:pPr>
              <w:spacing w:after="0"/>
              <w:rPr>
                <w:sz w:val="20"/>
                <w:szCs w:val="20"/>
                <w:color w:val="auto"/>
              </w:rPr>
            </w:pPr>
            <w:r>
              <w:rPr>
                <w:rFonts w:ascii="Arial" w:cs="Arial" w:eastAsia="Arial" w:hAnsi="Arial"/>
                <w:sz w:val="14"/>
                <w:szCs w:val="14"/>
                <w:color w:val="auto"/>
              </w:rPr>
              <w:t>(Unaudited, in thousands)</w:t>
            </w:r>
          </w:p>
        </w:tc>
        <w:tc>
          <w:tcPr>
            <w:tcW w:w="1000" w:type="dxa"/>
            <w:vAlign w:val="bottom"/>
          </w:tcPr>
          <w:p>
            <w:pPr>
              <w:spacing w:after="0"/>
              <w:rPr>
                <w:sz w:val="15"/>
                <w:szCs w:val="15"/>
                <w:color w:val="auto"/>
              </w:rPr>
            </w:pP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Three Months Ended</w:t>
            </w: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120" w:type="dxa"/>
            <w:vAlign w:val="bottom"/>
            <w:gridSpan w:val="2"/>
            <w:vMerge w:val="restart"/>
          </w:tcPr>
          <w:p>
            <w:pPr>
              <w:jc w:val="right"/>
              <w:ind w:right="28"/>
              <w:spacing w:after="0"/>
              <w:rPr>
                <w:sz w:val="20"/>
                <w:szCs w:val="20"/>
                <w:color w:val="auto"/>
              </w:rPr>
            </w:pPr>
            <w:r>
              <w:rPr>
                <w:rFonts w:ascii="Arial" w:cs="Arial" w:eastAsia="Arial" w:hAnsi="Arial"/>
                <w:sz w:val="14"/>
                <w:szCs w:val="14"/>
                <w:b w:val="1"/>
                <w:bCs w:val="1"/>
                <w:color w:val="auto"/>
              </w:rPr>
              <w:t>Nine Months Ended</w:t>
            </w: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40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1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120" w:type="dxa"/>
            <w:vAlign w:val="bottom"/>
            <w:gridSpan w:val="2"/>
            <w:vMerge w:val="continue"/>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04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right"/>
              <w:ind w:right="168"/>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2"/>
          </w:tcPr>
          <w:p>
            <w:pPr>
              <w:jc w:val="right"/>
              <w:ind w:right="208"/>
              <w:spacing w:after="0"/>
              <w:rPr>
                <w:sz w:val="20"/>
                <w:szCs w:val="20"/>
                <w:color w:val="auto"/>
              </w:rPr>
            </w:pPr>
            <w:r>
              <w:rPr>
                <w:rFonts w:ascii="Arial" w:cs="Arial" w:eastAsia="Arial" w:hAnsi="Arial"/>
                <w:sz w:val="14"/>
                <w:szCs w:val="14"/>
                <w:b w:val="1"/>
                <w:bCs w:val="1"/>
                <w:color w:val="auto"/>
              </w:rPr>
              <w:t>September 30,</w:t>
            </w: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04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w w:val="89"/>
              </w:rPr>
              <w:t>2017</w:t>
            </w:r>
          </w:p>
        </w:tc>
        <w:tc>
          <w:tcPr>
            <w:tcW w:w="1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b w:val="1"/>
                <w:bCs w:val="1"/>
                <w:color w:val="auto"/>
              </w:rPr>
              <w:t>2018</w:t>
            </w:r>
          </w:p>
        </w:tc>
        <w:tc>
          <w:tcPr>
            <w:tcW w:w="7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64"/>
        </w:trPr>
        <w:tc>
          <w:tcPr>
            <w:tcW w:w="4040" w:type="dxa"/>
            <w:vAlign w:val="bottom"/>
          </w:tcPr>
          <w:p>
            <w:pPr>
              <w:spacing w:after="0"/>
              <w:rPr>
                <w:sz w:val="20"/>
                <w:szCs w:val="20"/>
                <w:color w:val="auto"/>
              </w:rPr>
            </w:pPr>
            <w:r>
              <w:rPr>
                <w:rFonts w:ascii="Arial" w:cs="Arial" w:eastAsia="Arial" w:hAnsi="Arial"/>
                <w:sz w:val="14"/>
                <w:szCs w:val="14"/>
                <w:b w:val="1"/>
                <w:bCs w:val="1"/>
                <w:color w:val="auto"/>
              </w:rPr>
              <w:t>Product revenues</w:t>
            </w: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040" w:type="dxa"/>
            <w:vAlign w:val="bottom"/>
          </w:tcPr>
          <w:p>
            <w:pPr>
              <w:ind w:left="180"/>
              <w:spacing w:after="0"/>
              <w:rPr>
                <w:sz w:val="20"/>
                <w:szCs w:val="20"/>
                <w:color w:val="auto"/>
              </w:rPr>
            </w:pPr>
            <w:r>
              <w:rPr>
                <w:rFonts w:ascii="Arial" w:cs="Arial" w:eastAsia="Arial" w:hAnsi="Arial"/>
                <w:sz w:val="14"/>
                <w:szCs w:val="14"/>
                <w:color w:val="auto"/>
              </w:rPr>
              <w:t>Electricity</w:t>
            </w:r>
          </w:p>
        </w:tc>
        <w:tc>
          <w:tcPr>
            <w:tcW w:w="100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8"/>
              <w:spacing w:after="0"/>
              <w:rPr>
                <w:sz w:val="20"/>
                <w:szCs w:val="20"/>
                <w:color w:val="auto"/>
              </w:rPr>
            </w:pPr>
            <w:r>
              <w:rPr>
                <w:rFonts w:ascii="Arial" w:cs="Arial" w:eastAsia="Arial" w:hAnsi="Arial"/>
                <w:sz w:val="14"/>
                <w:szCs w:val="14"/>
                <w:color w:val="auto"/>
                <w:w w:val="94"/>
              </w:rPr>
              <w:t>198,026</w:t>
            </w:r>
          </w:p>
        </w:tc>
        <w:tc>
          <w:tcPr>
            <w:tcW w:w="7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199,784</w:t>
            </w:r>
          </w:p>
        </w:tc>
        <w:tc>
          <w:tcPr>
            <w:tcW w:w="68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108"/>
              <w:spacing w:after="0"/>
              <w:rPr>
                <w:sz w:val="20"/>
                <w:szCs w:val="20"/>
                <w:color w:val="auto"/>
              </w:rPr>
            </w:pPr>
            <w:r>
              <w:rPr>
                <w:rFonts w:ascii="Arial" w:cs="Arial" w:eastAsia="Arial" w:hAnsi="Arial"/>
                <w:sz w:val="14"/>
                <w:szCs w:val="14"/>
                <w:color w:val="auto"/>
              </w:rPr>
              <w:t>624,139</w:t>
            </w:r>
          </w:p>
        </w:tc>
        <w:tc>
          <w:tcPr>
            <w:tcW w:w="720" w:type="dxa"/>
            <w:vAlign w:val="bottom"/>
          </w:tcPr>
          <w:p>
            <w:pPr>
              <w:jc w:val="right"/>
              <w:ind w:right="44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620,958</w:t>
            </w:r>
          </w:p>
        </w:tc>
        <w:tc>
          <w:tcPr>
            <w:tcW w:w="0" w:type="dxa"/>
            <w:vAlign w:val="bottom"/>
          </w:tcPr>
          <w:p>
            <w:pPr>
              <w:spacing w:after="0"/>
              <w:rPr>
                <w:sz w:val="1"/>
                <w:szCs w:val="1"/>
                <w:color w:val="auto"/>
              </w:rPr>
            </w:pPr>
          </w:p>
        </w:tc>
      </w:tr>
      <w:tr>
        <w:trPr>
          <w:trHeight w:val="176"/>
        </w:trPr>
        <w:tc>
          <w:tcPr>
            <w:tcW w:w="4040" w:type="dxa"/>
            <w:vAlign w:val="bottom"/>
          </w:tcPr>
          <w:p>
            <w:pPr>
              <w:ind w:left="180"/>
              <w:spacing w:after="0"/>
              <w:rPr>
                <w:sz w:val="20"/>
                <w:szCs w:val="20"/>
                <w:color w:val="auto"/>
              </w:rPr>
            </w:pPr>
            <w:r>
              <w:rPr>
                <w:rFonts w:ascii="Arial" w:cs="Arial" w:eastAsia="Arial" w:hAnsi="Arial"/>
                <w:sz w:val="14"/>
                <w:szCs w:val="14"/>
                <w:color w:val="auto"/>
              </w:rPr>
              <w:t>Gas</w:t>
            </w:r>
          </w:p>
        </w:tc>
        <w:tc>
          <w:tcPr>
            <w:tcW w:w="1000" w:type="dxa"/>
            <w:vAlign w:val="bottom"/>
          </w:tcPr>
          <w:p>
            <w:pPr>
              <w:spacing w:after="0"/>
              <w:rPr>
                <w:sz w:val="15"/>
                <w:szCs w:val="15"/>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w w:val="94"/>
              </w:rPr>
              <w:t>148,660</w:t>
            </w:r>
          </w:p>
        </w:tc>
        <w:tc>
          <w:tcPr>
            <w:tcW w:w="700" w:type="dxa"/>
            <w:vAlign w:val="bottom"/>
          </w:tcPr>
          <w:p>
            <w:pPr>
              <w:spacing w:after="0"/>
              <w:rPr>
                <w:sz w:val="15"/>
                <w:szCs w:val="15"/>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124,556</w:t>
            </w: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0" w:type="dxa"/>
            <w:vAlign w:val="bottom"/>
          </w:tcPr>
          <w:p>
            <w:pPr>
              <w:jc w:val="right"/>
              <w:ind w:right="108"/>
              <w:spacing w:after="0"/>
              <w:rPr>
                <w:sz w:val="20"/>
                <w:szCs w:val="20"/>
                <w:color w:val="auto"/>
              </w:rPr>
            </w:pPr>
            <w:r>
              <w:rPr>
                <w:rFonts w:ascii="Arial" w:cs="Arial" w:eastAsia="Arial" w:hAnsi="Arial"/>
                <w:sz w:val="14"/>
                <w:szCs w:val="14"/>
                <w:color w:val="auto"/>
              </w:rPr>
              <w:t>408,300</w:t>
            </w:r>
          </w:p>
        </w:tc>
        <w:tc>
          <w:tcPr>
            <w:tcW w:w="720" w:type="dxa"/>
            <w:vAlign w:val="bottom"/>
          </w:tcPr>
          <w:p>
            <w:pPr>
              <w:spacing w:after="0"/>
              <w:rPr>
                <w:sz w:val="15"/>
                <w:szCs w:val="15"/>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372,555</w:t>
            </w:r>
          </w:p>
        </w:tc>
        <w:tc>
          <w:tcPr>
            <w:tcW w:w="0" w:type="dxa"/>
            <w:vAlign w:val="bottom"/>
          </w:tcPr>
          <w:p>
            <w:pPr>
              <w:spacing w:after="0"/>
              <w:rPr>
                <w:sz w:val="1"/>
                <w:szCs w:val="1"/>
                <w:color w:val="auto"/>
              </w:rPr>
            </w:pPr>
          </w:p>
        </w:tc>
      </w:tr>
      <w:tr>
        <w:trPr>
          <w:trHeight w:val="176"/>
        </w:trPr>
        <w:tc>
          <w:tcPr>
            <w:tcW w:w="4040" w:type="dxa"/>
            <w:vAlign w:val="bottom"/>
          </w:tcPr>
          <w:p>
            <w:pPr>
              <w:ind w:left="180"/>
              <w:spacing w:after="0"/>
              <w:rPr>
                <w:sz w:val="20"/>
                <w:szCs w:val="20"/>
                <w:color w:val="auto"/>
              </w:rPr>
            </w:pPr>
            <w:r>
              <w:rPr>
                <w:rFonts w:ascii="Arial" w:cs="Arial" w:eastAsia="Arial" w:hAnsi="Arial"/>
                <w:sz w:val="14"/>
                <w:szCs w:val="14"/>
                <w:color w:val="auto"/>
              </w:rPr>
              <w:t>Water</w:t>
            </w:r>
          </w:p>
        </w:tc>
        <w:tc>
          <w:tcPr>
            <w:tcW w:w="1000" w:type="dxa"/>
            <w:vAlign w:val="bottom"/>
          </w:tcPr>
          <w:p>
            <w:pPr>
              <w:spacing w:after="0"/>
              <w:rPr>
                <w:sz w:val="15"/>
                <w:szCs w:val="15"/>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w w:val="94"/>
              </w:rPr>
              <w:t>106,653</w:t>
            </w:r>
          </w:p>
        </w:tc>
        <w:tc>
          <w:tcPr>
            <w:tcW w:w="700" w:type="dxa"/>
            <w:vAlign w:val="bottom"/>
          </w:tcPr>
          <w:p>
            <w:pPr>
              <w:spacing w:after="0"/>
              <w:rPr>
                <w:sz w:val="15"/>
                <w:szCs w:val="15"/>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109,644</w:t>
            </w: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0" w:type="dxa"/>
            <w:vAlign w:val="bottom"/>
          </w:tcPr>
          <w:p>
            <w:pPr>
              <w:jc w:val="right"/>
              <w:ind w:right="108"/>
              <w:spacing w:after="0"/>
              <w:rPr>
                <w:sz w:val="20"/>
                <w:szCs w:val="20"/>
                <w:color w:val="auto"/>
              </w:rPr>
            </w:pPr>
            <w:r>
              <w:rPr>
                <w:rFonts w:ascii="Arial" w:cs="Arial" w:eastAsia="Arial" w:hAnsi="Arial"/>
                <w:sz w:val="14"/>
                <w:szCs w:val="14"/>
                <w:color w:val="auto"/>
              </w:rPr>
              <w:t>350,814</w:t>
            </w:r>
          </w:p>
        </w:tc>
        <w:tc>
          <w:tcPr>
            <w:tcW w:w="720" w:type="dxa"/>
            <w:vAlign w:val="bottom"/>
          </w:tcPr>
          <w:p>
            <w:pPr>
              <w:spacing w:after="0"/>
              <w:rPr>
                <w:sz w:val="15"/>
                <w:szCs w:val="15"/>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327,549</w:t>
            </w:r>
          </w:p>
        </w:tc>
        <w:tc>
          <w:tcPr>
            <w:tcW w:w="0" w:type="dxa"/>
            <w:vAlign w:val="bottom"/>
          </w:tcPr>
          <w:p>
            <w:pPr>
              <w:spacing w:after="0"/>
              <w:rPr>
                <w:sz w:val="1"/>
                <w:szCs w:val="1"/>
                <w:color w:val="auto"/>
              </w:rPr>
            </w:pPr>
          </w:p>
        </w:tc>
      </w:tr>
      <w:tr>
        <w:trPr>
          <w:trHeight w:val="181"/>
        </w:trPr>
        <w:tc>
          <w:tcPr>
            <w:tcW w:w="4040" w:type="dxa"/>
            <w:vAlign w:val="bottom"/>
          </w:tcPr>
          <w:p>
            <w:pPr>
              <w:ind w:left="180"/>
              <w:spacing w:after="0"/>
              <w:rPr>
                <w:sz w:val="20"/>
                <w:szCs w:val="20"/>
                <w:color w:val="auto"/>
              </w:rPr>
            </w:pPr>
            <w:r>
              <w:rPr>
                <w:rFonts w:ascii="Arial" w:cs="Arial" w:eastAsia="Arial" w:hAnsi="Arial"/>
                <w:sz w:val="14"/>
                <w:szCs w:val="14"/>
                <w:color w:val="auto"/>
              </w:rPr>
              <w:t>Networks</w:t>
            </w:r>
          </w:p>
        </w:tc>
        <w:tc>
          <w:tcPr>
            <w:tcW w:w="10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72,377</w:t>
            </w:r>
          </w:p>
        </w:tc>
        <w:tc>
          <w:tcPr>
            <w:tcW w:w="7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195,487</w:t>
            </w:r>
          </w:p>
        </w:tc>
        <w:tc>
          <w:tcPr>
            <w:tcW w:w="7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4040" w:type="dxa"/>
            <w:vAlign w:val="bottom"/>
          </w:tcPr>
          <w:p>
            <w:pPr>
              <w:ind w:left="380"/>
              <w:spacing w:after="0"/>
              <w:rPr>
                <w:sz w:val="20"/>
                <w:szCs w:val="20"/>
                <w:color w:val="auto"/>
              </w:rPr>
            </w:pPr>
            <w:r>
              <w:rPr>
                <w:rFonts w:ascii="Arial" w:cs="Arial" w:eastAsia="Arial" w:hAnsi="Arial"/>
                <w:sz w:val="14"/>
                <w:szCs w:val="14"/>
                <w:color w:val="auto"/>
              </w:rPr>
              <w:t>Total Company</w:t>
            </w:r>
          </w:p>
        </w:tc>
        <w:tc>
          <w:tcPr>
            <w:tcW w:w="100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94"/>
              </w:rPr>
              <w:t>525,716</w:t>
            </w:r>
          </w:p>
        </w:tc>
        <w:tc>
          <w:tcPr>
            <w:tcW w:w="7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433,984</w:t>
            </w:r>
          </w:p>
        </w:tc>
        <w:tc>
          <w:tcPr>
            <w:tcW w:w="180" w:type="dxa"/>
            <w:vAlign w:val="bottom"/>
          </w:tcPr>
          <w:p>
            <w:pPr>
              <w:spacing w:after="0"/>
              <w:rPr>
                <w:sz w:val="14"/>
                <w:szCs w:val="14"/>
                <w:color w:val="auto"/>
              </w:rPr>
            </w:pPr>
          </w:p>
        </w:tc>
        <w:tc>
          <w:tcPr>
            <w:tcW w:w="5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1,578,740</w:t>
            </w:r>
          </w:p>
        </w:tc>
        <w:tc>
          <w:tcPr>
            <w:tcW w:w="7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1,321,062</w:t>
            </w: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Arial" w:cs="Arial" w:eastAsia="Arial" w:hAnsi="Arial"/>
                <w:sz w:val="14"/>
                <w:szCs w:val="14"/>
                <w:b w:val="1"/>
                <w:bCs w:val="1"/>
                <w:color w:val="auto"/>
              </w:rPr>
              <w:t>Service revenues</w:t>
            </w:r>
          </w:p>
        </w:tc>
        <w:tc>
          <w:tcPr>
            <w:tcW w:w="10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404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040" w:type="dxa"/>
            <w:vAlign w:val="bottom"/>
          </w:tcPr>
          <w:p>
            <w:pPr>
              <w:ind w:left="180"/>
              <w:spacing w:after="0"/>
              <w:rPr>
                <w:sz w:val="20"/>
                <w:szCs w:val="20"/>
                <w:color w:val="auto"/>
              </w:rPr>
            </w:pPr>
            <w:r>
              <w:rPr>
                <w:rFonts w:ascii="Arial" w:cs="Arial" w:eastAsia="Arial" w:hAnsi="Arial"/>
                <w:sz w:val="14"/>
                <w:szCs w:val="14"/>
                <w:color w:val="auto"/>
              </w:rPr>
              <w:t>Electricity</w:t>
            </w:r>
          </w:p>
        </w:tc>
        <w:tc>
          <w:tcPr>
            <w:tcW w:w="100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38,816</w:t>
            </w:r>
          </w:p>
        </w:tc>
        <w:tc>
          <w:tcPr>
            <w:tcW w:w="7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40,358</w:t>
            </w:r>
          </w:p>
        </w:tc>
        <w:tc>
          <w:tcPr>
            <w:tcW w:w="68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108"/>
              <w:spacing w:after="0"/>
              <w:rPr>
                <w:sz w:val="20"/>
                <w:szCs w:val="20"/>
                <w:color w:val="auto"/>
              </w:rPr>
            </w:pPr>
            <w:r>
              <w:rPr>
                <w:rFonts w:ascii="Arial" w:cs="Arial" w:eastAsia="Arial" w:hAnsi="Arial"/>
                <w:sz w:val="14"/>
                <w:szCs w:val="14"/>
                <w:color w:val="auto"/>
              </w:rPr>
              <w:t>115,686</w:t>
            </w:r>
          </w:p>
        </w:tc>
        <w:tc>
          <w:tcPr>
            <w:tcW w:w="720" w:type="dxa"/>
            <w:vAlign w:val="bottom"/>
          </w:tcPr>
          <w:p>
            <w:pPr>
              <w:jc w:val="right"/>
              <w:ind w:right="44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108,267</w:t>
            </w:r>
          </w:p>
        </w:tc>
        <w:tc>
          <w:tcPr>
            <w:tcW w:w="0" w:type="dxa"/>
            <w:vAlign w:val="bottom"/>
          </w:tcPr>
          <w:p>
            <w:pPr>
              <w:spacing w:after="0"/>
              <w:rPr>
                <w:sz w:val="1"/>
                <w:szCs w:val="1"/>
                <w:color w:val="auto"/>
              </w:rPr>
            </w:pPr>
          </w:p>
        </w:tc>
      </w:tr>
      <w:tr>
        <w:trPr>
          <w:trHeight w:val="176"/>
        </w:trPr>
        <w:tc>
          <w:tcPr>
            <w:tcW w:w="4040" w:type="dxa"/>
            <w:vAlign w:val="bottom"/>
          </w:tcPr>
          <w:p>
            <w:pPr>
              <w:ind w:left="180"/>
              <w:spacing w:after="0"/>
              <w:rPr>
                <w:sz w:val="20"/>
                <w:szCs w:val="20"/>
                <w:color w:val="auto"/>
              </w:rPr>
            </w:pPr>
            <w:r>
              <w:rPr>
                <w:rFonts w:ascii="Arial" w:cs="Arial" w:eastAsia="Arial" w:hAnsi="Arial"/>
                <w:sz w:val="14"/>
                <w:szCs w:val="14"/>
                <w:color w:val="auto"/>
              </w:rPr>
              <w:t>Gas</w:t>
            </w:r>
          </w:p>
        </w:tc>
        <w:tc>
          <w:tcPr>
            <w:tcW w:w="1000" w:type="dxa"/>
            <w:vAlign w:val="bottom"/>
          </w:tcPr>
          <w:p>
            <w:pPr>
              <w:spacing w:after="0"/>
              <w:rPr>
                <w:sz w:val="15"/>
                <w:szCs w:val="15"/>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8,087</w:t>
            </w:r>
          </w:p>
        </w:tc>
        <w:tc>
          <w:tcPr>
            <w:tcW w:w="700" w:type="dxa"/>
            <w:vAlign w:val="bottom"/>
          </w:tcPr>
          <w:p>
            <w:pPr>
              <w:spacing w:after="0"/>
              <w:rPr>
                <w:sz w:val="15"/>
                <w:szCs w:val="15"/>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7,224</w:t>
            </w: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0" w:type="dxa"/>
            <w:vAlign w:val="bottom"/>
          </w:tcPr>
          <w:p>
            <w:pPr>
              <w:jc w:val="right"/>
              <w:ind w:right="108"/>
              <w:spacing w:after="0"/>
              <w:rPr>
                <w:sz w:val="20"/>
                <w:szCs w:val="20"/>
                <w:color w:val="auto"/>
              </w:rPr>
            </w:pPr>
            <w:r>
              <w:rPr>
                <w:rFonts w:ascii="Arial" w:cs="Arial" w:eastAsia="Arial" w:hAnsi="Arial"/>
                <w:sz w:val="14"/>
                <w:szCs w:val="14"/>
                <w:color w:val="auto"/>
              </w:rPr>
              <w:t>23,218</w:t>
            </w:r>
          </w:p>
        </w:tc>
        <w:tc>
          <w:tcPr>
            <w:tcW w:w="720" w:type="dxa"/>
            <w:vAlign w:val="bottom"/>
          </w:tcPr>
          <w:p>
            <w:pPr>
              <w:spacing w:after="0"/>
              <w:rPr>
                <w:sz w:val="15"/>
                <w:szCs w:val="15"/>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22,136</w:t>
            </w:r>
          </w:p>
        </w:tc>
        <w:tc>
          <w:tcPr>
            <w:tcW w:w="0" w:type="dxa"/>
            <w:vAlign w:val="bottom"/>
          </w:tcPr>
          <w:p>
            <w:pPr>
              <w:spacing w:after="0"/>
              <w:rPr>
                <w:sz w:val="1"/>
                <w:szCs w:val="1"/>
                <w:color w:val="auto"/>
              </w:rPr>
            </w:pPr>
          </w:p>
        </w:tc>
      </w:tr>
      <w:tr>
        <w:trPr>
          <w:trHeight w:val="176"/>
        </w:trPr>
        <w:tc>
          <w:tcPr>
            <w:tcW w:w="4040" w:type="dxa"/>
            <w:vAlign w:val="bottom"/>
          </w:tcPr>
          <w:p>
            <w:pPr>
              <w:ind w:left="180"/>
              <w:spacing w:after="0"/>
              <w:rPr>
                <w:sz w:val="20"/>
                <w:szCs w:val="20"/>
                <w:color w:val="auto"/>
              </w:rPr>
            </w:pPr>
            <w:r>
              <w:rPr>
                <w:rFonts w:ascii="Arial" w:cs="Arial" w:eastAsia="Arial" w:hAnsi="Arial"/>
                <w:sz w:val="14"/>
                <w:szCs w:val="14"/>
                <w:color w:val="auto"/>
              </w:rPr>
              <w:t>Water</w:t>
            </w:r>
          </w:p>
        </w:tc>
        <w:tc>
          <w:tcPr>
            <w:tcW w:w="1000" w:type="dxa"/>
            <w:vAlign w:val="bottom"/>
          </w:tcPr>
          <w:p>
            <w:pPr>
              <w:spacing w:after="0"/>
              <w:rPr>
                <w:sz w:val="15"/>
                <w:szCs w:val="15"/>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5,931</w:t>
            </w:r>
          </w:p>
        </w:tc>
        <w:tc>
          <w:tcPr>
            <w:tcW w:w="700" w:type="dxa"/>
            <w:vAlign w:val="bottom"/>
          </w:tcPr>
          <w:p>
            <w:pPr>
              <w:spacing w:after="0"/>
              <w:rPr>
                <w:sz w:val="15"/>
                <w:szCs w:val="15"/>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5,181</w:t>
            </w: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0" w:type="dxa"/>
            <w:vAlign w:val="bottom"/>
          </w:tcPr>
          <w:p>
            <w:pPr>
              <w:jc w:val="right"/>
              <w:ind w:right="108"/>
              <w:spacing w:after="0"/>
              <w:rPr>
                <w:sz w:val="20"/>
                <w:szCs w:val="20"/>
                <w:color w:val="auto"/>
              </w:rPr>
            </w:pPr>
            <w:r>
              <w:rPr>
                <w:rFonts w:ascii="Arial" w:cs="Arial" w:eastAsia="Arial" w:hAnsi="Arial"/>
                <w:sz w:val="14"/>
                <w:szCs w:val="14"/>
                <w:color w:val="auto"/>
              </w:rPr>
              <w:t>17,601</w:t>
            </w:r>
          </w:p>
        </w:tc>
        <w:tc>
          <w:tcPr>
            <w:tcW w:w="720" w:type="dxa"/>
            <w:vAlign w:val="bottom"/>
          </w:tcPr>
          <w:p>
            <w:pPr>
              <w:spacing w:after="0"/>
              <w:rPr>
                <w:sz w:val="15"/>
                <w:szCs w:val="15"/>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15,956</w:t>
            </w:r>
          </w:p>
        </w:tc>
        <w:tc>
          <w:tcPr>
            <w:tcW w:w="0" w:type="dxa"/>
            <w:vAlign w:val="bottom"/>
          </w:tcPr>
          <w:p>
            <w:pPr>
              <w:spacing w:after="0"/>
              <w:rPr>
                <w:sz w:val="1"/>
                <w:szCs w:val="1"/>
                <w:color w:val="auto"/>
              </w:rPr>
            </w:pPr>
          </w:p>
        </w:tc>
      </w:tr>
      <w:tr>
        <w:trPr>
          <w:trHeight w:val="181"/>
        </w:trPr>
        <w:tc>
          <w:tcPr>
            <w:tcW w:w="4040" w:type="dxa"/>
            <w:vAlign w:val="bottom"/>
          </w:tcPr>
          <w:p>
            <w:pPr>
              <w:ind w:left="180"/>
              <w:spacing w:after="0"/>
              <w:rPr>
                <w:sz w:val="20"/>
                <w:szCs w:val="20"/>
                <w:color w:val="auto"/>
              </w:rPr>
            </w:pPr>
            <w:r>
              <w:rPr>
                <w:rFonts w:ascii="Arial" w:cs="Arial" w:eastAsia="Arial" w:hAnsi="Arial"/>
                <w:sz w:val="14"/>
                <w:szCs w:val="14"/>
                <w:color w:val="auto"/>
              </w:rPr>
              <w:t>Networks</w:t>
            </w:r>
          </w:p>
        </w:tc>
        <w:tc>
          <w:tcPr>
            <w:tcW w:w="10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17,412</w:t>
            </w:r>
          </w:p>
        </w:tc>
        <w:tc>
          <w:tcPr>
            <w:tcW w:w="7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53,828</w:t>
            </w:r>
          </w:p>
        </w:tc>
        <w:tc>
          <w:tcPr>
            <w:tcW w:w="7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4040" w:type="dxa"/>
            <w:vAlign w:val="bottom"/>
          </w:tcPr>
          <w:p>
            <w:pPr>
              <w:ind w:left="380"/>
              <w:spacing w:after="0"/>
              <w:rPr>
                <w:sz w:val="20"/>
                <w:szCs w:val="20"/>
                <w:color w:val="auto"/>
              </w:rPr>
            </w:pPr>
            <w:r>
              <w:rPr>
                <w:rFonts w:ascii="Arial" w:cs="Arial" w:eastAsia="Arial" w:hAnsi="Arial"/>
                <w:sz w:val="14"/>
                <w:szCs w:val="14"/>
                <w:color w:val="auto"/>
              </w:rPr>
              <w:t>Total Company</w:t>
            </w:r>
          </w:p>
        </w:tc>
        <w:tc>
          <w:tcPr>
            <w:tcW w:w="100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70,246</w:t>
            </w:r>
          </w:p>
        </w:tc>
        <w:tc>
          <w:tcPr>
            <w:tcW w:w="7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52,763</w:t>
            </w:r>
          </w:p>
        </w:tc>
        <w:tc>
          <w:tcPr>
            <w:tcW w:w="180" w:type="dxa"/>
            <w:vAlign w:val="bottom"/>
          </w:tcPr>
          <w:p>
            <w:pPr>
              <w:spacing w:after="0"/>
              <w:rPr>
                <w:sz w:val="14"/>
                <w:szCs w:val="14"/>
                <w:color w:val="auto"/>
              </w:rPr>
            </w:pPr>
          </w:p>
        </w:tc>
        <w:tc>
          <w:tcPr>
            <w:tcW w:w="5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210,333</w:t>
            </w:r>
          </w:p>
        </w:tc>
        <w:tc>
          <w:tcPr>
            <w:tcW w:w="7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146,359</w:t>
            </w: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Arial" w:cs="Arial" w:eastAsia="Arial" w:hAnsi="Arial"/>
                <w:sz w:val="14"/>
                <w:szCs w:val="14"/>
                <w:b w:val="1"/>
                <w:bCs w:val="1"/>
                <w:color w:val="auto"/>
              </w:rPr>
              <w:t>Total revenues</w:t>
            </w:r>
          </w:p>
        </w:tc>
        <w:tc>
          <w:tcPr>
            <w:tcW w:w="10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404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040" w:type="dxa"/>
            <w:vAlign w:val="bottom"/>
          </w:tcPr>
          <w:p>
            <w:pPr>
              <w:ind w:left="180"/>
              <w:spacing w:after="0"/>
              <w:rPr>
                <w:sz w:val="20"/>
                <w:szCs w:val="20"/>
                <w:color w:val="auto"/>
              </w:rPr>
            </w:pPr>
            <w:r>
              <w:rPr>
                <w:rFonts w:ascii="Arial" w:cs="Arial" w:eastAsia="Arial" w:hAnsi="Arial"/>
                <w:sz w:val="14"/>
                <w:szCs w:val="14"/>
                <w:color w:val="auto"/>
              </w:rPr>
              <w:t>Electricity</w:t>
            </w:r>
          </w:p>
        </w:tc>
        <w:tc>
          <w:tcPr>
            <w:tcW w:w="100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8"/>
              <w:spacing w:after="0"/>
              <w:rPr>
                <w:sz w:val="20"/>
                <w:szCs w:val="20"/>
                <w:color w:val="auto"/>
              </w:rPr>
            </w:pPr>
            <w:r>
              <w:rPr>
                <w:rFonts w:ascii="Arial" w:cs="Arial" w:eastAsia="Arial" w:hAnsi="Arial"/>
                <w:sz w:val="14"/>
                <w:szCs w:val="14"/>
                <w:color w:val="auto"/>
                <w:w w:val="94"/>
              </w:rPr>
              <w:t>236,842</w:t>
            </w:r>
          </w:p>
        </w:tc>
        <w:tc>
          <w:tcPr>
            <w:tcW w:w="7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240,142</w:t>
            </w:r>
          </w:p>
        </w:tc>
        <w:tc>
          <w:tcPr>
            <w:tcW w:w="68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108"/>
              <w:spacing w:after="0"/>
              <w:rPr>
                <w:sz w:val="20"/>
                <w:szCs w:val="20"/>
                <w:color w:val="auto"/>
              </w:rPr>
            </w:pPr>
            <w:r>
              <w:rPr>
                <w:rFonts w:ascii="Arial" w:cs="Arial" w:eastAsia="Arial" w:hAnsi="Arial"/>
                <w:sz w:val="14"/>
                <w:szCs w:val="14"/>
                <w:color w:val="auto"/>
              </w:rPr>
              <w:t>739,825</w:t>
            </w:r>
          </w:p>
        </w:tc>
        <w:tc>
          <w:tcPr>
            <w:tcW w:w="720" w:type="dxa"/>
            <w:vAlign w:val="bottom"/>
          </w:tcPr>
          <w:p>
            <w:pPr>
              <w:jc w:val="right"/>
              <w:ind w:right="44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729,225</w:t>
            </w:r>
          </w:p>
        </w:tc>
        <w:tc>
          <w:tcPr>
            <w:tcW w:w="0" w:type="dxa"/>
            <w:vAlign w:val="bottom"/>
          </w:tcPr>
          <w:p>
            <w:pPr>
              <w:spacing w:after="0"/>
              <w:rPr>
                <w:sz w:val="1"/>
                <w:szCs w:val="1"/>
                <w:color w:val="auto"/>
              </w:rPr>
            </w:pPr>
          </w:p>
        </w:tc>
      </w:tr>
      <w:tr>
        <w:trPr>
          <w:trHeight w:val="176"/>
        </w:trPr>
        <w:tc>
          <w:tcPr>
            <w:tcW w:w="4040" w:type="dxa"/>
            <w:vAlign w:val="bottom"/>
          </w:tcPr>
          <w:p>
            <w:pPr>
              <w:ind w:left="180"/>
              <w:spacing w:after="0"/>
              <w:rPr>
                <w:sz w:val="20"/>
                <w:szCs w:val="20"/>
                <w:color w:val="auto"/>
              </w:rPr>
            </w:pPr>
            <w:r>
              <w:rPr>
                <w:rFonts w:ascii="Arial" w:cs="Arial" w:eastAsia="Arial" w:hAnsi="Arial"/>
                <w:sz w:val="14"/>
                <w:szCs w:val="14"/>
                <w:color w:val="auto"/>
              </w:rPr>
              <w:t>Gas</w:t>
            </w:r>
          </w:p>
        </w:tc>
        <w:tc>
          <w:tcPr>
            <w:tcW w:w="1000" w:type="dxa"/>
            <w:vAlign w:val="bottom"/>
          </w:tcPr>
          <w:p>
            <w:pPr>
              <w:spacing w:after="0"/>
              <w:rPr>
                <w:sz w:val="15"/>
                <w:szCs w:val="15"/>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w w:val="94"/>
              </w:rPr>
              <w:t>156,747</w:t>
            </w:r>
          </w:p>
        </w:tc>
        <w:tc>
          <w:tcPr>
            <w:tcW w:w="700" w:type="dxa"/>
            <w:vAlign w:val="bottom"/>
          </w:tcPr>
          <w:p>
            <w:pPr>
              <w:spacing w:after="0"/>
              <w:rPr>
                <w:sz w:val="15"/>
                <w:szCs w:val="15"/>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131,780</w:t>
            </w: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0" w:type="dxa"/>
            <w:vAlign w:val="bottom"/>
          </w:tcPr>
          <w:p>
            <w:pPr>
              <w:jc w:val="right"/>
              <w:ind w:right="108"/>
              <w:spacing w:after="0"/>
              <w:rPr>
                <w:sz w:val="20"/>
                <w:szCs w:val="20"/>
                <w:color w:val="auto"/>
              </w:rPr>
            </w:pPr>
            <w:r>
              <w:rPr>
                <w:rFonts w:ascii="Arial" w:cs="Arial" w:eastAsia="Arial" w:hAnsi="Arial"/>
                <w:sz w:val="14"/>
                <w:szCs w:val="14"/>
                <w:color w:val="auto"/>
              </w:rPr>
              <w:t>431,518</w:t>
            </w:r>
          </w:p>
        </w:tc>
        <w:tc>
          <w:tcPr>
            <w:tcW w:w="720" w:type="dxa"/>
            <w:vAlign w:val="bottom"/>
          </w:tcPr>
          <w:p>
            <w:pPr>
              <w:spacing w:after="0"/>
              <w:rPr>
                <w:sz w:val="15"/>
                <w:szCs w:val="15"/>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394,691</w:t>
            </w:r>
          </w:p>
        </w:tc>
        <w:tc>
          <w:tcPr>
            <w:tcW w:w="0" w:type="dxa"/>
            <w:vAlign w:val="bottom"/>
          </w:tcPr>
          <w:p>
            <w:pPr>
              <w:spacing w:after="0"/>
              <w:rPr>
                <w:sz w:val="1"/>
                <w:szCs w:val="1"/>
                <w:color w:val="auto"/>
              </w:rPr>
            </w:pPr>
          </w:p>
        </w:tc>
      </w:tr>
      <w:tr>
        <w:trPr>
          <w:trHeight w:val="176"/>
        </w:trPr>
        <w:tc>
          <w:tcPr>
            <w:tcW w:w="4040" w:type="dxa"/>
            <w:vAlign w:val="bottom"/>
          </w:tcPr>
          <w:p>
            <w:pPr>
              <w:ind w:left="180"/>
              <w:spacing w:after="0"/>
              <w:rPr>
                <w:sz w:val="20"/>
                <w:szCs w:val="20"/>
                <w:color w:val="auto"/>
              </w:rPr>
            </w:pPr>
            <w:r>
              <w:rPr>
                <w:rFonts w:ascii="Arial" w:cs="Arial" w:eastAsia="Arial" w:hAnsi="Arial"/>
                <w:sz w:val="14"/>
                <w:szCs w:val="14"/>
                <w:color w:val="auto"/>
              </w:rPr>
              <w:t>Water</w:t>
            </w:r>
          </w:p>
        </w:tc>
        <w:tc>
          <w:tcPr>
            <w:tcW w:w="1000" w:type="dxa"/>
            <w:vAlign w:val="bottom"/>
          </w:tcPr>
          <w:p>
            <w:pPr>
              <w:spacing w:after="0"/>
              <w:rPr>
                <w:sz w:val="15"/>
                <w:szCs w:val="15"/>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w w:val="94"/>
              </w:rPr>
              <w:t>112,584</w:t>
            </w:r>
          </w:p>
        </w:tc>
        <w:tc>
          <w:tcPr>
            <w:tcW w:w="700" w:type="dxa"/>
            <w:vAlign w:val="bottom"/>
          </w:tcPr>
          <w:p>
            <w:pPr>
              <w:spacing w:after="0"/>
              <w:rPr>
                <w:sz w:val="15"/>
                <w:szCs w:val="15"/>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114,825</w:t>
            </w: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0" w:type="dxa"/>
            <w:vAlign w:val="bottom"/>
          </w:tcPr>
          <w:p>
            <w:pPr>
              <w:jc w:val="right"/>
              <w:ind w:right="108"/>
              <w:spacing w:after="0"/>
              <w:rPr>
                <w:sz w:val="20"/>
                <w:szCs w:val="20"/>
                <w:color w:val="auto"/>
              </w:rPr>
            </w:pPr>
            <w:r>
              <w:rPr>
                <w:rFonts w:ascii="Arial" w:cs="Arial" w:eastAsia="Arial" w:hAnsi="Arial"/>
                <w:sz w:val="14"/>
                <w:szCs w:val="14"/>
                <w:color w:val="auto"/>
              </w:rPr>
              <w:t>368,415</w:t>
            </w:r>
          </w:p>
        </w:tc>
        <w:tc>
          <w:tcPr>
            <w:tcW w:w="720" w:type="dxa"/>
            <w:vAlign w:val="bottom"/>
          </w:tcPr>
          <w:p>
            <w:pPr>
              <w:spacing w:after="0"/>
              <w:rPr>
                <w:sz w:val="15"/>
                <w:szCs w:val="15"/>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343,505</w:t>
            </w:r>
          </w:p>
        </w:tc>
        <w:tc>
          <w:tcPr>
            <w:tcW w:w="0" w:type="dxa"/>
            <w:vAlign w:val="bottom"/>
          </w:tcPr>
          <w:p>
            <w:pPr>
              <w:spacing w:after="0"/>
              <w:rPr>
                <w:sz w:val="1"/>
                <w:szCs w:val="1"/>
                <w:color w:val="auto"/>
              </w:rPr>
            </w:pPr>
          </w:p>
        </w:tc>
      </w:tr>
      <w:tr>
        <w:trPr>
          <w:trHeight w:val="181"/>
        </w:trPr>
        <w:tc>
          <w:tcPr>
            <w:tcW w:w="4040" w:type="dxa"/>
            <w:vAlign w:val="bottom"/>
          </w:tcPr>
          <w:p>
            <w:pPr>
              <w:ind w:left="180"/>
              <w:spacing w:after="0"/>
              <w:rPr>
                <w:sz w:val="20"/>
                <w:szCs w:val="20"/>
                <w:color w:val="auto"/>
              </w:rPr>
            </w:pPr>
            <w:r>
              <w:rPr>
                <w:rFonts w:ascii="Arial" w:cs="Arial" w:eastAsia="Arial" w:hAnsi="Arial"/>
                <w:sz w:val="14"/>
                <w:szCs w:val="14"/>
                <w:color w:val="auto"/>
              </w:rPr>
              <w:t>Networks</w:t>
            </w:r>
          </w:p>
        </w:tc>
        <w:tc>
          <w:tcPr>
            <w:tcW w:w="10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89,789</w:t>
            </w:r>
          </w:p>
        </w:tc>
        <w:tc>
          <w:tcPr>
            <w:tcW w:w="7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249,315</w:t>
            </w:r>
          </w:p>
        </w:tc>
        <w:tc>
          <w:tcPr>
            <w:tcW w:w="7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4040" w:type="dxa"/>
            <w:vAlign w:val="bottom"/>
          </w:tcPr>
          <w:p>
            <w:pPr>
              <w:ind w:left="380"/>
              <w:spacing w:after="0"/>
              <w:rPr>
                <w:sz w:val="20"/>
                <w:szCs w:val="20"/>
                <w:color w:val="auto"/>
              </w:rPr>
            </w:pPr>
            <w:r>
              <w:rPr>
                <w:rFonts w:ascii="Arial" w:cs="Arial" w:eastAsia="Arial" w:hAnsi="Arial"/>
                <w:sz w:val="14"/>
                <w:szCs w:val="14"/>
                <w:color w:val="auto"/>
              </w:rPr>
              <w:t>Total Company</w:t>
            </w:r>
          </w:p>
        </w:tc>
        <w:tc>
          <w:tcPr>
            <w:tcW w:w="100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94"/>
              </w:rPr>
              <w:t>595,962</w:t>
            </w:r>
          </w:p>
        </w:tc>
        <w:tc>
          <w:tcPr>
            <w:tcW w:w="7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486,747</w:t>
            </w:r>
          </w:p>
        </w:tc>
        <w:tc>
          <w:tcPr>
            <w:tcW w:w="180" w:type="dxa"/>
            <w:vAlign w:val="bottom"/>
          </w:tcPr>
          <w:p>
            <w:pPr>
              <w:spacing w:after="0"/>
              <w:rPr>
                <w:sz w:val="14"/>
                <w:szCs w:val="14"/>
                <w:color w:val="auto"/>
              </w:rPr>
            </w:pPr>
          </w:p>
        </w:tc>
        <w:tc>
          <w:tcPr>
            <w:tcW w:w="5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1,789,073</w:t>
            </w:r>
          </w:p>
        </w:tc>
        <w:tc>
          <w:tcPr>
            <w:tcW w:w="7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1,467,421</w:t>
            </w: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Arial" w:cs="Arial" w:eastAsia="Arial" w:hAnsi="Arial"/>
                <w:sz w:val="14"/>
                <w:szCs w:val="14"/>
                <w:b w:val="1"/>
                <w:bCs w:val="1"/>
                <w:color w:val="auto"/>
              </w:rPr>
              <w:t>Gross profit</w:t>
            </w:r>
          </w:p>
        </w:tc>
        <w:tc>
          <w:tcPr>
            <w:tcW w:w="10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404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040" w:type="dxa"/>
            <w:vAlign w:val="bottom"/>
          </w:tcPr>
          <w:p>
            <w:pPr>
              <w:ind w:left="180"/>
              <w:spacing w:after="0"/>
              <w:rPr>
                <w:sz w:val="20"/>
                <w:szCs w:val="20"/>
                <w:color w:val="auto"/>
              </w:rPr>
            </w:pPr>
            <w:r>
              <w:rPr>
                <w:rFonts w:ascii="Arial" w:cs="Arial" w:eastAsia="Arial" w:hAnsi="Arial"/>
                <w:sz w:val="14"/>
                <w:szCs w:val="14"/>
                <w:color w:val="auto"/>
              </w:rPr>
              <w:t>Electricity</w:t>
            </w:r>
          </w:p>
        </w:tc>
        <w:tc>
          <w:tcPr>
            <w:tcW w:w="100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74,549</w:t>
            </w:r>
          </w:p>
        </w:tc>
        <w:tc>
          <w:tcPr>
            <w:tcW w:w="7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76,492</w:t>
            </w:r>
          </w:p>
        </w:tc>
        <w:tc>
          <w:tcPr>
            <w:tcW w:w="68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108"/>
              <w:spacing w:after="0"/>
              <w:rPr>
                <w:sz w:val="20"/>
                <w:szCs w:val="20"/>
                <w:color w:val="auto"/>
              </w:rPr>
            </w:pPr>
            <w:r>
              <w:rPr>
                <w:rFonts w:ascii="Arial" w:cs="Arial" w:eastAsia="Arial" w:hAnsi="Arial"/>
                <w:sz w:val="14"/>
                <w:szCs w:val="14"/>
                <w:color w:val="auto"/>
              </w:rPr>
              <w:t>221,511</w:t>
            </w:r>
          </w:p>
        </w:tc>
        <w:tc>
          <w:tcPr>
            <w:tcW w:w="720" w:type="dxa"/>
            <w:vAlign w:val="bottom"/>
          </w:tcPr>
          <w:p>
            <w:pPr>
              <w:jc w:val="right"/>
              <w:ind w:right="44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222,387</w:t>
            </w:r>
          </w:p>
        </w:tc>
        <w:tc>
          <w:tcPr>
            <w:tcW w:w="0" w:type="dxa"/>
            <w:vAlign w:val="bottom"/>
          </w:tcPr>
          <w:p>
            <w:pPr>
              <w:spacing w:after="0"/>
              <w:rPr>
                <w:sz w:val="1"/>
                <w:szCs w:val="1"/>
                <w:color w:val="auto"/>
              </w:rPr>
            </w:pPr>
          </w:p>
        </w:tc>
      </w:tr>
      <w:tr>
        <w:trPr>
          <w:trHeight w:val="176"/>
        </w:trPr>
        <w:tc>
          <w:tcPr>
            <w:tcW w:w="4040" w:type="dxa"/>
            <w:vAlign w:val="bottom"/>
          </w:tcPr>
          <w:p>
            <w:pPr>
              <w:ind w:left="180"/>
              <w:spacing w:after="0"/>
              <w:rPr>
                <w:sz w:val="20"/>
                <w:szCs w:val="20"/>
                <w:color w:val="auto"/>
              </w:rPr>
            </w:pPr>
            <w:r>
              <w:rPr>
                <w:rFonts w:ascii="Arial" w:cs="Arial" w:eastAsia="Arial" w:hAnsi="Arial"/>
                <w:sz w:val="14"/>
                <w:szCs w:val="14"/>
                <w:color w:val="auto"/>
              </w:rPr>
              <w:t>Gas</w:t>
            </w:r>
          </w:p>
        </w:tc>
        <w:tc>
          <w:tcPr>
            <w:tcW w:w="1000" w:type="dxa"/>
            <w:vAlign w:val="bottom"/>
          </w:tcPr>
          <w:p>
            <w:pPr>
              <w:spacing w:after="0"/>
              <w:rPr>
                <w:sz w:val="15"/>
                <w:szCs w:val="15"/>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55,812</w:t>
            </w:r>
          </w:p>
        </w:tc>
        <w:tc>
          <w:tcPr>
            <w:tcW w:w="700" w:type="dxa"/>
            <w:vAlign w:val="bottom"/>
          </w:tcPr>
          <w:p>
            <w:pPr>
              <w:spacing w:after="0"/>
              <w:rPr>
                <w:sz w:val="15"/>
                <w:szCs w:val="15"/>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46,529</w:t>
            </w: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0" w:type="dxa"/>
            <w:vAlign w:val="bottom"/>
          </w:tcPr>
          <w:p>
            <w:pPr>
              <w:jc w:val="right"/>
              <w:ind w:right="108"/>
              <w:spacing w:after="0"/>
              <w:rPr>
                <w:sz w:val="20"/>
                <w:szCs w:val="20"/>
                <w:color w:val="auto"/>
              </w:rPr>
            </w:pPr>
            <w:r>
              <w:rPr>
                <w:rFonts w:ascii="Arial" w:cs="Arial" w:eastAsia="Arial" w:hAnsi="Arial"/>
                <w:sz w:val="14"/>
                <w:szCs w:val="14"/>
                <w:color w:val="auto"/>
              </w:rPr>
              <w:t>139,826</w:t>
            </w:r>
          </w:p>
        </w:tc>
        <w:tc>
          <w:tcPr>
            <w:tcW w:w="720" w:type="dxa"/>
            <w:vAlign w:val="bottom"/>
          </w:tcPr>
          <w:p>
            <w:pPr>
              <w:spacing w:after="0"/>
              <w:rPr>
                <w:sz w:val="15"/>
                <w:szCs w:val="15"/>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147,880</w:t>
            </w:r>
          </w:p>
        </w:tc>
        <w:tc>
          <w:tcPr>
            <w:tcW w:w="0" w:type="dxa"/>
            <w:vAlign w:val="bottom"/>
          </w:tcPr>
          <w:p>
            <w:pPr>
              <w:spacing w:after="0"/>
              <w:rPr>
                <w:sz w:val="1"/>
                <w:szCs w:val="1"/>
                <w:color w:val="auto"/>
              </w:rPr>
            </w:pPr>
          </w:p>
        </w:tc>
      </w:tr>
      <w:tr>
        <w:trPr>
          <w:trHeight w:val="176"/>
        </w:trPr>
        <w:tc>
          <w:tcPr>
            <w:tcW w:w="4040" w:type="dxa"/>
            <w:vAlign w:val="bottom"/>
          </w:tcPr>
          <w:p>
            <w:pPr>
              <w:ind w:left="180"/>
              <w:spacing w:after="0"/>
              <w:rPr>
                <w:sz w:val="20"/>
                <w:szCs w:val="20"/>
                <w:color w:val="auto"/>
              </w:rPr>
            </w:pPr>
            <w:r>
              <w:rPr>
                <w:rFonts w:ascii="Arial" w:cs="Arial" w:eastAsia="Arial" w:hAnsi="Arial"/>
                <w:sz w:val="14"/>
                <w:szCs w:val="14"/>
                <w:color w:val="auto"/>
              </w:rPr>
              <w:t>Water</w:t>
            </w:r>
          </w:p>
        </w:tc>
        <w:tc>
          <w:tcPr>
            <w:tcW w:w="1000" w:type="dxa"/>
            <w:vAlign w:val="bottom"/>
          </w:tcPr>
          <w:p>
            <w:pPr>
              <w:spacing w:after="0"/>
              <w:rPr>
                <w:sz w:val="15"/>
                <w:szCs w:val="15"/>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35,139</w:t>
            </w:r>
          </w:p>
        </w:tc>
        <w:tc>
          <w:tcPr>
            <w:tcW w:w="700" w:type="dxa"/>
            <w:vAlign w:val="bottom"/>
          </w:tcPr>
          <w:p>
            <w:pPr>
              <w:spacing w:after="0"/>
              <w:rPr>
                <w:sz w:val="15"/>
                <w:szCs w:val="15"/>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42,734</w:t>
            </w: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0" w:type="dxa"/>
            <w:vAlign w:val="bottom"/>
          </w:tcPr>
          <w:p>
            <w:pPr>
              <w:jc w:val="right"/>
              <w:ind w:right="108"/>
              <w:spacing w:after="0"/>
              <w:rPr>
                <w:sz w:val="20"/>
                <w:szCs w:val="20"/>
                <w:color w:val="auto"/>
              </w:rPr>
            </w:pPr>
            <w:r>
              <w:rPr>
                <w:rFonts w:ascii="Arial" w:cs="Arial" w:eastAsia="Arial" w:hAnsi="Arial"/>
                <w:sz w:val="14"/>
                <w:szCs w:val="14"/>
                <w:color w:val="auto"/>
              </w:rPr>
              <w:t>110,779</w:t>
            </w:r>
          </w:p>
        </w:tc>
        <w:tc>
          <w:tcPr>
            <w:tcW w:w="720" w:type="dxa"/>
            <w:vAlign w:val="bottom"/>
          </w:tcPr>
          <w:p>
            <w:pPr>
              <w:spacing w:after="0"/>
              <w:rPr>
                <w:sz w:val="15"/>
                <w:szCs w:val="15"/>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131,402</w:t>
            </w:r>
          </w:p>
        </w:tc>
        <w:tc>
          <w:tcPr>
            <w:tcW w:w="0" w:type="dxa"/>
            <w:vAlign w:val="bottom"/>
          </w:tcPr>
          <w:p>
            <w:pPr>
              <w:spacing w:after="0"/>
              <w:rPr>
                <w:sz w:val="1"/>
                <w:szCs w:val="1"/>
                <w:color w:val="auto"/>
              </w:rPr>
            </w:pPr>
          </w:p>
        </w:tc>
      </w:tr>
      <w:tr>
        <w:trPr>
          <w:trHeight w:val="181"/>
        </w:trPr>
        <w:tc>
          <w:tcPr>
            <w:tcW w:w="4040" w:type="dxa"/>
            <w:vAlign w:val="bottom"/>
          </w:tcPr>
          <w:p>
            <w:pPr>
              <w:ind w:left="180"/>
              <w:spacing w:after="0"/>
              <w:rPr>
                <w:sz w:val="20"/>
                <w:szCs w:val="20"/>
                <w:color w:val="auto"/>
              </w:rPr>
            </w:pPr>
            <w:r>
              <w:rPr>
                <w:rFonts w:ascii="Arial" w:cs="Arial" w:eastAsia="Arial" w:hAnsi="Arial"/>
                <w:sz w:val="14"/>
                <w:szCs w:val="14"/>
                <w:color w:val="auto"/>
              </w:rPr>
              <w:t>Networks</w:t>
            </w:r>
          </w:p>
        </w:tc>
        <w:tc>
          <w:tcPr>
            <w:tcW w:w="10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31,597</w:t>
            </w:r>
          </w:p>
        </w:tc>
        <w:tc>
          <w:tcPr>
            <w:tcW w:w="7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81,413</w:t>
            </w:r>
          </w:p>
        </w:tc>
        <w:tc>
          <w:tcPr>
            <w:tcW w:w="7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4040" w:type="dxa"/>
            <w:vAlign w:val="bottom"/>
          </w:tcPr>
          <w:p>
            <w:pPr>
              <w:ind w:left="380"/>
              <w:spacing w:after="0"/>
              <w:rPr>
                <w:sz w:val="20"/>
                <w:szCs w:val="20"/>
                <w:color w:val="auto"/>
              </w:rPr>
            </w:pPr>
            <w:r>
              <w:rPr>
                <w:rFonts w:ascii="Arial" w:cs="Arial" w:eastAsia="Arial" w:hAnsi="Arial"/>
                <w:sz w:val="14"/>
                <w:szCs w:val="14"/>
                <w:color w:val="auto"/>
              </w:rPr>
              <w:t>Total Company</w:t>
            </w:r>
          </w:p>
        </w:tc>
        <w:tc>
          <w:tcPr>
            <w:tcW w:w="100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94"/>
              </w:rPr>
              <w:t>197,097</w:t>
            </w:r>
          </w:p>
        </w:tc>
        <w:tc>
          <w:tcPr>
            <w:tcW w:w="7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165,755</w:t>
            </w:r>
          </w:p>
        </w:tc>
        <w:tc>
          <w:tcPr>
            <w:tcW w:w="180" w:type="dxa"/>
            <w:vAlign w:val="bottom"/>
          </w:tcPr>
          <w:p>
            <w:pPr>
              <w:spacing w:after="0"/>
              <w:rPr>
                <w:sz w:val="14"/>
                <w:szCs w:val="14"/>
                <w:color w:val="auto"/>
              </w:rPr>
            </w:pPr>
          </w:p>
        </w:tc>
        <w:tc>
          <w:tcPr>
            <w:tcW w:w="5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553,529</w:t>
            </w:r>
          </w:p>
        </w:tc>
        <w:tc>
          <w:tcPr>
            <w:tcW w:w="7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501,669</w:t>
            </w: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Arial" w:cs="Arial" w:eastAsia="Arial" w:hAnsi="Arial"/>
                <w:sz w:val="14"/>
                <w:szCs w:val="14"/>
                <w:b w:val="1"/>
                <w:bCs w:val="1"/>
                <w:color w:val="auto"/>
              </w:rPr>
              <w:t>Operating income (loss)</w:t>
            </w:r>
          </w:p>
        </w:tc>
        <w:tc>
          <w:tcPr>
            <w:tcW w:w="10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404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040" w:type="dxa"/>
            <w:vAlign w:val="bottom"/>
          </w:tcPr>
          <w:p>
            <w:pPr>
              <w:ind w:left="180"/>
              <w:spacing w:after="0"/>
              <w:rPr>
                <w:sz w:val="20"/>
                <w:szCs w:val="20"/>
                <w:color w:val="auto"/>
              </w:rPr>
            </w:pPr>
            <w:r>
              <w:rPr>
                <w:rFonts w:ascii="Arial" w:cs="Arial" w:eastAsia="Arial" w:hAnsi="Arial"/>
                <w:sz w:val="14"/>
                <w:szCs w:val="14"/>
                <w:color w:val="auto"/>
              </w:rPr>
              <w:t>Electricity</w:t>
            </w:r>
          </w:p>
        </w:tc>
        <w:tc>
          <w:tcPr>
            <w:tcW w:w="100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25,853</w:t>
            </w:r>
          </w:p>
        </w:tc>
        <w:tc>
          <w:tcPr>
            <w:tcW w:w="7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17,317</w:t>
            </w:r>
          </w:p>
        </w:tc>
        <w:tc>
          <w:tcPr>
            <w:tcW w:w="68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108"/>
              <w:spacing w:after="0"/>
              <w:rPr>
                <w:sz w:val="20"/>
                <w:szCs w:val="20"/>
                <w:color w:val="auto"/>
              </w:rPr>
            </w:pPr>
            <w:r>
              <w:rPr>
                <w:rFonts w:ascii="Arial" w:cs="Arial" w:eastAsia="Arial" w:hAnsi="Arial"/>
                <w:sz w:val="14"/>
                <w:szCs w:val="14"/>
                <w:color w:val="auto"/>
              </w:rPr>
              <w:t>52,082</w:t>
            </w:r>
          </w:p>
        </w:tc>
        <w:tc>
          <w:tcPr>
            <w:tcW w:w="720" w:type="dxa"/>
            <w:vAlign w:val="bottom"/>
          </w:tcPr>
          <w:p>
            <w:pPr>
              <w:jc w:val="right"/>
              <w:ind w:right="44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52,240</w:t>
            </w:r>
          </w:p>
        </w:tc>
        <w:tc>
          <w:tcPr>
            <w:tcW w:w="0" w:type="dxa"/>
            <w:vAlign w:val="bottom"/>
          </w:tcPr>
          <w:p>
            <w:pPr>
              <w:spacing w:after="0"/>
              <w:rPr>
                <w:sz w:val="1"/>
                <w:szCs w:val="1"/>
                <w:color w:val="auto"/>
              </w:rPr>
            </w:pPr>
          </w:p>
        </w:tc>
      </w:tr>
      <w:tr>
        <w:trPr>
          <w:trHeight w:val="176"/>
        </w:trPr>
        <w:tc>
          <w:tcPr>
            <w:tcW w:w="4040" w:type="dxa"/>
            <w:vAlign w:val="bottom"/>
          </w:tcPr>
          <w:p>
            <w:pPr>
              <w:ind w:left="180"/>
              <w:spacing w:after="0"/>
              <w:rPr>
                <w:sz w:val="20"/>
                <w:szCs w:val="20"/>
                <w:color w:val="auto"/>
              </w:rPr>
            </w:pPr>
            <w:r>
              <w:rPr>
                <w:rFonts w:ascii="Arial" w:cs="Arial" w:eastAsia="Arial" w:hAnsi="Arial"/>
                <w:sz w:val="14"/>
                <w:szCs w:val="14"/>
                <w:color w:val="auto"/>
              </w:rPr>
              <w:t>Gas</w:t>
            </w:r>
          </w:p>
        </w:tc>
        <w:tc>
          <w:tcPr>
            <w:tcW w:w="1000" w:type="dxa"/>
            <w:vAlign w:val="bottom"/>
          </w:tcPr>
          <w:p>
            <w:pPr>
              <w:spacing w:after="0"/>
              <w:rPr>
                <w:sz w:val="15"/>
                <w:szCs w:val="15"/>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31,279</w:t>
            </w:r>
          </w:p>
        </w:tc>
        <w:tc>
          <w:tcPr>
            <w:tcW w:w="700" w:type="dxa"/>
            <w:vAlign w:val="bottom"/>
          </w:tcPr>
          <w:p>
            <w:pPr>
              <w:spacing w:after="0"/>
              <w:rPr>
                <w:sz w:val="15"/>
                <w:szCs w:val="15"/>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20,469</w:t>
            </w: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0" w:type="dxa"/>
            <w:vAlign w:val="bottom"/>
          </w:tcPr>
          <w:p>
            <w:pPr>
              <w:jc w:val="right"/>
              <w:ind w:right="108"/>
              <w:spacing w:after="0"/>
              <w:rPr>
                <w:sz w:val="20"/>
                <w:szCs w:val="20"/>
                <w:color w:val="auto"/>
              </w:rPr>
            </w:pPr>
            <w:r>
              <w:rPr>
                <w:rFonts w:ascii="Arial" w:cs="Arial" w:eastAsia="Arial" w:hAnsi="Arial"/>
                <w:sz w:val="14"/>
                <w:szCs w:val="14"/>
                <w:color w:val="auto"/>
              </w:rPr>
              <w:t>18,176</w:t>
            </w:r>
          </w:p>
        </w:tc>
        <w:tc>
          <w:tcPr>
            <w:tcW w:w="720" w:type="dxa"/>
            <w:vAlign w:val="bottom"/>
          </w:tcPr>
          <w:p>
            <w:pPr>
              <w:spacing w:after="0"/>
              <w:rPr>
                <w:sz w:val="15"/>
                <w:szCs w:val="15"/>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59,177</w:t>
            </w:r>
          </w:p>
        </w:tc>
        <w:tc>
          <w:tcPr>
            <w:tcW w:w="0" w:type="dxa"/>
            <w:vAlign w:val="bottom"/>
          </w:tcPr>
          <w:p>
            <w:pPr>
              <w:spacing w:after="0"/>
              <w:rPr>
                <w:sz w:val="1"/>
                <w:szCs w:val="1"/>
                <w:color w:val="auto"/>
              </w:rPr>
            </w:pPr>
          </w:p>
        </w:tc>
      </w:tr>
      <w:tr>
        <w:trPr>
          <w:trHeight w:val="176"/>
        </w:trPr>
        <w:tc>
          <w:tcPr>
            <w:tcW w:w="4040" w:type="dxa"/>
            <w:vAlign w:val="bottom"/>
          </w:tcPr>
          <w:p>
            <w:pPr>
              <w:ind w:left="180"/>
              <w:spacing w:after="0"/>
              <w:rPr>
                <w:sz w:val="20"/>
                <w:szCs w:val="20"/>
                <w:color w:val="auto"/>
              </w:rPr>
            </w:pPr>
            <w:r>
              <w:rPr>
                <w:rFonts w:ascii="Arial" w:cs="Arial" w:eastAsia="Arial" w:hAnsi="Arial"/>
                <w:sz w:val="14"/>
                <w:szCs w:val="14"/>
                <w:color w:val="auto"/>
              </w:rPr>
              <w:t>Water</w:t>
            </w:r>
          </w:p>
        </w:tc>
        <w:tc>
          <w:tcPr>
            <w:tcW w:w="1000" w:type="dxa"/>
            <w:vAlign w:val="bottom"/>
          </w:tcPr>
          <w:p>
            <w:pPr>
              <w:spacing w:after="0"/>
              <w:rPr>
                <w:sz w:val="15"/>
                <w:szCs w:val="15"/>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6,859</w:t>
            </w:r>
          </w:p>
        </w:tc>
        <w:tc>
          <w:tcPr>
            <w:tcW w:w="700" w:type="dxa"/>
            <w:vAlign w:val="bottom"/>
          </w:tcPr>
          <w:p>
            <w:pPr>
              <w:spacing w:after="0"/>
              <w:rPr>
                <w:sz w:val="15"/>
                <w:szCs w:val="15"/>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15,032</w:t>
            </w: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0" w:type="dxa"/>
            <w:vAlign w:val="bottom"/>
          </w:tcPr>
          <w:p>
            <w:pPr>
              <w:jc w:val="right"/>
              <w:ind w:right="108"/>
              <w:spacing w:after="0"/>
              <w:rPr>
                <w:sz w:val="20"/>
                <w:szCs w:val="20"/>
                <w:color w:val="auto"/>
              </w:rPr>
            </w:pPr>
            <w:r>
              <w:rPr>
                <w:rFonts w:ascii="Arial" w:cs="Arial" w:eastAsia="Arial" w:hAnsi="Arial"/>
                <w:sz w:val="14"/>
                <w:szCs w:val="14"/>
                <w:color w:val="auto"/>
              </w:rPr>
              <w:t>3,973</w:t>
            </w:r>
          </w:p>
        </w:tc>
        <w:tc>
          <w:tcPr>
            <w:tcW w:w="720" w:type="dxa"/>
            <w:vAlign w:val="bottom"/>
          </w:tcPr>
          <w:p>
            <w:pPr>
              <w:spacing w:after="0"/>
              <w:rPr>
                <w:sz w:val="15"/>
                <w:szCs w:val="15"/>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40,702</w:t>
            </w:r>
          </w:p>
        </w:tc>
        <w:tc>
          <w:tcPr>
            <w:tcW w:w="0" w:type="dxa"/>
            <w:vAlign w:val="bottom"/>
          </w:tcPr>
          <w:p>
            <w:pPr>
              <w:spacing w:after="0"/>
              <w:rPr>
                <w:sz w:val="1"/>
                <w:szCs w:val="1"/>
                <w:color w:val="auto"/>
              </w:rPr>
            </w:pPr>
          </w:p>
        </w:tc>
      </w:tr>
      <w:tr>
        <w:trPr>
          <w:trHeight w:val="176"/>
        </w:trPr>
        <w:tc>
          <w:tcPr>
            <w:tcW w:w="4040" w:type="dxa"/>
            <w:vAlign w:val="bottom"/>
          </w:tcPr>
          <w:p>
            <w:pPr>
              <w:ind w:left="180"/>
              <w:spacing w:after="0"/>
              <w:rPr>
                <w:sz w:val="20"/>
                <w:szCs w:val="20"/>
                <w:color w:val="auto"/>
              </w:rPr>
            </w:pPr>
            <w:r>
              <w:rPr>
                <w:rFonts w:ascii="Arial" w:cs="Arial" w:eastAsia="Arial" w:hAnsi="Arial"/>
                <w:sz w:val="14"/>
                <w:szCs w:val="14"/>
                <w:color w:val="auto"/>
              </w:rPr>
              <w:t>Networks</w:t>
            </w:r>
          </w:p>
        </w:tc>
        <w:tc>
          <w:tcPr>
            <w:tcW w:w="1000" w:type="dxa"/>
            <w:vAlign w:val="bottom"/>
          </w:tcPr>
          <w:p>
            <w:pPr>
              <w:spacing w:after="0"/>
              <w:rPr>
                <w:sz w:val="15"/>
                <w:szCs w:val="15"/>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w w:val="99"/>
              </w:rPr>
              <w:t>(15,624)</w:t>
            </w:r>
          </w:p>
        </w:tc>
        <w:tc>
          <w:tcPr>
            <w:tcW w:w="700" w:type="dxa"/>
            <w:vAlign w:val="bottom"/>
          </w:tcPr>
          <w:p>
            <w:pPr>
              <w:spacing w:after="0"/>
              <w:rPr>
                <w:sz w:val="15"/>
                <w:szCs w:val="15"/>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0" w:type="dxa"/>
            <w:vAlign w:val="bottom"/>
          </w:tcPr>
          <w:p>
            <w:pPr>
              <w:jc w:val="right"/>
              <w:ind w:right="68"/>
              <w:spacing w:after="0"/>
              <w:rPr>
                <w:sz w:val="20"/>
                <w:szCs w:val="20"/>
                <w:color w:val="auto"/>
              </w:rPr>
            </w:pPr>
            <w:r>
              <w:rPr>
                <w:rFonts w:ascii="Arial" w:cs="Arial" w:eastAsia="Arial" w:hAnsi="Arial"/>
                <w:sz w:val="14"/>
                <w:szCs w:val="14"/>
                <w:color w:val="auto"/>
              </w:rPr>
              <w:t>(119,353)</w:t>
            </w:r>
          </w:p>
        </w:tc>
        <w:tc>
          <w:tcPr>
            <w:tcW w:w="720" w:type="dxa"/>
            <w:vAlign w:val="bottom"/>
          </w:tcPr>
          <w:p>
            <w:pPr>
              <w:spacing w:after="0"/>
              <w:rPr>
                <w:sz w:val="15"/>
                <w:szCs w:val="15"/>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4040" w:type="dxa"/>
            <w:vAlign w:val="bottom"/>
          </w:tcPr>
          <w:p>
            <w:pPr>
              <w:ind w:left="180"/>
              <w:spacing w:after="0"/>
              <w:rPr>
                <w:sz w:val="20"/>
                <w:szCs w:val="20"/>
                <w:color w:val="auto"/>
              </w:rPr>
            </w:pPr>
            <w:r>
              <w:rPr>
                <w:rFonts w:ascii="Arial" w:cs="Arial" w:eastAsia="Arial" w:hAnsi="Arial"/>
                <w:sz w:val="14"/>
                <w:szCs w:val="14"/>
                <w:color w:val="auto"/>
              </w:rPr>
              <w:t>Corporate unallocated</w:t>
            </w:r>
          </w:p>
        </w:tc>
        <w:tc>
          <w:tcPr>
            <w:tcW w:w="10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(6,691)</w:t>
            </w:r>
          </w:p>
        </w:tc>
        <w:tc>
          <w:tcPr>
            <w:tcW w:w="7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(14,592)</w:t>
            </w:r>
          </w:p>
        </w:tc>
        <w:tc>
          <w:tcPr>
            <w:tcW w:w="18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(33,087)</w:t>
            </w:r>
          </w:p>
        </w:tc>
        <w:tc>
          <w:tcPr>
            <w:tcW w:w="7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(45,438)</w:t>
            </w:r>
          </w:p>
        </w:tc>
        <w:tc>
          <w:tcPr>
            <w:tcW w:w="0" w:type="dxa"/>
            <w:vAlign w:val="bottom"/>
          </w:tcPr>
          <w:p>
            <w:pPr>
              <w:spacing w:after="0"/>
              <w:rPr>
                <w:sz w:val="1"/>
                <w:szCs w:val="1"/>
                <w:color w:val="auto"/>
              </w:rPr>
            </w:pPr>
          </w:p>
        </w:tc>
      </w:tr>
      <w:tr>
        <w:trPr>
          <w:trHeight w:val="169"/>
        </w:trPr>
        <w:tc>
          <w:tcPr>
            <w:tcW w:w="4040" w:type="dxa"/>
            <w:vAlign w:val="bottom"/>
          </w:tcPr>
          <w:p>
            <w:pPr>
              <w:ind w:left="380"/>
              <w:spacing w:after="0"/>
              <w:rPr>
                <w:sz w:val="20"/>
                <w:szCs w:val="20"/>
                <w:color w:val="auto"/>
              </w:rPr>
            </w:pPr>
            <w:r>
              <w:rPr>
                <w:rFonts w:ascii="Arial" w:cs="Arial" w:eastAsia="Arial" w:hAnsi="Arial"/>
                <w:sz w:val="14"/>
                <w:szCs w:val="14"/>
                <w:color w:val="auto"/>
              </w:rPr>
              <w:t>Total Company</w:t>
            </w:r>
          </w:p>
        </w:tc>
        <w:tc>
          <w:tcPr>
            <w:tcW w:w="100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41,676</w:t>
            </w:r>
          </w:p>
        </w:tc>
        <w:tc>
          <w:tcPr>
            <w:tcW w:w="7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38,226</w:t>
            </w:r>
          </w:p>
        </w:tc>
        <w:tc>
          <w:tcPr>
            <w:tcW w:w="180" w:type="dxa"/>
            <w:vAlign w:val="bottom"/>
          </w:tcPr>
          <w:p>
            <w:pPr>
              <w:spacing w:after="0"/>
              <w:rPr>
                <w:sz w:val="14"/>
                <w:szCs w:val="14"/>
                <w:color w:val="auto"/>
              </w:rPr>
            </w:pPr>
          </w:p>
        </w:tc>
        <w:tc>
          <w:tcPr>
            <w:tcW w:w="5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(78,209)</w:t>
            </w:r>
          </w:p>
        </w:tc>
        <w:tc>
          <w:tcPr>
            <w:tcW w:w="7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106,681</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0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40" w:type="dxa"/>
            <w:vAlign w:val="bottom"/>
            <w:tcBorders>
              <w:bottom w:val="single" w:sz="8" w:color="EEEEEE"/>
            </w:tcBorders>
          </w:tcPr>
          <w:p>
            <w:pPr>
              <w:spacing w:after="0" w:line="20" w:lineRule="exact"/>
              <w:rPr>
                <w:sz w:val="1"/>
                <w:szCs w:val="1"/>
                <w:color w:val="auto"/>
              </w:rPr>
            </w:pPr>
          </w:p>
        </w:tc>
        <w:tc>
          <w:tcPr>
            <w:tcW w:w="1000" w:type="dxa"/>
            <w:vAlign w:val="bottom"/>
            <w:tcBorders>
              <w:bottom w:val="single" w:sz="8" w:color="EEEEEE"/>
            </w:tcBorders>
          </w:tcPr>
          <w:p>
            <w:pPr>
              <w:spacing w:after="0" w:line="20" w:lineRule="exact"/>
              <w:rPr>
                <w:sz w:val="1"/>
                <w:szCs w:val="1"/>
                <w:color w:val="auto"/>
              </w:rPr>
            </w:pPr>
          </w:p>
        </w:tc>
        <w:tc>
          <w:tcPr>
            <w:tcW w:w="66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c>
          <w:tcPr>
            <w:tcW w:w="102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500" w:type="dxa"/>
            <w:vAlign w:val="bottom"/>
            <w:tcBorders>
              <w:bottom w:val="single" w:sz="8" w:color="EEEEEE"/>
            </w:tcBorders>
          </w:tcPr>
          <w:p>
            <w:pPr>
              <w:spacing w:after="0" w:line="20" w:lineRule="exact"/>
              <w:rPr>
                <w:sz w:val="1"/>
                <w:szCs w:val="1"/>
                <w:color w:val="auto"/>
              </w:rPr>
            </w:pPr>
          </w:p>
        </w:tc>
        <w:tc>
          <w:tcPr>
            <w:tcW w:w="140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120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86"/>
        </w:trPr>
        <w:tc>
          <w:tcPr>
            <w:tcW w:w="3720" w:type="dxa"/>
            <w:vAlign w:val="bottom"/>
          </w:tcPr>
          <w:p>
            <w:pPr>
              <w:spacing w:after="0"/>
              <w:rPr>
                <w:sz w:val="16"/>
                <w:szCs w:val="16"/>
                <w:color w:val="auto"/>
              </w:rPr>
            </w:pPr>
          </w:p>
        </w:tc>
        <w:tc>
          <w:tcPr>
            <w:tcW w:w="4140" w:type="dxa"/>
            <w:vAlign w:val="bottom"/>
            <w:gridSpan w:val="2"/>
          </w:tcPr>
          <w:p>
            <w:pPr>
              <w:jc w:val="right"/>
              <w:ind w:right="908"/>
              <w:spacing w:after="0"/>
              <w:rPr>
                <w:sz w:val="20"/>
                <w:szCs w:val="20"/>
                <w:color w:val="auto"/>
              </w:rPr>
            </w:pPr>
            <w:r>
              <w:rPr>
                <w:rFonts w:ascii="Arial" w:cs="Arial" w:eastAsia="Arial" w:hAnsi="Arial"/>
                <w:sz w:val="14"/>
                <w:szCs w:val="14"/>
                <w:b w:val="1"/>
                <w:bCs w:val="1"/>
                <w:color w:val="auto"/>
              </w:rPr>
              <w:t>METER AND MODULE SUMMARY</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1"/>
        </w:trPr>
        <w:tc>
          <w:tcPr>
            <w:tcW w:w="3720" w:type="dxa"/>
            <w:vAlign w:val="bottom"/>
          </w:tcPr>
          <w:p>
            <w:pPr>
              <w:spacing w:after="0"/>
              <w:rPr>
                <w:sz w:val="20"/>
                <w:szCs w:val="20"/>
                <w:color w:val="auto"/>
              </w:rPr>
            </w:pPr>
            <w:r>
              <w:rPr>
                <w:rFonts w:ascii="Arial" w:cs="Arial" w:eastAsia="Arial" w:hAnsi="Arial"/>
                <w:sz w:val="14"/>
                <w:szCs w:val="14"/>
                <w:color w:val="auto"/>
              </w:rPr>
              <w:t>(Units in thousands)</w:t>
            </w:r>
          </w:p>
        </w:tc>
        <w:tc>
          <w:tcPr>
            <w:tcW w:w="2340" w:type="dxa"/>
            <w:vAlign w:val="bottom"/>
          </w:tcPr>
          <w:p>
            <w:pPr>
              <w:spacing w:after="0"/>
              <w:rPr>
                <w:sz w:val="24"/>
                <w:szCs w:val="24"/>
                <w:color w:val="auto"/>
              </w:rPr>
            </w:pPr>
          </w:p>
        </w:tc>
        <w:tc>
          <w:tcPr>
            <w:tcW w:w="2680" w:type="dxa"/>
            <w:vAlign w:val="bottom"/>
            <w:gridSpan w:val="2"/>
            <w:vMerge w:val="restart"/>
          </w:tcPr>
          <w:p>
            <w:pPr>
              <w:jc w:val="right"/>
              <w:ind w:right="628"/>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24"/>
                <w:szCs w:val="24"/>
                <w:color w:val="auto"/>
              </w:rPr>
            </w:pPr>
          </w:p>
        </w:tc>
        <w:tc>
          <w:tcPr>
            <w:tcW w:w="2580" w:type="dxa"/>
            <w:vAlign w:val="bottom"/>
            <w:gridSpan w:val="3"/>
            <w:vMerge w:val="restart"/>
          </w:tcPr>
          <w:p>
            <w:pPr>
              <w:jc w:val="right"/>
              <w:ind w:right="6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38"/>
        </w:trPr>
        <w:tc>
          <w:tcPr>
            <w:tcW w:w="37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26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25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7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7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800" w:type="dxa"/>
            <w:vAlign w:val="bottom"/>
            <w:tcBorders>
              <w:bottom w:val="single" w:sz="8" w:color="auto"/>
            </w:tcBorders>
          </w:tcPr>
          <w:p>
            <w:pPr>
              <w:jc w:val="right"/>
              <w:ind w:right="928"/>
              <w:spacing w:after="0"/>
              <w:rPr>
                <w:sz w:val="20"/>
                <w:szCs w:val="20"/>
                <w:color w:val="auto"/>
              </w:rPr>
            </w:pPr>
            <w:r>
              <w:rPr>
                <w:rFonts w:ascii="Arial" w:cs="Arial" w:eastAsia="Arial" w:hAnsi="Arial"/>
                <w:sz w:val="14"/>
                <w:szCs w:val="14"/>
                <w:b w:val="1"/>
                <w:bCs w:val="1"/>
                <w:color w:val="auto"/>
              </w:rPr>
              <w:t>2018</w:t>
            </w:r>
          </w:p>
        </w:tc>
        <w:tc>
          <w:tcPr>
            <w:tcW w:w="8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1760" w:type="dxa"/>
            <w:vAlign w:val="bottom"/>
            <w:tcBorders>
              <w:bottom w:val="single" w:sz="8" w:color="auto"/>
            </w:tcBorders>
          </w:tcPr>
          <w:p>
            <w:pPr>
              <w:jc w:val="right"/>
              <w:ind w:right="868"/>
              <w:spacing w:after="0"/>
              <w:rPr>
                <w:sz w:val="20"/>
                <w:szCs w:val="20"/>
                <w:color w:val="auto"/>
              </w:rPr>
            </w:pPr>
            <w:r>
              <w:rPr>
                <w:rFonts w:ascii="Arial" w:cs="Arial" w:eastAsia="Arial" w:hAnsi="Arial"/>
                <w:sz w:val="14"/>
                <w:szCs w:val="14"/>
                <w:b w:val="1"/>
                <w:bCs w:val="1"/>
                <w:color w:val="auto"/>
              </w:rPr>
              <w:t>2018</w:t>
            </w:r>
          </w:p>
        </w:tc>
        <w:tc>
          <w:tcPr>
            <w:tcW w:w="8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720" w:type="dxa"/>
            <w:vAlign w:val="bottom"/>
          </w:tcPr>
          <w:p>
            <w:pPr>
              <w:spacing w:after="0"/>
              <w:rPr>
                <w:sz w:val="20"/>
                <w:szCs w:val="20"/>
                <w:color w:val="auto"/>
              </w:rPr>
            </w:pPr>
            <w:r>
              <w:rPr>
                <w:rFonts w:ascii="Arial" w:cs="Arial" w:eastAsia="Arial" w:hAnsi="Arial"/>
                <w:sz w:val="14"/>
                <w:szCs w:val="14"/>
                <w:b w:val="1"/>
                <w:bCs w:val="1"/>
                <w:color w:val="auto"/>
              </w:rPr>
              <w:t>Meters</w:t>
            </w:r>
          </w:p>
        </w:tc>
        <w:tc>
          <w:tcPr>
            <w:tcW w:w="23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720" w:type="dxa"/>
            <w:vAlign w:val="bottom"/>
          </w:tcPr>
          <w:p>
            <w:pPr>
              <w:ind w:left="440"/>
              <w:spacing w:after="0"/>
              <w:rPr>
                <w:sz w:val="20"/>
                <w:szCs w:val="20"/>
                <w:color w:val="auto"/>
              </w:rPr>
            </w:pPr>
            <w:r>
              <w:rPr>
                <w:rFonts w:ascii="Arial" w:cs="Arial" w:eastAsia="Arial" w:hAnsi="Arial"/>
                <w:sz w:val="14"/>
                <w:szCs w:val="14"/>
                <w:color w:val="auto"/>
              </w:rPr>
              <w:t>Standard</w:t>
            </w:r>
          </w:p>
        </w:tc>
        <w:tc>
          <w:tcPr>
            <w:tcW w:w="4140" w:type="dxa"/>
            <w:vAlign w:val="bottom"/>
            <w:gridSpan w:val="2"/>
          </w:tcPr>
          <w:p>
            <w:pPr>
              <w:jc w:val="right"/>
              <w:ind w:right="628"/>
              <w:spacing w:after="0"/>
              <w:rPr>
                <w:sz w:val="20"/>
                <w:szCs w:val="20"/>
                <w:color w:val="auto"/>
              </w:rPr>
            </w:pPr>
            <w:r>
              <w:rPr>
                <w:rFonts w:ascii="Arial" w:cs="Arial" w:eastAsia="Arial" w:hAnsi="Arial"/>
                <w:sz w:val="14"/>
                <w:szCs w:val="14"/>
                <w:color w:val="auto"/>
              </w:rPr>
              <w:t>4,050</w:t>
            </w:r>
          </w:p>
        </w:tc>
        <w:tc>
          <w:tcPr>
            <w:tcW w:w="880" w:type="dxa"/>
            <w:vAlign w:val="bottom"/>
          </w:tcPr>
          <w:p>
            <w:pPr>
              <w:jc w:val="right"/>
              <w:ind w:right="188"/>
              <w:spacing w:after="0"/>
              <w:rPr>
                <w:sz w:val="20"/>
                <w:szCs w:val="20"/>
                <w:color w:val="auto"/>
              </w:rPr>
            </w:pPr>
            <w:r>
              <w:rPr>
                <w:rFonts w:ascii="Arial" w:cs="Arial" w:eastAsia="Arial" w:hAnsi="Arial"/>
                <w:sz w:val="14"/>
                <w:szCs w:val="14"/>
                <w:color w:val="auto"/>
              </w:rPr>
              <w:t>3,640</w:t>
            </w:r>
          </w:p>
        </w:tc>
        <w:tc>
          <w:tcPr>
            <w:tcW w:w="1880" w:type="dxa"/>
            <w:vAlign w:val="bottom"/>
            <w:gridSpan w:val="2"/>
          </w:tcPr>
          <w:p>
            <w:pPr>
              <w:jc w:val="right"/>
              <w:ind w:right="528"/>
              <w:spacing w:after="0"/>
              <w:rPr>
                <w:sz w:val="20"/>
                <w:szCs w:val="20"/>
                <w:color w:val="auto"/>
              </w:rPr>
            </w:pPr>
            <w:r>
              <w:rPr>
                <w:rFonts w:ascii="Arial" w:cs="Arial" w:eastAsia="Arial" w:hAnsi="Arial"/>
                <w:sz w:val="14"/>
                <w:szCs w:val="14"/>
                <w:color w:val="auto"/>
              </w:rPr>
              <w:t>12,220</w:t>
            </w: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12,000</w:t>
            </w:r>
          </w:p>
        </w:tc>
        <w:tc>
          <w:tcPr>
            <w:tcW w:w="0" w:type="dxa"/>
            <w:vAlign w:val="bottom"/>
          </w:tcPr>
          <w:p>
            <w:pPr>
              <w:spacing w:after="0"/>
              <w:rPr>
                <w:sz w:val="1"/>
                <w:szCs w:val="1"/>
                <w:color w:val="auto"/>
              </w:rPr>
            </w:pPr>
          </w:p>
        </w:tc>
      </w:tr>
      <w:tr>
        <w:trPr>
          <w:trHeight w:val="181"/>
        </w:trPr>
        <w:tc>
          <w:tcPr>
            <w:tcW w:w="3720" w:type="dxa"/>
            <w:vAlign w:val="bottom"/>
          </w:tcPr>
          <w:p>
            <w:pPr>
              <w:ind w:left="440"/>
              <w:spacing w:after="0"/>
              <w:rPr>
                <w:sz w:val="20"/>
                <w:szCs w:val="20"/>
                <w:color w:val="auto"/>
              </w:rPr>
            </w:pPr>
            <w:r>
              <w:rPr>
                <w:rFonts w:ascii="Arial" w:cs="Arial" w:eastAsia="Arial" w:hAnsi="Arial"/>
                <w:sz w:val="14"/>
                <w:szCs w:val="14"/>
                <w:color w:val="auto"/>
              </w:rPr>
              <w:t>Smart</w:t>
            </w:r>
          </w:p>
        </w:tc>
        <w:tc>
          <w:tcPr>
            <w:tcW w:w="4140" w:type="dxa"/>
            <w:vAlign w:val="bottom"/>
            <w:gridSpan w:val="2"/>
          </w:tcPr>
          <w:p>
            <w:pPr>
              <w:jc w:val="right"/>
              <w:ind w:right="628"/>
              <w:spacing w:after="0"/>
              <w:rPr>
                <w:sz w:val="20"/>
                <w:szCs w:val="20"/>
                <w:color w:val="auto"/>
              </w:rPr>
            </w:pPr>
            <w:r>
              <w:rPr>
                <w:rFonts w:ascii="Arial" w:cs="Arial" w:eastAsia="Arial" w:hAnsi="Arial"/>
                <w:sz w:val="14"/>
                <w:szCs w:val="14"/>
                <w:color w:val="auto"/>
              </w:rPr>
              <w:t>2,460</w:t>
            </w:r>
          </w:p>
        </w:tc>
        <w:tc>
          <w:tcPr>
            <w:tcW w:w="880" w:type="dxa"/>
            <w:vAlign w:val="bottom"/>
          </w:tcPr>
          <w:p>
            <w:pPr>
              <w:jc w:val="right"/>
              <w:ind w:right="188"/>
              <w:spacing w:after="0"/>
              <w:rPr>
                <w:sz w:val="20"/>
                <w:szCs w:val="20"/>
                <w:color w:val="auto"/>
              </w:rPr>
            </w:pPr>
            <w:r>
              <w:rPr>
                <w:rFonts w:ascii="Arial" w:cs="Arial" w:eastAsia="Arial" w:hAnsi="Arial"/>
                <w:sz w:val="14"/>
                <w:szCs w:val="14"/>
                <w:color w:val="auto"/>
              </w:rPr>
              <w:t>2,590</w:t>
            </w:r>
          </w:p>
        </w:tc>
        <w:tc>
          <w:tcPr>
            <w:tcW w:w="1880" w:type="dxa"/>
            <w:vAlign w:val="bottom"/>
            <w:gridSpan w:val="2"/>
          </w:tcPr>
          <w:p>
            <w:pPr>
              <w:jc w:val="right"/>
              <w:ind w:right="528"/>
              <w:spacing w:after="0"/>
              <w:rPr>
                <w:sz w:val="20"/>
                <w:szCs w:val="20"/>
                <w:color w:val="auto"/>
              </w:rPr>
            </w:pPr>
            <w:r>
              <w:rPr>
                <w:rFonts w:ascii="Arial" w:cs="Arial" w:eastAsia="Arial" w:hAnsi="Arial"/>
                <w:sz w:val="14"/>
                <w:szCs w:val="14"/>
                <w:color w:val="auto"/>
              </w:rPr>
              <w:t>8,390</w:t>
            </w: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7,600</w:t>
            </w:r>
          </w:p>
        </w:tc>
        <w:tc>
          <w:tcPr>
            <w:tcW w:w="0" w:type="dxa"/>
            <w:vAlign w:val="bottom"/>
          </w:tcPr>
          <w:p>
            <w:pPr>
              <w:spacing w:after="0"/>
              <w:rPr>
                <w:sz w:val="1"/>
                <w:szCs w:val="1"/>
                <w:color w:val="auto"/>
              </w:rPr>
            </w:pPr>
          </w:p>
        </w:tc>
      </w:tr>
      <w:tr>
        <w:trPr>
          <w:trHeight w:val="169"/>
        </w:trPr>
        <w:tc>
          <w:tcPr>
            <w:tcW w:w="3720" w:type="dxa"/>
            <w:vAlign w:val="bottom"/>
          </w:tcPr>
          <w:p>
            <w:pPr>
              <w:ind w:left="900"/>
              <w:spacing w:after="0"/>
              <w:rPr>
                <w:sz w:val="20"/>
                <w:szCs w:val="20"/>
                <w:color w:val="auto"/>
              </w:rPr>
            </w:pPr>
            <w:r>
              <w:rPr>
                <w:rFonts w:ascii="Arial" w:cs="Arial" w:eastAsia="Arial" w:hAnsi="Arial"/>
                <w:sz w:val="14"/>
                <w:szCs w:val="14"/>
                <w:color w:val="auto"/>
              </w:rPr>
              <w:t>Total meters</w:t>
            </w:r>
          </w:p>
        </w:tc>
        <w:tc>
          <w:tcPr>
            <w:tcW w:w="2340" w:type="dxa"/>
            <w:vAlign w:val="bottom"/>
          </w:tcPr>
          <w:p>
            <w:pPr>
              <w:spacing w:after="0"/>
              <w:rPr>
                <w:sz w:val="14"/>
                <w:szCs w:val="14"/>
                <w:color w:val="auto"/>
              </w:rPr>
            </w:pPr>
          </w:p>
        </w:tc>
        <w:tc>
          <w:tcPr>
            <w:tcW w:w="180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color w:val="auto"/>
              </w:rPr>
              <w:t>6,510</w:t>
            </w:r>
          </w:p>
        </w:tc>
        <w:tc>
          <w:tcPr>
            <w:tcW w:w="88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6,230</w:t>
            </w:r>
          </w:p>
        </w:tc>
        <w:tc>
          <w:tcPr>
            <w:tcW w:w="120" w:type="dxa"/>
            <w:vAlign w:val="bottom"/>
          </w:tcPr>
          <w:p>
            <w:pPr>
              <w:spacing w:after="0"/>
              <w:rPr>
                <w:sz w:val="14"/>
                <w:szCs w:val="14"/>
                <w:color w:val="auto"/>
              </w:rPr>
            </w:pPr>
          </w:p>
        </w:tc>
        <w:tc>
          <w:tcPr>
            <w:tcW w:w="176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color w:val="auto"/>
              </w:rPr>
              <w:t>20,610</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19,600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Arial" w:cs="Arial" w:eastAsia="Arial" w:hAnsi="Arial"/>
                <w:sz w:val="14"/>
                <w:szCs w:val="14"/>
                <w:b w:val="1"/>
                <w:bCs w:val="1"/>
                <w:color w:val="auto"/>
              </w:rPr>
              <w:t>Stand-alone communication modules and cards</w:t>
            </w:r>
          </w:p>
        </w:tc>
        <w:tc>
          <w:tcPr>
            <w:tcW w:w="234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3720" w:type="dxa"/>
            <w:vAlign w:val="bottom"/>
            <w:vMerge w:val="continue"/>
          </w:tcPr>
          <w:p>
            <w:pPr>
              <w:spacing w:after="0"/>
              <w:rPr>
                <w:sz w:val="24"/>
                <w:szCs w:val="24"/>
                <w:color w:val="auto"/>
              </w:rPr>
            </w:pPr>
          </w:p>
        </w:tc>
        <w:tc>
          <w:tcPr>
            <w:tcW w:w="23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3720" w:type="dxa"/>
            <w:vAlign w:val="bottom"/>
          </w:tcPr>
          <w:p>
            <w:pPr>
              <w:ind w:left="440"/>
              <w:spacing w:after="0"/>
              <w:rPr>
                <w:sz w:val="20"/>
                <w:szCs w:val="20"/>
                <w:color w:val="auto"/>
              </w:rPr>
            </w:pPr>
            <w:r>
              <w:rPr>
                <w:rFonts w:ascii="Arial" w:cs="Arial" w:eastAsia="Arial" w:hAnsi="Arial"/>
                <w:sz w:val="14"/>
                <w:szCs w:val="14"/>
                <w:color w:val="auto"/>
              </w:rPr>
              <w:t>Smart</w:t>
            </w:r>
          </w:p>
        </w:tc>
        <w:tc>
          <w:tcPr>
            <w:tcW w:w="4140" w:type="dxa"/>
            <w:vAlign w:val="bottom"/>
            <w:gridSpan w:val="2"/>
          </w:tcPr>
          <w:p>
            <w:pPr>
              <w:jc w:val="right"/>
              <w:ind w:right="628"/>
              <w:spacing w:after="0"/>
              <w:rPr>
                <w:sz w:val="20"/>
                <w:szCs w:val="20"/>
                <w:color w:val="auto"/>
              </w:rPr>
            </w:pPr>
            <w:r>
              <w:rPr>
                <w:rFonts w:ascii="Arial" w:cs="Arial" w:eastAsia="Arial" w:hAnsi="Arial"/>
                <w:sz w:val="14"/>
                <w:szCs w:val="14"/>
                <w:color w:val="auto"/>
              </w:rPr>
              <w:t>2,970</w:t>
            </w:r>
          </w:p>
        </w:tc>
        <w:tc>
          <w:tcPr>
            <w:tcW w:w="880" w:type="dxa"/>
            <w:vAlign w:val="bottom"/>
          </w:tcPr>
          <w:p>
            <w:pPr>
              <w:jc w:val="right"/>
              <w:ind w:right="188"/>
              <w:spacing w:after="0"/>
              <w:rPr>
                <w:sz w:val="20"/>
                <w:szCs w:val="20"/>
                <w:color w:val="auto"/>
              </w:rPr>
            </w:pPr>
            <w:r>
              <w:rPr>
                <w:rFonts w:ascii="Arial" w:cs="Arial" w:eastAsia="Arial" w:hAnsi="Arial"/>
                <w:sz w:val="14"/>
                <w:szCs w:val="14"/>
                <w:color w:val="auto"/>
              </w:rPr>
              <w:t>1,480</w:t>
            </w:r>
          </w:p>
        </w:tc>
        <w:tc>
          <w:tcPr>
            <w:tcW w:w="1880" w:type="dxa"/>
            <w:vAlign w:val="bottom"/>
            <w:gridSpan w:val="2"/>
          </w:tcPr>
          <w:p>
            <w:pPr>
              <w:jc w:val="right"/>
              <w:ind w:right="528"/>
              <w:spacing w:after="0"/>
              <w:rPr>
                <w:sz w:val="20"/>
                <w:szCs w:val="20"/>
                <w:color w:val="auto"/>
              </w:rPr>
            </w:pPr>
            <w:r>
              <w:rPr>
                <w:rFonts w:ascii="Arial" w:cs="Arial" w:eastAsia="Arial" w:hAnsi="Arial"/>
                <w:sz w:val="14"/>
                <w:szCs w:val="14"/>
                <w:color w:val="auto"/>
              </w:rPr>
              <w:t>7,980</w:t>
            </w: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4,410</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220" w:hanging="212"/>
        <w:spacing w:after="0"/>
        <w:tabs>
          <w:tab w:leader="none" w:pos="220" w:val="left"/>
        </w:tabs>
        <w:numPr>
          <w:ilvl w:val="0"/>
          <w:numId w:val="1"/>
        </w:numPr>
        <w:rPr>
          <w:rFonts w:ascii="Arial" w:cs="Arial" w:eastAsia="Arial" w:hAnsi="Arial"/>
          <w:sz w:val="12"/>
          <w:szCs w:val="12"/>
          <w:color w:val="auto"/>
        </w:rPr>
      </w:pPr>
      <w:r>
        <w:rPr>
          <w:rFonts w:ascii="Arial" w:cs="Arial" w:eastAsia="Arial" w:hAnsi="Arial"/>
          <w:sz w:val="14"/>
          <w:szCs w:val="14"/>
          <w:color w:val="auto"/>
        </w:rPr>
        <w:t>The Networks segment shipped an immaterial number of meters during the three and nine months ended September 30, 2018.</w:t>
      </w:r>
    </w:p>
    <w:p>
      <w:pPr>
        <w:spacing w:after="0" w:line="28" w:lineRule="exact"/>
        <w:rPr>
          <w:rFonts w:ascii="Arial" w:cs="Arial" w:eastAsia="Arial" w:hAnsi="Arial"/>
          <w:sz w:val="12"/>
          <w:szCs w:val="12"/>
          <w:color w:val="auto"/>
        </w:rPr>
      </w:pPr>
    </w:p>
    <w:p>
      <w:pPr>
        <w:ind w:left="220" w:hanging="212"/>
        <w:spacing w:after="0"/>
        <w:tabs>
          <w:tab w:leader="none" w:pos="220" w:val="left"/>
        </w:tabs>
        <w:numPr>
          <w:ilvl w:val="0"/>
          <w:numId w:val="1"/>
        </w:numPr>
        <w:rPr>
          <w:rFonts w:ascii="Arial" w:cs="Arial" w:eastAsia="Arial" w:hAnsi="Arial"/>
          <w:sz w:val="11"/>
          <w:szCs w:val="11"/>
          <w:color w:val="auto"/>
        </w:rPr>
      </w:pPr>
      <w:r>
        <w:rPr>
          <w:rFonts w:ascii="Arial" w:cs="Arial" w:eastAsia="Arial" w:hAnsi="Arial"/>
          <w:sz w:val="13"/>
          <w:szCs w:val="13"/>
          <w:color w:val="auto"/>
        </w:rPr>
        <w:t>The Networks segment shipped approximately 1,090 thousand and 3,140 thousand network interface cards, respectively, during the three and nine months ended September 30, 2018.</w:t>
      </w:r>
    </w:p>
    <w:p>
      <w:pPr>
        <w:spacing w:after="0" w:line="215" w:lineRule="exact"/>
        <w:rPr>
          <w:sz w:val="20"/>
          <w:szCs w:val="20"/>
          <w:color w:val="auto"/>
        </w:rPr>
      </w:pPr>
    </w:p>
    <w:p>
      <w:pPr>
        <w:ind w:right="160"/>
        <w:spacing w:after="0" w:line="253" w:lineRule="auto"/>
        <w:rPr>
          <w:sz w:val="20"/>
          <w:szCs w:val="20"/>
          <w:color w:val="auto"/>
        </w:rPr>
      </w:pPr>
      <w:r>
        <w:rPr>
          <w:rFonts w:ascii="Arial" w:cs="Arial" w:eastAsia="Arial" w:hAnsi="Arial"/>
          <w:sz w:val="14"/>
          <w:szCs w:val="14"/>
          <w:color w:val="auto"/>
        </w:rPr>
        <w:t>The stand-alone communication modules and cards category includes communicating radio modules shipped in Electric, Gas and Water segments and network interface cards, the primary product sold by our Networks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178435</wp:posOffset>
            </wp:positionV>
            <wp:extent cx="7272020" cy="596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4"/>
          <w:szCs w:val="14"/>
          <w:b w:val="1"/>
          <w:bCs w:val="1"/>
          <w:color w:val="auto"/>
        </w:rPr>
        <w:t>ITRON,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BALANCE SHEETS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900" w:type="dxa"/>
            <w:vAlign w:val="bottom"/>
          </w:tcPr>
          <w:p>
            <w:pPr>
              <w:spacing w:after="0"/>
              <w:rPr>
                <w:sz w:val="20"/>
                <w:szCs w:val="20"/>
                <w:color w:val="auto"/>
              </w:rPr>
            </w:pPr>
            <w:r>
              <w:rPr>
                <w:rFonts w:ascii="Arial" w:cs="Arial" w:eastAsia="Arial" w:hAnsi="Arial"/>
                <w:sz w:val="14"/>
                <w:szCs w:val="14"/>
                <w:color w:val="auto"/>
              </w:rPr>
              <w:t>(Unaudited, in thousands)</w:t>
            </w:r>
          </w:p>
        </w:tc>
        <w:tc>
          <w:tcPr>
            <w:tcW w:w="540" w:type="dxa"/>
            <w:vAlign w:val="bottom"/>
          </w:tcPr>
          <w:p>
            <w:pPr>
              <w:spacing w:after="0"/>
              <w:rPr>
                <w:sz w:val="15"/>
                <w:szCs w:val="15"/>
                <w:color w:val="auto"/>
              </w:rPr>
            </w:pPr>
          </w:p>
        </w:tc>
        <w:tc>
          <w:tcPr>
            <w:tcW w:w="2240" w:type="dxa"/>
            <w:vAlign w:val="bottom"/>
            <w:vMerge w:val="restart"/>
          </w:tcPr>
          <w:p>
            <w:pPr>
              <w:jc w:val="right"/>
              <w:ind w:right="748"/>
              <w:spacing w:after="0"/>
              <w:rPr>
                <w:sz w:val="20"/>
                <w:szCs w:val="20"/>
                <w:color w:val="auto"/>
              </w:rPr>
            </w:pPr>
            <w:r>
              <w:rPr>
                <w:rFonts w:ascii="Arial" w:cs="Arial" w:eastAsia="Arial" w:hAnsi="Arial"/>
                <w:sz w:val="14"/>
                <w:szCs w:val="14"/>
                <w:b w:val="1"/>
                <w:bCs w:val="1"/>
                <w:color w:val="auto"/>
              </w:rPr>
              <w:t>September 30, 2018</w:t>
            </w:r>
          </w:p>
        </w:tc>
        <w:tc>
          <w:tcPr>
            <w:tcW w:w="600" w:type="dxa"/>
            <w:vAlign w:val="bottom"/>
          </w:tcPr>
          <w:p>
            <w:pPr>
              <w:spacing w:after="0"/>
              <w:rPr>
                <w:sz w:val="15"/>
                <w:szCs w:val="15"/>
                <w:color w:val="auto"/>
              </w:rPr>
            </w:pPr>
          </w:p>
        </w:tc>
        <w:tc>
          <w:tcPr>
            <w:tcW w:w="2140" w:type="dxa"/>
            <w:vAlign w:val="bottom"/>
            <w:vMerge w:val="restart"/>
          </w:tcPr>
          <w:p>
            <w:pPr>
              <w:jc w:val="right"/>
              <w:ind w:right="668"/>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174"/>
        </w:trPr>
        <w:tc>
          <w:tcPr>
            <w:tcW w:w="590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vMerge w:val="continue"/>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5900" w:type="dxa"/>
            <w:vAlign w:val="bottom"/>
          </w:tcPr>
          <w:p>
            <w:pPr>
              <w:ind w:left="2620"/>
              <w:spacing w:after="0"/>
              <w:rPr>
                <w:sz w:val="20"/>
                <w:szCs w:val="20"/>
                <w:color w:val="auto"/>
              </w:rPr>
            </w:pPr>
            <w:r>
              <w:rPr>
                <w:rFonts w:ascii="Arial" w:cs="Arial" w:eastAsia="Arial" w:hAnsi="Arial"/>
                <w:sz w:val="14"/>
                <w:szCs w:val="14"/>
                <w:b w:val="1"/>
                <w:bCs w:val="1"/>
                <w:color w:val="auto"/>
              </w:rPr>
              <w:t>ASSETS</w:t>
            </w:r>
          </w:p>
        </w:tc>
        <w:tc>
          <w:tcPr>
            <w:tcW w:w="5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900" w:type="dxa"/>
            <w:vAlign w:val="bottom"/>
          </w:tcPr>
          <w:p>
            <w:pPr>
              <w:spacing w:after="0"/>
              <w:rPr>
                <w:sz w:val="20"/>
                <w:szCs w:val="20"/>
                <w:color w:val="auto"/>
              </w:rPr>
            </w:pPr>
            <w:r>
              <w:rPr>
                <w:rFonts w:ascii="Arial" w:cs="Arial" w:eastAsia="Arial" w:hAnsi="Arial"/>
                <w:sz w:val="14"/>
                <w:szCs w:val="14"/>
                <w:color w:val="auto"/>
              </w:rPr>
              <w:t>Current assets</w:t>
            </w:r>
          </w:p>
        </w:tc>
        <w:tc>
          <w:tcPr>
            <w:tcW w:w="5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900" w:type="dxa"/>
            <w:vAlign w:val="bottom"/>
          </w:tcPr>
          <w:p>
            <w:pPr>
              <w:ind w:left="160"/>
              <w:spacing w:after="0"/>
              <w:rPr>
                <w:sz w:val="20"/>
                <w:szCs w:val="20"/>
                <w:color w:val="auto"/>
              </w:rPr>
            </w:pPr>
            <w:r>
              <w:rPr>
                <w:rFonts w:ascii="Arial" w:cs="Arial" w:eastAsia="Arial" w:hAnsi="Arial"/>
                <w:sz w:val="14"/>
                <w:szCs w:val="14"/>
                <w:color w:val="auto"/>
              </w:rPr>
              <w:t>Cash and cash equivalents</w:t>
            </w:r>
          </w:p>
        </w:tc>
        <w:tc>
          <w:tcPr>
            <w:tcW w:w="5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2240" w:type="dxa"/>
            <w:vAlign w:val="bottom"/>
          </w:tcPr>
          <w:p>
            <w:pPr>
              <w:jc w:val="right"/>
              <w:ind w:right="248"/>
              <w:spacing w:after="0"/>
              <w:rPr>
                <w:sz w:val="20"/>
                <w:szCs w:val="20"/>
                <w:color w:val="auto"/>
              </w:rPr>
            </w:pPr>
            <w:r>
              <w:rPr>
                <w:rFonts w:ascii="Arial" w:cs="Arial" w:eastAsia="Arial" w:hAnsi="Arial"/>
                <w:sz w:val="14"/>
                <w:szCs w:val="14"/>
                <w:color w:val="auto"/>
              </w:rPr>
              <w:t>109,044</w:t>
            </w:r>
          </w:p>
        </w:tc>
        <w:tc>
          <w:tcPr>
            <w:tcW w:w="6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2140" w:type="dxa"/>
            <w:vAlign w:val="bottom"/>
          </w:tcPr>
          <w:p>
            <w:pPr>
              <w:jc w:val="right"/>
              <w:ind w:right="208"/>
              <w:spacing w:after="0"/>
              <w:rPr>
                <w:sz w:val="20"/>
                <w:szCs w:val="20"/>
                <w:color w:val="auto"/>
              </w:rPr>
            </w:pPr>
            <w:r>
              <w:rPr>
                <w:rFonts w:ascii="Arial" w:cs="Arial" w:eastAsia="Arial" w:hAnsi="Arial"/>
                <w:sz w:val="14"/>
                <w:szCs w:val="14"/>
                <w:color w:val="auto"/>
              </w:rPr>
              <w:t>176,274</w:t>
            </w:r>
          </w:p>
        </w:tc>
        <w:tc>
          <w:tcPr>
            <w:tcW w:w="0" w:type="dxa"/>
            <w:vAlign w:val="bottom"/>
          </w:tcPr>
          <w:p>
            <w:pPr>
              <w:spacing w:after="0"/>
              <w:rPr>
                <w:sz w:val="1"/>
                <w:szCs w:val="1"/>
                <w:color w:val="auto"/>
              </w:rPr>
            </w:pPr>
          </w:p>
        </w:tc>
      </w:tr>
      <w:tr>
        <w:trPr>
          <w:trHeight w:val="176"/>
        </w:trPr>
        <w:tc>
          <w:tcPr>
            <w:tcW w:w="5900" w:type="dxa"/>
            <w:vAlign w:val="bottom"/>
          </w:tcPr>
          <w:p>
            <w:pPr>
              <w:ind w:left="160"/>
              <w:spacing w:after="0"/>
              <w:rPr>
                <w:sz w:val="20"/>
                <w:szCs w:val="20"/>
                <w:color w:val="auto"/>
              </w:rPr>
            </w:pPr>
            <w:r>
              <w:rPr>
                <w:rFonts w:ascii="Arial" w:cs="Arial" w:eastAsia="Arial" w:hAnsi="Arial"/>
                <w:sz w:val="14"/>
                <w:szCs w:val="14"/>
                <w:color w:val="auto"/>
              </w:rPr>
              <w:t>Accounts receivable, net</w:t>
            </w:r>
          </w:p>
        </w:tc>
        <w:tc>
          <w:tcPr>
            <w:tcW w:w="540" w:type="dxa"/>
            <w:vAlign w:val="bottom"/>
          </w:tcPr>
          <w:p>
            <w:pPr>
              <w:spacing w:after="0"/>
              <w:rPr>
                <w:sz w:val="15"/>
                <w:szCs w:val="15"/>
                <w:color w:val="auto"/>
              </w:rPr>
            </w:pPr>
          </w:p>
        </w:tc>
        <w:tc>
          <w:tcPr>
            <w:tcW w:w="2240" w:type="dxa"/>
            <w:vAlign w:val="bottom"/>
          </w:tcPr>
          <w:p>
            <w:pPr>
              <w:jc w:val="right"/>
              <w:ind w:right="248"/>
              <w:spacing w:after="0"/>
              <w:rPr>
                <w:sz w:val="20"/>
                <w:szCs w:val="20"/>
                <w:color w:val="auto"/>
              </w:rPr>
            </w:pPr>
            <w:r>
              <w:rPr>
                <w:rFonts w:ascii="Arial" w:cs="Arial" w:eastAsia="Arial" w:hAnsi="Arial"/>
                <w:sz w:val="14"/>
                <w:szCs w:val="14"/>
                <w:color w:val="auto"/>
              </w:rPr>
              <w:t>449,592</w:t>
            </w:r>
          </w:p>
        </w:tc>
        <w:tc>
          <w:tcPr>
            <w:tcW w:w="600" w:type="dxa"/>
            <w:vAlign w:val="bottom"/>
          </w:tcPr>
          <w:p>
            <w:pPr>
              <w:spacing w:after="0"/>
              <w:rPr>
                <w:sz w:val="15"/>
                <w:szCs w:val="15"/>
                <w:color w:val="auto"/>
              </w:rPr>
            </w:pPr>
          </w:p>
        </w:tc>
        <w:tc>
          <w:tcPr>
            <w:tcW w:w="2140" w:type="dxa"/>
            <w:vAlign w:val="bottom"/>
          </w:tcPr>
          <w:p>
            <w:pPr>
              <w:jc w:val="right"/>
              <w:ind w:right="208"/>
              <w:spacing w:after="0"/>
              <w:rPr>
                <w:sz w:val="20"/>
                <w:szCs w:val="20"/>
                <w:color w:val="auto"/>
              </w:rPr>
            </w:pPr>
            <w:r>
              <w:rPr>
                <w:rFonts w:ascii="Arial" w:cs="Arial" w:eastAsia="Arial" w:hAnsi="Arial"/>
                <w:sz w:val="14"/>
                <w:szCs w:val="14"/>
                <w:color w:val="auto"/>
              </w:rPr>
              <w:t>398,029</w:t>
            </w:r>
          </w:p>
        </w:tc>
        <w:tc>
          <w:tcPr>
            <w:tcW w:w="0" w:type="dxa"/>
            <w:vAlign w:val="bottom"/>
          </w:tcPr>
          <w:p>
            <w:pPr>
              <w:spacing w:after="0"/>
              <w:rPr>
                <w:sz w:val="1"/>
                <w:szCs w:val="1"/>
                <w:color w:val="auto"/>
              </w:rPr>
            </w:pPr>
          </w:p>
        </w:tc>
      </w:tr>
      <w:tr>
        <w:trPr>
          <w:trHeight w:val="176"/>
        </w:trPr>
        <w:tc>
          <w:tcPr>
            <w:tcW w:w="5900" w:type="dxa"/>
            <w:vAlign w:val="bottom"/>
          </w:tcPr>
          <w:p>
            <w:pPr>
              <w:ind w:left="160"/>
              <w:spacing w:after="0"/>
              <w:rPr>
                <w:sz w:val="20"/>
                <w:szCs w:val="20"/>
                <w:color w:val="auto"/>
              </w:rPr>
            </w:pPr>
            <w:r>
              <w:rPr>
                <w:rFonts w:ascii="Arial" w:cs="Arial" w:eastAsia="Arial" w:hAnsi="Arial"/>
                <w:sz w:val="14"/>
                <w:szCs w:val="14"/>
                <w:color w:val="auto"/>
              </w:rPr>
              <w:t>Inventories</w:t>
            </w:r>
          </w:p>
        </w:tc>
        <w:tc>
          <w:tcPr>
            <w:tcW w:w="540" w:type="dxa"/>
            <w:vAlign w:val="bottom"/>
          </w:tcPr>
          <w:p>
            <w:pPr>
              <w:spacing w:after="0"/>
              <w:rPr>
                <w:sz w:val="15"/>
                <w:szCs w:val="15"/>
                <w:color w:val="auto"/>
              </w:rPr>
            </w:pPr>
          </w:p>
        </w:tc>
        <w:tc>
          <w:tcPr>
            <w:tcW w:w="2240" w:type="dxa"/>
            <w:vAlign w:val="bottom"/>
          </w:tcPr>
          <w:p>
            <w:pPr>
              <w:jc w:val="right"/>
              <w:ind w:right="248"/>
              <w:spacing w:after="0"/>
              <w:rPr>
                <w:sz w:val="20"/>
                <w:szCs w:val="20"/>
                <w:color w:val="auto"/>
              </w:rPr>
            </w:pPr>
            <w:r>
              <w:rPr>
                <w:rFonts w:ascii="Arial" w:cs="Arial" w:eastAsia="Arial" w:hAnsi="Arial"/>
                <w:sz w:val="14"/>
                <w:szCs w:val="14"/>
                <w:color w:val="auto"/>
              </w:rPr>
              <w:t>208,038</w:t>
            </w:r>
          </w:p>
        </w:tc>
        <w:tc>
          <w:tcPr>
            <w:tcW w:w="600" w:type="dxa"/>
            <w:vAlign w:val="bottom"/>
          </w:tcPr>
          <w:p>
            <w:pPr>
              <w:spacing w:after="0"/>
              <w:rPr>
                <w:sz w:val="15"/>
                <w:szCs w:val="15"/>
                <w:color w:val="auto"/>
              </w:rPr>
            </w:pPr>
          </w:p>
        </w:tc>
        <w:tc>
          <w:tcPr>
            <w:tcW w:w="2140" w:type="dxa"/>
            <w:vAlign w:val="bottom"/>
          </w:tcPr>
          <w:p>
            <w:pPr>
              <w:jc w:val="right"/>
              <w:ind w:right="208"/>
              <w:spacing w:after="0"/>
              <w:rPr>
                <w:sz w:val="20"/>
                <w:szCs w:val="20"/>
                <w:color w:val="auto"/>
              </w:rPr>
            </w:pPr>
            <w:r>
              <w:rPr>
                <w:rFonts w:ascii="Arial" w:cs="Arial" w:eastAsia="Arial" w:hAnsi="Arial"/>
                <w:sz w:val="14"/>
                <w:szCs w:val="14"/>
                <w:color w:val="auto"/>
              </w:rPr>
              <w:t>193,835</w:t>
            </w:r>
          </w:p>
        </w:tc>
        <w:tc>
          <w:tcPr>
            <w:tcW w:w="0" w:type="dxa"/>
            <w:vAlign w:val="bottom"/>
          </w:tcPr>
          <w:p>
            <w:pPr>
              <w:spacing w:after="0"/>
              <w:rPr>
                <w:sz w:val="1"/>
                <w:szCs w:val="1"/>
                <w:color w:val="auto"/>
              </w:rPr>
            </w:pPr>
          </w:p>
        </w:tc>
      </w:tr>
      <w:tr>
        <w:trPr>
          <w:trHeight w:val="181"/>
        </w:trPr>
        <w:tc>
          <w:tcPr>
            <w:tcW w:w="5900" w:type="dxa"/>
            <w:vAlign w:val="bottom"/>
          </w:tcPr>
          <w:p>
            <w:pPr>
              <w:ind w:left="160"/>
              <w:spacing w:after="0"/>
              <w:rPr>
                <w:sz w:val="20"/>
                <w:szCs w:val="20"/>
                <w:color w:val="auto"/>
              </w:rPr>
            </w:pPr>
            <w:r>
              <w:rPr>
                <w:rFonts w:ascii="Arial" w:cs="Arial" w:eastAsia="Arial" w:hAnsi="Arial"/>
                <w:sz w:val="14"/>
                <w:szCs w:val="14"/>
                <w:color w:val="auto"/>
              </w:rPr>
              <w:t>Other current assets</w:t>
            </w:r>
          </w:p>
        </w:tc>
        <w:tc>
          <w:tcPr>
            <w:tcW w:w="54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101,511</w:t>
            </w:r>
          </w:p>
        </w:tc>
        <w:tc>
          <w:tcPr>
            <w:tcW w:w="60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81,604</w:t>
            </w:r>
          </w:p>
        </w:tc>
        <w:tc>
          <w:tcPr>
            <w:tcW w:w="0" w:type="dxa"/>
            <w:vAlign w:val="bottom"/>
          </w:tcPr>
          <w:p>
            <w:pPr>
              <w:spacing w:after="0"/>
              <w:rPr>
                <w:sz w:val="1"/>
                <w:szCs w:val="1"/>
                <w:color w:val="auto"/>
              </w:rPr>
            </w:pPr>
          </w:p>
        </w:tc>
      </w:tr>
      <w:tr>
        <w:trPr>
          <w:trHeight w:val="176"/>
        </w:trPr>
        <w:tc>
          <w:tcPr>
            <w:tcW w:w="5900" w:type="dxa"/>
            <w:vAlign w:val="bottom"/>
          </w:tcPr>
          <w:p>
            <w:pPr>
              <w:ind w:left="300"/>
              <w:spacing w:after="0"/>
              <w:rPr>
                <w:sz w:val="20"/>
                <w:szCs w:val="20"/>
                <w:color w:val="auto"/>
              </w:rPr>
            </w:pPr>
            <w:r>
              <w:rPr>
                <w:rFonts w:ascii="Arial" w:cs="Arial" w:eastAsia="Arial" w:hAnsi="Arial"/>
                <w:sz w:val="14"/>
                <w:szCs w:val="14"/>
                <w:color w:val="auto"/>
              </w:rPr>
              <w:t>Total current assets</w:t>
            </w:r>
          </w:p>
        </w:tc>
        <w:tc>
          <w:tcPr>
            <w:tcW w:w="540" w:type="dxa"/>
            <w:vAlign w:val="bottom"/>
          </w:tcPr>
          <w:p>
            <w:pPr>
              <w:spacing w:after="0"/>
              <w:rPr>
                <w:sz w:val="15"/>
                <w:szCs w:val="15"/>
                <w:color w:val="auto"/>
              </w:rPr>
            </w:pPr>
          </w:p>
        </w:tc>
        <w:tc>
          <w:tcPr>
            <w:tcW w:w="2240" w:type="dxa"/>
            <w:vAlign w:val="bottom"/>
          </w:tcPr>
          <w:p>
            <w:pPr>
              <w:jc w:val="right"/>
              <w:ind w:right="248"/>
              <w:spacing w:after="0"/>
              <w:rPr>
                <w:sz w:val="20"/>
                <w:szCs w:val="20"/>
                <w:color w:val="auto"/>
              </w:rPr>
            </w:pPr>
            <w:r>
              <w:rPr>
                <w:rFonts w:ascii="Arial" w:cs="Arial" w:eastAsia="Arial" w:hAnsi="Arial"/>
                <w:sz w:val="14"/>
                <w:szCs w:val="14"/>
                <w:color w:val="auto"/>
              </w:rPr>
              <w:t>868,185</w:t>
            </w:r>
          </w:p>
        </w:tc>
        <w:tc>
          <w:tcPr>
            <w:tcW w:w="600" w:type="dxa"/>
            <w:vAlign w:val="bottom"/>
          </w:tcPr>
          <w:p>
            <w:pPr>
              <w:spacing w:after="0"/>
              <w:rPr>
                <w:sz w:val="15"/>
                <w:szCs w:val="15"/>
                <w:color w:val="auto"/>
              </w:rPr>
            </w:pPr>
          </w:p>
        </w:tc>
        <w:tc>
          <w:tcPr>
            <w:tcW w:w="2140" w:type="dxa"/>
            <w:vAlign w:val="bottom"/>
          </w:tcPr>
          <w:p>
            <w:pPr>
              <w:jc w:val="right"/>
              <w:ind w:right="208"/>
              <w:spacing w:after="0"/>
              <w:rPr>
                <w:sz w:val="20"/>
                <w:szCs w:val="20"/>
                <w:color w:val="auto"/>
              </w:rPr>
            </w:pPr>
            <w:r>
              <w:rPr>
                <w:rFonts w:ascii="Arial" w:cs="Arial" w:eastAsia="Arial" w:hAnsi="Arial"/>
                <w:sz w:val="14"/>
                <w:szCs w:val="14"/>
                <w:color w:val="auto"/>
              </w:rPr>
              <w:t>849,742</w:t>
            </w:r>
          </w:p>
        </w:tc>
        <w:tc>
          <w:tcPr>
            <w:tcW w:w="0" w:type="dxa"/>
            <w:vAlign w:val="bottom"/>
          </w:tcPr>
          <w:p>
            <w:pPr>
              <w:spacing w:after="0"/>
              <w:rPr>
                <w:sz w:val="1"/>
                <w:szCs w:val="1"/>
                <w:color w:val="auto"/>
              </w:rPr>
            </w:pPr>
          </w:p>
        </w:tc>
      </w:tr>
      <w:tr>
        <w:trPr>
          <w:trHeight w:val="339"/>
        </w:trPr>
        <w:tc>
          <w:tcPr>
            <w:tcW w:w="5900" w:type="dxa"/>
            <w:vAlign w:val="bottom"/>
          </w:tcPr>
          <w:p>
            <w:pPr>
              <w:spacing w:after="0"/>
              <w:rPr>
                <w:sz w:val="20"/>
                <w:szCs w:val="20"/>
                <w:color w:val="auto"/>
              </w:rPr>
            </w:pPr>
            <w:r>
              <w:rPr>
                <w:rFonts w:ascii="Arial" w:cs="Arial" w:eastAsia="Arial" w:hAnsi="Arial"/>
                <w:sz w:val="14"/>
                <w:szCs w:val="14"/>
                <w:color w:val="auto"/>
              </w:rPr>
              <w:t>Property, plant, and equipment, net</w:t>
            </w:r>
          </w:p>
        </w:tc>
        <w:tc>
          <w:tcPr>
            <w:tcW w:w="540" w:type="dxa"/>
            <w:vAlign w:val="bottom"/>
          </w:tcPr>
          <w:p>
            <w:pPr>
              <w:spacing w:after="0"/>
              <w:rPr>
                <w:sz w:val="24"/>
                <w:szCs w:val="24"/>
                <w:color w:val="auto"/>
              </w:rPr>
            </w:pPr>
          </w:p>
        </w:tc>
        <w:tc>
          <w:tcPr>
            <w:tcW w:w="2240" w:type="dxa"/>
            <w:vAlign w:val="bottom"/>
          </w:tcPr>
          <w:p>
            <w:pPr>
              <w:jc w:val="right"/>
              <w:ind w:right="248"/>
              <w:spacing w:after="0"/>
              <w:rPr>
                <w:sz w:val="20"/>
                <w:szCs w:val="20"/>
                <w:color w:val="auto"/>
              </w:rPr>
            </w:pPr>
            <w:r>
              <w:rPr>
                <w:rFonts w:ascii="Arial" w:cs="Arial" w:eastAsia="Arial" w:hAnsi="Arial"/>
                <w:sz w:val="14"/>
                <w:szCs w:val="14"/>
                <w:color w:val="auto"/>
              </w:rPr>
              <w:t>220,795</w:t>
            </w:r>
          </w:p>
        </w:tc>
        <w:tc>
          <w:tcPr>
            <w:tcW w:w="600" w:type="dxa"/>
            <w:vAlign w:val="bottom"/>
          </w:tcPr>
          <w:p>
            <w:pPr>
              <w:spacing w:after="0"/>
              <w:rPr>
                <w:sz w:val="24"/>
                <w:szCs w:val="24"/>
                <w:color w:val="auto"/>
              </w:rPr>
            </w:pPr>
          </w:p>
        </w:tc>
        <w:tc>
          <w:tcPr>
            <w:tcW w:w="2140" w:type="dxa"/>
            <w:vAlign w:val="bottom"/>
          </w:tcPr>
          <w:p>
            <w:pPr>
              <w:jc w:val="right"/>
              <w:ind w:right="208"/>
              <w:spacing w:after="0"/>
              <w:rPr>
                <w:sz w:val="20"/>
                <w:szCs w:val="20"/>
                <w:color w:val="auto"/>
              </w:rPr>
            </w:pPr>
            <w:r>
              <w:rPr>
                <w:rFonts w:ascii="Arial" w:cs="Arial" w:eastAsia="Arial" w:hAnsi="Arial"/>
                <w:sz w:val="14"/>
                <w:szCs w:val="14"/>
                <w:color w:val="auto"/>
              </w:rPr>
              <w:t>200,768</w:t>
            </w:r>
          </w:p>
        </w:tc>
        <w:tc>
          <w:tcPr>
            <w:tcW w:w="0" w:type="dxa"/>
            <w:vAlign w:val="bottom"/>
          </w:tcPr>
          <w:p>
            <w:pPr>
              <w:spacing w:after="0"/>
              <w:rPr>
                <w:sz w:val="1"/>
                <w:szCs w:val="1"/>
                <w:color w:val="auto"/>
              </w:rPr>
            </w:pPr>
          </w:p>
        </w:tc>
      </w:tr>
      <w:tr>
        <w:trPr>
          <w:trHeight w:val="176"/>
        </w:trPr>
        <w:tc>
          <w:tcPr>
            <w:tcW w:w="5900" w:type="dxa"/>
            <w:vAlign w:val="bottom"/>
          </w:tcPr>
          <w:p>
            <w:pPr>
              <w:spacing w:after="0"/>
              <w:rPr>
                <w:sz w:val="20"/>
                <w:szCs w:val="20"/>
                <w:color w:val="auto"/>
              </w:rPr>
            </w:pPr>
            <w:r>
              <w:rPr>
                <w:rFonts w:ascii="Arial" w:cs="Arial" w:eastAsia="Arial" w:hAnsi="Arial"/>
                <w:sz w:val="14"/>
                <w:szCs w:val="14"/>
                <w:color w:val="auto"/>
              </w:rPr>
              <w:t>Deferred tax assets, net</w:t>
            </w:r>
          </w:p>
        </w:tc>
        <w:tc>
          <w:tcPr>
            <w:tcW w:w="540" w:type="dxa"/>
            <w:vAlign w:val="bottom"/>
          </w:tcPr>
          <w:p>
            <w:pPr>
              <w:spacing w:after="0"/>
              <w:rPr>
                <w:sz w:val="15"/>
                <w:szCs w:val="15"/>
                <w:color w:val="auto"/>
              </w:rPr>
            </w:pPr>
          </w:p>
        </w:tc>
        <w:tc>
          <w:tcPr>
            <w:tcW w:w="2240" w:type="dxa"/>
            <w:vAlign w:val="bottom"/>
          </w:tcPr>
          <w:p>
            <w:pPr>
              <w:jc w:val="right"/>
              <w:ind w:right="248"/>
              <w:spacing w:after="0"/>
              <w:rPr>
                <w:sz w:val="20"/>
                <w:szCs w:val="20"/>
                <w:color w:val="auto"/>
              </w:rPr>
            </w:pPr>
            <w:r>
              <w:rPr>
                <w:rFonts w:ascii="Arial" w:cs="Arial" w:eastAsia="Arial" w:hAnsi="Arial"/>
                <w:sz w:val="14"/>
                <w:szCs w:val="14"/>
                <w:color w:val="auto"/>
              </w:rPr>
              <w:t>56,874</w:t>
            </w:r>
          </w:p>
        </w:tc>
        <w:tc>
          <w:tcPr>
            <w:tcW w:w="600" w:type="dxa"/>
            <w:vAlign w:val="bottom"/>
          </w:tcPr>
          <w:p>
            <w:pPr>
              <w:spacing w:after="0"/>
              <w:rPr>
                <w:sz w:val="15"/>
                <w:szCs w:val="15"/>
                <w:color w:val="auto"/>
              </w:rPr>
            </w:pPr>
          </w:p>
        </w:tc>
        <w:tc>
          <w:tcPr>
            <w:tcW w:w="2140" w:type="dxa"/>
            <w:vAlign w:val="bottom"/>
          </w:tcPr>
          <w:p>
            <w:pPr>
              <w:jc w:val="right"/>
              <w:ind w:right="208"/>
              <w:spacing w:after="0"/>
              <w:rPr>
                <w:sz w:val="20"/>
                <w:szCs w:val="20"/>
                <w:color w:val="auto"/>
              </w:rPr>
            </w:pPr>
            <w:r>
              <w:rPr>
                <w:rFonts w:ascii="Arial" w:cs="Arial" w:eastAsia="Arial" w:hAnsi="Arial"/>
                <w:sz w:val="14"/>
                <w:szCs w:val="14"/>
                <w:color w:val="auto"/>
              </w:rPr>
              <w:t>49,971</w:t>
            </w:r>
          </w:p>
        </w:tc>
        <w:tc>
          <w:tcPr>
            <w:tcW w:w="0" w:type="dxa"/>
            <w:vAlign w:val="bottom"/>
          </w:tcPr>
          <w:p>
            <w:pPr>
              <w:spacing w:after="0"/>
              <w:rPr>
                <w:sz w:val="1"/>
                <w:szCs w:val="1"/>
                <w:color w:val="auto"/>
              </w:rPr>
            </w:pPr>
          </w:p>
        </w:tc>
      </w:tr>
      <w:tr>
        <w:trPr>
          <w:trHeight w:val="176"/>
        </w:trPr>
        <w:tc>
          <w:tcPr>
            <w:tcW w:w="5900" w:type="dxa"/>
            <w:vAlign w:val="bottom"/>
          </w:tcPr>
          <w:p>
            <w:pPr>
              <w:spacing w:after="0"/>
              <w:rPr>
                <w:sz w:val="20"/>
                <w:szCs w:val="20"/>
                <w:color w:val="auto"/>
              </w:rPr>
            </w:pPr>
            <w:r>
              <w:rPr>
                <w:rFonts w:ascii="Arial" w:cs="Arial" w:eastAsia="Arial" w:hAnsi="Arial"/>
                <w:sz w:val="14"/>
                <w:szCs w:val="14"/>
                <w:color w:val="auto"/>
              </w:rPr>
              <w:t>Restricted cash</w:t>
            </w:r>
          </w:p>
        </w:tc>
        <w:tc>
          <w:tcPr>
            <w:tcW w:w="540" w:type="dxa"/>
            <w:vAlign w:val="bottom"/>
          </w:tcPr>
          <w:p>
            <w:pPr>
              <w:spacing w:after="0"/>
              <w:rPr>
                <w:sz w:val="15"/>
                <w:szCs w:val="15"/>
                <w:color w:val="auto"/>
              </w:rPr>
            </w:pPr>
          </w:p>
        </w:tc>
        <w:tc>
          <w:tcPr>
            <w:tcW w:w="2240" w:type="dxa"/>
            <w:vAlign w:val="bottom"/>
          </w:tcPr>
          <w:p>
            <w:pPr>
              <w:jc w:val="right"/>
              <w:ind w:right="248"/>
              <w:spacing w:after="0"/>
              <w:rPr>
                <w:sz w:val="20"/>
                <w:szCs w:val="20"/>
                <w:color w:val="auto"/>
              </w:rPr>
            </w:pPr>
            <w:r>
              <w:rPr>
                <w:rFonts w:ascii="Arial" w:cs="Arial" w:eastAsia="Arial" w:hAnsi="Arial"/>
                <w:sz w:val="14"/>
                <w:szCs w:val="14"/>
                <w:color w:val="auto"/>
              </w:rPr>
              <w:t>2,055</w:t>
            </w:r>
          </w:p>
        </w:tc>
        <w:tc>
          <w:tcPr>
            <w:tcW w:w="600" w:type="dxa"/>
            <w:vAlign w:val="bottom"/>
          </w:tcPr>
          <w:p>
            <w:pPr>
              <w:spacing w:after="0"/>
              <w:rPr>
                <w:sz w:val="15"/>
                <w:szCs w:val="15"/>
                <w:color w:val="auto"/>
              </w:rPr>
            </w:pPr>
          </w:p>
        </w:tc>
        <w:tc>
          <w:tcPr>
            <w:tcW w:w="2140" w:type="dxa"/>
            <w:vAlign w:val="bottom"/>
          </w:tcPr>
          <w:p>
            <w:pPr>
              <w:jc w:val="right"/>
              <w:ind w:right="208"/>
              <w:spacing w:after="0"/>
              <w:rPr>
                <w:sz w:val="20"/>
                <w:szCs w:val="20"/>
                <w:color w:val="auto"/>
              </w:rPr>
            </w:pPr>
            <w:r>
              <w:rPr>
                <w:rFonts w:ascii="Arial" w:cs="Arial" w:eastAsia="Arial" w:hAnsi="Arial"/>
                <w:sz w:val="14"/>
                <w:szCs w:val="14"/>
                <w:color w:val="auto"/>
              </w:rPr>
              <w:t>311,010</w:t>
            </w:r>
          </w:p>
        </w:tc>
        <w:tc>
          <w:tcPr>
            <w:tcW w:w="0" w:type="dxa"/>
            <w:vAlign w:val="bottom"/>
          </w:tcPr>
          <w:p>
            <w:pPr>
              <w:spacing w:after="0"/>
              <w:rPr>
                <w:sz w:val="1"/>
                <w:szCs w:val="1"/>
                <w:color w:val="auto"/>
              </w:rPr>
            </w:pPr>
          </w:p>
        </w:tc>
      </w:tr>
      <w:tr>
        <w:trPr>
          <w:trHeight w:val="176"/>
        </w:trPr>
        <w:tc>
          <w:tcPr>
            <w:tcW w:w="5900" w:type="dxa"/>
            <w:vAlign w:val="bottom"/>
          </w:tcPr>
          <w:p>
            <w:pPr>
              <w:spacing w:after="0"/>
              <w:rPr>
                <w:sz w:val="20"/>
                <w:szCs w:val="20"/>
                <w:color w:val="auto"/>
              </w:rPr>
            </w:pPr>
            <w:r>
              <w:rPr>
                <w:rFonts w:ascii="Arial" w:cs="Arial" w:eastAsia="Arial" w:hAnsi="Arial"/>
                <w:sz w:val="14"/>
                <w:szCs w:val="14"/>
                <w:color w:val="auto"/>
              </w:rPr>
              <w:t>Other long-term assets</w:t>
            </w:r>
          </w:p>
        </w:tc>
        <w:tc>
          <w:tcPr>
            <w:tcW w:w="540" w:type="dxa"/>
            <w:vAlign w:val="bottom"/>
          </w:tcPr>
          <w:p>
            <w:pPr>
              <w:spacing w:after="0"/>
              <w:rPr>
                <w:sz w:val="15"/>
                <w:szCs w:val="15"/>
                <w:color w:val="auto"/>
              </w:rPr>
            </w:pPr>
          </w:p>
        </w:tc>
        <w:tc>
          <w:tcPr>
            <w:tcW w:w="2240" w:type="dxa"/>
            <w:vAlign w:val="bottom"/>
          </w:tcPr>
          <w:p>
            <w:pPr>
              <w:jc w:val="right"/>
              <w:ind w:right="248"/>
              <w:spacing w:after="0"/>
              <w:rPr>
                <w:sz w:val="20"/>
                <w:szCs w:val="20"/>
                <w:color w:val="auto"/>
              </w:rPr>
            </w:pPr>
            <w:r>
              <w:rPr>
                <w:rFonts w:ascii="Arial" w:cs="Arial" w:eastAsia="Arial" w:hAnsi="Arial"/>
                <w:sz w:val="14"/>
                <w:szCs w:val="14"/>
                <w:color w:val="auto"/>
              </w:rPr>
              <w:t>48,746</w:t>
            </w:r>
          </w:p>
        </w:tc>
        <w:tc>
          <w:tcPr>
            <w:tcW w:w="600" w:type="dxa"/>
            <w:vAlign w:val="bottom"/>
          </w:tcPr>
          <w:p>
            <w:pPr>
              <w:spacing w:after="0"/>
              <w:rPr>
                <w:sz w:val="15"/>
                <w:szCs w:val="15"/>
                <w:color w:val="auto"/>
              </w:rPr>
            </w:pPr>
          </w:p>
        </w:tc>
        <w:tc>
          <w:tcPr>
            <w:tcW w:w="2140" w:type="dxa"/>
            <w:vAlign w:val="bottom"/>
          </w:tcPr>
          <w:p>
            <w:pPr>
              <w:jc w:val="right"/>
              <w:ind w:right="208"/>
              <w:spacing w:after="0"/>
              <w:rPr>
                <w:sz w:val="20"/>
                <w:szCs w:val="20"/>
                <w:color w:val="auto"/>
              </w:rPr>
            </w:pPr>
            <w:r>
              <w:rPr>
                <w:rFonts w:ascii="Arial" w:cs="Arial" w:eastAsia="Arial" w:hAnsi="Arial"/>
                <w:sz w:val="14"/>
                <w:szCs w:val="14"/>
                <w:color w:val="auto"/>
              </w:rPr>
              <w:t>43,666</w:t>
            </w:r>
          </w:p>
        </w:tc>
        <w:tc>
          <w:tcPr>
            <w:tcW w:w="0" w:type="dxa"/>
            <w:vAlign w:val="bottom"/>
          </w:tcPr>
          <w:p>
            <w:pPr>
              <w:spacing w:after="0"/>
              <w:rPr>
                <w:sz w:val="1"/>
                <w:szCs w:val="1"/>
                <w:color w:val="auto"/>
              </w:rPr>
            </w:pPr>
          </w:p>
        </w:tc>
      </w:tr>
      <w:tr>
        <w:trPr>
          <w:trHeight w:val="176"/>
        </w:trPr>
        <w:tc>
          <w:tcPr>
            <w:tcW w:w="5900" w:type="dxa"/>
            <w:vAlign w:val="bottom"/>
          </w:tcPr>
          <w:p>
            <w:pPr>
              <w:spacing w:after="0"/>
              <w:rPr>
                <w:sz w:val="20"/>
                <w:szCs w:val="20"/>
                <w:color w:val="auto"/>
              </w:rPr>
            </w:pPr>
            <w:r>
              <w:rPr>
                <w:rFonts w:ascii="Arial" w:cs="Arial" w:eastAsia="Arial" w:hAnsi="Arial"/>
                <w:sz w:val="14"/>
                <w:szCs w:val="14"/>
                <w:color w:val="auto"/>
              </w:rPr>
              <w:t>Intangible assets, net</w:t>
            </w:r>
          </w:p>
        </w:tc>
        <w:tc>
          <w:tcPr>
            <w:tcW w:w="540" w:type="dxa"/>
            <w:vAlign w:val="bottom"/>
          </w:tcPr>
          <w:p>
            <w:pPr>
              <w:spacing w:after="0"/>
              <w:rPr>
                <w:sz w:val="15"/>
                <w:szCs w:val="15"/>
                <w:color w:val="auto"/>
              </w:rPr>
            </w:pPr>
          </w:p>
        </w:tc>
        <w:tc>
          <w:tcPr>
            <w:tcW w:w="2240" w:type="dxa"/>
            <w:vAlign w:val="bottom"/>
          </w:tcPr>
          <w:p>
            <w:pPr>
              <w:jc w:val="right"/>
              <w:ind w:right="248"/>
              <w:spacing w:after="0"/>
              <w:rPr>
                <w:sz w:val="20"/>
                <w:szCs w:val="20"/>
                <w:color w:val="auto"/>
              </w:rPr>
            </w:pPr>
            <w:r>
              <w:rPr>
                <w:rFonts w:ascii="Arial" w:cs="Arial" w:eastAsia="Arial" w:hAnsi="Arial"/>
                <w:sz w:val="14"/>
                <w:szCs w:val="14"/>
                <w:color w:val="auto"/>
              </w:rPr>
              <w:t>278,192</w:t>
            </w:r>
          </w:p>
        </w:tc>
        <w:tc>
          <w:tcPr>
            <w:tcW w:w="600" w:type="dxa"/>
            <w:vAlign w:val="bottom"/>
          </w:tcPr>
          <w:p>
            <w:pPr>
              <w:spacing w:after="0"/>
              <w:rPr>
                <w:sz w:val="15"/>
                <w:szCs w:val="15"/>
                <w:color w:val="auto"/>
              </w:rPr>
            </w:pPr>
          </w:p>
        </w:tc>
        <w:tc>
          <w:tcPr>
            <w:tcW w:w="2140" w:type="dxa"/>
            <w:vAlign w:val="bottom"/>
          </w:tcPr>
          <w:p>
            <w:pPr>
              <w:jc w:val="right"/>
              <w:ind w:right="208"/>
              <w:spacing w:after="0"/>
              <w:rPr>
                <w:sz w:val="20"/>
                <w:szCs w:val="20"/>
                <w:color w:val="auto"/>
              </w:rPr>
            </w:pPr>
            <w:r>
              <w:rPr>
                <w:rFonts w:ascii="Arial" w:cs="Arial" w:eastAsia="Arial" w:hAnsi="Arial"/>
                <w:sz w:val="14"/>
                <w:szCs w:val="14"/>
                <w:color w:val="auto"/>
              </w:rPr>
              <w:t>95,228</w:t>
            </w:r>
          </w:p>
        </w:tc>
        <w:tc>
          <w:tcPr>
            <w:tcW w:w="0" w:type="dxa"/>
            <w:vAlign w:val="bottom"/>
          </w:tcPr>
          <w:p>
            <w:pPr>
              <w:spacing w:after="0"/>
              <w:rPr>
                <w:sz w:val="1"/>
                <w:szCs w:val="1"/>
                <w:color w:val="auto"/>
              </w:rPr>
            </w:pPr>
          </w:p>
        </w:tc>
      </w:tr>
      <w:tr>
        <w:trPr>
          <w:trHeight w:val="181"/>
        </w:trPr>
        <w:tc>
          <w:tcPr>
            <w:tcW w:w="5900" w:type="dxa"/>
            <w:vAlign w:val="bottom"/>
          </w:tcPr>
          <w:p>
            <w:pPr>
              <w:spacing w:after="0"/>
              <w:rPr>
                <w:sz w:val="20"/>
                <w:szCs w:val="20"/>
                <w:color w:val="auto"/>
              </w:rPr>
            </w:pPr>
            <w:r>
              <w:rPr>
                <w:rFonts w:ascii="Arial" w:cs="Arial" w:eastAsia="Arial" w:hAnsi="Arial"/>
                <w:sz w:val="14"/>
                <w:szCs w:val="14"/>
                <w:color w:val="auto"/>
              </w:rPr>
              <w:t>Goodwill</w:t>
            </w:r>
          </w:p>
        </w:tc>
        <w:tc>
          <w:tcPr>
            <w:tcW w:w="54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1,121,895</w:t>
            </w:r>
          </w:p>
        </w:tc>
        <w:tc>
          <w:tcPr>
            <w:tcW w:w="60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555,762</w:t>
            </w:r>
          </w:p>
        </w:tc>
        <w:tc>
          <w:tcPr>
            <w:tcW w:w="0" w:type="dxa"/>
            <w:vAlign w:val="bottom"/>
          </w:tcPr>
          <w:p>
            <w:pPr>
              <w:spacing w:after="0"/>
              <w:rPr>
                <w:sz w:val="1"/>
                <w:szCs w:val="1"/>
                <w:color w:val="auto"/>
              </w:rPr>
            </w:pPr>
          </w:p>
        </w:tc>
      </w:tr>
      <w:tr>
        <w:trPr>
          <w:trHeight w:val="169"/>
        </w:trPr>
        <w:tc>
          <w:tcPr>
            <w:tcW w:w="5900" w:type="dxa"/>
            <w:vAlign w:val="bottom"/>
          </w:tcPr>
          <w:p>
            <w:pPr>
              <w:ind w:left="300"/>
              <w:spacing w:after="0"/>
              <w:rPr>
                <w:sz w:val="20"/>
                <w:szCs w:val="20"/>
                <w:color w:val="auto"/>
              </w:rPr>
            </w:pPr>
            <w:r>
              <w:rPr>
                <w:rFonts w:ascii="Arial" w:cs="Arial" w:eastAsia="Arial" w:hAnsi="Arial"/>
                <w:sz w:val="14"/>
                <w:szCs w:val="14"/>
                <w:color w:val="auto"/>
              </w:rPr>
              <w:t>Total assets</w:t>
            </w:r>
          </w:p>
        </w:tc>
        <w:tc>
          <w:tcPr>
            <w:tcW w:w="5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22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2,596,742</w:t>
            </w:r>
          </w:p>
        </w:tc>
        <w:tc>
          <w:tcPr>
            <w:tcW w:w="6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21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2,106,147</w:t>
            </w:r>
          </w:p>
        </w:tc>
        <w:tc>
          <w:tcPr>
            <w:tcW w:w="0" w:type="dxa"/>
            <w:vAlign w:val="bottom"/>
          </w:tcPr>
          <w:p>
            <w:pPr>
              <w:spacing w:after="0"/>
              <w:rPr>
                <w:sz w:val="1"/>
                <w:szCs w:val="1"/>
                <w:color w:val="auto"/>
              </w:rPr>
            </w:pPr>
          </w:p>
        </w:tc>
      </w:tr>
      <w:tr>
        <w:trPr>
          <w:trHeight w:val="20"/>
        </w:trPr>
        <w:tc>
          <w:tcPr>
            <w:tcW w:w="5900" w:type="dxa"/>
            <w:vAlign w:val="bottom"/>
            <w:vMerge w:val="restart"/>
          </w:tcPr>
          <w:p>
            <w:pPr>
              <w:ind w:left="1960"/>
              <w:spacing w:after="0"/>
              <w:rPr>
                <w:sz w:val="20"/>
                <w:szCs w:val="20"/>
                <w:color w:val="auto"/>
              </w:rPr>
            </w:pPr>
            <w:r>
              <w:rPr>
                <w:rFonts w:ascii="Arial" w:cs="Arial" w:eastAsia="Arial" w:hAnsi="Arial"/>
                <w:sz w:val="14"/>
                <w:szCs w:val="14"/>
                <w:b w:val="1"/>
                <w:bCs w:val="1"/>
                <w:color w:val="auto"/>
              </w:rPr>
              <w:t>LIABILITIES AND EQUITY</w:t>
            </w:r>
          </w:p>
        </w:tc>
        <w:tc>
          <w:tcPr>
            <w:tcW w:w="54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590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900" w:type="dxa"/>
            <w:vAlign w:val="bottom"/>
          </w:tcPr>
          <w:p>
            <w:pPr>
              <w:spacing w:after="0"/>
              <w:rPr>
                <w:sz w:val="20"/>
                <w:szCs w:val="20"/>
                <w:color w:val="auto"/>
              </w:rPr>
            </w:pPr>
            <w:r>
              <w:rPr>
                <w:rFonts w:ascii="Arial" w:cs="Arial" w:eastAsia="Arial" w:hAnsi="Arial"/>
                <w:sz w:val="14"/>
                <w:szCs w:val="14"/>
                <w:color w:val="auto"/>
              </w:rPr>
              <w:t>Current liabilities</w:t>
            </w:r>
          </w:p>
        </w:tc>
        <w:tc>
          <w:tcPr>
            <w:tcW w:w="5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900" w:type="dxa"/>
            <w:vAlign w:val="bottom"/>
          </w:tcPr>
          <w:p>
            <w:pPr>
              <w:ind w:left="160"/>
              <w:spacing w:after="0"/>
              <w:rPr>
                <w:sz w:val="20"/>
                <w:szCs w:val="20"/>
                <w:color w:val="auto"/>
              </w:rPr>
            </w:pPr>
            <w:r>
              <w:rPr>
                <w:rFonts w:ascii="Arial" w:cs="Arial" w:eastAsia="Arial" w:hAnsi="Arial"/>
                <w:sz w:val="14"/>
                <w:szCs w:val="14"/>
                <w:color w:val="auto"/>
              </w:rPr>
              <w:t>Accounts payable</w:t>
            </w:r>
          </w:p>
        </w:tc>
        <w:tc>
          <w:tcPr>
            <w:tcW w:w="5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2240" w:type="dxa"/>
            <w:vAlign w:val="bottom"/>
          </w:tcPr>
          <w:p>
            <w:pPr>
              <w:jc w:val="right"/>
              <w:ind w:right="248"/>
              <w:spacing w:after="0"/>
              <w:rPr>
                <w:sz w:val="20"/>
                <w:szCs w:val="20"/>
                <w:color w:val="auto"/>
              </w:rPr>
            </w:pPr>
            <w:r>
              <w:rPr>
                <w:rFonts w:ascii="Arial" w:cs="Arial" w:eastAsia="Arial" w:hAnsi="Arial"/>
                <w:sz w:val="14"/>
                <w:szCs w:val="14"/>
                <w:color w:val="auto"/>
              </w:rPr>
              <w:t>274,950</w:t>
            </w:r>
          </w:p>
        </w:tc>
        <w:tc>
          <w:tcPr>
            <w:tcW w:w="6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2140" w:type="dxa"/>
            <w:vAlign w:val="bottom"/>
          </w:tcPr>
          <w:p>
            <w:pPr>
              <w:jc w:val="right"/>
              <w:ind w:right="208"/>
              <w:spacing w:after="0"/>
              <w:rPr>
                <w:sz w:val="20"/>
                <w:szCs w:val="20"/>
                <w:color w:val="auto"/>
              </w:rPr>
            </w:pPr>
            <w:r>
              <w:rPr>
                <w:rFonts w:ascii="Arial" w:cs="Arial" w:eastAsia="Arial" w:hAnsi="Arial"/>
                <w:sz w:val="14"/>
                <w:szCs w:val="14"/>
                <w:color w:val="auto"/>
              </w:rPr>
              <w:t>262,166</w:t>
            </w:r>
          </w:p>
        </w:tc>
        <w:tc>
          <w:tcPr>
            <w:tcW w:w="0" w:type="dxa"/>
            <w:vAlign w:val="bottom"/>
          </w:tcPr>
          <w:p>
            <w:pPr>
              <w:spacing w:after="0"/>
              <w:rPr>
                <w:sz w:val="1"/>
                <w:szCs w:val="1"/>
                <w:color w:val="auto"/>
              </w:rPr>
            </w:pPr>
          </w:p>
        </w:tc>
      </w:tr>
      <w:tr>
        <w:trPr>
          <w:trHeight w:val="176"/>
        </w:trPr>
        <w:tc>
          <w:tcPr>
            <w:tcW w:w="5900" w:type="dxa"/>
            <w:vAlign w:val="bottom"/>
          </w:tcPr>
          <w:p>
            <w:pPr>
              <w:ind w:left="160"/>
              <w:spacing w:after="0"/>
              <w:rPr>
                <w:sz w:val="20"/>
                <w:szCs w:val="20"/>
                <w:color w:val="auto"/>
              </w:rPr>
            </w:pPr>
            <w:r>
              <w:rPr>
                <w:rFonts w:ascii="Arial" w:cs="Arial" w:eastAsia="Arial" w:hAnsi="Arial"/>
                <w:sz w:val="14"/>
                <w:szCs w:val="14"/>
                <w:color w:val="auto"/>
              </w:rPr>
              <w:t>Other current liabilities</w:t>
            </w:r>
          </w:p>
        </w:tc>
        <w:tc>
          <w:tcPr>
            <w:tcW w:w="540" w:type="dxa"/>
            <w:vAlign w:val="bottom"/>
          </w:tcPr>
          <w:p>
            <w:pPr>
              <w:spacing w:after="0"/>
              <w:rPr>
                <w:sz w:val="15"/>
                <w:szCs w:val="15"/>
                <w:color w:val="auto"/>
              </w:rPr>
            </w:pPr>
          </w:p>
        </w:tc>
        <w:tc>
          <w:tcPr>
            <w:tcW w:w="2240" w:type="dxa"/>
            <w:vAlign w:val="bottom"/>
          </w:tcPr>
          <w:p>
            <w:pPr>
              <w:jc w:val="right"/>
              <w:ind w:right="248"/>
              <w:spacing w:after="0"/>
              <w:rPr>
                <w:sz w:val="20"/>
                <w:szCs w:val="20"/>
                <w:color w:val="auto"/>
              </w:rPr>
            </w:pPr>
            <w:r>
              <w:rPr>
                <w:rFonts w:ascii="Arial" w:cs="Arial" w:eastAsia="Arial" w:hAnsi="Arial"/>
                <w:sz w:val="14"/>
                <w:szCs w:val="14"/>
                <w:color w:val="auto"/>
              </w:rPr>
              <w:t>72,385</w:t>
            </w:r>
          </w:p>
        </w:tc>
        <w:tc>
          <w:tcPr>
            <w:tcW w:w="600" w:type="dxa"/>
            <w:vAlign w:val="bottom"/>
          </w:tcPr>
          <w:p>
            <w:pPr>
              <w:spacing w:after="0"/>
              <w:rPr>
                <w:sz w:val="15"/>
                <w:szCs w:val="15"/>
                <w:color w:val="auto"/>
              </w:rPr>
            </w:pPr>
          </w:p>
        </w:tc>
        <w:tc>
          <w:tcPr>
            <w:tcW w:w="2140" w:type="dxa"/>
            <w:vAlign w:val="bottom"/>
          </w:tcPr>
          <w:p>
            <w:pPr>
              <w:jc w:val="right"/>
              <w:ind w:right="208"/>
              <w:spacing w:after="0"/>
              <w:rPr>
                <w:sz w:val="20"/>
                <w:szCs w:val="20"/>
                <w:color w:val="auto"/>
              </w:rPr>
            </w:pPr>
            <w:r>
              <w:rPr>
                <w:rFonts w:ascii="Arial" w:cs="Arial" w:eastAsia="Arial" w:hAnsi="Arial"/>
                <w:sz w:val="14"/>
                <w:szCs w:val="14"/>
                <w:color w:val="auto"/>
              </w:rPr>
              <w:t>56,736</w:t>
            </w:r>
          </w:p>
        </w:tc>
        <w:tc>
          <w:tcPr>
            <w:tcW w:w="0" w:type="dxa"/>
            <w:vAlign w:val="bottom"/>
          </w:tcPr>
          <w:p>
            <w:pPr>
              <w:spacing w:after="0"/>
              <w:rPr>
                <w:sz w:val="1"/>
                <w:szCs w:val="1"/>
                <w:color w:val="auto"/>
              </w:rPr>
            </w:pPr>
          </w:p>
        </w:tc>
      </w:tr>
      <w:tr>
        <w:trPr>
          <w:trHeight w:val="176"/>
        </w:trPr>
        <w:tc>
          <w:tcPr>
            <w:tcW w:w="5900" w:type="dxa"/>
            <w:vAlign w:val="bottom"/>
          </w:tcPr>
          <w:p>
            <w:pPr>
              <w:ind w:left="160"/>
              <w:spacing w:after="0"/>
              <w:rPr>
                <w:sz w:val="20"/>
                <w:szCs w:val="20"/>
                <w:color w:val="auto"/>
              </w:rPr>
            </w:pPr>
            <w:r>
              <w:rPr>
                <w:rFonts w:ascii="Arial" w:cs="Arial" w:eastAsia="Arial" w:hAnsi="Arial"/>
                <w:sz w:val="14"/>
                <w:szCs w:val="14"/>
                <w:color w:val="auto"/>
              </w:rPr>
              <w:t>Wages and benefits payable</w:t>
            </w:r>
          </w:p>
        </w:tc>
        <w:tc>
          <w:tcPr>
            <w:tcW w:w="540" w:type="dxa"/>
            <w:vAlign w:val="bottom"/>
          </w:tcPr>
          <w:p>
            <w:pPr>
              <w:spacing w:after="0"/>
              <w:rPr>
                <w:sz w:val="15"/>
                <w:szCs w:val="15"/>
                <w:color w:val="auto"/>
              </w:rPr>
            </w:pPr>
          </w:p>
        </w:tc>
        <w:tc>
          <w:tcPr>
            <w:tcW w:w="2240" w:type="dxa"/>
            <w:vAlign w:val="bottom"/>
          </w:tcPr>
          <w:p>
            <w:pPr>
              <w:jc w:val="right"/>
              <w:ind w:right="248"/>
              <w:spacing w:after="0"/>
              <w:rPr>
                <w:sz w:val="20"/>
                <w:szCs w:val="20"/>
                <w:color w:val="auto"/>
              </w:rPr>
            </w:pPr>
            <w:r>
              <w:rPr>
                <w:rFonts w:ascii="Arial" w:cs="Arial" w:eastAsia="Arial" w:hAnsi="Arial"/>
                <w:sz w:val="14"/>
                <w:szCs w:val="14"/>
                <w:color w:val="auto"/>
              </w:rPr>
              <w:t>101,491</w:t>
            </w:r>
          </w:p>
        </w:tc>
        <w:tc>
          <w:tcPr>
            <w:tcW w:w="600" w:type="dxa"/>
            <w:vAlign w:val="bottom"/>
          </w:tcPr>
          <w:p>
            <w:pPr>
              <w:spacing w:after="0"/>
              <w:rPr>
                <w:sz w:val="15"/>
                <w:szCs w:val="15"/>
                <w:color w:val="auto"/>
              </w:rPr>
            </w:pPr>
          </w:p>
        </w:tc>
        <w:tc>
          <w:tcPr>
            <w:tcW w:w="2140" w:type="dxa"/>
            <w:vAlign w:val="bottom"/>
          </w:tcPr>
          <w:p>
            <w:pPr>
              <w:jc w:val="right"/>
              <w:ind w:right="208"/>
              <w:spacing w:after="0"/>
              <w:rPr>
                <w:sz w:val="20"/>
                <w:szCs w:val="20"/>
                <w:color w:val="auto"/>
              </w:rPr>
            </w:pPr>
            <w:r>
              <w:rPr>
                <w:rFonts w:ascii="Arial" w:cs="Arial" w:eastAsia="Arial" w:hAnsi="Arial"/>
                <w:sz w:val="14"/>
                <w:szCs w:val="14"/>
                <w:color w:val="auto"/>
              </w:rPr>
              <w:t>90,505</w:t>
            </w:r>
          </w:p>
        </w:tc>
        <w:tc>
          <w:tcPr>
            <w:tcW w:w="0" w:type="dxa"/>
            <w:vAlign w:val="bottom"/>
          </w:tcPr>
          <w:p>
            <w:pPr>
              <w:spacing w:after="0"/>
              <w:rPr>
                <w:sz w:val="1"/>
                <w:szCs w:val="1"/>
                <w:color w:val="auto"/>
              </w:rPr>
            </w:pPr>
          </w:p>
        </w:tc>
      </w:tr>
      <w:tr>
        <w:trPr>
          <w:trHeight w:val="176"/>
        </w:trPr>
        <w:tc>
          <w:tcPr>
            <w:tcW w:w="5900" w:type="dxa"/>
            <w:vAlign w:val="bottom"/>
          </w:tcPr>
          <w:p>
            <w:pPr>
              <w:ind w:left="160"/>
              <w:spacing w:after="0"/>
              <w:rPr>
                <w:sz w:val="20"/>
                <w:szCs w:val="20"/>
                <w:color w:val="auto"/>
              </w:rPr>
            </w:pPr>
            <w:r>
              <w:rPr>
                <w:rFonts w:ascii="Arial" w:cs="Arial" w:eastAsia="Arial" w:hAnsi="Arial"/>
                <w:sz w:val="14"/>
                <w:szCs w:val="14"/>
                <w:color w:val="auto"/>
              </w:rPr>
              <w:t>Taxes payable</w:t>
            </w:r>
          </w:p>
        </w:tc>
        <w:tc>
          <w:tcPr>
            <w:tcW w:w="540" w:type="dxa"/>
            <w:vAlign w:val="bottom"/>
          </w:tcPr>
          <w:p>
            <w:pPr>
              <w:spacing w:after="0"/>
              <w:rPr>
                <w:sz w:val="15"/>
                <w:szCs w:val="15"/>
                <w:color w:val="auto"/>
              </w:rPr>
            </w:pPr>
          </w:p>
        </w:tc>
        <w:tc>
          <w:tcPr>
            <w:tcW w:w="2240" w:type="dxa"/>
            <w:vAlign w:val="bottom"/>
          </w:tcPr>
          <w:p>
            <w:pPr>
              <w:jc w:val="right"/>
              <w:ind w:right="248"/>
              <w:spacing w:after="0"/>
              <w:rPr>
                <w:sz w:val="20"/>
                <w:szCs w:val="20"/>
                <w:color w:val="auto"/>
              </w:rPr>
            </w:pPr>
            <w:r>
              <w:rPr>
                <w:rFonts w:ascii="Arial" w:cs="Arial" w:eastAsia="Arial" w:hAnsi="Arial"/>
                <w:sz w:val="14"/>
                <w:szCs w:val="14"/>
                <w:color w:val="auto"/>
              </w:rPr>
              <w:t>20,558</w:t>
            </w:r>
          </w:p>
        </w:tc>
        <w:tc>
          <w:tcPr>
            <w:tcW w:w="600" w:type="dxa"/>
            <w:vAlign w:val="bottom"/>
          </w:tcPr>
          <w:p>
            <w:pPr>
              <w:spacing w:after="0"/>
              <w:rPr>
                <w:sz w:val="15"/>
                <w:szCs w:val="15"/>
                <w:color w:val="auto"/>
              </w:rPr>
            </w:pPr>
          </w:p>
        </w:tc>
        <w:tc>
          <w:tcPr>
            <w:tcW w:w="2140" w:type="dxa"/>
            <w:vAlign w:val="bottom"/>
          </w:tcPr>
          <w:p>
            <w:pPr>
              <w:jc w:val="right"/>
              <w:ind w:right="208"/>
              <w:spacing w:after="0"/>
              <w:rPr>
                <w:sz w:val="20"/>
                <w:szCs w:val="20"/>
                <w:color w:val="auto"/>
              </w:rPr>
            </w:pPr>
            <w:r>
              <w:rPr>
                <w:rFonts w:ascii="Arial" w:cs="Arial" w:eastAsia="Arial" w:hAnsi="Arial"/>
                <w:sz w:val="14"/>
                <w:szCs w:val="14"/>
                <w:color w:val="auto"/>
              </w:rPr>
              <w:t>16,100</w:t>
            </w:r>
          </w:p>
        </w:tc>
        <w:tc>
          <w:tcPr>
            <w:tcW w:w="0" w:type="dxa"/>
            <w:vAlign w:val="bottom"/>
          </w:tcPr>
          <w:p>
            <w:pPr>
              <w:spacing w:after="0"/>
              <w:rPr>
                <w:sz w:val="1"/>
                <w:szCs w:val="1"/>
                <w:color w:val="auto"/>
              </w:rPr>
            </w:pPr>
          </w:p>
        </w:tc>
      </w:tr>
      <w:tr>
        <w:trPr>
          <w:trHeight w:val="176"/>
        </w:trPr>
        <w:tc>
          <w:tcPr>
            <w:tcW w:w="5900" w:type="dxa"/>
            <w:vAlign w:val="bottom"/>
          </w:tcPr>
          <w:p>
            <w:pPr>
              <w:ind w:left="160"/>
              <w:spacing w:after="0"/>
              <w:rPr>
                <w:sz w:val="20"/>
                <w:szCs w:val="20"/>
                <w:color w:val="auto"/>
              </w:rPr>
            </w:pPr>
            <w:r>
              <w:rPr>
                <w:rFonts w:ascii="Arial" w:cs="Arial" w:eastAsia="Arial" w:hAnsi="Arial"/>
                <w:sz w:val="14"/>
                <w:szCs w:val="14"/>
                <w:color w:val="auto"/>
              </w:rPr>
              <w:t>Current portion of debt</w:t>
            </w:r>
          </w:p>
        </w:tc>
        <w:tc>
          <w:tcPr>
            <w:tcW w:w="540" w:type="dxa"/>
            <w:vAlign w:val="bottom"/>
          </w:tcPr>
          <w:p>
            <w:pPr>
              <w:spacing w:after="0"/>
              <w:rPr>
                <w:sz w:val="15"/>
                <w:szCs w:val="15"/>
                <w:color w:val="auto"/>
              </w:rPr>
            </w:pPr>
          </w:p>
        </w:tc>
        <w:tc>
          <w:tcPr>
            <w:tcW w:w="2240" w:type="dxa"/>
            <w:vAlign w:val="bottom"/>
          </w:tcPr>
          <w:p>
            <w:pPr>
              <w:jc w:val="right"/>
              <w:ind w:right="248"/>
              <w:spacing w:after="0"/>
              <w:rPr>
                <w:sz w:val="20"/>
                <w:szCs w:val="20"/>
                <w:color w:val="auto"/>
              </w:rPr>
            </w:pPr>
            <w:r>
              <w:rPr>
                <w:rFonts w:ascii="Arial" w:cs="Arial" w:eastAsia="Arial" w:hAnsi="Arial"/>
                <w:sz w:val="14"/>
                <w:szCs w:val="14"/>
                <w:color w:val="auto"/>
              </w:rPr>
              <w:t>24,375</w:t>
            </w:r>
          </w:p>
        </w:tc>
        <w:tc>
          <w:tcPr>
            <w:tcW w:w="600" w:type="dxa"/>
            <w:vAlign w:val="bottom"/>
          </w:tcPr>
          <w:p>
            <w:pPr>
              <w:spacing w:after="0"/>
              <w:rPr>
                <w:sz w:val="15"/>
                <w:szCs w:val="15"/>
                <w:color w:val="auto"/>
              </w:rPr>
            </w:pPr>
          </w:p>
        </w:tc>
        <w:tc>
          <w:tcPr>
            <w:tcW w:w="2140" w:type="dxa"/>
            <w:vAlign w:val="bottom"/>
          </w:tcPr>
          <w:p>
            <w:pPr>
              <w:jc w:val="right"/>
              <w:ind w:right="208"/>
              <w:spacing w:after="0"/>
              <w:rPr>
                <w:sz w:val="20"/>
                <w:szCs w:val="20"/>
                <w:color w:val="auto"/>
              </w:rPr>
            </w:pPr>
            <w:r>
              <w:rPr>
                <w:rFonts w:ascii="Arial" w:cs="Arial" w:eastAsia="Arial" w:hAnsi="Arial"/>
                <w:sz w:val="14"/>
                <w:szCs w:val="14"/>
                <w:color w:val="auto"/>
              </w:rPr>
              <w:t>19,688</w:t>
            </w:r>
          </w:p>
        </w:tc>
        <w:tc>
          <w:tcPr>
            <w:tcW w:w="0" w:type="dxa"/>
            <w:vAlign w:val="bottom"/>
          </w:tcPr>
          <w:p>
            <w:pPr>
              <w:spacing w:after="0"/>
              <w:rPr>
                <w:sz w:val="1"/>
                <w:szCs w:val="1"/>
                <w:color w:val="auto"/>
              </w:rPr>
            </w:pPr>
          </w:p>
        </w:tc>
      </w:tr>
      <w:tr>
        <w:trPr>
          <w:trHeight w:val="176"/>
        </w:trPr>
        <w:tc>
          <w:tcPr>
            <w:tcW w:w="5900" w:type="dxa"/>
            <w:vAlign w:val="bottom"/>
          </w:tcPr>
          <w:p>
            <w:pPr>
              <w:ind w:left="160"/>
              <w:spacing w:after="0"/>
              <w:rPr>
                <w:sz w:val="20"/>
                <w:szCs w:val="20"/>
                <w:color w:val="auto"/>
              </w:rPr>
            </w:pPr>
            <w:r>
              <w:rPr>
                <w:rFonts w:ascii="Arial" w:cs="Arial" w:eastAsia="Arial" w:hAnsi="Arial"/>
                <w:sz w:val="14"/>
                <w:szCs w:val="14"/>
                <w:color w:val="auto"/>
              </w:rPr>
              <w:t>Current portion of warranty</w:t>
            </w:r>
          </w:p>
        </w:tc>
        <w:tc>
          <w:tcPr>
            <w:tcW w:w="540" w:type="dxa"/>
            <w:vAlign w:val="bottom"/>
          </w:tcPr>
          <w:p>
            <w:pPr>
              <w:spacing w:after="0"/>
              <w:rPr>
                <w:sz w:val="15"/>
                <w:szCs w:val="15"/>
                <w:color w:val="auto"/>
              </w:rPr>
            </w:pPr>
          </w:p>
        </w:tc>
        <w:tc>
          <w:tcPr>
            <w:tcW w:w="2240" w:type="dxa"/>
            <w:vAlign w:val="bottom"/>
          </w:tcPr>
          <w:p>
            <w:pPr>
              <w:jc w:val="right"/>
              <w:ind w:right="248"/>
              <w:spacing w:after="0"/>
              <w:rPr>
                <w:sz w:val="20"/>
                <w:szCs w:val="20"/>
                <w:color w:val="auto"/>
              </w:rPr>
            </w:pPr>
            <w:r>
              <w:rPr>
                <w:rFonts w:ascii="Arial" w:cs="Arial" w:eastAsia="Arial" w:hAnsi="Arial"/>
                <w:sz w:val="14"/>
                <w:szCs w:val="14"/>
                <w:color w:val="auto"/>
              </w:rPr>
              <w:t>29,736</w:t>
            </w:r>
          </w:p>
        </w:tc>
        <w:tc>
          <w:tcPr>
            <w:tcW w:w="600" w:type="dxa"/>
            <w:vAlign w:val="bottom"/>
          </w:tcPr>
          <w:p>
            <w:pPr>
              <w:spacing w:after="0"/>
              <w:rPr>
                <w:sz w:val="15"/>
                <w:szCs w:val="15"/>
                <w:color w:val="auto"/>
              </w:rPr>
            </w:pPr>
          </w:p>
        </w:tc>
        <w:tc>
          <w:tcPr>
            <w:tcW w:w="2140" w:type="dxa"/>
            <w:vAlign w:val="bottom"/>
          </w:tcPr>
          <w:p>
            <w:pPr>
              <w:jc w:val="right"/>
              <w:ind w:right="208"/>
              <w:spacing w:after="0"/>
              <w:rPr>
                <w:sz w:val="20"/>
                <w:szCs w:val="20"/>
                <w:color w:val="auto"/>
              </w:rPr>
            </w:pPr>
            <w:r>
              <w:rPr>
                <w:rFonts w:ascii="Arial" w:cs="Arial" w:eastAsia="Arial" w:hAnsi="Arial"/>
                <w:sz w:val="14"/>
                <w:szCs w:val="14"/>
                <w:color w:val="auto"/>
              </w:rPr>
              <w:t>21,150</w:t>
            </w:r>
          </w:p>
        </w:tc>
        <w:tc>
          <w:tcPr>
            <w:tcW w:w="0" w:type="dxa"/>
            <w:vAlign w:val="bottom"/>
          </w:tcPr>
          <w:p>
            <w:pPr>
              <w:spacing w:after="0"/>
              <w:rPr>
                <w:sz w:val="1"/>
                <w:szCs w:val="1"/>
                <w:color w:val="auto"/>
              </w:rPr>
            </w:pPr>
          </w:p>
        </w:tc>
      </w:tr>
      <w:tr>
        <w:trPr>
          <w:trHeight w:val="181"/>
        </w:trPr>
        <w:tc>
          <w:tcPr>
            <w:tcW w:w="5900" w:type="dxa"/>
            <w:vAlign w:val="bottom"/>
          </w:tcPr>
          <w:p>
            <w:pPr>
              <w:ind w:left="160"/>
              <w:spacing w:after="0"/>
              <w:rPr>
                <w:sz w:val="20"/>
                <w:szCs w:val="20"/>
                <w:color w:val="auto"/>
              </w:rPr>
            </w:pPr>
            <w:r>
              <w:rPr>
                <w:rFonts w:ascii="Arial" w:cs="Arial" w:eastAsia="Arial" w:hAnsi="Arial"/>
                <w:sz w:val="14"/>
                <w:szCs w:val="14"/>
                <w:color w:val="auto"/>
              </w:rPr>
              <w:t>Unearned revenue</w:t>
            </w:r>
          </w:p>
        </w:tc>
        <w:tc>
          <w:tcPr>
            <w:tcW w:w="54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92,350</w:t>
            </w:r>
          </w:p>
        </w:tc>
        <w:tc>
          <w:tcPr>
            <w:tcW w:w="60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41,438</w:t>
            </w:r>
          </w:p>
        </w:tc>
        <w:tc>
          <w:tcPr>
            <w:tcW w:w="0" w:type="dxa"/>
            <w:vAlign w:val="bottom"/>
          </w:tcPr>
          <w:p>
            <w:pPr>
              <w:spacing w:after="0"/>
              <w:rPr>
                <w:sz w:val="1"/>
                <w:szCs w:val="1"/>
                <w:color w:val="auto"/>
              </w:rPr>
            </w:pPr>
          </w:p>
        </w:tc>
      </w:tr>
      <w:tr>
        <w:trPr>
          <w:trHeight w:val="176"/>
        </w:trPr>
        <w:tc>
          <w:tcPr>
            <w:tcW w:w="5900" w:type="dxa"/>
            <w:vAlign w:val="bottom"/>
          </w:tcPr>
          <w:p>
            <w:pPr>
              <w:ind w:left="300"/>
              <w:spacing w:after="0"/>
              <w:rPr>
                <w:sz w:val="20"/>
                <w:szCs w:val="20"/>
                <w:color w:val="auto"/>
              </w:rPr>
            </w:pPr>
            <w:r>
              <w:rPr>
                <w:rFonts w:ascii="Arial" w:cs="Arial" w:eastAsia="Arial" w:hAnsi="Arial"/>
                <w:sz w:val="14"/>
                <w:szCs w:val="14"/>
                <w:color w:val="auto"/>
              </w:rPr>
              <w:t>Total current liabilities</w:t>
            </w:r>
          </w:p>
        </w:tc>
        <w:tc>
          <w:tcPr>
            <w:tcW w:w="540" w:type="dxa"/>
            <w:vAlign w:val="bottom"/>
          </w:tcPr>
          <w:p>
            <w:pPr>
              <w:spacing w:after="0"/>
              <w:rPr>
                <w:sz w:val="15"/>
                <w:szCs w:val="15"/>
                <w:color w:val="auto"/>
              </w:rPr>
            </w:pPr>
          </w:p>
        </w:tc>
        <w:tc>
          <w:tcPr>
            <w:tcW w:w="2240" w:type="dxa"/>
            <w:vAlign w:val="bottom"/>
          </w:tcPr>
          <w:p>
            <w:pPr>
              <w:jc w:val="right"/>
              <w:ind w:right="248"/>
              <w:spacing w:after="0"/>
              <w:rPr>
                <w:sz w:val="20"/>
                <w:szCs w:val="20"/>
                <w:color w:val="auto"/>
              </w:rPr>
            </w:pPr>
            <w:r>
              <w:rPr>
                <w:rFonts w:ascii="Arial" w:cs="Arial" w:eastAsia="Arial" w:hAnsi="Arial"/>
                <w:sz w:val="14"/>
                <w:szCs w:val="14"/>
                <w:color w:val="auto"/>
              </w:rPr>
              <w:t>615,845</w:t>
            </w:r>
          </w:p>
        </w:tc>
        <w:tc>
          <w:tcPr>
            <w:tcW w:w="600" w:type="dxa"/>
            <w:vAlign w:val="bottom"/>
          </w:tcPr>
          <w:p>
            <w:pPr>
              <w:spacing w:after="0"/>
              <w:rPr>
                <w:sz w:val="15"/>
                <w:szCs w:val="15"/>
                <w:color w:val="auto"/>
              </w:rPr>
            </w:pPr>
          </w:p>
        </w:tc>
        <w:tc>
          <w:tcPr>
            <w:tcW w:w="2140" w:type="dxa"/>
            <w:vAlign w:val="bottom"/>
          </w:tcPr>
          <w:p>
            <w:pPr>
              <w:jc w:val="right"/>
              <w:ind w:right="208"/>
              <w:spacing w:after="0"/>
              <w:rPr>
                <w:sz w:val="20"/>
                <w:szCs w:val="20"/>
                <w:color w:val="auto"/>
              </w:rPr>
            </w:pPr>
            <w:r>
              <w:rPr>
                <w:rFonts w:ascii="Arial" w:cs="Arial" w:eastAsia="Arial" w:hAnsi="Arial"/>
                <w:sz w:val="14"/>
                <w:szCs w:val="14"/>
                <w:color w:val="auto"/>
              </w:rPr>
              <w:t>507,783</w:t>
            </w:r>
          </w:p>
        </w:tc>
        <w:tc>
          <w:tcPr>
            <w:tcW w:w="0" w:type="dxa"/>
            <w:vAlign w:val="bottom"/>
          </w:tcPr>
          <w:p>
            <w:pPr>
              <w:spacing w:after="0"/>
              <w:rPr>
                <w:sz w:val="1"/>
                <w:szCs w:val="1"/>
                <w:color w:val="auto"/>
              </w:rPr>
            </w:pPr>
          </w:p>
        </w:tc>
      </w:tr>
      <w:tr>
        <w:trPr>
          <w:trHeight w:val="339"/>
        </w:trPr>
        <w:tc>
          <w:tcPr>
            <w:tcW w:w="5900" w:type="dxa"/>
            <w:vAlign w:val="bottom"/>
          </w:tcPr>
          <w:p>
            <w:pPr>
              <w:spacing w:after="0"/>
              <w:rPr>
                <w:sz w:val="20"/>
                <w:szCs w:val="20"/>
                <w:color w:val="auto"/>
              </w:rPr>
            </w:pPr>
            <w:r>
              <w:rPr>
                <w:rFonts w:ascii="Arial" w:cs="Arial" w:eastAsia="Arial" w:hAnsi="Arial"/>
                <w:sz w:val="14"/>
                <w:szCs w:val="14"/>
                <w:color w:val="auto"/>
              </w:rPr>
              <w:t>Long-term debt</w:t>
            </w:r>
          </w:p>
        </w:tc>
        <w:tc>
          <w:tcPr>
            <w:tcW w:w="540" w:type="dxa"/>
            <w:vAlign w:val="bottom"/>
          </w:tcPr>
          <w:p>
            <w:pPr>
              <w:spacing w:after="0"/>
              <w:rPr>
                <w:sz w:val="24"/>
                <w:szCs w:val="24"/>
                <w:color w:val="auto"/>
              </w:rPr>
            </w:pPr>
          </w:p>
        </w:tc>
        <w:tc>
          <w:tcPr>
            <w:tcW w:w="2240" w:type="dxa"/>
            <w:vAlign w:val="bottom"/>
          </w:tcPr>
          <w:p>
            <w:pPr>
              <w:jc w:val="right"/>
              <w:ind w:right="248"/>
              <w:spacing w:after="0"/>
              <w:rPr>
                <w:sz w:val="20"/>
                <w:szCs w:val="20"/>
                <w:color w:val="auto"/>
              </w:rPr>
            </w:pPr>
            <w:r>
              <w:rPr>
                <w:rFonts w:ascii="Arial" w:cs="Arial" w:eastAsia="Arial" w:hAnsi="Arial"/>
                <w:sz w:val="14"/>
                <w:szCs w:val="14"/>
                <w:color w:val="auto"/>
              </w:rPr>
              <w:t>1,005,377</w:t>
            </w:r>
          </w:p>
        </w:tc>
        <w:tc>
          <w:tcPr>
            <w:tcW w:w="600" w:type="dxa"/>
            <w:vAlign w:val="bottom"/>
          </w:tcPr>
          <w:p>
            <w:pPr>
              <w:spacing w:after="0"/>
              <w:rPr>
                <w:sz w:val="24"/>
                <w:szCs w:val="24"/>
                <w:color w:val="auto"/>
              </w:rPr>
            </w:pPr>
          </w:p>
        </w:tc>
        <w:tc>
          <w:tcPr>
            <w:tcW w:w="2140" w:type="dxa"/>
            <w:vAlign w:val="bottom"/>
          </w:tcPr>
          <w:p>
            <w:pPr>
              <w:jc w:val="right"/>
              <w:ind w:right="208"/>
              <w:spacing w:after="0"/>
              <w:rPr>
                <w:sz w:val="20"/>
                <w:szCs w:val="20"/>
                <w:color w:val="auto"/>
              </w:rPr>
            </w:pPr>
            <w:r>
              <w:rPr>
                <w:rFonts w:ascii="Arial" w:cs="Arial" w:eastAsia="Arial" w:hAnsi="Arial"/>
                <w:sz w:val="14"/>
                <w:szCs w:val="14"/>
                <w:color w:val="auto"/>
              </w:rPr>
              <w:t>593,572</w:t>
            </w:r>
          </w:p>
        </w:tc>
        <w:tc>
          <w:tcPr>
            <w:tcW w:w="0" w:type="dxa"/>
            <w:vAlign w:val="bottom"/>
          </w:tcPr>
          <w:p>
            <w:pPr>
              <w:spacing w:after="0"/>
              <w:rPr>
                <w:sz w:val="1"/>
                <w:szCs w:val="1"/>
                <w:color w:val="auto"/>
              </w:rPr>
            </w:pPr>
          </w:p>
        </w:tc>
      </w:tr>
      <w:tr>
        <w:trPr>
          <w:trHeight w:val="176"/>
        </w:trPr>
        <w:tc>
          <w:tcPr>
            <w:tcW w:w="5900" w:type="dxa"/>
            <w:vAlign w:val="bottom"/>
          </w:tcPr>
          <w:p>
            <w:pPr>
              <w:spacing w:after="0"/>
              <w:rPr>
                <w:sz w:val="20"/>
                <w:szCs w:val="20"/>
                <w:color w:val="auto"/>
              </w:rPr>
            </w:pPr>
            <w:r>
              <w:rPr>
                <w:rFonts w:ascii="Arial" w:cs="Arial" w:eastAsia="Arial" w:hAnsi="Arial"/>
                <w:sz w:val="14"/>
                <w:szCs w:val="14"/>
                <w:color w:val="auto"/>
              </w:rPr>
              <w:t>Long-term warranty</w:t>
            </w:r>
          </w:p>
        </w:tc>
        <w:tc>
          <w:tcPr>
            <w:tcW w:w="540" w:type="dxa"/>
            <w:vAlign w:val="bottom"/>
          </w:tcPr>
          <w:p>
            <w:pPr>
              <w:spacing w:after="0"/>
              <w:rPr>
                <w:sz w:val="15"/>
                <w:szCs w:val="15"/>
                <w:color w:val="auto"/>
              </w:rPr>
            </w:pPr>
          </w:p>
        </w:tc>
        <w:tc>
          <w:tcPr>
            <w:tcW w:w="2240" w:type="dxa"/>
            <w:vAlign w:val="bottom"/>
          </w:tcPr>
          <w:p>
            <w:pPr>
              <w:jc w:val="right"/>
              <w:ind w:right="248"/>
              <w:spacing w:after="0"/>
              <w:rPr>
                <w:sz w:val="20"/>
                <w:szCs w:val="20"/>
                <w:color w:val="auto"/>
              </w:rPr>
            </w:pPr>
            <w:r>
              <w:rPr>
                <w:rFonts w:ascii="Arial" w:cs="Arial" w:eastAsia="Arial" w:hAnsi="Arial"/>
                <w:sz w:val="14"/>
                <w:szCs w:val="14"/>
                <w:color w:val="auto"/>
              </w:rPr>
              <w:t>13,624</w:t>
            </w:r>
          </w:p>
        </w:tc>
        <w:tc>
          <w:tcPr>
            <w:tcW w:w="600" w:type="dxa"/>
            <w:vAlign w:val="bottom"/>
          </w:tcPr>
          <w:p>
            <w:pPr>
              <w:spacing w:after="0"/>
              <w:rPr>
                <w:sz w:val="15"/>
                <w:szCs w:val="15"/>
                <w:color w:val="auto"/>
              </w:rPr>
            </w:pPr>
          </w:p>
        </w:tc>
        <w:tc>
          <w:tcPr>
            <w:tcW w:w="2140" w:type="dxa"/>
            <w:vAlign w:val="bottom"/>
          </w:tcPr>
          <w:p>
            <w:pPr>
              <w:jc w:val="right"/>
              <w:ind w:right="208"/>
              <w:spacing w:after="0"/>
              <w:rPr>
                <w:sz w:val="20"/>
                <w:szCs w:val="20"/>
                <w:color w:val="auto"/>
              </w:rPr>
            </w:pPr>
            <w:r>
              <w:rPr>
                <w:rFonts w:ascii="Arial" w:cs="Arial" w:eastAsia="Arial" w:hAnsi="Arial"/>
                <w:sz w:val="14"/>
                <w:szCs w:val="14"/>
                <w:color w:val="auto"/>
              </w:rPr>
              <w:t>13,712</w:t>
            </w:r>
          </w:p>
        </w:tc>
        <w:tc>
          <w:tcPr>
            <w:tcW w:w="0" w:type="dxa"/>
            <w:vAlign w:val="bottom"/>
          </w:tcPr>
          <w:p>
            <w:pPr>
              <w:spacing w:after="0"/>
              <w:rPr>
                <w:sz w:val="1"/>
                <w:szCs w:val="1"/>
                <w:color w:val="auto"/>
              </w:rPr>
            </w:pPr>
          </w:p>
        </w:tc>
      </w:tr>
      <w:tr>
        <w:trPr>
          <w:trHeight w:val="176"/>
        </w:trPr>
        <w:tc>
          <w:tcPr>
            <w:tcW w:w="5900" w:type="dxa"/>
            <w:vAlign w:val="bottom"/>
          </w:tcPr>
          <w:p>
            <w:pPr>
              <w:spacing w:after="0"/>
              <w:rPr>
                <w:sz w:val="20"/>
                <w:szCs w:val="20"/>
                <w:color w:val="auto"/>
              </w:rPr>
            </w:pPr>
            <w:r>
              <w:rPr>
                <w:rFonts w:ascii="Arial" w:cs="Arial" w:eastAsia="Arial" w:hAnsi="Arial"/>
                <w:sz w:val="14"/>
                <w:szCs w:val="14"/>
                <w:color w:val="auto"/>
              </w:rPr>
              <w:t>Pension benefit obligation</w:t>
            </w:r>
          </w:p>
        </w:tc>
        <w:tc>
          <w:tcPr>
            <w:tcW w:w="540" w:type="dxa"/>
            <w:vAlign w:val="bottom"/>
          </w:tcPr>
          <w:p>
            <w:pPr>
              <w:spacing w:after="0"/>
              <w:rPr>
                <w:sz w:val="15"/>
                <w:szCs w:val="15"/>
                <w:color w:val="auto"/>
              </w:rPr>
            </w:pPr>
          </w:p>
        </w:tc>
        <w:tc>
          <w:tcPr>
            <w:tcW w:w="2240" w:type="dxa"/>
            <w:vAlign w:val="bottom"/>
          </w:tcPr>
          <w:p>
            <w:pPr>
              <w:jc w:val="right"/>
              <w:ind w:right="248"/>
              <w:spacing w:after="0"/>
              <w:rPr>
                <w:sz w:val="20"/>
                <w:szCs w:val="20"/>
                <w:color w:val="auto"/>
              </w:rPr>
            </w:pPr>
            <w:r>
              <w:rPr>
                <w:rFonts w:ascii="Arial" w:cs="Arial" w:eastAsia="Arial" w:hAnsi="Arial"/>
                <w:sz w:val="14"/>
                <w:szCs w:val="14"/>
                <w:color w:val="auto"/>
              </w:rPr>
              <w:t>96,081</w:t>
            </w:r>
          </w:p>
        </w:tc>
        <w:tc>
          <w:tcPr>
            <w:tcW w:w="600" w:type="dxa"/>
            <w:vAlign w:val="bottom"/>
          </w:tcPr>
          <w:p>
            <w:pPr>
              <w:spacing w:after="0"/>
              <w:rPr>
                <w:sz w:val="15"/>
                <w:szCs w:val="15"/>
                <w:color w:val="auto"/>
              </w:rPr>
            </w:pPr>
          </w:p>
        </w:tc>
        <w:tc>
          <w:tcPr>
            <w:tcW w:w="2140" w:type="dxa"/>
            <w:vAlign w:val="bottom"/>
          </w:tcPr>
          <w:p>
            <w:pPr>
              <w:jc w:val="right"/>
              <w:ind w:right="208"/>
              <w:spacing w:after="0"/>
              <w:rPr>
                <w:sz w:val="20"/>
                <w:szCs w:val="20"/>
                <w:color w:val="auto"/>
              </w:rPr>
            </w:pPr>
            <w:r>
              <w:rPr>
                <w:rFonts w:ascii="Arial" w:cs="Arial" w:eastAsia="Arial" w:hAnsi="Arial"/>
                <w:sz w:val="14"/>
                <w:szCs w:val="14"/>
                <w:color w:val="auto"/>
              </w:rPr>
              <w:t>95,717</w:t>
            </w:r>
          </w:p>
        </w:tc>
        <w:tc>
          <w:tcPr>
            <w:tcW w:w="0" w:type="dxa"/>
            <w:vAlign w:val="bottom"/>
          </w:tcPr>
          <w:p>
            <w:pPr>
              <w:spacing w:after="0"/>
              <w:rPr>
                <w:sz w:val="1"/>
                <w:szCs w:val="1"/>
                <w:color w:val="auto"/>
              </w:rPr>
            </w:pPr>
          </w:p>
        </w:tc>
      </w:tr>
      <w:tr>
        <w:trPr>
          <w:trHeight w:val="176"/>
        </w:trPr>
        <w:tc>
          <w:tcPr>
            <w:tcW w:w="5900" w:type="dxa"/>
            <w:vAlign w:val="bottom"/>
          </w:tcPr>
          <w:p>
            <w:pPr>
              <w:spacing w:after="0"/>
              <w:rPr>
                <w:sz w:val="20"/>
                <w:szCs w:val="20"/>
                <w:color w:val="auto"/>
              </w:rPr>
            </w:pPr>
            <w:r>
              <w:rPr>
                <w:rFonts w:ascii="Arial" w:cs="Arial" w:eastAsia="Arial" w:hAnsi="Arial"/>
                <w:sz w:val="14"/>
                <w:szCs w:val="14"/>
                <w:color w:val="auto"/>
              </w:rPr>
              <w:t>Deferred tax liabilities, net</w:t>
            </w:r>
          </w:p>
        </w:tc>
        <w:tc>
          <w:tcPr>
            <w:tcW w:w="540" w:type="dxa"/>
            <w:vAlign w:val="bottom"/>
          </w:tcPr>
          <w:p>
            <w:pPr>
              <w:spacing w:after="0"/>
              <w:rPr>
                <w:sz w:val="15"/>
                <w:szCs w:val="15"/>
                <w:color w:val="auto"/>
              </w:rPr>
            </w:pPr>
          </w:p>
        </w:tc>
        <w:tc>
          <w:tcPr>
            <w:tcW w:w="2240" w:type="dxa"/>
            <w:vAlign w:val="bottom"/>
          </w:tcPr>
          <w:p>
            <w:pPr>
              <w:jc w:val="right"/>
              <w:ind w:right="248"/>
              <w:spacing w:after="0"/>
              <w:rPr>
                <w:sz w:val="20"/>
                <w:szCs w:val="20"/>
                <w:color w:val="auto"/>
              </w:rPr>
            </w:pPr>
            <w:r>
              <w:rPr>
                <w:rFonts w:ascii="Arial" w:cs="Arial" w:eastAsia="Arial" w:hAnsi="Arial"/>
                <w:sz w:val="14"/>
                <w:szCs w:val="14"/>
                <w:color w:val="auto"/>
              </w:rPr>
              <w:t>1,462</w:t>
            </w:r>
          </w:p>
        </w:tc>
        <w:tc>
          <w:tcPr>
            <w:tcW w:w="600" w:type="dxa"/>
            <w:vAlign w:val="bottom"/>
          </w:tcPr>
          <w:p>
            <w:pPr>
              <w:spacing w:after="0"/>
              <w:rPr>
                <w:sz w:val="15"/>
                <w:szCs w:val="15"/>
                <w:color w:val="auto"/>
              </w:rPr>
            </w:pPr>
          </w:p>
        </w:tc>
        <w:tc>
          <w:tcPr>
            <w:tcW w:w="2140" w:type="dxa"/>
            <w:vAlign w:val="bottom"/>
          </w:tcPr>
          <w:p>
            <w:pPr>
              <w:jc w:val="right"/>
              <w:ind w:right="208"/>
              <w:spacing w:after="0"/>
              <w:rPr>
                <w:sz w:val="20"/>
                <w:szCs w:val="20"/>
                <w:color w:val="auto"/>
              </w:rPr>
            </w:pPr>
            <w:r>
              <w:rPr>
                <w:rFonts w:ascii="Arial" w:cs="Arial" w:eastAsia="Arial" w:hAnsi="Arial"/>
                <w:sz w:val="14"/>
                <w:szCs w:val="14"/>
                <w:color w:val="auto"/>
              </w:rPr>
              <w:t>1,525</w:t>
            </w:r>
          </w:p>
        </w:tc>
        <w:tc>
          <w:tcPr>
            <w:tcW w:w="0" w:type="dxa"/>
            <w:vAlign w:val="bottom"/>
          </w:tcPr>
          <w:p>
            <w:pPr>
              <w:spacing w:after="0"/>
              <w:rPr>
                <w:sz w:val="1"/>
                <w:szCs w:val="1"/>
                <w:color w:val="auto"/>
              </w:rPr>
            </w:pPr>
          </w:p>
        </w:tc>
      </w:tr>
      <w:tr>
        <w:trPr>
          <w:trHeight w:val="181"/>
        </w:trPr>
        <w:tc>
          <w:tcPr>
            <w:tcW w:w="5900" w:type="dxa"/>
            <w:vAlign w:val="bottom"/>
          </w:tcPr>
          <w:p>
            <w:pPr>
              <w:spacing w:after="0"/>
              <w:rPr>
                <w:sz w:val="20"/>
                <w:szCs w:val="20"/>
                <w:color w:val="auto"/>
              </w:rPr>
            </w:pPr>
            <w:r>
              <w:rPr>
                <w:rFonts w:ascii="Arial" w:cs="Arial" w:eastAsia="Arial" w:hAnsi="Arial"/>
                <w:sz w:val="14"/>
                <w:szCs w:val="14"/>
                <w:color w:val="auto"/>
              </w:rPr>
              <w:t>Other long-term obligations</w:t>
            </w:r>
          </w:p>
        </w:tc>
        <w:tc>
          <w:tcPr>
            <w:tcW w:w="54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152,021</w:t>
            </w:r>
          </w:p>
        </w:tc>
        <w:tc>
          <w:tcPr>
            <w:tcW w:w="60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88,206</w:t>
            </w:r>
          </w:p>
        </w:tc>
        <w:tc>
          <w:tcPr>
            <w:tcW w:w="0" w:type="dxa"/>
            <w:vAlign w:val="bottom"/>
          </w:tcPr>
          <w:p>
            <w:pPr>
              <w:spacing w:after="0"/>
              <w:rPr>
                <w:sz w:val="1"/>
                <w:szCs w:val="1"/>
                <w:color w:val="auto"/>
              </w:rPr>
            </w:pPr>
          </w:p>
        </w:tc>
      </w:tr>
      <w:tr>
        <w:trPr>
          <w:trHeight w:val="176"/>
        </w:trPr>
        <w:tc>
          <w:tcPr>
            <w:tcW w:w="5900" w:type="dxa"/>
            <w:vAlign w:val="bottom"/>
          </w:tcPr>
          <w:p>
            <w:pPr>
              <w:ind w:left="300"/>
              <w:spacing w:after="0"/>
              <w:rPr>
                <w:sz w:val="20"/>
                <w:szCs w:val="20"/>
                <w:color w:val="auto"/>
              </w:rPr>
            </w:pPr>
            <w:r>
              <w:rPr>
                <w:rFonts w:ascii="Arial" w:cs="Arial" w:eastAsia="Arial" w:hAnsi="Arial"/>
                <w:sz w:val="14"/>
                <w:szCs w:val="14"/>
                <w:color w:val="auto"/>
              </w:rPr>
              <w:t>Total liabilities</w:t>
            </w:r>
          </w:p>
        </w:tc>
        <w:tc>
          <w:tcPr>
            <w:tcW w:w="540" w:type="dxa"/>
            <w:vAlign w:val="bottom"/>
          </w:tcPr>
          <w:p>
            <w:pPr>
              <w:spacing w:after="0"/>
              <w:rPr>
                <w:sz w:val="15"/>
                <w:szCs w:val="15"/>
                <w:color w:val="auto"/>
              </w:rPr>
            </w:pPr>
          </w:p>
        </w:tc>
        <w:tc>
          <w:tcPr>
            <w:tcW w:w="2240" w:type="dxa"/>
            <w:vAlign w:val="bottom"/>
          </w:tcPr>
          <w:p>
            <w:pPr>
              <w:jc w:val="right"/>
              <w:ind w:right="248"/>
              <w:spacing w:after="0"/>
              <w:rPr>
                <w:sz w:val="20"/>
                <w:szCs w:val="20"/>
                <w:color w:val="auto"/>
              </w:rPr>
            </w:pPr>
            <w:r>
              <w:rPr>
                <w:rFonts w:ascii="Arial" w:cs="Arial" w:eastAsia="Arial" w:hAnsi="Arial"/>
                <w:sz w:val="14"/>
                <w:szCs w:val="14"/>
                <w:color w:val="auto"/>
              </w:rPr>
              <w:t>1,884,410</w:t>
            </w:r>
          </w:p>
        </w:tc>
        <w:tc>
          <w:tcPr>
            <w:tcW w:w="600" w:type="dxa"/>
            <w:vAlign w:val="bottom"/>
          </w:tcPr>
          <w:p>
            <w:pPr>
              <w:spacing w:after="0"/>
              <w:rPr>
                <w:sz w:val="15"/>
                <w:szCs w:val="15"/>
                <w:color w:val="auto"/>
              </w:rPr>
            </w:pPr>
          </w:p>
        </w:tc>
        <w:tc>
          <w:tcPr>
            <w:tcW w:w="2140" w:type="dxa"/>
            <w:vAlign w:val="bottom"/>
          </w:tcPr>
          <w:p>
            <w:pPr>
              <w:jc w:val="right"/>
              <w:ind w:right="208"/>
              <w:spacing w:after="0"/>
              <w:rPr>
                <w:sz w:val="20"/>
                <w:szCs w:val="20"/>
                <w:color w:val="auto"/>
              </w:rPr>
            </w:pPr>
            <w:r>
              <w:rPr>
                <w:rFonts w:ascii="Arial" w:cs="Arial" w:eastAsia="Arial" w:hAnsi="Arial"/>
                <w:sz w:val="14"/>
                <w:szCs w:val="14"/>
                <w:color w:val="auto"/>
              </w:rPr>
              <w:t>1,300,515</w:t>
            </w:r>
          </w:p>
        </w:tc>
        <w:tc>
          <w:tcPr>
            <w:tcW w:w="0" w:type="dxa"/>
            <w:vAlign w:val="bottom"/>
          </w:tcPr>
          <w:p>
            <w:pPr>
              <w:spacing w:after="0"/>
              <w:rPr>
                <w:sz w:val="1"/>
                <w:szCs w:val="1"/>
                <w:color w:val="auto"/>
              </w:rPr>
            </w:pPr>
          </w:p>
        </w:tc>
      </w:tr>
      <w:tr>
        <w:trPr>
          <w:trHeight w:val="339"/>
        </w:trPr>
        <w:tc>
          <w:tcPr>
            <w:tcW w:w="5900" w:type="dxa"/>
            <w:vAlign w:val="bottom"/>
          </w:tcPr>
          <w:p>
            <w:pPr>
              <w:spacing w:after="0"/>
              <w:rPr>
                <w:sz w:val="20"/>
                <w:szCs w:val="20"/>
                <w:color w:val="auto"/>
              </w:rPr>
            </w:pPr>
            <w:r>
              <w:rPr>
                <w:rFonts w:ascii="Arial" w:cs="Arial" w:eastAsia="Arial" w:hAnsi="Arial"/>
                <w:sz w:val="14"/>
                <w:szCs w:val="14"/>
                <w:color w:val="auto"/>
              </w:rPr>
              <w:t>Equity</w:t>
            </w:r>
          </w:p>
        </w:tc>
        <w:tc>
          <w:tcPr>
            <w:tcW w:w="5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900" w:type="dxa"/>
            <w:vAlign w:val="bottom"/>
          </w:tcPr>
          <w:p>
            <w:pPr>
              <w:ind w:left="160"/>
              <w:spacing w:after="0"/>
              <w:rPr>
                <w:sz w:val="20"/>
                <w:szCs w:val="20"/>
                <w:color w:val="auto"/>
              </w:rPr>
            </w:pPr>
            <w:r>
              <w:rPr>
                <w:rFonts w:ascii="Arial" w:cs="Arial" w:eastAsia="Arial" w:hAnsi="Arial"/>
                <w:sz w:val="14"/>
                <w:szCs w:val="14"/>
                <w:color w:val="auto"/>
              </w:rPr>
              <w:t>Common stock</w:t>
            </w:r>
          </w:p>
        </w:tc>
        <w:tc>
          <w:tcPr>
            <w:tcW w:w="540" w:type="dxa"/>
            <w:vAlign w:val="bottom"/>
          </w:tcPr>
          <w:p>
            <w:pPr>
              <w:spacing w:after="0"/>
              <w:rPr>
                <w:sz w:val="15"/>
                <w:szCs w:val="15"/>
                <w:color w:val="auto"/>
              </w:rPr>
            </w:pPr>
          </w:p>
        </w:tc>
        <w:tc>
          <w:tcPr>
            <w:tcW w:w="2240" w:type="dxa"/>
            <w:vAlign w:val="bottom"/>
          </w:tcPr>
          <w:p>
            <w:pPr>
              <w:jc w:val="right"/>
              <w:ind w:right="248"/>
              <w:spacing w:after="0"/>
              <w:rPr>
                <w:sz w:val="20"/>
                <w:szCs w:val="20"/>
                <w:color w:val="auto"/>
              </w:rPr>
            </w:pPr>
            <w:r>
              <w:rPr>
                <w:rFonts w:ascii="Arial" w:cs="Arial" w:eastAsia="Arial" w:hAnsi="Arial"/>
                <w:sz w:val="14"/>
                <w:szCs w:val="14"/>
                <w:color w:val="auto"/>
              </w:rPr>
              <w:t>1,326,719</w:t>
            </w:r>
          </w:p>
        </w:tc>
        <w:tc>
          <w:tcPr>
            <w:tcW w:w="600" w:type="dxa"/>
            <w:vAlign w:val="bottom"/>
          </w:tcPr>
          <w:p>
            <w:pPr>
              <w:spacing w:after="0"/>
              <w:rPr>
                <w:sz w:val="15"/>
                <w:szCs w:val="15"/>
                <w:color w:val="auto"/>
              </w:rPr>
            </w:pPr>
          </w:p>
        </w:tc>
        <w:tc>
          <w:tcPr>
            <w:tcW w:w="2140" w:type="dxa"/>
            <w:vAlign w:val="bottom"/>
          </w:tcPr>
          <w:p>
            <w:pPr>
              <w:jc w:val="right"/>
              <w:ind w:right="208"/>
              <w:spacing w:after="0"/>
              <w:rPr>
                <w:sz w:val="20"/>
                <w:szCs w:val="20"/>
                <w:color w:val="auto"/>
              </w:rPr>
            </w:pPr>
            <w:r>
              <w:rPr>
                <w:rFonts w:ascii="Arial" w:cs="Arial" w:eastAsia="Arial" w:hAnsi="Arial"/>
                <w:sz w:val="14"/>
                <w:szCs w:val="14"/>
                <w:color w:val="auto"/>
              </w:rPr>
              <w:t>1,294,767</w:t>
            </w:r>
          </w:p>
        </w:tc>
        <w:tc>
          <w:tcPr>
            <w:tcW w:w="0" w:type="dxa"/>
            <w:vAlign w:val="bottom"/>
          </w:tcPr>
          <w:p>
            <w:pPr>
              <w:spacing w:after="0"/>
              <w:rPr>
                <w:sz w:val="1"/>
                <w:szCs w:val="1"/>
                <w:color w:val="auto"/>
              </w:rPr>
            </w:pPr>
          </w:p>
        </w:tc>
      </w:tr>
      <w:tr>
        <w:trPr>
          <w:trHeight w:val="176"/>
        </w:trPr>
        <w:tc>
          <w:tcPr>
            <w:tcW w:w="5900" w:type="dxa"/>
            <w:vAlign w:val="bottom"/>
          </w:tcPr>
          <w:p>
            <w:pPr>
              <w:ind w:left="160"/>
              <w:spacing w:after="0"/>
              <w:rPr>
                <w:sz w:val="20"/>
                <w:szCs w:val="20"/>
                <w:color w:val="auto"/>
              </w:rPr>
            </w:pPr>
            <w:r>
              <w:rPr>
                <w:rFonts w:ascii="Arial" w:cs="Arial" w:eastAsia="Arial" w:hAnsi="Arial"/>
                <w:sz w:val="14"/>
                <w:szCs w:val="14"/>
                <w:color w:val="auto"/>
              </w:rPr>
              <w:t>Accumulated other comprehensive loss, net</w:t>
            </w:r>
          </w:p>
        </w:tc>
        <w:tc>
          <w:tcPr>
            <w:tcW w:w="540" w:type="dxa"/>
            <w:vAlign w:val="bottom"/>
          </w:tcPr>
          <w:p>
            <w:pPr>
              <w:spacing w:after="0"/>
              <w:rPr>
                <w:sz w:val="15"/>
                <w:szCs w:val="15"/>
                <w:color w:val="auto"/>
              </w:rPr>
            </w:pPr>
          </w:p>
        </w:tc>
        <w:tc>
          <w:tcPr>
            <w:tcW w:w="2240" w:type="dxa"/>
            <w:vAlign w:val="bottom"/>
          </w:tcPr>
          <w:p>
            <w:pPr>
              <w:jc w:val="right"/>
              <w:ind w:right="208"/>
              <w:spacing w:after="0"/>
              <w:rPr>
                <w:sz w:val="20"/>
                <w:szCs w:val="20"/>
                <w:color w:val="auto"/>
              </w:rPr>
            </w:pPr>
            <w:r>
              <w:rPr>
                <w:rFonts w:ascii="Arial" w:cs="Arial" w:eastAsia="Arial" w:hAnsi="Arial"/>
                <w:sz w:val="14"/>
                <w:szCs w:val="14"/>
                <w:color w:val="auto"/>
              </w:rPr>
              <w:t>(185,246)</w:t>
            </w:r>
          </w:p>
        </w:tc>
        <w:tc>
          <w:tcPr>
            <w:tcW w:w="600" w:type="dxa"/>
            <w:vAlign w:val="bottom"/>
          </w:tcPr>
          <w:p>
            <w:pPr>
              <w:spacing w:after="0"/>
              <w:rPr>
                <w:sz w:val="15"/>
                <w:szCs w:val="15"/>
                <w:color w:val="auto"/>
              </w:rPr>
            </w:pPr>
          </w:p>
        </w:tc>
        <w:tc>
          <w:tcPr>
            <w:tcW w:w="2140" w:type="dxa"/>
            <w:vAlign w:val="bottom"/>
          </w:tcPr>
          <w:p>
            <w:pPr>
              <w:jc w:val="right"/>
              <w:ind w:right="168"/>
              <w:spacing w:after="0"/>
              <w:rPr>
                <w:sz w:val="20"/>
                <w:szCs w:val="20"/>
                <w:color w:val="auto"/>
              </w:rPr>
            </w:pPr>
            <w:r>
              <w:rPr>
                <w:rFonts w:ascii="Arial" w:cs="Arial" w:eastAsia="Arial" w:hAnsi="Arial"/>
                <w:sz w:val="14"/>
                <w:szCs w:val="14"/>
                <w:color w:val="auto"/>
              </w:rPr>
              <w:t>(170,478)</w:t>
            </w:r>
          </w:p>
        </w:tc>
        <w:tc>
          <w:tcPr>
            <w:tcW w:w="0" w:type="dxa"/>
            <w:vAlign w:val="bottom"/>
          </w:tcPr>
          <w:p>
            <w:pPr>
              <w:spacing w:after="0"/>
              <w:rPr>
                <w:sz w:val="1"/>
                <w:szCs w:val="1"/>
                <w:color w:val="auto"/>
              </w:rPr>
            </w:pPr>
          </w:p>
        </w:tc>
      </w:tr>
      <w:tr>
        <w:trPr>
          <w:trHeight w:val="181"/>
        </w:trPr>
        <w:tc>
          <w:tcPr>
            <w:tcW w:w="5900" w:type="dxa"/>
            <w:vAlign w:val="bottom"/>
          </w:tcPr>
          <w:p>
            <w:pPr>
              <w:ind w:left="160"/>
              <w:spacing w:after="0"/>
              <w:rPr>
                <w:sz w:val="20"/>
                <w:szCs w:val="20"/>
                <w:color w:val="auto"/>
              </w:rPr>
            </w:pPr>
            <w:r>
              <w:rPr>
                <w:rFonts w:ascii="Arial" w:cs="Arial" w:eastAsia="Arial" w:hAnsi="Arial"/>
                <w:sz w:val="14"/>
                <w:szCs w:val="14"/>
                <w:color w:val="auto"/>
              </w:rPr>
              <w:t>Accumulated deficit</w:t>
            </w:r>
          </w:p>
        </w:tc>
        <w:tc>
          <w:tcPr>
            <w:tcW w:w="54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(449,273)</w:t>
            </w:r>
          </w:p>
        </w:tc>
        <w:tc>
          <w:tcPr>
            <w:tcW w:w="60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(337,873)</w:t>
            </w:r>
          </w:p>
        </w:tc>
        <w:tc>
          <w:tcPr>
            <w:tcW w:w="0" w:type="dxa"/>
            <w:vAlign w:val="bottom"/>
          </w:tcPr>
          <w:p>
            <w:pPr>
              <w:spacing w:after="0"/>
              <w:rPr>
                <w:sz w:val="1"/>
                <w:szCs w:val="1"/>
                <w:color w:val="auto"/>
              </w:rPr>
            </w:pPr>
          </w:p>
        </w:tc>
      </w:tr>
      <w:tr>
        <w:trPr>
          <w:trHeight w:val="164"/>
        </w:trPr>
        <w:tc>
          <w:tcPr>
            <w:tcW w:w="5900" w:type="dxa"/>
            <w:vAlign w:val="bottom"/>
          </w:tcPr>
          <w:p>
            <w:pPr>
              <w:ind w:left="300"/>
              <w:spacing w:after="0"/>
              <w:rPr>
                <w:sz w:val="20"/>
                <w:szCs w:val="20"/>
                <w:color w:val="auto"/>
              </w:rPr>
            </w:pPr>
            <w:r>
              <w:rPr>
                <w:rFonts w:ascii="Arial" w:cs="Arial" w:eastAsia="Arial" w:hAnsi="Arial"/>
                <w:sz w:val="14"/>
                <w:szCs w:val="14"/>
                <w:color w:val="auto"/>
              </w:rPr>
              <w:t>Total Itron, Inc. shareholders' equity</w:t>
            </w:r>
          </w:p>
        </w:tc>
        <w:tc>
          <w:tcPr>
            <w:tcW w:w="540" w:type="dxa"/>
            <w:vAlign w:val="bottom"/>
          </w:tcPr>
          <w:p>
            <w:pPr>
              <w:spacing w:after="0"/>
              <w:rPr>
                <w:sz w:val="14"/>
                <w:szCs w:val="14"/>
                <w:color w:val="auto"/>
              </w:rPr>
            </w:pPr>
          </w:p>
        </w:tc>
        <w:tc>
          <w:tcPr>
            <w:tcW w:w="2240" w:type="dxa"/>
            <w:vAlign w:val="bottom"/>
          </w:tcPr>
          <w:p>
            <w:pPr>
              <w:jc w:val="right"/>
              <w:ind w:right="248"/>
              <w:spacing w:after="0"/>
              <w:rPr>
                <w:sz w:val="20"/>
                <w:szCs w:val="20"/>
                <w:color w:val="auto"/>
              </w:rPr>
            </w:pPr>
            <w:r>
              <w:rPr>
                <w:rFonts w:ascii="Arial" w:cs="Arial" w:eastAsia="Arial" w:hAnsi="Arial"/>
                <w:sz w:val="14"/>
                <w:szCs w:val="14"/>
                <w:color w:val="auto"/>
              </w:rPr>
              <w:t>692,200</w:t>
            </w:r>
          </w:p>
        </w:tc>
        <w:tc>
          <w:tcPr>
            <w:tcW w:w="600" w:type="dxa"/>
            <w:vAlign w:val="bottom"/>
          </w:tcPr>
          <w:p>
            <w:pPr>
              <w:spacing w:after="0"/>
              <w:rPr>
                <w:sz w:val="14"/>
                <w:szCs w:val="14"/>
                <w:color w:val="auto"/>
              </w:rPr>
            </w:pPr>
          </w:p>
        </w:tc>
        <w:tc>
          <w:tcPr>
            <w:tcW w:w="2140" w:type="dxa"/>
            <w:vAlign w:val="bottom"/>
          </w:tcPr>
          <w:p>
            <w:pPr>
              <w:jc w:val="right"/>
              <w:ind w:right="208"/>
              <w:spacing w:after="0"/>
              <w:rPr>
                <w:sz w:val="20"/>
                <w:szCs w:val="20"/>
                <w:color w:val="auto"/>
              </w:rPr>
            </w:pPr>
            <w:r>
              <w:rPr>
                <w:rFonts w:ascii="Arial" w:cs="Arial" w:eastAsia="Arial" w:hAnsi="Arial"/>
                <w:sz w:val="14"/>
                <w:szCs w:val="14"/>
                <w:color w:val="auto"/>
              </w:rPr>
              <w:t>786,416</w:t>
            </w:r>
          </w:p>
        </w:tc>
        <w:tc>
          <w:tcPr>
            <w:tcW w:w="0" w:type="dxa"/>
            <w:vAlign w:val="bottom"/>
          </w:tcPr>
          <w:p>
            <w:pPr>
              <w:spacing w:after="0"/>
              <w:rPr>
                <w:sz w:val="1"/>
                <w:szCs w:val="1"/>
                <w:color w:val="auto"/>
              </w:rPr>
            </w:pPr>
          </w:p>
        </w:tc>
      </w:tr>
      <w:tr>
        <w:trPr>
          <w:trHeight w:val="181"/>
        </w:trPr>
        <w:tc>
          <w:tcPr>
            <w:tcW w:w="5900" w:type="dxa"/>
            <w:vAlign w:val="bottom"/>
          </w:tcPr>
          <w:p>
            <w:pPr>
              <w:ind w:left="160"/>
              <w:spacing w:after="0"/>
              <w:rPr>
                <w:sz w:val="20"/>
                <w:szCs w:val="20"/>
                <w:color w:val="auto"/>
              </w:rPr>
            </w:pPr>
            <w:r>
              <w:rPr>
                <w:rFonts w:ascii="Arial" w:cs="Arial" w:eastAsia="Arial" w:hAnsi="Arial"/>
                <w:sz w:val="14"/>
                <w:szCs w:val="14"/>
                <w:color w:val="auto"/>
              </w:rPr>
              <w:t>Non-controlling interests</w:t>
            </w:r>
          </w:p>
        </w:tc>
        <w:tc>
          <w:tcPr>
            <w:tcW w:w="54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20,132</w:t>
            </w:r>
          </w:p>
        </w:tc>
        <w:tc>
          <w:tcPr>
            <w:tcW w:w="60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19,216</w:t>
            </w:r>
          </w:p>
        </w:tc>
        <w:tc>
          <w:tcPr>
            <w:tcW w:w="0" w:type="dxa"/>
            <w:vAlign w:val="bottom"/>
          </w:tcPr>
          <w:p>
            <w:pPr>
              <w:spacing w:after="0"/>
              <w:rPr>
                <w:sz w:val="1"/>
                <w:szCs w:val="1"/>
                <w:color w:val="auto"/>
              </w:rPr>
            </w:pPr>
          </w:p>
        </w:tc>
      </w:tr>
      <w:tr>
        <w:trPr>
          <w:trHeight w:val="169"/>
        </w:trPr>
        <w:tc>
          <w:tcPr>
            <w:tcW w:w="5900" w:type="dxa"/>
            <w:vAlign w:val="bottom"/>
          </w:tcPr>
          <w:p>
            <w:pPr>
              <w:ind w:left="300"/>
              <w:spacing w:after="0"/>
              <w:rPr>
                <w:sz w:val="20"/>
                <w:szCs w:val="20"/>
                <w:color w:val="auto"/>
              </w:rPr>
            </w:pPr>
            <w:r>
              <w:rPr>
                <w:rFonts w:ascii="Arial" w:cs="Arial" w:eastAsia="Arial" w:hAnsi="Arial"/>
                <w:sz w:val="14"/>
                <w:szCs w:val="14"/>
                <w:color w:val="auto"/>
              </w:rPr>
              <w:t>Total equity</w:t>
            </w:r>
          </w:p>
        </w:tc>
        <w:tc>
          <w:tcPr>
            <w:tcW w:w="54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712,332</w:t>
            </w:r>
          </w:p>
        </w:tc>
        <w:tc>
          <w:tcPr>
            <w:tcW w:w="6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805,632</w:t>
            </w:r>
          </w:p>
        </w:tc>
        <w:tc>
          <w:tcPr>
            <w:tcW w:w="0" w:type="dxa"/>
            <w:vAlign w:val="bottom"/>
          </w:tcPr>
          <w:p>
            <w:pPr>
              <w:spacing w:after="0"/>
              <w:rPr>
                <w:sz w:val="1"/>
                <w:szCs w:val="1"/>
                <w:color w:val="auto"/>
              </w:rPr>
            </w:pPr>
          </w:p>
        </w:tc>
      </w:tr>
      <w:tr>
        <w:trPr>
          <w:trHeight w:val="169"/>
        </w:trPr>
        <w:tc>
          <w:tcPr>
            <w:tcW w:w="5900" w:type="dxa"/>
            <w:vAlign w:val="bottom"/>
          </w:tcPr>
          <w:p>
            <w:pPr>
              <w:ind w:left="300"/>
              <w:spacing w:after="0"/>
              <w:rPr>
                <w:sz w:val="20"/>
                <w:szCs w:val="20"/>
                <w:color w:val="auto"/>
              </w:rPr>
            </w:pPr>
            <w:r>
              <w:rPr>
                <w:rFonts w:ascii="Arial" w:cs="Arial" w:eastAsia="Arial" w:hAnsi="Arial"/>
                <w:sz w:val="14"/>
                <w:szCs w:val="14"/>
                <w:color w:val="auto"/>
              </w:rPr>
              <w:t>Total liabilities and equity</w:t>
            </w:r>
          </w:p>
        </w:tc>
        <w:tc>
          <w:tcPr>
            <w:tcW w:w="5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22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2,596,742</w:t>
            </w:r>
          </w:p>
        </w:tc>
        <w:tc>
          <w:tcPr>
            <w:tcW w:w="6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21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2,106,147</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9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900" w:type="dxa"/>
            <w:vAlign w:val="bottom"/>
            <w:tcBorders>
              <w:bottom w:val="single" w:sz="8" w:color="EEEEEE"/>
            </w:tcBorders>
          </w:tcPr>
          <w:p>
            <w:pPr>
              <w:spacing w:after="0" w:line="20" w:lineRule="exact"/>
              <w:rPr>
                <w:sz w:val="1"/>
                <w:szCs w:val="1"/>
                <w:color w:val="auto"/>
              </w:rPr>
            </w:pPr>
          </w:p>
        </w:tc>
        <w:tc>
          <w:tcPr>
            <w:tcW w:w="540" w:type="dxa"/>
            <w:vAlign w:val="bottom"/>
            <w:tcBorders>
              <w:bottom w:val="single" w:sz="8" w:color="EEEEEE"/>
            </w:tcBorders>
          </w:tcPr>
          <w:p>
            <w:pPr>
              <w:spacing w:after="0" w:line="20" w:lineRule="exact"/>
              <w:rPr>
                <w:sz w:val="1"/>
                <w:szCs w:val="1"/>
                <w:color w:val="auto"/>
              </w:rPr>
            </w:pPr>
          </w:p>
        </w:tc>
        <w:tc>
          <w:tcPr>
            <w:tcW w:w="2240" w:type="dxa"/>
            <w:vAlign w:val="bottom"/>
            <w:tcBorders>
              <w:bottom w:val="single" w:sz="8" w:color="EEEEEE"/>
            </w:tcBorders>
          </w:tcPr>
          <w:p>
            <w:pPr>
              <w:spacing w:after="0" w:line="20" w:lineRule="exact"/>
              <w:rPr>
                <w:sz w:val="1"/>
                <w:szCs w:val="1"/>
                <w:color w:val="auto"/>
              </w:rPr>
            </w:pPr>
          </w:p>
        </w:tc>
        <w:tc>
          <w:tcPr>
            <w:tcW w:w="600" w:type="dxa"/>
            <w:vAlign w:val="bottom"/>
            <w:tcBorders>
              <w:bottom w:val="single" w:sz="8" w:color="EEEEEE"/>
            </w:tcBorders>
          </w:tcPr>
          <w:p>
            <w:pPr>
              <w:spacing w:after="0" w:line="20" w:lineRule="exact"/>
              <w:rPr>
                <w:sz w:val="1"/>
                <w:szCs w:val="1"/>
                <w:color w:val="auto"/>
              </w:rPr>
            </w:pPr>
          </w:p>
        </w:tc>
        <w:tc>
          <w:tcPr>
            <w:tcW w:w="21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12" w:name="page13"/>
    <w:bookmarkEnd w:id="12"/>
    <w:p>
      <w:pPr>
        <w:jc w:val="center"/>
        <w:ind w:left="3860"/>
        <w:spacing w:after="0"/>
        <w:rPr>
          <w:sz w:val="20"/>
          <w:szCs w:val="20"/>
          <w:color w:val="auto"/>
        </w:rPr>
      </w:pPr>
      <w:r>
        <w:rPr>
          <w:rFonts w:ascii="Arial" w:cs="Arial" w:eastAsia="Arial" w:hAnsi="Arial"/>
          <w:sz w:val="14"/>
          <w:szCs w:val="14"/>
          <w:b w:val="1"/>
          <w:bCs w:val="1"/>
          <w:color w:val="auto"/>
        </w:rPr>
        <w:t>ITRON, INC.</w:t>
      </w:r>
    </w:p>
    <w:p>
      <w:pPr>
        <w:spacing w:after="0" w:line="25" w:lineRule="exact"/>
        <w:rPr>
          <w:sz w:val="20"/>
          <w:szCs w:val="20"/>
          <w:color w:val="auto"/>
        </w:rPr>
      </w:pPr>
    </w:p>
    <w:p>
      <w:pPr>
        <w:jc w:val="center"/>
        <w:ind w:left="3860"/>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(Unaudited, in thousands)</w:t>
      </w:r>
    </w:p>
    <w:p>
      <w:pPr>
        <w:spacing w:after="0" w:line="393" w:lineRule="exact"/>
        <w:rPr>
          <w:sz w:val="20"/>
          <w:szCs w:val="20"/>
          <w:color w:val="auto"/>
        </w:rPr>
      </w:pPr>
    </w:p>
    <w:p>
      <w:pPr>
        <w:jc w:val="right"/>
        <w:ind w:right="6420"/>
        <w:spacing w:after="0"/>
        <w:rPr>
          <w:sz w:val="20"/>
          <w:szCs w:val="20"/>
          <w:color w:val="auto"/>
        </w:rPr>
      </w:pPr>
      <w:r>
        <w:rPr>
          <w:rFonts w:ascii="Arial" w:cs="Arial" w:eastAsia="Arial" w:hAnsi="Arial"/>
          <w:sz w:val="13"/>
          <w:szCs w:val="13"/>
          <w:color w:val="auto"/>
        </w:rPr>
        <w:t>Operating activities</w:t>
      </w:r>
    </w:p>
    <w:p>
      <w:pPr>
        <w:spacing w:after="0" w:line="33" w:lineRule="exact"/>
        <w:rPr>
          <w:sz w:val="20"/>
          <w:szCs w:val="20"/>
          <w:color w:val="auto"/>
        </w:rPr>
      </w:pPr>
    </w:p>
    <w:p>
      <w:pPr>
        <w:jc w:val="right"/>
        <w:ind w:right="6440"/>
        <w:spacing w:after="0"/>
        <w:rPr>
          <w:sz w:val="20"/>
          <w:szCs w:val="20"/>
          <w:color w:val="auto"/>
        </w:rPr>
      </w:pPr>
      <w:r>
        <w:rPr>
          <w:rFonts w:ascii="Arial" w:cs="Arial" w:eastAsia="Arial" w:hAnsi="Arial"/>
          <w:sz w:val="14"/>
          <w:szCs w:val="14"/>
          <w:color w:val="auto"/>
        </w:rPr>
        <w:t>Net income (loss)</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4"/>
          <w:szCs w:val="14"/>
          <w:color w:val="auto"/>
        </w:rPr>
        <w:t>Adjustments to reconcile net income (loss) to net cash provided by (used in) operating activities: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4"/>
          <w:szCs w:val="14"/>
          <w:color w:val="auto"/>
        </w:rPr>
        <w:t>Depreciation and amortization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4"/>
          <w:szCs w:val="14"/>
          <w:color w:val="auto"/>
        </w:rPr>
        <w:t>Stock-based compensation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4"/>
          <w:szCs w:val="14"/>
          <w:color w:val="auto"/>
        </w:rPr>
        <w:t>Amortization of prepaid debt fees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4"/>
          <w:szCs w:val="14"/>
          <w:color w:val="auto"/>
        </w:rPr>
        <w:t>Deferred taxes, net</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4"/>
          <w:szCs w:val="14"/>
          <w:color w:val="auto"/>
        </w:rPr>
        <w:t>Restructuring, non-cash</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4"/>
          <w:szCs w:val="14"/>
          <w:color w:val="auto"/>
        </w:rPr>
        <w:t>Other adjustments, net</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Changes in operating assets and liabilities, net of acquisitions</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4"/>
          <w:szCs w:val="14"/>
          <w:color w:val="auto"/>
        </w:rPr>
        <w:t>Accounts receivable</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4"/>
          <w:szCs w:val="14"/>
          <w:color w:val="auto"/>
        </w:rPr>
        <w:t>Inventories</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4"/>
          <w:szCs w:val="14"/>
          <w:color w:val="auto"/>
        </w:rPr>
        <w:t>Other current assets</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4"/>
          <w:szCs w:val="14"/>
          <w:color w:val="auto"/>
        </w:rPr>
        <w:t>Other long-term assets</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4"/>
          <w:szCs w:val="14"/>
          <w:color w:val="auto"/>
        </w:rPr>
        <w:t>Accounts payable, other current liabilities, and taxes payable</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4"/>
          <w:szCs w:val="14"/>
          <w:color w:val="auto"/>
        </w:rPr>
        <w:t>Wages and benefits payable</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4"/>
          <w:szCs w:val="14"/>
          <w:color w:val="auto"/>
        </w:rPr>
        <w:t>Unearned revenue</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4"/>
          <w:szCs w:val="14"/>
          <w:color w:val="auto"/>
        </w:rPr>
        <w:t>Warranty</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4"/>
          <w:szCs w:val="14"/>
          <w:color w:val="auto"/>
        </w:rPr>
        <w:t>Other operating, net</w:t>
      </w:r>
    </w:p>
    <w:p>
      <w:pPr>
        <w:spacing w:after="0" w:line="21" w:lineRule="exact"/>
        <w:rPr>
          <w:sz w:val="20"/>
          <w:szCs w:val="20"/>
          <w:color w:val="auto"/>
        </w:rPr>
      </w:pPr>
    </w:p>
    <w:p>
      <w:pPr>
        <w:ind w:left="240"/>
        <w:spacing w:after="0"/>
        <w:rPr>
          <w:sz w:val="20"/>
          <w:szCs w:val="20"/>
          <w:color w:val="auto"/>
        </w:rPr>
      </w:pPr>
      <w:r>
        <w:rPr>
          <w:rFonts w:ascii="Arial" w:cs="Arial" w:eastAsia="Arial" w:hAnsi="Arial"/>
          <w:sz w:val="14"/>
          <w:szCs w:val="14"/>
          <w:color w:val="auto"/>
        </w:rPr>
        <w:t>Net cash provided by operating activities</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Investing activities</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4"/>
          <w:szCs w:val="14"/>
          <w:color w:val="auto"/>
        </w:rPr>
        <w:t>Acquisitions of property, plant, and equipment</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4"/>
          <w:szCs w:val="14"/>
          <w:color w:val="auto"/>
        </w:rPr>
        <w:t>Business acquisitions, net of cash equivalents acquired</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4"/>
          <w:szCs w:val="14"/>
          <w:color w:val="auto"/>
        </w:rPr>
        <w:t>Other investing, net</w:t>
      </w:r>
    </w:p>
    <w:p>
      <w:pPr>
        <w:spacing w:after="0" w:line="21" w:lineRule="exact"/>
        <w:rPr>
          <w:sz w:val="20"/>
          <w:szCs w:val="20"/>
          <w:color w:val="auto"/>
        </w:rPr>
      </w:pPr>
    </w:p>
    <w:p>
      <w:pPr>
        <w:ind w:left="240"/>
        <w:spacing w:after="0"/>
        <w:rPr>
          <w:sz w:val="20"/>
          <w:szCs w:val="20"/>
          <w:color w:val="auto"/>
        </w:rPr>
      </w:pPr>
      <w:r>
        <w:rPr>
          <w:rFonts w:ascii="Arial" w:cs="Arial" w:eastAsia="Arial" w:hAnsi="Arial"/>
          <w:sz w:val="14"/>
          <w:szCs w:val="14"/>
          <w:color w:val="auto"/>
        </w:rPr>
        <w:t>Net cash used in investing activities</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Financing activities</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4"/>
          <w:szCs w:val="14"/>
          <w:color w:val="auto"/>
        </w:rPr>
        <w:t>Proceeds from borrowings</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4"/>
          <w:szCs w:val="14"/>
          <w:color w:val="auto"/>
        </w:rPr>
        <w:t>Payments on debt</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4"/>
          <w:szCs w:val="14"/>
          <w:color w:val="auto"/>
        </w:rPr>
        <w:t>Issuance of common stock</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4"/>
          <w:szCs w:val="14"/>
          <w:color w:val="auto"/>
        </w:rPr>
        <w:t>Prepaid debt fees</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4"/>
          <w:szCs w:val="14"/>
          <w:color w:val="auto"/>
        </w:rPr>
        <w:t>Other financing, net</w:t>
      </w:r>
    </w:p>
    <w:p>
      <w:pPr>
        <w:spacing w:after="0" w:line="21" w:lineRule="exact"/>
        <w:rPr>
          <w:sz w:val="20"/>
          <w:szCs w:val="20"/>
          <w:color w:val="auto"/>
        </w:rPr>
      </w:pPr>
    </w:p>
    <w:p>
      <w:pPr>
        <w:ind w:left="240"/>
        <w:spacing w:after="0"/>
        <w:rPr>
          <w:sz w:val="20"/>
          <w:szCs w:val="20"/>
          <w:color w:val="auto"/>
        </w:rPr>
      </w:pPr>
      <w:r>
        <w:rPr>
          <w:rFonts w:ascii="Arial" w:cs="Arial" w:eastAsia="Arial" w:hAnsi="Arial"/>
          <w:sz w:val="14"/>
          <w:szCs w:val="14"/>
          <w:color w:val="auto"/>
        </w:rPr>
        <w:t>Net cash provided by (used in) financing activities</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Effect of foreign exchange rate changes on cash, cash equivalents, and restricted cash</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Decrease in cash, cash equivalents, and restricted cash</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Cash, cash equivalents, and restricted cash at beginning of period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Cash, cash equivalents, and restricted cash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222885</wp:posOffset>
            </wp:positionV>
            <wp:extent cx="7272020" cy="596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Nine Months Ended September 30,</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2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2017</w:t>
            </w:r>
          </w:p>
        </w:tc>
      </w:tr>
      <w:tr>
        <w:trPr>
          <w:trHeight w:val="346"/>
        </w:trPr>
        <w:tc>
          <w:tcPr>
            <w:tcW w:w="42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(121,710)</w:t>
            </w:r>
          </w:p>
        </w:tc>
        <w:tc>
          <w:tcPr>
            <w:tcW w:w="4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57,875</w:t>
            </w:r>
          </w:p>
        </w:tc>
      </w:tr>
      <w:tr>
        <w:trPr>
          <w:trHeight w:val="344"/>
        </w:trPr>
        <w:tc>
          <w:tcPr>
            <w:tcW w:w="420" w:type="dxa"/>
            <w:vAlign w:val="bottom"/>
          </w:tcPr>
          <w:p>
            <w:pPr>
              <w:spacing w:after="0"/>
              <w:rPr>
                <w:sz w:val="24"/>
                <w:szCs w:val="24"/>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92,428</w:t>
            </w:r>
          </w:p>
        </w:tc>
        <w:tc>
          <w:tcPr>
            <w:tcW w:w="400" w:type="dxa"/>
            <w:vAlign w:val="bottom"/>
          </w:tcPr>
          <w:p>
            <w:pPr>
              <w:spacing w:after="0"/>
              <w:rPr>
                <w:sz w:val="24"/>
                <w:szCs w:val="24"/>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46,000</w:t>
            </w:r>
          </w:p>
        </w:tc>
      </w:tr>
      <w:tr>
        <w:trPr>
          <w:trHeight w:val="176"/>
        </w:trPr>
        <w:tc>
          <w:tcPr>
            <w:tcW w:w="420" w:type="dxa"/>
            <w:vAlign w:val="bottom"/>
          </w:tcPr>
          <w:p>
            <w:pPr>
              <w:spacing w:after="0"/>
              <w:rPr>
                <w:sz w:val="15"/>
                <w:szCs w:val="15"/>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23,069</w:t>
            </w:r>
          </w:p>
        </w:tc>
        <w:tc>
          <w:tcPr>
            <w:tcW w:w="400" w:type="dxa"/>
            <w:vAlign w:val="bottom"/>
          </w:tcPr>
          <w:p>
            <w:pPr>
              <w:spacing w:after="0"/>
              <w:rPr>
                <w:sz w:val="15"/>
                <w:szCs w:val="15"/>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15,254</w:t>
            </w:r>
          </w:p>
        </w:tc>
      </w:tr>
      <w:tr>
        <w:trPr>
          <w:trHeight w:val="176"/>
        </w:trPr>
        <w:tc>
          <w:tcPr>
            <w:tcW w:w="420" w:type="dxa"/>
            <w:vAlign w:val="bottom"/>
          </w:tcPr>
          <w:p>
            <w:pPr>
              <w:spacing w:after="0"/>
              <w:rPr>
                <w:sz w:val="15"/>
                <w:szCs w:val="15"/>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5,825</w:t>
            </w:r>
          </w:p>
        </w:tc>
        <w:tc>
          <w:tcPr>
            <w:tcW w:w="400" w:type="dxa"/>
            <w:vAlign w:val="bottom"/>
          </w:tcPr>
          <w:p>
            <w:pPr>
              <w:spacing w:after="0"/>
              <w:rPr>
                <w:sz w:val="15"/>
                <w:szCs w:val="15"/>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800</w:t>
            </w:r>
          </w:p>
        </w:tc>
      </w:tr>
      <w:tr>
        <w:trPr>
          <w:trHeight w:val="176"/>
        </w:trPr>
        <w:tc>
          <w:tcPr>
            <w:tcW w:w="420" w:type="dxa"/>
            <w:vAlign w:val="bottom"/>
          </w:tcPr>
          <w:p>
            <w:pPr>
              <w:spacing w:after="0"/>
              <w:rPr>
                <w:sz w:val="15"/>
                <w:szCs w:val="15"/>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(13,141)</w:t>
            </w:r>
          </w:p>
        </w:tc>
        <w:tc>
          <w:tcPr>
            <w:tcW w:w="400" w:type="dxa"/>
            <w:vAlign w:val="bottom"/>
          </w:tcPr>
          <w:p>
            <w:pPr>
              <w:spacing w:after="0"/>
              <w:rPr>
                <w:sz w:val="15"/>
                <w:szCs w:val="15"/>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7,615</w:t>
            </w:r>
          </w:p>
        </w:tc>
      </w:tr>
      <w:tr>
        <w:trPr>
          <w:trHeight w:val="176"/>
        </w:trPr>
        <w:tc>
          <w:tcPr>
            <w:tcW w:w="420" w:type="dxa"/>
            <w:vAlign w:val="bottom"/>
          </w:tcPr>
          <w:p>
            <w:pPr>
              <w:spacing w:after="0"/>
              <w:rPr>
                <w:sz w:val="15"/>
                <w:szCs w:val="15"/>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569</w:t>
            </w:r>
          </w:p>
        </w:tc>
        <w:tc>
          <w:tcPr>
            <w:tcW w:w="400" w:type="dxa"/>
            <w:vAlign w:val="bottom"/>
          </w:tcPr>
          <w:p>
            <w:pPr>
              <w:spacing w:after="0"/>
              <w:rPr>
                <w:sz w:val="15"/>
                <w:szCs w:val="15"/>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(720)</w:t>
            </w:r>
          </w:p>
        </w:tc>
      </w:tr>
      <w:tr>
        <w:trPr>
          <w:trHeight w:val="182"/>
        </w:trPr>
        <w:tc>
          <w:tcPr>
            <w:tcW w:w="420" w:type="dxa"/>
            <w:vAlign w:val="bottom"/>
          </w:tcPr>
          <w:p>
            <w:pPr>
              <w:spacing w:after="0"/>
              <w:rPr>
                <w:sz w:val="15"/>
                <w:szCs w:val="15"/>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(30)</w:t>
            </w:r>
          </w:p>
        </w:tc>
        <w:tc>
          <w:tcPr>
            <w:tcW w:w="400" w:type="dxa"/>
            <w:vAlign w:val="bottom"/>
          </w:tcPr>
          <w:p>
            <w:pPr>
              <w:spacing w:after="0"/>
              <w:rPr>
                <w:sz w:val="15"/>
                <w:szCs w:val="15"/>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3,111</w:t>
            </w:r>
          </w:p>
        </w:tc>
      </w:tr>
      <w:tr>
        <w:trPr>
          <w:trHeight w:val="344"/>
        </w:trPr>
        <w:tc>
          <w:tcPr>
            <w:tcW w:w="420" w:type="dxa"/>
            <w:vAlign w:val="bottom"/>
          </w:tcPr>
          <w:p>
            <w:pPr>
              <w:spacing w:after="0"/>
              <w:rPr>
                <w:sz w:val="24"/>
                <w:szCs w:val="24"/>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7,774</w:t>
            </w:r>
          </w:p>
        </w:tc>
        <w:tc>
          <w:tcPr>
            <w:tcW w:w="400" w:type="dxa"/>
            <w:vAlign w:val="bottom"/>
          </w:tcPr>
          <w:p>
            <w:pPr>
              <w:spacing w:after="0"/>
              <w:rPr>
                <w:sz w:val="24"/>
                <w:szCs w:val="24"/>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2,537</w:t>
            </w:r>
          </w:p>
        </w:tc>
      </w:tr>
      <w:tr>
        <w:trPr>
          <w:trHeight w:val="176"/>
        </w:trPr>
        <w:tc>
          <w:tcPr>
            <w:tcW w:w="420" w:type="dxa"/>
            <w:vAlign w:val="bottom"/>
          </w:tcPr>
          <w:p>
            <w:pPr>
              <w:spacing w:after="0"/>
              <w:rPr>
                <w:sz w:val="15"/>
                <w:szCs w:val="15"/>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(10,072)</w:t>
            </w:r>
          </w:p>
        </w:tc>
        <w:tc>
          <w:tcPr>
            <w:tcW w:w="400" w:type="dxa"/>
            <w:vAlign w:val="bottom"/>
          </w:tcPr>
          <w:p>
            <w:pPr>
              <w:spacing w:after="0"/>
              <w:rPr>
                <w:sz w:val="15"/>
                <w:szCs w:val="15"/>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(30,843)</w:t>
            </w:r>
          </w:p>
        </w:tc>
      </w:tr>
      <w:tr>
        <w:trPr>
          <w:trHeight w:val="176"/>
        </w:trPr>
        <w:tc>
          <w:tcPr>
            <w:tcW w:w="420" w:type="dxa"/>
            <w:vAlign w:val="bottom"/>
          </w:tcPr>
          <w:p>
            <w:pPr>
              <w:spacing w:after="0"/>
              <w:rPr>
                <w:sz w:val="15"/>
                <w:szCs w:val="15"/>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(9,797)</w:t>
            </w:r>
          </w:p>
        </w:tc>
        <w:tc>
          <w:tcPr>
            <w:tcW w:w="400" w:type="dxa"/>
            <w:vAlign w:val="bottom"/>
          </w:tcPr>
          <w:p>
            <w:pPr>
              <w:spacing w:after="0"/>
              <w:rPr>
                <w:sz w:val="15"/>
                <w:szCs w:val="15"/>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(23,492)</w:t>
            </w:r>
          </w:p>
        </w:tc>
      </w:tr>
      <w:tr>
        <w:trPr>
          <w:trHeight w:val="176"/>
        </w:trPr>
        <w:tc>
          <w:tcPr>
            <w:tcW w:w="420" w:type="dxa"/>
            <w:vAlign w:val="bottom"/>
          </w:tcPr>
          <w:p>
            <w:pPr>
              <w:spacing w:after="0"/>
              <w:rPr>
                <w:sz w:val="15"/>
                <w:szCs w:val="15"/>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3,817</w:t>
            </w:r>
          </w:p>
        </w:tc>
        <w:tc>
          <w:tcPr>
            <w:tcW w:w="400" w:type="dxa"/>
            <w:vAlign w:val="bottom"/>
          </w:tcPr>
          <w:p>
            <w:pPr>
              <w:spacing w:after="0"/>
              <w:rPr>
                <w:sz w:val="15"/>
                <w:szCs w:val="15"/>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10,460</w:t>
            </w:r>
          </w:p>
        </w:tc>
      </w:tr>
      <w:tr>
        <w:trPr>
          <w:trHeight w:val="176"/>
        </w:trPr>
        <w:tc>
          <w:tcPr>
            <w:tcW w:w="420" w:type="dxa"/>
            <w:vAlign w:val="bottom"/>
          </w:tcPr>
          <w:p>
            <w:pPr>
              <w:spacing w:after="0"/>
              <w:rPr>
                <w:sz w:val="15"/>
                <w:szCs w:val="15"/>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4,494</w:t>
            </w:r>
          </w:p>
        </w:tc>
        <w:tc>
          <w:tcPr>
            <w:tcW w:w="400" w:type="dxa"/>
            <w:vAlign w:val="bottom"/>
          </w:tcPr>
          <w:p>
            <w:pPr>
              <w:spacing w:after="0"/>
              <w:rPr>
                <w:sz w:val="15"/>
                <w:szCs w:val="15"/>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34,987</w:t>
            </w:r>
          </w:p>
        </w:tc>
      </w:tr>
      <w:tr>
        <w:trPr>
          <w:trHeight w:val="176"/>
        </w:trPr>
        <w:tc>
          <w:tcPr>
            <w:tcW w:w="420" w:type="dxa"/>
            <w:vAlign w:val="bottom"/>
          </w:tcPr>
          <w:p>
            <w:pPr>
              <w:spacing w:after="0"/>
              <w:rPr>
                <w:sz w:val="15"/>
                <w:szCs w:val="15"/>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2,166</w:t>
            </w:r>
          </w:p>
        </w:tc>
        <w:tc>
          <w:tcPr>
            <w:tcW w:w="400" w:type="dxa"/>
            <w:vAlign w:val="bottom"/>
          </w:tcPr>
          <w:p>
            <w:pPr>
              <w:spacing w:after="0"/>
              <w:rPr>
                <w:sz w:val="15"/>
                <w:szCs w:val="15"/>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6,218</w:t>
            </w:r>
          </w:p>
        </w:tc>
      </w:tr>
      <w:tr>
        <w:trPr>
          <w:trHeight w:val="176"/>
        </w:trPr>
        <w:tc>
          <w:tcPr>
            <w:tcW w:w="420" w:type="dxa"/>
            <w:vAlign w:val="bottom"/>
          </w:tcPr>
          <w:p>
            <w:pPr>
              <w:spacing w:after="0"/>
              <w:rPr>
                <w:sz w:val="15"/>
                <w:szCs w:val="15"/>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27,869</w:t>
            </w:r>
          </w:p>
        </w:tc>
        <w:tc>
          <w:tcPr>
            <w:tcW w:w="400" w:type="dxa"/>
            <w:vAlign w:val="bottom"/>
          </w:tcPr>
          <w:p>
            <w:pPr>
              <w:spacing w:after="0"/>
              <w:rPr>
                <w:sz w:val="15"/>
                <w:szCs w:val="15"/>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(5,679)</w:t>
            </w:r>
          </w:p>
        </w:tc>
      </w:tr>
      <w:tr>
        <w:trPr>
          <w:trHeight w:val="176"/>
        </w:trPr>
        <w:tc>
          <w:tcPr>
            <w:tcW w:w="420" w:type="dxa"/>
            <w:vAlign w:val="bottom"/>
          </w:tcPr>
          <w:p>
            <w:pPr>
              <w:spacing w:after="0"/>
              <w:rPr>
                <w:sz w:val="15"/>
                <w:szCs w:val="15"/>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3,167</w:t>
            </w:r>
          </w:p>
        </w:tc>
        <w:tc>
          <w:tcPr>
            <w:tcW w:w="400" w:type="dxa"/>
            <w:vAlign w:val="bottom"/>
          </w:tcPr>
          <w:p>
            <w:pPr>
              <w:spacing w:after="0"/>
              <w:rPr>
                <w:sz w:val="15"/>
                <w:szCs w:val="15"/>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(10,285)</w:t>
            </w:r>
          </w:p>
        </w:tc>
      </w:tr>
      <w:tr>
        <w:trPr>
          <w:trHeight w:val="181"/>
        </w:trPr>
        <w:tc>
          <w:tcPr>
            <w:tcW w:w="4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50,955</w:t>
            </w:r>
          </w:p>
        </w:tc>
        <w:tc>
          <w:tcPr>
            <w:tcW w:w="4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663</w:t>
            </w:r>
          </w:p>
        </w:tc>
      </w:tr>
      <w:tr>
        <w:trPr>
          <w:trHeight w:val="176"/>
        </w:trPr>
        <w:tc>
          <w:tcPr>
            <w:tcW w:w="420" w:type="dxa"/>
            <w:vAlign w:val="bottom"/>
          </w:tcPr>
          <w:p>
            <w:pPr>
              <w:spacing w:after="0"/>
              <w:rPr>
                <w:sz w:val="15"/>
                <w:szCs w:val="15"/>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67,383</w:t>
            </w:r>
          </w:p>
        </w:tc>
        <w:tc>
          <w:tcPr>
            <w:tcW w:w="400" w:type="dxa"/>
            <w:vAlign w:val="bottom"/>
          </w:tcPr>
          <w:p>
            <w:pPr>
              <w:spacing w:after="0"/>
              <w:rPr>
                <w:sz w:val="15"/>
                <w:szCs w:val="15"/>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114,501</w:t>
            </w:r>
          </w:p>
        </w:tc>
      </w:tr>
      <w:tr>
        <w:trPr>
          <w:trHeight w:val="515"/>
        </w:trPr>
        <w:tc>
          <w:tcPr>
            <w:tcW w:w="420" w:type="dxa"/>
            <w:vAlign w:val="bottom"/>
          </w:tcPr>
          <w:p>
            <w:pPr>
              <w:spacing w:after="0"/>
              <w:rPr>
                <w:sz w:val="24"/>
                <w:szCs w:val="24"/>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(42,493)</w:t>
            </w:r>
          </w:p>
        </w:tc>
        <w:tc>
          <w:tcPr>
            <w:tcW w:w="400" w:type="dxa"/>
            <w:vAlign w:val="bottom"/>
          </w:tcPr>
          <w:p>
            <w:pPr>
              <w:spacing w:after="0"/>
              <w:rPr>
                <w:sz w:val="24"/>
                <w:szCs w:val="24"/>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(33,493)</w:t>
            </w:r>
          </w:p>
        </w:tc>
      </w:tr>
      <w:tr>
        <w:trPr>
          <w:trHeight w:val="176"/>
        </w:trPr>
        <w:tc>
          <w:tcPr>
            <w:tcW w:w="420" w:type="dxa"/>
            <w:vAlign w:val="bottom"/>
          </w:tcPr>
          <w:p>
            <w:pPr>
              <w:spacing w:after="0"/>
              <w:rPr>
                <w:sz w:val="15"/>
                <w:szCs w:val="15"/>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(803,075)</w:t>
            </w:r>
          </w:p>
        </w:tc>
        <w:tc>
          <w:tcPr>
            <w:tcW w:w="400" w:type="dxa"/>
            <w:vAlign w:val="bottom"/>
          </w:tcPr>
          <w:p>
            <w:pPr>
              <w:spacing w:after="0"/>
              <w:rPr>
                <w:sz w:val="15"/>
                <w:szCs w:val="15"/>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(98,848)</w:t>
            </w:r>
          </w:p>
        </w:tc>
      </w:tr>
      <w:tr>
        <w:trPr>
          <w:trHeight w:val="181"/>
        </w:trPr>
        <w:tc>
          <w:tcPr>
            <w:tcW w:w="4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(181)</w:t>
            </w:r>
          </w:p>
        </w:tc>
        <w:tc>
          <w:tcPr>
            <w:tcW w:w="4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10</w:t>
            </w:r>
          </w:p>
        </w:tc>
      </w:tr>
      <w:tr>
        <w:trPr>
          <w:trHeight w:val="176"/>
        </w:trPr>
        <w:tc>
          <w:tcPr>
            <w:tcW w:w="420" w:type="dxa"/>
            <w:vAlign w:val="bottom"/>
          </w:tcPr>
          <w:p>
            <w:pPr>
              <w:spacing w:after="0"/>
              <w:rPr>
                <w:sz w:val="15"/>
                <w:szCs w:val="15"/>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(845,749)</w:t>
            </w:r>
          </w:p>
        </w:tc>
        <w:tc>
          <w:tcPr>
            <w:tcW w:w="400" w:type="dxa"/>
            <w:vAlign w:val="bottom"/>
          </w:tcPr>
          <w:p>
            <w:pPr>
              <w:spacing w:after="0"/>
              <w:rPr>
                <w:sz w:val="15"/>
                <w:szCs w:val="15"/>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(132,331)</w:t>
            </w:r>
          </w:p>
        </w:tc>
      </w:tr>
      <w:tr>
        <w:trPr>
          <w:trHeight w:val="515"/>
        </w:trPr>
        <w:tc>
          <w:tcPr>
            <w:tcW w:w="420" w:type="dxa"/>
            <w:vAlign w:val="bottom"/>
          </w:tcPr>
          <w:p>
            <w:pPr>
              <w:spacing w:after="0"/>
              <w:rPr>
                <w:sz w:val="24"/>
                <w:szCs w:val="24"/>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611,938</w:t>
            </w:r>
          </w:p>
        </w:tc>
        <w:tc>
          <w:tcPr>
            <w:tcW w:w="400" w:type="dxa"/>
            <w:vAlign w:val="bottom"/>
          </w:tcPr>
          <w:p>
            <w:pPr>
              <w:spacing w:after="0"/>
              <w:rPr>
                <w:sz w:val="24"/>
                <w:szCs w:val="24"/>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35,000</w:t>
            </w:r>
          </w:p>
        </w:tc>
      </w:tr>
      <w:tr>
        <w:trPr>
          <w:trHeight w:val="176"/>
        </w:trPr>
        <w:tc>
          <w:tcPr>
            <w:tcW w:w="420" w:type="dxa"/>
            <w:vAlign w:val="bottom"/>
          </w:tcPr>
          <w:p>
            <w:pPr>
              <w:spacing w:after="0"/>
              <w:rPr>
                <w:sz w:val="15"/>
                <w:szCs w:val="15"/>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(182,297)</w:t>
            </w:r>
          </w:p>
        </w:tc>
        <w:tc>
          <w:tcPr>
            <w:tcW w:w="400" w:type="dxa"/>
            <w:vAlign w:val="bottom"/>
          </w:tcPr>
          <w:p>
            <w:pPr>
              <w:spacing w:after="0"/>
              <w:rPr>
                <w:sz w:val="15"/>
                <w:szCs w:val="15"/>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(24,844)</w:t>
            </w:r>
          </w:p>
        </w:tc>
      </w:tr>
      <w:tr>
        <w:trPr>
          <w:trHeight w:val="176"/>
        </w:trPr>
        <w:tc>
          <w:tcPr>
            <w:tcW w:w="420" w:type="dxa"/>
            <w:vAlign w:val="bottom"/>
          </w:tcPr>
          <w:p>
            <w:pPr>
              <w:spacing w:after="0"/>
              <w:rPr>
                <w:sz w:val="15"/>
                <w:szCs w:val="15"/>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8,283</w:t>
            </w:r>
          </w:p>
        </w:tc>
        <w:tc>
          <w:tcPr>
            <w:tcW w:w="400" w:type="dxa"/>
            <w:vAlign w:val="bottom"/>
          </w:tcPr>
          <w:p>
            <w:pPr>
              <w:spacing w:after="0"/>
              <w:rPr>
                <w:sz w:val="15"/>
                <w:szCs w:val="15"/>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2,797</w:t>
            </w:r>
          </w:p>
        </w:tc>
      </w:tr>
      <w:tr>
        <w:trPr>
          <w:trHeight w:val="176"/>
        </w:trPr>
        <w:tc>
          <w:tcPr>
            <w:tcW w:w="420" w:type="dxa"/>
            <w:vAlign w:val="bottom"/>
          </w:tcPr>
          <w:p>
            <w:pPr>
              <w:spacing w:after="0"/>
              <w:rPr>
                <w:sz w:val="15"/>
                <w:szCs w:val="15"/>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(24,042)</w:t>
            </w:r>
          </w:p>
        </w:tc>
        <w:tc>
          <w:tcPr>
            <w:tcW w:w="400" w:type="dxa"/>
            <w:vAlign w:val="bottom"/>
          </w:tcPr>
          <w:p>
            <w:pPr>
              <w:spacing w:after="0"/>
              <w:rPr>
                <w:sz w:val="15"/>
                <w:szCs w:val="15"/>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181"/>
        </w:trPr>
        <w:tc>
          <w:tcPr>
            <w:tcW w:w="4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(5,526)</w:t>
            </w:r>
          </w:p>
        </w:tc>
        <w:tc>
          <w:tcPr>
            <w:tcW w:w="4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1,216</w:t>
            </w:r>
          </w:p>
        </w:tc>
      </w:tr>
      <w:tr>
        <w:trPr>
          <w:trHeight w:val="176"/>
        </w:trPr>
        <w:tc>
          <w:tcPr>
            <w:tcW w:w="420" w:type="dxa"/>
            <w:vAlign w:val="bottom"/>
          </w:tcPr>
          <w:p>
            <w:pPr>
              <w:spacing w:after="0"/>
              <w:rPr>
                <w:sz w:val="15"/>
                <w:szCs w:val="15"/>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408,356</w:t>
            </w:r>
          </w:p>
        </w:tc>
        <w:tc>
          <w:tcPr>
            <w:tcW w:w="400" w:type="dxa"/>
            <w:vAlign w:val="bottom"/>
          </w:tcPr>
          <w:p>
            <w:pPr>
              <w:spacing w:after="0"/>
              <w:rPr>
                <w:sz w:val="15"/>
                <w:szCs w:val="15"/>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14,169</w:t>
            </w:r>
          </w:p>
        </w:tc>
      </w:tr>
      <w:tr>
        <w:trPr>
          <w:trHeight w:val="344"/>
        </w:trPr>
        <w:tc>
          <w:tcPr>
            <w:tcW w:w="4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(6,175)</w:t>
            </w:r>
          </w:p>
        </w:tc>
        <w:tc>
          <w:tcPr>
            <w:tcW w:w="4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7,680</w:t>
            </w:r>
          </w:p>
        </w:tc>
      </w:tr>
      <w:tr>
        <w:trPr>
          <w:trHeight w:val="164"/>
        </w:trPr>
        <w:tc>
          <w:tcPr>
            <w:tcW w:w="420" w:type="dxa"/>
            <w:vAlign w:val="bottom"/>
          </w:tcPr>
          <w:p>
            <w:pPr>
              <w:spacing w:after="0"/>
              <w:rPr>
                <w:sz w:val="14"/>
                <w:szCs w:val="14"/>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(376,185)</w:t>
            </w:r>
          </w:p>
        </w:tc>
        <w:tc>
          <w:tcPr>
            <w:tcW w:w="400" w:type="dxa"/>
            <w:vAlign w:val="bottom"/>
          </w:tcPr>
          <w:p>
            <w:pPr>
              <w:spacing w:after="0"/>
              <w:rPr>
                <w:sz w:val="14"/>
                <w:szCs w:val="14"/>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4,019</w:t>
            </w:r>
          </w:p>
        </w:tc>
      </w:tr>
      <w:tr>
        <w:trPr>
          <w:trHeight w:val="181"/>
        </w:trPr>
        <w:tc>
          <w:tcPr>
            <w:tcW w:w="4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487,335</w:t>
            </w:r>
          </w:p>
        </w:tc>
        <w:tc>
          <w:tcPr>
            <w:tcW w:w="4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133,565</w:t>
            </w:r>
          </w:p>
        </w:tc>
      </w:tr>
      <w:tr>
        <w:trPr>
          <w:trHeight w:val="169"/>
        </w:trPr>
        <w:tc>
          <w:tcPr>
            <w:tcW w:w="4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111,150</w:t>
            </w:r>
          </w:p>
        </w:tc>
        <w:tc>
          <w:tcPr>
            <w:tcW w:w="4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137,584</w:t>
            </w: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7560" w:space="720"/>
            <w:col w:w="3140"/>
          </w:cols>
          <w:pgMar w:left="240" w:top="130" w:right="23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22"/>
          <w:szCs w:val="22"/>
          <w:b w:val="1"/>
          <w:bCs w:val="1"/>
          <w:color w:val="auto"/>
        </w:rPr>
        <w:t>About Non-GAAP Financial Measures</w:t>
      </w:r>
    </w:p>
    <w:p>
      <w:pPr>
        <w:spacing w:after="0" w:line="213" w:lineRule="exact"/>
        <w:rPr>
          <w:sz w:val="20"/>
          <w:szCs w:val="20"/>
          <w:color w:val="auto"/>
        </w:rPr>
      </w:pPr>
    </w:p>
    <w:p>
      <w:pPr>
        <w:ind w:right="80"/>
        <w:spacing w:after="0" w:line="277" w:lineRule="auto"/>
        <w:rPr>
          <w:sz w:val="20"/>
          <w:szCs w:val="20"/>
          <w:color w:val="auto"/>
        </w:rPr>
      </w:pPr>
      <w:r>
        <w:rPr>
          <w:rFonts w:ascii="Arial" w:cs="Arial" w:eastAsia="Arial" w:hAnsi="Arial"/>
          <w:sz w:val="19"/>
          <w:szCs w:val="19"/>
          <w:color w:val="auto"/>
        </w:rPr>
        <w:t>The accompanying press release contains non-GAAP financial measures. To supplement our consolidated financial statements, which are prepared in accordance with GAAP, we use certain non-GAAP financial measures, including non-GAAP operating expense, non-GAAP operating income, non-GAAP net income, non-GAAP diluted EPS, adjusted EBITDA, constant currency and free cash flow. The presentation of this financial information is not intended to be considered in isolation or as a substitute for, or superior to, the financial information prepared and presented in accordance with GAAP, and other companies may define such measures differently. For more information on these non-GAAP financial measures please see the table captioned “Reconciliations of Non-GAAP Financial Measures to Most Directly Comparable GAAP Financial Measures.”</w:t>
      </w:r>
    </w:p>
    <w:p>
      <w:pPr>
        <w:spacing w:after="0" w:line="153"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We use these non-GAAP financial measures for financial and operational decision making and/or as a means for determining executive compensation. Management believes that these non-GAAP financial measures provide meaningful supplemental information regarding our performance and ability to service debt by excluding certain expenses that may not be indicative of our recurring core operating results. These non-GAAP financial measures facilitate management’s internal comparisons to our historical performance as well as comparisons to our competitors’ operating results. Our executive compensation plans exclude non-cash charges related to amortization of intangibles and certain discrete cash and non-cash charges such as acquisition and integration related expenses, restructuring charges or goodwill impairment charges. We believe that both management and investors benefit from referring to these non-GAAP financial measures in assessing our performance and when planning, forecasting and analyzing future periods. We believe these non-GAAP financial measures are useful to investors because they provide greater transparency with respect to key metrics used by management in its financial and operational decision making and because they are used by our institutional investors and the analyst community to analyze the health of our business.</w:t>
      </w:r>
    </w:p>
    <w:p>
      <w:pPr>
        <w:spacing w:after="0" w:line="156" w:lineRule="exact"/>
        <w:rPr>
          <w:sz w:val="20"/>
          <w:szCs w:val="20"/>
          <w:color w:val="auto"/>
        </w:rPr>
      </w:pPr>
    </w:p>
    <w:p>
      <w:pPr>
        <w:spacing w:after="0" w:line="271" w:lineRule="auto"/>
        <w:rPr>
          <w:sz w:val="20"/>
          <w:szCs w:val="20"/>
          <w:color w:val="auto"/>
        </w:rPr>
      </w:pPr>
      <w:r>
        <w:rPr>
          <w:rFonts w:ascii="Arial" w:cs="Arial" w:eastAsia="Arial" w:hAnsi="Arial"/>
          <w:sz w:val="19"/>
          <w:szCs w:val="19"/>
          <w:u w:val="single" w:color="auto"/>
          <w:color w:val="auto"/>
        </w:rPr>
        <w:t>Non-GAAP operating expenses and non-GAAP operating income</w:t>
      </w:r>
      <w:r>
        <w:rPr>
          <w:rFonts w:ascii="Arial" w:cs="Arial" w:eastAsia="Arial" w:hAnsi="Arial"/>
          <w:sz w:val="19"/>
          <w:szCs w:val="19"/>
          <w:color w:val="auto"/>
        </w:rPr>
        <w:t xml:space="preserve"> - We define non-GAAP operating expenses as operating expenses excluding certain expenses related to the amortization of intangible assets, restructuring, acquisition and integration, and goodwill impairment. We define non-GAAP operating income as operating income excluding the expenses related to the amortization of intangible assets, restructuring, acquisition and integration, and goodwill impairment. Acquisition and integration related expenses include costs which are incurred to affect and integrate business combinations, such as professional fees, certain employee retention and salaries related to integration, severances, contract terminations, travel costs related to knowledge transfer, system conversion costs, and asset impairment charges. We consider these non-GAAP financial measures to be useful metrics for management and investors because they exclude the effect of expenses that are related to acquisitions and restructuring projects. By excluding these expenses, we believe that it is easier for management and investors to compare our financial results over multiple periods and analyze trends in our operations. For example, in certain periods expenses related to amortization of intangible assets may decrease, which would improve GAAP operating margins, yet the improvement in GAAP operating margins due to this lower expense is not necessarily reflective of an improvement in our core business. There are some limitations related to the use of non-GAAP operating expenses and non-GAAP operating income versus operating expenses and operating income calculated in accordance with GAAP. We compensate for these limitations by providing specific information about the GAAP amounts excluded from non-GAAP operating expense and non-GAAP operating income and evaluating non-GAAP operating expense and non-GAAP operating income together with GAAP operating expense and GAAP 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272020" cy="596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00"/>
          </w:cols>
          <w:pgMar w:left="240" w:top="112" w:right="259" w:bottom="1440" w:gutter="0" w:footer="0" w:header="0"/>
        </w:sectPr>
      </w:pPr>
    </w:p>
    <w:bookmarkStart w:id="14" w:name="page15"/>
    <w:bookmarkEnd w:id="14"/>
    <w:p>
      <w:pPr>
        <w:ind w:right="60"/>
        <w:spacing w:after="0" w:line="274" w:lineRule="auto"/>
        <w:rPr>
          <w:sz w:val="20"/>
          <w:szCs w:val="20"/>
          <w:color w:val="auto"/>
        </w:rPr>
      </w:pPr>
      <w:r>
        <w:rPr>
          <w:rFonts w:ascii="Arial" w:cs="Arial" w:eastAsia="Arial" w:hAnsi="Arial"/>
          <w:sz w:val="19"/>
          <w:szCs w:val="19"/>
          <w:u w:val="single" w:color="auto"/>
          <w:color w:val="auto"/>
        </w:rPr>
        <w:t>Non-GAAP net income and non-GAAP diluted EPS</w:t>
      </w:r>
      <w:r>
        <w:rPr>
          <w:rFonts w:ascii="Arial" w:cs="Arial" w:eastAsia="Arial" w:hAnsi="Arial"/>
          <w:sz w:val="19"/>
          <w:szCs w:val="19"/>
          <w:color w:val="auto"/>
        </w:rPr>
        <w:t xml:space="preserve"> - We define non-GAAP net income as net income attributable to Itron, Inc. excluding the expenses associated with amortization of intangible assets, restructuring, acquisition and integration, goodwill impairment, amortization of debt placement fees, the transition to the Tax Cuts and Jobs Act, and the tax effect of excluding these expenses. We define non-GAAP diluted EPS as non-GAAP net income divided by the weighted average shares, on a diluted basis, outstanding during each period. We consider these financial measures to be useful metrics for management and investors for the same reasons that we use non-GAAP operating income. The same limitations described above regarding our use of non-GAAP operating income apply to our use of non-GAAP net income and non-GAAP diluted EPS. We compensate for these limitations by providing specific information regarding the GAAP amounts excluded from these non-GAAP measures and evaluating non-GAAP net income and non-GAAP diluted EPS together with GAAP net income attributable to Itron, Inc. and GAAP diluted EPS.</w:t>
      </w:r>
    </w:p>
    <w:p>
      <w:pPr>
        <w:spacing w:after="0" w:line="160" w:lineRule="exact"/>
        <w:rPr>
          <w:sz w:val="20"/>
          <w:szCs w:val="20"/>
          <w:color w:val="auto"/>
        </w:rPr>
      </w:pPr>
    </w:p>
    <w:p>
      <w:pPr>
        <w:spacing w:after="0" w:line="277" w:lineRule="auto"/>
        <w:rPr>
          <w:sz w:val="20"/>
          <w:szCs w:val="20"/>
          <w:color w:val="auto"/>
        </w:rPr>
      </w:pPr>
      <w:r>
        <w:rPr>
          <w:rFonts w:ascii="Arial" w:cs="Arial" w:eastAsia="Arial" w:hAnsi="Arial"/>
          <w:sz w:val="19"/>
          <w:szCs w:val="19"/>
          <w:u w:val="single" w:color="auto"/>
          <w:color w:val="auto"/>
        </w:rPr>
        <w:t>Adjusted EBITDA</w:t>
      </w:r>
      <w:r>
        <w:rPr>
          <w:rFonts w:ascii="Arial" w:cs="Arial" w:eastAsia="Arial" w:hAnsi="Arial"/>
          <w:sz w:val="19"/>
          <w:szCs w:val="19"/>
          <w:color w:val="auto"/>
        </w:rPr>
        <w:t xml:space="preserve"> - We define adjusted EBITDA as net income (a) minus interest income, (b) plus interest expense, depreciation and amortization, restructuring, acquisition and integration related expense, goodwill impairment and (c) excluding income tax provision or benefit. Management uses adjusted EBITDA as a performance measure for executive compensation. A limitation to using adjusted EBITDA is that it does not represent the total increase or decrease in the cash balance for the period and the measure includes some non-cash items and excludes other non-cash items. Additionally, the items that we exclude in our calculation of adjusted EBITDA may differ from the items that our peer companies exclude when they report their results. We compensate for these limitations by providing a reconciliation of this measure to GAAP net income.</w:t>
      </w:r>
    </w:p>
    <w:p>
      <w:pPr>
        <w:spacing w:after="0" w:line="153" w:lineRule="exact"/>
        <w:rPr>
          <w:sz w:val="20"/>
          <w:szCs w:val="20"/>
          <w:color w:val="auto"/>
        </w:rPr>
      </w:pPr>
    </w:p>
    <w:p>
      <w:pPr>
        <w:ind w:right="60"/>
        <w:spacing w:after="0" w:line="249" w:lineRule="auto"/>
        <w:rPr>
          <w:sz w:val="20"/>
          <w:szCs w:val="20"/>
          <w:color w:val="auto"/>
        </w:rPr>
      </w:pPr>
      <w:r>
        <w:rPr>
          <w:rFonts w:ascii="Arial" w:cs="Arial" w:eastAsia="Arial" w:hAnsi="Arial"/>
          <w:sz w:val="21"/>
          <w:szCs w:val="21"/>
          <w:u w:val="single" w:color="auto"/>
          <w:color w:val="auto"/>
        </w:rPr>
        <w:t>Free cash flow</w:t>
      </w:r>
      <w:r>
        <w:rPr>
          <w:rFonts w:ascii="Arial" w:cs="Arial" w:eastAsia="Arial" w:hAnsi="Arial"/>
          <w:sz w:val="21"/>
          <w:szCs w:val="21"/>
          <w:color w:val="auto"/>
        </w:rPr>
        <w:t xml:space="preserve"> - We define free cash flow as net cash provided by operating activities less cash used for acquisitions of property, plant and equipment. We believe free cash flow provides investors with a relevant measure of liquidity and a useful basis for assessing our ability to fund our operations and repay our debt. The same limitations described above regarding our use of adjusted EBITDA apply to our use of free cash flow. We compensate for these limitations by providing specific information regarding the GAAP amounts and reconciling to free cash flow.</w:t>
      </w:r>
    </w:p>
    <w:p>
      <w:pPr>
        <w:spacing w:after="0" w:line="179" w:lineRule="exact"/>
        <w:rPr>
          <w:sz w:val="20"/>
          <w:szCs w:val="20"/>
          <w:color w:val="auto"/>
        </w:rPr>
      </w:pPr>
    </w:p>
    <w:p>
      <w:pPr>
        <w:ind w:right="200"/>
        <w:spacing w:after="0" w:line="279" w:lineRule="auto"/>
        <w:rPr>
          <w:sz w:val="20"/>
          <w:szCs w:val="20"/>
          <w:color w:val="auto"/>
        </w:rPr>
      </w:pPr>
      <w:r>
        <w:rPr>
          <w:rFonts w:ascii="Arial" w:cs="Arial" w:eastAsia="Arial" w:hAnsi="Arial"/>
          <w:sz w:val="19"/>
          <w:szCs w:val="19"/>
          <w:u w:val="single" w:color="auto"/>
          <w:color w:val="auto"/>
        </w:rPr>
        <w:t>Constant currency</w:t>
      </w:r>
      <w:r>
        <w:rPr>
          <w:rFonts w:ascii="Arial" w:cs="Arial" w:eastAsia="Arial" w:hAnsi="Arial"/>
          <w:sz w:val="19"/>
          <w:szCs w:val="19"/>
          <w:color w:val="auto"/>
        </w:rPr>
        <w:t xml:space="preserve"> - We refer to the impact of foreign currency exchange rate fluctuations in our discussions of financial results, which references the differences between the foreign currency exchange rates used to translate operating results from local currencies into U.S. dollars for financial reporting purposes. We also use the term “constant currency,” which represents financial results adjusted to exclude changes in foreign currency exchange rates as compared with the rates in the comparable prior year period. We calculate the constant currency change as the difference between the current period results and the comparable prior period’s results restated using current period foreign currency exchange rates.</w:t>
      </w:r>
    </w:p>
    <w:p>
      <w:pPr>
        <w:spacing w:after="0" w:line="151" w:lineRule="exact"/>
        <w:rPr>
          <w:sz w:val="20"/>
          <w:szCs w:val="20"/>
          <w:color w:val="auto"/>
        </w:rPr>
      </w:pPr>
    </w:p>
    <w:p>
      <w:pPr>
        <w:ind w:right="260"/>
        <w:spacing w:after="0" w:line="251" w:lineRule="auto"/>
        <w:rPr>
          <w:sz w:val="20"/>
          <w:szCs w:val="20"/>
          <w:color w:val="auto"/>
        </w:rPr>
      </w:pPr>
      <w:r>
        <w:rPr>
          <w:rFonts w:ascii="Arial" w:cs="Arial" w:eastAsia="Arial" w:hAnsi="Arial"/>
          <w:sz w:val="22"/>
          <w:szCs w:val="22"/>
          <w:color w:val="auto"/>
        </w:rPr>
        <w:t>The accompanying tables have more detail on the GAAP financial measures that are most directly comparable to the non-GAAP financial measures and the related reconciliations between these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272020" cy="596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5" w:name="page16"/>
    <w:bookmarkEnd w:id="15"/>
    <w:p>
      <w:pPr>
        <w:jc w:val="center"/>
        <w:spacing w:after="0"/>
        <w:rPr>
          <w:sz w:val="20"/>
          <w:szCs w:val="20"/>
          <w:color w:val="auto"/>
        </w:rPr>
      </w:pPr>
      <w:r>
        <w:rPr>
          <w:rFonts w:ascii="Arial" w:cs="Arial" w:eastAsia="Arial" w:hAnsi="Arial"/>
          <w:sz w:val="14"/>
          <w:szCs w:val="14"/>
          <w:b w:val="1"/>
          <w:bCs w:val="1"/>
          <w:color w:val="auto"/>
        </w:rPr>
        <w:t>ITRON,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RECONCILIATIONS OF NON-GAAP FINANCIAL MEASURES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TO THE MOST DIRECTLY COMPARABLE GAAP FINANCIAL MEASURES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960" w:type="dxa"/>
            <w:vAlign w:val="bottom"/>
          </w:tcPr>
          <w:p>
            <w:pPr>
              <w:spacing w:after="0"/>
              <w:rPr>
                <w:sz w:val="20"/>
                <w:szCs w:val="20"/>
                <w:color w:val="auto"/>
              </w:rPr>
            </w:pPr>
            <w:r>
              <w:rPr>
                <w:rFonts w:ascii="Arial" w:cs="Arial" w:eastAsia="Arial" w:hAnsi="Arial"/>
                <w:sz w:val="14"/>
                <w:szCs w:val="14"/>
                <w:color w:val="auto"/>
              </w:rPr>
              <w:t>(Unaudited, in thousands, except per share data)</w:t>
            </w:r>
          </w:p>
        </w:tc>
        <w:tc>
          <w:tcPr>
            <w:tcW w:w="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0"/>
        </w:trPr>
        <w:tc>
          <w:tcPr>
            <w:tcW w:w="4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TOTAL COMPANY RECONCILIATIONS</w:t>
            </w:r>
          </w:p>
        </w:tc>
        <w:tc>
          <w:tcPr>
            <w:tcW w:w="34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3"/>
          </w:tcPr>
          <w:p>
            <w:pPr>
              <w:jc w:val="right"/>
              <w:ind w:right="428"/>
              <w:spacing w:after="0"/>
              <w:rPr>
                <w:sz w:val="20"/>
                <w:szCs w:val="20"/>
                <w:color w:val="auto"/>
              </w:rPr>
            </w:pPr>
            <w:r>
              <w:rPr>
                <w:rFonts w:ascii="Arial" w:cs="Arial" w:eastAsia="Arial" w:hAnsi="Arial"/>
                <w:sz w:val="14"/>
                <w:szCs w:val="14"/>
                <w:b w:val="1"/>
                <w:bCs w:val="1"/>
                <w:color w:val="auto"/>
                <w:w w:val="99"/>
              </w:rPr>
              <w:t>Three Months Ended September 30,</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3"/>
          </w:tcPr>
          <w:p>
            <w:pPr>
              <w:jc w:val="right"/>
              <w:ind w:right="428"/>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169"/>
        </w:trPr>
        <w:tc>
          <w:tcPr>
            <w:tcW w:w="49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64"/>
        </w:trPr>
        <w:tc>
          <w:tcPr>
            <w:tcW w:w="4960" w:type="dxa"/>
            <w:vAlign w:val="bottom"/>
          </w:tcPr>
          <w:p>
            <w:pPr>
              <w:ind w:left="100"/>
              <w:spacing w:after="0"/>
              <w:rPr>
                <w:sz w:val="20"/>
                <w:szCs w:val="20"/>
                <w:color w:val="auto"/>
              </w:rPr>
            </w:pPr>
            <w:r>
              <w:rPr>
                <w:rFonts w:ascii="Arial" w:cs="Arial" w:eastAsia="Arial" w:hAnsi="Arial"/>
                <w:sz w:val="14"/>
                <w:szCs w:val="14"/>
                <w:b w:val="1"/>
                <w:bCs w:val="1"/>
                <w:color w:val="auto"/>
              </w:rPr>
              <w:t>NON-GAAP NET INCOME &amp; DILUTED EPS</w:t>
            </w: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960" w:type="dxa"/>
            <w:vAlign w:val="bottom"/>
          </w:tcPr>
          <w:p>
            <w:pPr>
              <w:ind w:left="200"/>
              <w:spacing w:after="0"/>
              <w:rPr>
                <w:sz w:val="20"/>
                <w:szCs w:val="20"/>
                <w:color w:val="auto"/>
              </w:rPr>
            </w:pPr>
            <w:r>
              <w:rPr>
                <w:rFonts w:ascii="Arial" w:cs="Arial" w:eastAsia="Arial" w:hAnsi="Arial"/>
                <w:sz w:val="14"/>
                <w:szCs w:val="14"/>
                <w:color w:val="auto"/>
              </w:rPr>
              <w:t>GAAP net income (loss) attributable to Itron, Inc.</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108"/>
              <w:spacing w:after="0"/>
              <w:rPr>
                <w:sz w:val="20"/>
                <w:szCs w:val="20"/>
                <w:color w:val="auto"/>
              </w:rPr>
            </w:pPr>
            <w:r>
              <w:rPr>
                <w:rFonts w:ascii="Arial" w:cs="Arial" w:eastAsia="Arial" w:hAnsi="Arial"/>
                <w:sz w:val="14"/>
                <w:szCs w:val="14"/>
                <w:color w:val="auto"/>
              </w:rPr>
              <w:t>19,882</w:t>
            </w:r>
          </w:p>
        </w:tc>
        <w:tc>
          <w:tcPr>
            <w:tcW w:w="42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25,576</w:t>
            </w:r>
          </w:p>
        </w:tc>
        <w:tc>
          <w:tcPr>
            <w:tcW w:w="4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(123,127)</w:t>
            </w:r>
          </w:p>
        </w:tc>
        <w:tc>
          <w:tcPr>
            <w:tcW w:w="4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55,518</w:t>
            </w:r>
          </w:p>
        </w:tc>
        <w:tc>
          <w:tcPr>
            <w:tcW w:w="0" w:type="dxa"/>
            <w:vAlign w:val="bottom"/>
          </w:tcPr>
          <w:p>
            <w:pPr>
              <w:spacing w:after="0"/>
              <w:rPr>
                <w:sz w:val="1"/>
                <w:szCs w:val="1"/>
                <w:color w:val="auto"/>
              </w:rPr>
            </w:pPr>
          </w:p>
        </w:tc>
      </w:tr>
      <w:tr>
        <w:trPr>
          <w:trHeight w:val="176"/>
        </w:trPr>
        <w:tc>
          <w:tcPr>
            <w:tcW w:w="4960" w:type="dxa"/>
            <w:vAlign w:val="bottom"/>
          </w:tcPr>
          <w:p>
            <w:pPr>
              <w:ind w:left="300"/>
              <w:spacing w:after="0"/>
              <w:rPr>
                <w:sz w:val="20"/>
                <w:szCs w:val="20"/>
                <w:color w:val="auto"/>
              </w:rPr>
            </w:pPr>
            <w:r>
              <w:rPr>
                <w:rFonts w:ascii="Arial" w:cs="Arial" w:eastAsia="Arial" w:hAnsi="Arial"/>
                <w:sz w:val="14"/>
                <w:szCs w:val="14"/>
                <w:color w:val="auto"/>
              </w:rPr>
              <w:t>Amortization of intangible assets</w:t>
            </w:r>
          </w:p>
        </w:tc>
        <w:tc>
          <w:tcPr>
            <w:tcW w:w="340" w:type="dxa"/>
            <w:vAlign w:val="bottom"/>
          </w:tcPr>
          <w:p>
            <w:pPr>
              <w:spacing w:after="0"/>
              <w:rPr>
                <w:sz w:val="15"/>
                <w:szCs w:val="15"/>
                <w:color w:val="auto"/>
              </w:rPr>
            </w:pPr>
          </w:p>
        </w:tc>
        <w:tc>
          <w:tcPr>
            <w:tcW w:w="1260" w:type="dxa"/>
            <w:vAlign w:val="bottom"/>
          </w:tcPr>
          <w:p>
            <w:pPr>
              <w:jc w:val="right"/>
              <w:ind w:right="108"/>
              <w:spacing w:after="0"/>
              <w:rPr>
                <w:sz w:val="20"/>
                <w:szCs w:val="20"/>
                <w:color w:val="auto"/>
              </w:rPr>
            </w:pPr>
            <w:r>
              <w:rPr>
                <w:rFonts w:ascii="Arial" w:cs="Arial" w:eastAsia="Arial" w:hAnsi="Arial"/>
                <w:sz w:val="14"/>
                <w:szCs w:val="14"/>
                <w:color w:val="auto"/>
              </w:rPr>
              <w:t>17,960</w:t>
            </w:r>
          </w:p>
        </w:tc>
        <w:tc>
          <w:tcPr>
            <w:tcW w:w="420" w:type="dxa"/>
            <w:vAlign w:val="bottom"/>
          </w:tcPr>
          <w:p>
            <w:pPr>
              <w:spacing w:after="0"/>
              <w:rPr>
                <w:sz w:val="15"/>
                <w:szCs w:val="15"/>
                <w:color w:val="auto"/>
              </w:rPr>
            </w:pP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5,625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53,699</w:t>
            </w:r>
          </w:p>
        </w:tc>
        <w:tc>
          <w:tcPr>
            <w:tcW w:w="400" w:type="dxa"/>
            <w:vAlign w:val="bottom"/>
          </w:tcPr>
          <w:p>
            <w:pPr>
              <w:spacing w:after="0"/>
              <w:rPr>
                <w:sz w:val="15"/>
                <w:szCs w:val="15"/>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15,144</w:t>
            </w:r>
          </w:p>
        </w:tc>
        <w:tc>
          <w:tcPr>
            <w:tcW w:w="0" w:type="dxa"/>
            <w:vAlign w:val="bottom"/>
          </w:tcPr>
          <w:p>
            <w:pPr>
              <w:spacing w:after="0"/>
              <w:rPr>
                <w:sz w:val="1"/>
                <w:szCs w:val="1"/>
                <w:color w:val="auto"/>
              </w:rPr>
            </w:pPr>
          </w:p>
        </w:tc>
      </w:tr>
      <w:tr>
        <w:trPr>
          <w:trHeight w:val="176"/>
        </w:trPr>
        <w:tc>
          <w:tcPr>
            <w:tcW w:w="4960" w:type="dxa"/>
            <w:vAlign w:val="bottom"/>
          </w:tcPr>
          <w:p>
            <w:pPr>
              <w:ind w:left="300"/>
              <w:spacing w:after="0"/>
              <w:rPr>
                <w:sz w:val="20"/>
                <w:szCs w:val="20"/>
                <w:color w:val="auto"/>
              </w:rPr>
            </w:pPr>
            <w:r>
              <w:rPr>
                <w:rFonts w:ascii="Arial" w:cs="Arial" w:eastAsia="Arial" w:hAnsi="Arial"/>
                <w:sz w:val="14"/>
                <w:szCs w:val="14"/>
                <w:color w:val="auto"/>
              </w:rPr>
              <w:t>Amortization of debt placement fees</w:t>
            </w:r>
          </w:p>
        </w:tc>
        <w:tc>
          <w:tcPr>
            <w:tcW w:w="340" w:type="dxa"/>
            <w:vAlign w:val="bottom"/>
          </w:tcPr>
          <w:p>
            <w:pPr>
              <w:spacing w:after="0"/>
              <w:rPr>
                <w:sz w:val="15"/>
                <w:szCs w:val="15"/>
                <w:color w:val="auto"/>
              </w:rPr>
            </w:pPr>
          </w:p>
        </w:tc>
        <w:tc>
          <w:tcPr>
            <w:tcW w:w="1260" w:type="dxa"/>
            <w:vAlign w:val="bottom"/>
          </w:tcPr>
          <w:p>
            <w:pPr>
              <w:jc w:val="right"/>
              <w:ind w:right="108"/>
              <w:spacing w:after="0"/>
              <w:rPr>
                <w:sz w:val="20"/>
                <w:szCs w:val="20"/>
                <w:color w:val="auto"/>
              </w:rPr>
            </w:pPr>
            <w:r>
              <w:rPr>
                <w:rFonts w:ascii="Arial" w:cs="Arial" w:eastAsia="Arial" w:hAnsi="Arial"/>
                <w:sz w:val="14"/>
                <w:szCs w:val="14"/>
                <w:color w:val="auto"/>
              </w:rPr>
              <w:t>1,178</w:t>
            </w:r>
          </w:p>
        </w:tc>
        <w:tc>
          <w:tcPr>
            <w:tcW w:w="420" w:type="dxa"/>
            <w:vAlign w:val="bottom"/>
          </w:tcPr>
          <w:p>
            <w:pPr>
              <w:spacing w:after="0"/>
              <w:rPr>
                <w:sz w:val="15"/>
                <w:szCs w:val="15"/>
                <w:color w:val="auto"/>
              </w:rPr>
            </w:pP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242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5,693</w:t>
            </w:r>
          </w:p>
        </w:tc>
        <w:tc>
          <w:tcPr>
            <w:tcW w:w="400" w:type="dxa"/>
            <w:vAlign w:val="bottom"/>
          </w:tcPr>
          <w:p>
            <w:pPr>
              <w:spacing w:after="0"/>
              <w:rPr>
                <w:sz w:val="15"/>
                <w:szCs w:val="15"/>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725</w:t>
            </w:r>
          </w:p>
        </w:tc>
        <w:tc>
          <w:tcPr>
            <w:tcW w:w="0" w:type="dxa"/>
            <w:vAlign w:val="bottom"/>
          </w:tcPr>
          <w:p>
            <w:pPr>
              <w:spacing w:after="0"/>
              <w:rPr>
                <w:sz w:val="1"/>
                <w:szCs w:val="1"/>
                <w:color w:val="auto"/>
              </w:rPr>
            </w:pPr>
          </w:p>
        </w:tc>
      </w:tr>
      <w:tr>
        <w:trPr>
          <w:trHeight w:val="176"/>
        </w:trPr>
        <w:tc>
          <w:tcPr>
            <w:tcW w:w="4960" w:type="dxa"/>
            <w:vAlign w:val="bottom"/>
          </w:tcPr>
          <w:p>
            <w:pPr>
              <w:ind w:left="300"/>
              <w:spacing w:after="0"/>
              <w:rPr>
                <w:sz w:val="20"/>
                <w:szCs w:val="20"/>
                <w:color w:val="auto"/>
              </w:rPr>
            </w:pPr>
            <w:r>
              <w:rPr>
                <w:rFonts w:ascii="Arial" w:cs="Arial" w:eastAsia="Arial" w:hAnsi="Arial"/>
                <w:sz w:val="14"/>
                <w:szCs w:val="14"/>
                <w:color w:val="auto"/>
              </w:rPr>
              <w:t>Restructuring</w:t>
            </w:r>
          </w:p>
        </w:tc>
        <w:tc>
          <w:tcPr>
            <w:tcW w:w="340" w:type="dxa"/>
            <w:vAlign w:val="bottom"/>
          </w:tcPr>
          <w:p>
            <w:pPr>
              <w:spacing w:after="0"/>
              <w:rPr>
                <w:sz w:val="15"/>
                <w:szCs w:val="15"/>
                <w:color w:val="auto"/>
              </w:rPr>
            </w:pPr>
          </w:p>
        </w:tc>
        <w:tc>
          <w:tcPr>
            <w:tcW w:w="1260" w:type="dxa"/>
            <w:vAlign w:val="bottom"/>
          </w:tcPr>
          <w:p>
            <w:pPr>
              <w:jc w:val="right"/>
              <w:ind w:right="108"/>
              <w:spacing w:after="0"/>
              <w:rPr>
                <w:sz w:val="20"/>
                <w:szCs w:val="20"/>
                <w:color w:val="auto"/>
              </w:rPr>
            </w:pPr>
            <w:r>
              <w:rPr>
                <w:rFonts w:ascii="Arial" w:cs="Arial" w:eastAsia="Arial" w:hAnsi="Arial"/>
                <w:sz w:val="14"/>
                <w:szCs w:val="14"/>
                <w:color w:val="auto"/>
              </w:rPr>
              <w:t>666</w:t>
            </w:r>
          </w:p>
        </w:tc>
        <w:tc>
          <w:tcPr>
            <w:tcW w:w="420" w:type="dxa"/>
            <w:vAlign w:val="bottom"/>
          </w:tcPr>
          <w:p>
            <w:pPr>
              <w:spacing w:after="0"/>
              <w:rPr>
                <w:sz w:val="15"/>
                <w:szCs w:val="15"/>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(678)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82,908</w:t>
            </w:r>
          </w:p>
        </w:tc>
        <w:tc>
          <w:tcPr>
            <w:tcW w:w="400" w:type="dxa"/>
            <w:vAlign w:val="bottom"/>
          </w:tcPr>
          <w:p>
            <w:pPr>
              <w:spacing w:after="0"/>
              <w:rPr>
                <w:sz w:val="15"/>
                <w:szCs w:val="15"/>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7,417</w:t>
            </w:r>
          </w:p>
        </w:tc>
        <w:tc>
          <w:tcPr>
            <w:tcW w:w="0" w:type="dxa"/>
            <w:vAlign w:val="bottom"/>
          </w:tcPr>
          <w:p>
            <w:pPr>
              <w:spacing w:after="0"/>
              <w:rPr>
                <w:sz w:val="1"/>
                <w:szCs w:val="1"/>
                <w:color w:val="auto"/>
              </w:rPr>
            </w:pPr>
          </w:p>
        </w:tc>
      </w:tr>
      <w:tr>
        <w:trPr>
          <w:trHeight w:val="176"/>
        </w:trPr>
        <w:tc>
          <w:tcPr>
            <w:tcW w:w="4960" w:type="dxa"/>
            <w:vAlign w:val="bottom"/>
          </w:tcPr>
          <w:p>
            <w:pPr>
              <w:ind w:left="300"/>
              <w:spacing w:after="0"/>
              <w:rPr>
                <w:sz w:val="20"/>
                <w:szCs w:val="20"/>
                <w:color w:val="auto"/>
              </w:rPr>
            </w:pPr>
            <w:r>
              <w:rPr>
                <w:rFonts w:ascii="Arial" w:cs="Arial" w:eastAsia="Arial" w:hAnsi="Arial"/>
                <w:sz w:val="14"/>
                <w:szCs w:val="14"/>
                <w:color w:val="auto"/>
              </w:rPr>
              <w:t>Acquisition and integration related expense</w:t>
            </w:r>
          </w:p>
        </w:tc>
        <w:tc>
          <w:tcPr>
            <w:tcW w:w="340" w:type="dxa"/>
            <w:vAlign w:val="bottom"/>
          </w:tcPr>
          <w:p>
            <w:pPr>
              <w:spacing w:after="0"/>
              <w:rPr>
                <w:sz w:val="15"/>
                <w:szCs w:val="15"/>
                <w:color w:val="auto"/>
              </w:rPr>
            </w:pPr>
          </w:p>
        </w:tc>
        <w:tc>
          <w:tcPr>
            <w:tcW w:w="1260" w:type="dxa"/>
            <w:vAlign w:val="bottom"/>
          </w:tcPr>
          <w:p>
            <w:pPr>
              <w:jc w:val="right"/>
              <w:ind w:right="108"/>
              <w:spacing w:after="0"/>
              <w:rPr>
                <w:sz w:val="20"/>
                <w:szCs w:val="20"/>
                <w:color w:val="auto"/>
              </w:rPr>
            </w:pPr>
            <w:r>
              <w:rPr>
                <w:rFonts w:ascii="Arial" w:cs="Arial" w:eastAsia="Arial" w:hAnsi="Arial"/>
                <w:sz w:val="14"/>
                <w:szCs w:val="14"/>
                <w:color w:val="auto"/>
              </w:rPr>
              <w:t>10,079</w:t>
            </w:r>
          </w:p>
        </w:tc>
        <w:tc>
          <w:tcPr>
            <w:tcW w:w="420" w:type="dxa"/>
            <w:vAlign w:val="bottom"/>
          </w:tcPr>
          <w:p>
            <w:pPr>
              <w:spacing w:after="0"/>
              <w:rPr>
                <w:sz w:val="15"/>
                <w:szCs w:val="15"/>
                <w:color w:val="auto"/>
              </w:rPr>
            </w:pP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7,243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83,874</w:t>
            </w:r>
          </w:p>
        </w:tc>
        <w:tc>
          <w:tcPr>
            <w:tcW w:w="400" w:type="dxa"/>
            <w:vAlign w:val="bottom"/>
          </w:tcPr>
          <w:p>
            <w:pPr>
              <w:spacing w:after="0"/>
              <w:rPr>
                <w:sz w:val="15"/>
                <w:szCs w:val="15"/>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14,044</w:t>
            </w:r>
          </w:p>
        </w:tc>
        <w:tc>
          <w:tcPr>
            <w:tcW w:w="0" w:type="dxa"/>
            <w:vAlign w:val="bottom"/>
          </w:tcPr>
          <w:p>
            <w:pPr>
              <w:spacing w:after="0"/>
              <w:rPr>
                <w:sz w:val="1"/>
                <w:szCs w:val="1"/>
                <w:color w:val="auto"/>
              </w:rPr>
            </w:pPr>
          </w:p>
        </w:tc>
      </w:tr>
      <w:tr>
        <w:trPr>
          <w:trHeight w:val="181"/>
        </w:trPr>
        <w:tc>
          <w:tcPr>
            <w:tcW w:w="4960" w:type="dxa"/>
            <w:vAlign w:val="bottom"/>
          </w:tcPr>
          <w:p>
            <w:pPr>
              <w:ind w:left="300"/>
              <w:spacing w:after="0"/>
              <w:rPr>
                <w:sz w:val="20"/>
                <w:szCs w:val="20"/>
                <w:color w:val="auto"/>
              </w:rPr>
            </w:pPr>
            <w:r>
              <w:rPr>
                <w:rFonts w:ascii="Arial" w:cs="Arial" w:eastAsia="Arial" w:hAnsi="Arial"/>
                <w:sz w:val="14"/>
                <w:szCs w:val="14"/>
                <w:color w:val="auto"/>
              </w:rPr>
              <w:t>Income tax effect of non-GAAP adjustments</w:t>
            </w:r>
          </w:p>
        </w:tc>
        <w:tc>
          <w:tcPr>
            <w:tcW w:w="3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(4,719)</w:t>
            </w:r>
          </w:p>
        </w:tc>
        <w:tc>
          <w:tcPr>
            <w:tcW w:w="4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(7,423)</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(32,451)</w:t>
            </w:r>
          </w:p>
        </w:tc>
        <w:tc>
          <w:tcPr>
            <w:tcW w:w="4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(12,153)</w:t>
            </w:r>
          </w:p>
        </w:tc>
        <w:tc>
          <w:tcPr>
            <w:tcW w:w="0" w:type="dxa"/>
            <w:vAlign w:val="bottom"/>
          </w:tcPr>
          <w:p>
            <w:pPr>
              <w:spacing w:after="0"/>
              <w:rPr>
                <w:sz w:val="1"/>
                <w:szCs w:val="1"/>
                <w:color w:val="auto"/>
              </w:rPr>
            </w:pPr>
          </w:p>
        </w:tc>
      </w:tr>
      <w:tr>
        <w:trPr>
          <w:trHeight w:val="169"/>
        </w:trPr>
        <w:tc>
          <w:tcPr>
            <w:tcW w:w="4960" w:type="dxa"/>
            <w:vAlign w:val="bottom"/>
          </w:tcPr>
          <w:p>
            <w:pPr>
              <w:ind w:left="200"/>
              <w:spacing w:after="0"/>
              <w:rPr>
                <w:sz w:val="20"/>
                <w:szCs w:val="20"/>
                <w:color w:val="auto"/>
              </w:rPr>
            </w:pPr>
            <w:r>
              <w:rPr>
                <w:rFonts w:ascii="Arial" w:cs="Arial" w:eastAsia="Arial" w:hAnsi="Arial"/>
                <w:sz w:val="14"/>
                <w:szCs w:val="14"/>
                <w:color w:val="auto"/>
              </w:rPr>
              <w:t>Non-GAAP net income attributable to Itron, Inc.</w:t>
            </w:r>
          </w:p>
        </w:tc>
        <w:tc>
          <w:tcPr>
            <w:tcW w:w="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45,046</w:t>
            </w:r>
          </w:p>
        </w:tc>
        <w:tc>
          <w:tcPr>
            <w:tcW w:w="4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30,585</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70,596</w:t>
            </w:r>
          </w:p>
        </w:tc>
        <w:tc>
          <w:tcPr>
            <w:tcW w:w="4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80,695</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4960" w:type="dxa"/>
            <w:vAlign w:val="bottom"/>
          </w:tcPr>
          <w:p>
            <w:pPr>
              <w:ind w:left="200"/>
              <w:spacing w:after="0"/>
              <w:rPr>
                <w:sz w:val="20"/>
                <w:szCs w:val="20"/>
                <w:color w:val="auto"/>
              </w:rPr>
            </w:pPr>
            <w:r>
              <w:rPr>
                <w:rFonts w:ascii="Arial" w:cs="Arial" w:eastAsia="Arial" w:hAnsi="Arial"/>
                <w:sz w:val="14"/>
                <w:szCs w:val="14"/>
                <w:color w:val="auto"/>
              </w:rPr>
              <w:t>Non-GAAP diluted EPS</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108"/>
              <w:spacing w:after="0"/>
              <w:rPr>
                <w:sz w:val="20"/>
                <w:szCs w:val="20"/>
                <w:color w:val="auto"/>
              </w:rPr>
            </w:pPr>
            <w:r>
              <w:rPr>
                <w:rFonts w:ascii="Arial" w:cs="Arial" w:eastAsia="Arial" w:hAnsi="Arial"/>
                <w:sz w:val="14"/>
                <w:szCs w:val="14"/>
                <w:color w:val="auto"/>
              </w:rPr>
              <w:t>1.13</w:t>
            </w:r>
          </w:p>
        </w:tc>
        <w:tc>
          <w:tcPr>
            <w:tcW w:w="42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0.77</w:t>
            </w:r>
          </w:p>
        </w:tc>
        <w:tc>
          <w:tcPr>
            <w:tcW w:w="4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1.77</w:t>
            </w:r>
          </w:p>
        </w:tc>
        <w:tc>
          <w:tcPr>
            <w:tcW w:w="4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2.05</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4960" w:type="dxa"/>
            <w:vAlign w:val="bottom"/>
          </w:tcPr>
          <w:p>
            <w:pPr>
              <w:ind w:left="200"/>
              <w:spacing w:after="0"/>
              <w:rPr>
                <w:sz w:val="20"/>
                <w:szCs w:val="20"/>
                <w:color w:val="auto"/>
              </w:rPr>
            </w:pPr>
            <w:r>
              <w:rPr>
                <w:rFonts w:ascii="Arial" w:cs="Arial" w:eastAsia="Arial" w:hAnsi="Arial"/>
                <w:sz w:val="14"/>
                <w:szCs w:val="14"/>
                <w:color w:val="auto"/>
              </w:rPr>
              <w:t>Weighted average common shares outstanding - Diluted</w:t>
            </w:r>
          </w:p>
        </w:tc>
        <w:tc>
          <w:tcPr>
            <w:tcW w:w="3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39,909</w:t>
            </w:r>
          </w:p>
        </w:tc>
        <w:tc>
          <w:tcPr>
            <w:tcW w:w="4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39,467</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39,825</w:t>
            </w:r>
          </w:p>
        </w:tc>
        <w:tc>
          <w:tcPr>
            <w:tcW w:w="4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39,339</w:t>
            </w:r>
          </w:p>
        </w:tc>
        <w:tc>
          <w:tcPr>
            <w:tcW w:w="0" w:type="dxa"/>
            <w:vAlign w:val="bottom"/>
          </w:tcPr>
          <w:p>
            <w:pPr>
              <w:spacing w:after="0"/>
              <w:rPr>
                <w:sz w:val="1"/>
                <w:szCs w:val="1"/>
                <w:color w:val="auto"/>
              </w:rPr>
            </w:pPr>
          </w:p>
        </w:tc>
      </w:tr>
      <w:tr>
        <w:trPr>
          <w:trHeight w:val="20"/>
        </w:trPr>
        <w:tc>
          <w:tcPr>
            <w:tcW w:w="496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ADJUSTED EBITDA</w:t>
            </w: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49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960" w:type="dxa"/>
            <w:vAlign w:val="bottom"/>
          </w:tcPr>
          <w:p>
            <w:pPr>
              <w:ind w:left="200"/>
              <w:spacing w:after="0"/>
              <w:rPr>
                <w:sz w:val="20"/>
                <w:szCs w:val="20"/>
                <w:color w:val="auto"/>
              </w:rPr>
            </w:pPr>
            <w:r>
              <w:rPr>
                <w:rFonts w:ascii="Arial" w:cs="Arial" w:eastAsia="Arial" w:hAnsi="Arial"/>
                <w:sz w:val="14"/>
                <w:szCs w:val="14"/>
                <w:color w:val="auto"/>
              </w:rPr>
              <w:t>GAAP net income (loss) attributable to Itron, Inc.</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108"/>
              <w:spacing w:after="0"/>
              <w:rPr>
                <w:sz w:val="20"/>
                <w:szCs w:val="20"/>
                <w:color w:val="auto"/>
              </w:rPr>
            </w:pPr>
            <w:r>
              <w:rPr>
                <w:rFonts w:ascii="Arial" w:cs="Arial" w:eastAsia="Arial" w:hAnsi="Arial"/>
                <w:sz w:val="14"/>
                <w:szCs w:val="14"/>
                <w:color w:val="auto"/>
              </w:rPr>
              <w:t>19,882</w:t>
            </w:r>
          </w:p>
        </w:tc>
        <w:tc>
          <w:tcPr>
            <w:tcW w:w="42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25,576</w:t>
            </w:r>
          </w:p>
        </w:tc>
        <w:tc>
          <w:tcPr>
            <w:tcW w:w="4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(123,127)</w:t>
            </w:r>
          </w:p>
        </w:tc>
        <w:tc>
          <w:tcPr>
            <w:tcW w:w="4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55,518</w:t>
            </w:r>
          </w:p>
        </w:tc>
        <w:tc>
          <w:tcPr>
            <w:tcW w:w="0" w:type="dxa"/>
            <w:vAlign w:val="bottom"/>
          </w:tcPr>
          <w:p>
            <w:pPr>
              <w:spacing w:after="0"/>
              <w:rPr>
                <w:sz w:val="1"/>
                <w:szCs w:val="1"/>
                <w:color w:val="auto"/>
              </w:rPr>
            </w:pPr>
          </w:p>
        </w:tc>
      </w:tr>
      <w:tr>
        <w:trPr>
          <w:trHeight w:val="176"/>
        </w:trPr>
        <w:tc>
          <w:tcPr>
            <w:tcW w:w="4960" w:type="dxa"/>
            <w:vAlign w:val="bottom"/>
          </w:tcPr>
          <w:p>
            <w:pPr>
              <w:ind w:left="300"/>
              <w:spacing w:after="0"/>
              <w:rPr>
                <w:sz w:val="20"/>
                <w:szCs w:val="20"/>
                <w:color w:val="auto"/>
              </w:rPr>
            </w:pPr>
            <w:r>
              <w:rPr>
                <w:rFonts w:ascii="Arial" w:cs="Arial" w:eastAsia="Arial" w:hAnsi="Arial"/>
                <w:sz w:val="14"/>
                <w:szCs w:val="14"/>
                <w:color w:val="auto"/>
              </w:rPr>
              <w:t>Interest income</w:t>
            </w:r>
          </w:p>
        </w:tc>
        <w:tc>
          <w:tcPr>
            <w:tcW w:w="340" w:type="dxa"/>
            <w:vAlign w:val="bottom"/>
          </w:tcPr>
          <w:p>
            <w:pPr>
              <w:spacing w:after="0"/>
              <w:rPr>
                <w:sz w:val="15"/>
                <w:szCs w:val="15"/>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(431)</w:t>
            </w:r>
          </w:p>
        </w:tc>
        <w:tc>
          <w:tcPr>
            <w:tcW w:w="420" w:type="dxa"/>
            <w:vAlign w:val="bottom"/>
          </w:tcPr>
          <w:p>
            <w:pPr>
              <w:spacing w:after="0"/>
              <w:rPr>
                <w:sz w:val="15"/>
                <w:szCs w:val="15"/>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(729)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(1,725)</w:t>
            </w:r>
          </w:p>
        </w:tc>
        <w:tc>
          <w:tcPr>
            <w:tcW w:w="400" w:type="dxa"/>
            <w:vAlign w:val="bottom"/>
          </w:tcPr>
          <w:p>
            <w:pPr>
              <w:spacing w:after="0"/>
              <w:rPr>
                <w:sz w:val="15"/>
                <w:szCs w:val="15"/>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(1,468)</w:t>
            </w:r>
          </w:p>
        </w:tc>
        <w:tc>
          <w:tcPr>
            <w:tcW w:w="0" w:type="dxa"/>
            <w:vAlign w:val="bottom"/>
          </w:tcPr>
          <w:p>
            <w:pPr>
              <w:spacing w:after="0"/>
              <w:rPr>
                <w:sz w:val="1"/>
                <w:szCs w:val="1"/>
                <w:color w:val="auto"/>
              </w:rPr>
            </w:pPr>
          </w:p>
        </w:tc>
      </w:tr>
      <w:tr>
        <w:trPr>
          <w:trHeight w:val="176"/>
        </w:trPr>
        <w:tc>
          <w:tcPr>
            <w:tcW w:w="4960" w:type="dxa"/>
            <w:vAlign w:val="bottom"/>
          </w:tcPr>
          <w:p>
            <w:pPr>
              <w:ind w:left="300"/>
              <w:spacing w:after="0"/>
              <w:rPr>
                <w:sz w:val="20"/>
                <w:szCs w:val="20"/>
                <w:color w:val="auto"/>
              </w:rPr>
            </w:pPr>
            <w:r>
              <w:rPr>
                <w:rFonts w:ascii="Arial" w:cs="Arial" w:eastAsia="Arial" w:hAnsi="Arial"/>
                <w:sz w:val="14"/>
                <w:szCs w:val="14"/>
                <w:color w:val="auto"/>
              </w:rPr>
              <w:t>Interest expense</w:t>
            </w:r>
          </w:p>
        </w:tc>
        <w:tc>
          <w:tcPr>
            <w:tcW w:w="340" w:type="dxa"/>
            <w:vAlign w:val="bottom"/>
          </w:tcPr>
          <w:p>
            <w:pPr>
              <w:spacing w:after="0"/>
              <w:rPr>
                <w:sz w:val="15"/>
                <w:szCs w:val="15"/>
                <w:color w:val="auto"/>
              </w:rPr>
            </w:pPr>
          </w:p>
        </w:tc>
        <w:tc>
          <w:tcPr>
            <w:tcW w:w="1260" w:type="dxa"/>
            <w:vAlign w:val="bottom"/>
          </w:tcPr>
          <w:p>
            <w:pPr>
              <w:jc w:val="right"/>
              <w:ind w:right="108"/>
              <w:spacing w:after="0"/>
              <w:rPr>
                <w:sz w:val="20"/>
                <w:szCs w:val="20"/>
                <w:color w:val="auto"/>
              </w:rPr>
            </w:pPr>
            <w:r>
              <w:rPr>
                <w:rFonts w:ascii="Arial" w:cs="Arial" w:eastAsia="Arial" w:hAnsi="Arial"/>
                <w:sz w:val="14"/>
                <w:szCs w:val="14"/>
                <w:color w:val="auto"/>
              </w:rPr>
              <w:t>14,171</w:t>
            </w:r>
          </w:p>
        </w:tc>
        <w:tc>
          <w:tcPr>
            <w:tcW w:w="420" w:type="dxa"/>
            <w:vAlign w:val="bottom"/>
          </w:tcPr>
          <w:p>
            <w:pPr>
              <w:spacing w:after="0"/>
              <w:rPr>
                <w:sz w:val="15"/>
                <w:szCs w:val="15"/>
                <w:color w:val="auto"/>
              </w:rPr>
            </w:pP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3,466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44,320</w:t>
            </w:r>
          </w:p>
        </w:tc>
        <w:tc>
          <w:tcPr>
            <w:tcW w:w="400" w:type="dxa"/>
            <w:vAlign w:val="bottom"/>
          </w:tcPr>
          <w:p>
            <w:pPr>
              <w:spacing w:after="0"/>
              <w:rPr>
                <w:sz w:val="15"/>
                <w:szCs w:val="15"/>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10,076</w:t>
            </w:r>
          </w:p>
        </w:tc>
        <w:tc>
          <w:tcPr>
            <w:tcW w:w="0" w:type="dxa"/>
            <w:vAlign w:val="bottom"/>
          </w:tcPr>
          <w:p>
            <w:pPr>
              <w:spacing w:after="0"/>
              <w:rPr>
                <w:sz w:val="1"/>
                <w:szCs w:val="1"/>
                <w:color w:val="auto"/>
              </w:rPr>
            </w:pPr>
          </w:p>
        </w:tc>
      </w:tr>
      <w:tr>
        <w:trPr>
          <w:trHeight w:val="176"/>
        </w:trPr>
        <w:tc>
          <w:tcPr>
            <w:tcW w:w="4960" w:type="dxa"/>
            <w:vAlign w:val="bottom"/>
          </w:tcPr>
          <w:p>
            <w:pPr>
              <w:ind w:left="300"/>
              <w:spacing w:after="0"/>
              <w:rPr>
                <w:sz w:val="20"/>
                <w:szCs w:val="20"/>
                <w:color w:val="auto"/>
              </w:rPr>
            </w:pPr>
            <w:r>
              <w:rPr>
                <w:rFonts w:ascii="Arial" w:cs="Arial" w:eastAsia="Arial" w:hAnsi="Arial"/>
                <w:sz w:val="14"/>
                <w:szCs w:val="14"/>
                <w:color w:val="auto"/>
              </w:rPr>
              <w:t>Income tax provision (benefit)</w:t>
            </w:r>
          </w:p>
        </w:tc>
        <w:tc>
          <w:tcPr>
            <w:tcW w:w="340" w:type="dxa"/>
            <w:vAlign w:val="bottom"/>
          </w:tcPr>
          <w:p>
            <w:pPr>
              <w:spacing w:after="0"/>
              <w:rPr>
                <w:sz w:val="15"/>
                <w:szCs w:val="15"/>
                <w:color w:val="auto"/>
              </w:rPr>
            </w:pPr>
          </w:p>
        </w:tc>
        <w:tc>
          <w:tcPr>
            <w:tcW w:w="1260" w:type="dxa"/>
            <w:vAlign w:val="bottom"/>
          </w:tcPr>
          <w:p>
            <w:pPr>
              <w:jc w:val="right"/>
              <w:ind w:right="108"/>
              <w:spacing w:after="0"/>
              <w:rPr>
                <w:sz w:val="20"/>
                <w:szCs w:val="20"/>
                <w:color w:val="auto"/>
              </w:rPr>
            </w:pPr>
            <w:r>
              <w:rPr>
                <w:rFonts w:ascii="Arial" w:cs="Arial" w:eastAsia="Arial" w:hAnsi="Arial"/>
                <w:sz w:val="14"/>
                <w:szCs w:val="14"/>
                <w:color w:val="auto"/>
              </w:rPr>
              <w:t>5,715</w:t>
            </w:r>
          </w:p>
        </w:tc>
        <w:tc>
          <w:tcPr>
            <w:tcW w:w="420" w:type="dxa"/>
            <w:vAlign w:val="bottom"/>
          </w:tcPr>
          <w:p>
            <w:pPr>
              <w:spacing w:after="0"/>
              <w:rPr>
                <w:sz w:val="15"/>
                <w:szCs w:val="15"/>
                <w:color w:val="auto"/>
              </w:rPr>
            </w:pP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6,640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(1,692)</w:t>
            </w:r>
          </w:p>
        </w:tc>
        <w:tc>
          <w:tcPr>
            <w:tcW w:w="400" w:type="dxa"/>
            <w:vAlign w:val="bottom"/>
          </w:tcPr>
          <w:p>
            <w:pPr>
              <w:spacing w:after="0"/>
              <w:rPr>
                <w:sz w:val="15"/>
                <w:szCs w:val="15"/>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32,247</w:t>
            </w:r>
          </w:p>
        </w:tc>
        <w:tc>
          <w:tcPr>
            <w:tcW w:w="0" w:type="dxa"/>
            <w:vAlign w:val="bottom"/>
          </w:tcPr>
          <w:p>
            <w:pPr>
              <w:spacing w:after="0"/>
              <w:rPr>
                <w:sz w:val="1"/>
                <w:szCs w:val="1"/>
                <w:color w:val="auto"/>
              </w:rPr>
            </w:pPr>
          </w:p>
        </w:tc>
      </w:tr>
      <w:tr>
        <w:trPr>
          <w:trHeight w:val="176"/>
        </w:trPr>
        <w:tc>
          <w:tcPr>
            <w:tcW w:w="4960" w:type="dxa"/>
            <w:vAlign w:val="bottom"/>
          </w:tcPr>
          <w:p>
            <w:pPr>
              <w:ind w:left="300"/>
              <w:spacing w:after="0"/>
              <w:rPr>
                <w:sz w:val="20"/>
                <w:szCs w:val="20"/>
                <w:color w:val="auto"/>
              </w:rPr>
            </w:pPr>
            <w:r>
              <w:rPr>
                <w:rFonts w:ascii="Arial" w:cs="Arial" w:eastAsia="Arial" w:hAnsi="Arial"/>
                <w:sz w:val="14"/>
                <w:szCs w:val="14"/>
                <w:color w:val="auto"/>
              </w:rPr>
              <w:t>Depreciation and amortization</w:t>
            </w:r>
          </w:p>
        </w:tc>
        <w:tc>
          <w:tcPr>
            <w:tcW w:w="340" w:type="dxa"/>
            <w:vAlign w:val="bottom"/>
          </w:tcPr>
          <w:p>
            <w:pPr>
              <w:spacing w:after="0"/>
              <w:rPr>
                <w:sz w:val="15"/>
                <w:szCs w:val="15"/>
                <w:color w:val="auto"/>
              </w:rPr>
            </w:pPr>
          </w:p>
        </w:tc>
        <w:tc>
          <w:tcPr>
            <w:tcW w:w="1260" w:type="dxa"/>
            <w:vAlign w:val="bottom"/>
          </w:tcPr>
          <w:p>
            <w:pPr>
              <w:jc w:val="right"/>
              <w:ind w:right="108"/>
              <w:spacing w:after="0"/>
              <w:rPr>
                <w:sz w:val="20"/>
                <w:szCs w:val="20"/>
                <w:color w:val="auto"/>
              </w:rPr>
            </w:pPr>
            <w:r>
              <w:rPr>
                <w:rFonts w:ascii="Arial" w:cs="Arial" w:eastAsia="Arial" w:hAnsi="Arial"/>
                <w:sz w:val="14"/>
                <w:szCs w:val="14"/>
                <w:color w:val="auto"/>
              </w:rPr>
              <w:t>30,449</w:t>
            </w:r>
          </w:p>
        </w:tc>
        <w:tc>
          <w:tcPr>
            <w:tcW w:w="420" w:type="dxa"/>
            <w:vAlign w:val="bottom"/>
          </w:tcPr>
          <w:p>
            <w:pPr>
              <w:spacing w:after="0"/>
              <w:rPr>
                <w:sz w:val="15"/>
                <w:szCs w:val="15"/>
                <w:color w:val="auto"/>
              </w:rPr>
            </w:pP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16,532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92,428</w:t>
            </w:r>
          </w:p>
        </w:tc>
        <w:tc>
          <w:tcPr>
            <w:tcW w:w="400" w:type="dxa"/>
            <w:vAlign w:val="bottom"/>
          </w:tcPr>
          <w:p>
            <w:pPr>
              <w:spacing w:after="0"/>
              <w:rPr>
                <w:sz w:val="15"/>
                <w:szCs w:val="15"/>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46,000</w:t>
            </w:r>
          </w:p>
        </w:tc>
        <w:tc>
          <w:tcPr>
            <w:tcW w:w="0" w:type="dxa"/>
            <w:vAlign w:val="bottom"/>
          </w:tcPr>
          <w:p>
            <w:pPr>
              <w:spacing w:after="0"/>
              <w:rPr>
                <w:sz w:val="1"/>
                <w:szCs w:val="1"/>
                <w:color w:val="auto"/>
              </w:rPr>
            </w:pPr>
          </w:p>
        </w:tc>
      </w:tr>
      <w:tr>
        <w:trPr>
          <w:trHeight w:val="176"/>
        </w:trPr>
        <w:tc>
          <w:tcPr>
            <w:tcW w:w="4960" w:type="dxa"/>
            <w:vAlign w:val="bottom"/>
          </w:tcPr>
          <w:p>
            <w:pPr>
              <w:ind w:left="300"/>
              <w:spacing w:after="0"/>
              <w:rPr>
                <w:sz w:val="20"/>
                <w:szCs w:val="20"/>
                <w:color w:val="auto"/>
              </w:rPr>
            </w:pPr>
            <w:r>
              <w:rPr>
                <w:rFonts w:ascii="Arial" w:cs="Arial" w:eastAsia="Arial" w:hAnsi="Arial"/>
                <w:sz w:val="14"/>
                <w:szCs w:val="14"/>
                <w:color w:val="auto"/>
              </w:rPr>
              <w:t>Restructuring</w:t>
            </w:r>
          </w:p>
        </w:tc>
        <w:tc>
          <w:tcPr>
            <w:tcW w:w="340" w:type="dxa"/>
            <w:vAlign w:val="bottom"/>
          </w:tcPr>
          <w:p>
            <w:pPr>
              <w:spacing w:after="0"/>
              <w:rPr>
                <w:sz w:val="15"/>
                <w:szCs w:val="15"/>
                <w:color w:val="auto"/>
              </w:rPr>
            </w:pPr>
          </w:p>
        </w:tc>
        <w:tc>
          <w:tcPr>
            <w:tcW w:w="1260" w:type="dxa"/>
            <w:vAlign w:val="bottom"/>
          </w:tcPr>
          <w:p>
            <w:pPr>
              <w:jc w:val="right"/>
              <w:ind w:right="108"/>
              <w:spacing w:after="0"/>
              <w:rPr>
                <w:sz w:val="20"/>
                <w:szCs w:val="20"/>
                <w:color w:val="auto"/>
              </w:rPr>
            </w:pPr>
            <w:r>
              <w:rPr>
                <w:rFonts w:ascii="Arial" w:cs="Arial" w:eastAsia="Arial" w:hAnsi="Arial"/>
                <w:sz w:val="14"/>
                <w:szCs w:val="14"/>
                <w:color w:val="auto"/>
              </w:rPr>
              <w:t>666</w:t>
            </w:r>
          </w:p>
        </w:tc>
        <w:tc>
          <w:tcPr>
            <w:tcW w:w="420" w:type="dxa"/>
            <w:vAlign w:val="bottom"/>
          </w:tcPr>
          <w:p>
            <w:pPr>
              <w:spacing w:after="0"/>
              <w:rPr>
                <w:sz w:val="15"/>
                <w:szCs w:val="15"/>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(678)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82,908</w:t>
            </w:r>
          </w:p>
        </w:tc>
        <w:tc>
          <w:tcPr>
            <w:tcW w:w="400" w:type="dxa"/>
            <w:vAlign w:val="bottom"/>
          </w:tcPr>
          <w:p>
            <w:pPr>
              <w:spacing w:after="0"/>
              <w:rPr>
                <w:sz w:val="15"/>
                <w:szCs w:val="15"/>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7,417</w:t>
            </w:r>
          </w:p>
        </w:tc>
        <w:tc>
          <w:tcPr>
            <w:tcW w:w="0" w:type="dxa"/>
            <w:vAlign w:val="bottom"/>
          </w:tcPr>
          <w:p>
            <w:pPr>
              <w:spacing w:after="0"/>
              <w:rPr>
                <w:sz w:val="1"/>
                <w:szCs w:val="1"/>
                <w:color w:val="auto"/>
              </w:rPr>
            </w:pPr>
          </w:p>
        </w:tc>
      </w:tr>
      <w:tr>
        <w:trPr>
          <w:trHeight w:val="181"/>
        </w:trPr>
        <w:tc>
          <w:tcPr>
            <w:tcW w:w="4960" w:type="dxa"/>
            <w:vAlign w:val="bottom"/>
          </w:tcPr>
          <w:p>
            <w:pPr>
              <w:ind w:left="300"/>
              <w:spacing w:after="0"/>
              <w:rPr>
                <w:sz w:val="20"/>
                <w:szCs w:val="20"/>
                <w:color w:val="auto"/>
              </w:rPr>
            </w:pPr>
            <w:r>
              <w:rPr>
                <w:rFonts w:ascii="Arial" w:cs="Arial" w:eastAsia="Arial" w:hAnsi="Arial"/>
                <w:sz w:val="14"/>
                <w:szCs w:val="14"/>
                <w:color w:val="auto"/>
              </w:rPr>
              <w:t>Acquisition and integration related expense</w:t>
            </w:r>
          </w:p>
        </w:tc>
        <w:tc>
          <w:tcPr>
            <w:tcW w:w="3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10,079</w:t>
            </w:r>
          </w:p>
        </w:tc>
        <w:tc>
          <w:tcPr>
            <w:tcW w:w="4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7,243</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83,874</w:t>
            </w:r>
          </w:p>
        </w:tc>
        <w:tc>
          <w:tcPr>
            <w:tcW w:w="4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14,044</w:t>
            </w:r>
          </w:p>
        </w:tc>
        <w:tc>
          <w:tcPr>
            <w:tcW w:w="0" w:type="dxa"/>
            <w:vAlign w:val="bottom"/>
          </w:tcPr>
          <w:p>
            <w:pPr>
              <w:spacing w:after="0"/>
              <w:rPr>
                <w:sz w:val="1"/>
                <w:szCs w:val="1"/>
                <w:color w:val="auto"/>
              </w:rPr>
            </w:pPr>
          </w:p>
        </w:tc>
      </w:tr>
      <w:tr>
        <w:trPr>
          <w:trHeight w:val="169"/>
        </w:trPr>
        <w:tc>
          <w:tcPr>
            <w:tcW w:w="4960" w:type="dxa"/>
            <w:vAlign w:val="bottom"/>
          </w:tcPr>
          <w:p>
            <w:pPr>
              <w:ind w:left="200"/>
              <w:spacing w:after="0"/>
              <w:rPr>
                <w:sz w:val="20"/>
                <w:szCs w:val="20"/>
                <w:color w:val="auto"/>
              </w:rPr>
            </w:pPr>
            <w:r>
              <w:rPr>
                <w:rFonts w:ascii="Arial" w:cs="Arial" w:eastAsia="Arial" w:hAnsi="Arial"/>
                <w:sz w:val="14"/>
                <w:szCs w:val="14"/>
                <w:color w:val="auto"/>
              </w:rPr>
              <w:t>Adjusted EBITDA</w:t>
            </w:r>
          </w:p>
        </w:tc>
        <w:tc>
          <w:tcPr>
            <w:tcW w:w="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80,531</w:t>
            </w:r>
          </w:p>
        </w:tc>
        <w:tc>
          <w:tcPr>
            <w:tcW w:w="4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58,050</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176,986</w:t>
            </w:r>
          </w:p>
        </w:tc>
        <w:tc>
          <w:tcPr>
            <w:tcW w:w="4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163,834</w:t>
            </w:r>
          </w:p>
        </w:tc>
        <w:tc>
          <w:tcPr>
            <w:tcW w:w="0" w:type="dxa"/>
            <w:vAlign w:val="bottom"/>
          </w:tcPr>
          <w:p>
            <w:pPr>
              <w:spacing w:after="0"/>
              <w:rPr>
                <w:sz w:val="1"/>
                <w:szCs w:val="1"/>
                <w:color w:val="auto"/>
              </w:rPr>
            </w:pPr>
          </w:p>
        </w:tc>
      </w:tr>
      <w:tr>
        <w:trPr>
          <w:trHeight w:val="20"/>
        </w:trPr>
        <w:tc>
          <w:tcPr>
            <w:tcW w:w="496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FREE CASH FLOW</w:t>
            </w: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49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960" w:type="dxa"/>
            <w:vAlign w:val="bottom"/>
          </w:tcPr>
          <w:p>
            <w:pPr>
              <w:ind w:left="300"/>
              <w:spacing w:after="0"/>
              <w:rPr>
                <w:sz w:val="20"/>
                <w:szCs w:val="20"/>
                <w:color w:val="auto"/>
              </w:rPr>
            </w:pPr>
            <w:r>
              <w:rPr>
                <w:rFonts w:ascii="Arial" w:cs="Arial" w:eastAsia="Arial" w:hAnsi="Arial"/>
                <w:sz w:val="14"/>
                <w:szCs w:val="14"/>
                <w:color w:val="auto"/>
              </w:rPr>
              <w:t>Net cash provided (used) by operating activities</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108"/>
              <w:spacing w:after="0"/>
              <w:rPr>
                <w:sz w:val="20"/>
                <w:szCs w:val="20"/>
                <w:color w:val="auto"/>
              </w:rPr>
            </w:pPr>
            <w:r>
              <w:rPr>
                <w:rFonts w:ascii="Arial" w:cs="Arial" w:eastAsia="Arial" w:hAnsi="Arial"/>
                <w:sz w:val="14"/>
                <w:szCs w:val="14"/>
                <w:color w:val="auto"/>
              </w:rPr>
              <w:t>50,504</w:t>
            </w:r>
          </w:p>
        </w:tc>
        <w:tc>
          <w:tcPr>
            <w:tcW w:w="42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21,057</w:t>
            </w:r>
          </w:p>
        </w:tc>
        <w:tc>
          <w:tcPr>
            <w:tcW w:w="4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67,383</w:t>
            </w:r>
          </w:p>
        </w:tc>
        <w:tc>
          <w:tcPr>
            <w:tcW w:w="4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114,501</w:t>
            </w:r>
          </w:p>
        </w:tc>
        <w:tc>
          <w:tcPr>
            <w:tcW w:w="0" w:type="dxa"/>
            <w:vAlign w:val="bottom"/>
          </w:tcPr>
          <w:p>
            <w:pPr>
              <w:spacing w:after="0"/>
              <w:rPr>
                <w:sz w:val="1"/>
                <w:szCs w:val="1"/>
                <w:color w:val="auto"/>
              </w:rPr>
            </w:pPr>
          </w:p>
        </w:tc>
      </w:tr>
      <w:tr>
        <w:trPr>
          <w:trHeight w:val="181"/>
        </w:trPr>
        <w:tc>
          <w:tcPr>
            <w:tcW w:w="4960" w:type="dxa"/>
            <w:vAlign w:val="bottom"/>
          </w:tcPr>
          <w:p>
            <w:pPr>
              <w:ind w:left="300"/>
              <w:spacing w:after="0"/>
              <w:rPr>
                <w:sz w:val="20"/>
                <w:szCs w:val="20"/>
                <w:color w:val="auto"/>
              </w:rPr>
            </w:pPr>
            <w:r>
              <w:rPr>
                <w:rFonts w:ascii="Arial" w:cs="Arial" w:eastAsia="Arial" w:hAnsi="Arial"/>
                <w:sz w:val="14"/>
                <w:szCs w:val="14"/>
                <w:color w:val="auto"/>
              </w:rPr>
              <w:t>Acquisitions of property, plant, and equipment</w:t>
            </w:r>
          </w:p>
        </w:tc>
        <w:tc>
          <w:tcPr>
            <w:tcW w:w="3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(13,184)</w:t>
            </w:r>
          </w:p>
        </w:tc>
        <w:tc>
          <w:tcPr>
            <w:tcW w:w="4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(11,595)</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(42,493)</w:t>
            </w:r>
          </w:p>
        </w:tc>
        <w:tc>
          <w:tcPr>
            <w:tcW w:w="4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(33,493)</w:t>
            </w:r>
          </w:p>
        </w:tc>
        <w:tc>
          <w:tcPr>
            <w:tcW w:w="0" w:type="dxa"/>
            <w:vAlign w:val="bottom"/>
          </w:tcPr>
          <w:p>
            <w:pPr>
              <w:spacing w:after="0"/>
              <w:rPr>
                <w:sz w:val="1"/>
                <w:szCs w:val="1"/>
                <w:color w:val="auto"/>
              </w:rPr>
            </w:pPr>
          </w:p>
        </w:tc>
      </w:tr>
      <w:tr>
        <w:trPr>
          <w:trHeight w:val="169"/>
        </w:trPr>
        <w:tc>
          <w:tcPr>
            <w:tcW w:w="4960" w:type="dxa"/>
            <w:vAlign w:val="bottom"/>
          </w:tcPr>
          <w:p>
            <w:pPr>
              <w:ind w:left="200"/>
              <w:spacing w:after="0"/>
              <w:rPr>
                <w:sz w:val="20"/>
                <w:szCs w:val="20"/>
                <w:color w:val="auto"/>
              </w:rPr>
            </w:pPr>
            <w:r>
              <w:rPr>
                <w:rFonts w:ascii="Arial" w:cs="Arial" w:eastAsia="Arial" w:hAnsi="Arial"/>
                <w:sz w:val="14"/>
                <w:szCs w:val="14"/>
                <w:color w:val="auto"/>
              </w:rPr>
              <w:t>Free Cash Flow</w:t>
            </w:r>
          </w:p>
        </w:tc>
        <w:tc>
          <w:tcPr>
            <w:tcW w:w="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37,320</w:t>
            </w:r>
          </w:p>
        </w:tc>
        <w:tc>
          <w:tcPr>
            <w:tcW w:w="4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9,462</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24,890</w:t>
            </w:r>
          </w:p>
        </w:tc>
        <w:tc>
          <w:tcPr>
            <w:tcW w:w="4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81,008</w:t>
            </w:r>
          </w:p>
        </w:tc>
        <w:tc>
          <w:tcPr>
            <w:tcW w:w="0" w:type="dxa"/>
            <w:vAlign w:val="bottom"/>
          </w:tcPr>
          <w:p>
            <w:pPr>
              <w:spacing w:after="0"/>
              <w:rPr>
                <w:sz w:val="1"/>
                <w:szCs w:val="1"/>
                <w:color w:val="auto"/>
              </w:rPr>
            </w:pPr>
          </w:p>
        </w:tc>
      </w:tr>
      <w:tr>
        <w:trPr>
          <w:trHeight w:val="20"/>
        </w:trPr>
        <w:tc>
          <w:tcPr>
            <w:tcW w:w="496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NON-GAAP OPERATING INCOME</w:t>
            </w: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49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960" w:type="dxa"/>
            <w:vAlign w:val="bottom"/>
          </w:tcPr>
          <w:p>
            <w:pPr>
              <w:ind w:left="200"/>
              <w:spacing w:after="0"/>
              <w:rPr>
                <w:sz w:val="20"/>
                <w:szCs w:val="20"/>
                <w:color w:val="auto"/>
              </w:rPr>
            </w:pPr>
            <w:r>
              <w:rPr>
                <w:rFonts w:ascii="Arial" w:cs="Arial" w:eastAsia="Arial" w:hAnsi="Arial"/>
                <w:sz w:val="14"/>
                <w:szCs w:val="14"/>
                <w:color w:val="auto"/>
              </w:rPr>
              <w:t>GAAP operating income (loss)</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108"/>
              <w:spacing w:after="0"/>
              <w:rPr>
                <w:sz w:val="20"/>
                <w:szCs w:val="20"/>
                <w:color w:val="auto"/>
              </w:rPr>
            </w:pPr>
            <w:r>
              <w:rPr>
                <w:rFonts w:ascii="Arial" w:cs="Arial" w:eastAsia="Arial" w:hAnsi="Arial"/>
                <w:sz w:val="14"/>
                <w:szCs w:val="14"/>
                <w:color w:val="auto"/>
              </w:rPr>
              <w:t>41,676</w:t>
            </w:r>
          </w:p>
        </w:tc>
        <w:tc>
          <w:tcPr>
            <w:tcW w:w="42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38,226</w:t>
            </w:r>
          </w:p>
        </w:tc>
        <w:tc>
          <w:tcPr>
            <w:tcW w:w="4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(78,209)</w:t>
            </w:r>
          </w:p>
        </w:tc>
        <w:tc>
          <w:tcPr>
            <w:tcW w:w="4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106,681</w:t>
            </w:r>
          </w:p>
        </w:tc>
        <w:tc>
          <w:tcPr>
            <w:tcW w:w="0" w:type="dxa"/>
            <w:vAlign w:val="bottom"/>
          </w:tcPr>
          <w:p>
            <w:pPr>
              <w:spacing w:after="0"/>
              <w:rPr>
                <w:sz w:val="1"/>
                <w:szCs w:val="1"/>
                <w:color w:val="auto"/>
              </w:rPr>
            </w:pPr>
          </w:p>
        </w:tc>
      </w:tr>
      <w:tr>
        <w:trPr>
          <w:trHeight w:val="176"/>
        </w:trPr>
        <w:tc>
          <w:tcPr>
            <w:tcW w:w="4960" w:type="dxa"/>
            <w:vAlign w:val="bottom"/>
          </w:tcPr>
          <w:p>
            <w:pPr>
              <w:ind w:left="300"/>
              <w:spacing w:after="0"/>
              <w:rPr>
                <w:sz w:val="20"/>
                <w:szCs w:val="20"/>
                <w:color w:val="auto"/>
              </w:rPr>
            </w:pPr>
            <w:r>
              <w:rPr>
                <w:rFonts w:ascii="Arial" w:cs="Arial" w:eastAsia="Arial" w:hAnsi="Arial"/>
                <w:sz w:val="14"/>
                <w:szCs w:val="14"/>
                <w:color w:val="auto"/>
              </w:rPr>
              <w:t>Amortization of intangible assets</w:t>
            </w:r>
          </w:p>
        </w:tc>
        <w:tc>
          <w:tcPr>
            <w:tcW w:w="340" w:type="dxa"/>
            <w:vAlign w:val="bottom"/>
          </w:tcPr>
          <w:p>
            <w:pPr>
              <w:spacing w:after="0"/>
              <w:rPr>
                <w:sz w:val="15"/>
                <w:szCs w:val="15"/>
                <w:color w:val="auto"/>
              </w:rPr>
            </w:pPr>
          </w:p>
        </w:tc>
        <w:tc>
          <w:tcPr>
            <w:tcW w:w="1260" w:type="dxa"/>
            <w:vAlign w:val="bottom"/>
          </w:tcPr>
          <w:p>
            <w:pPr>
              <w:jc w:val="right"/>
              <w:ind w:right="108"/>
              <w:spacing w:after="0"/>
              <w:rPr>
                <w:sz w:val="20"/>
                <w:szCs w:val="20"/>
                <w:color w:val="auto"/>
              </w:rPr>
            </w:pPr>
            <w:r>
              <w:rPr>
                <w:rFonts w:ascii="Arial" w:cs="Arial" w:eastAsia="Arial" w:hAnsi="Arial"/>
                <w:sz w:val="14"/>
                <w:szCs w:val="14"/>
                <w:color w:val="auto"/>
              </w:rPr>
              <w:t>17,960</w:t>
            </w:r>
          </w:p>
        </w:tc>
        <w:tc>
          <w:tcPr>
            <w:tcW w:w="420" w:type="dxa"/>
            <w:vAlign w:val="bottom"/>
          </w:tcPr>
          <w:p>
            <w:pPr>
              <w:spacing w:after="0"/>
              <w:rPr>
                <w:sz w:val="15"/>
                <w:szCs w:val="15"/>
                <w:color w:val="auto"/>
              </w:rPr>
            </w:pP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5,625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53,699</w:t>
            </w:r>
          </w:p>
        </w:tc>
        <w:tc>
          <w:tcPr>
            <w:tcW w:w="400" w:type="dxa"/>
            <w:vAlign w:val="bottom"/>
          </w:tcPr>
          <w:p>
            <w:pPr>
              <w:spacing w:after="0"/>
              <w:rPr>
                <w:sz w:val="15"/>
                <w:szCs w:val="15"/>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15,144</w:t>
            </w:r>
          </w:p>
        </w:tc>
        <w:tc>
          <w:tcPr>
            <w:tcW w:w="0" w:type="dxa"/>
            <w:vAlign w:val="bottom"/>
          </w:tcPr>
          <w:p>
            <w:pPr>
              <w:spacing w:after="0"/>
              <w:rPr>
                <w:sz w:val="1"/>
                <w:szCs w:val="1"/>
                <w:color w:val="auto"/>
              </w:rPr>
            </w:pPr>
          </w:p>
        </w:tc>
      </w:tr>
      <w:tr>
        <w:trPr>
          <w:trHeight w:val="176"/>
        </w:trPr>
        <w:tc>
          <w:tcPr>
            <w:tcW w:w="4960" w:type="dxa"/>
            <w:vAlign w:val="bottom"/>
          </w:tcPr>
          <w:p>
            <w:pPr>
              <w:ind w:left="300"/>
              <w:spacing w:after="0"/>
              <w:rPr>
                <w:sz w:val="20"/>
                <w:szCs w:val="20"/>
                <w:color w:val="auto"/>
              </w:rPr>
            </w:pPr>
            <w:r>
              <w:rPr>
                <w:rFonts w:ascii="Arial" w:cs="Arial" w:eastAsia="Arial" w:hAnsi="Arial"/>
                <w:sz w:val="14"/>
                <w:szCs w:val="14"/>
                <w:color w:val="auto"/>
              </w:rPr>
              <w:t>Restructuring</w:t>
            </w:r>
          </w:p>
        </w:tc>
        <w:tc>
          <w:tcPr>
            <w:tcW w:w="340" w:type="dxa"/>
            <w:vAlign w:val="bottom"/>
          </w:tcPr>
          <w:p>
            <w:pPr>
              <w:spacing w:after="0"/>
              <w:rPr>
                <w:sz w:val="15"/>
                <w:szCs w:val="15"/>
                <w:color w:val="auto"/>
              </w:rPr>
            </w:pPr>
          </w:p>
        </w:tc>
        <w:tc>
          <w:tcPr>
            <w:tcW w:w="1260" w:type="dxa"/>
            <w:vAlign w:val="bottom"/>
          </w:tcPr>
          <w:p>
            <w:pPr>
              <w:jc w:val="right"/>
              <w:ind w:right="108"/>
              <w:spacing w:after="0"/>
              <w:rPr>
                <w:sz w:val="20"/>
                <w:szCs w:val="20"/>
                <w:color w:val="auto"/>
              </w:rPr>
            </w:pPr>
            <w:r>
              <w:rPr>
                <w:rFonts w:ascii="Arial" w:cs="Arial" w:eastAsia="Arial" w:hAnsi="Arial"/>
                <w:sz w:val="14"/>
                <w:szCs w:val="14"/>
                <w:color w:val="auto"/>
              </w:rPr>
              <w:t>666</w:t>
            </w:r>
          </w:p>
        </w:tc>
        <w:tc>
          <w:tcPr>
            <w:tcW w:w="420" w:type="dxa"/>
            <w:vAlign w:val="bottom"/>
          </w:tcPr>
          <w:p>
            <w:pPr>
              <w:spacing w:after="0"/>
              <w:rPr>
                <w:sz w:val="15"/>
                <w:szCs w:val="15"/>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(678)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82,908</w:t>
            </w:r>
          </w:p>
        </w:tc>
        <w:tc>
          <w:tcPr>
            <w:tcW w:w="400" w:type="dxa"/>
            <w:vAlign w:val="bottom"/>
          </w:tcPr>
          <w:p>
            <w:pPr>
              <w:spacing w:after="0"/>
              <w:rPr>
                <w:sz w:val="15"/>
                <w:szCs w:val="15"/>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7,417</w:t>
            </w:r>
          </w:p>
        </w:tc>
        <w:tc>
          <w:tcPr>
            <w:tcW w:w="0" w:type="dxa"/>
            <w:vAlign w:val="bottom"/>
          </w:tcPr>
          <w:p>
            <w:pPr>
              <w:spacing w:after="0"/>
              <w:rPr>
                <w:sz w:val="1"/>
                <w:szCs w:val="1"/>
                <w:color w:val="auto"/>
              </w:rPr>
            </w:pPr>
          </w:p>
        </w:tc>
      </w:tr>
      <w:tr>
        <w:trPr>
          <w:trHeight w:val="181"/>
        </w:trPr>
        <w:tc>
          <w:tcPr>
            <w:tcW w:w="4960" w:type="dxa"/>
            <w:vAlign w:val="bottom"/>
          </w:tcPr>
          <w:p>
            <w:pPr>
              <w:ind w:left="300"/>
              <w:spacing w:after="0"/>
              <w:rPr>
                <w:sz w:val="20"/>
                <w:szCs w:val="20"/>
                <w:color w:val="auto"/>
              </w:rPr>
            </w:pPr>
            <w:r>
              <w:rPr>
                <w:rFonts w:ascii="Arial" w:cs="Arial" w:eastAsia="Arial" w:hAnsi="Arial"/>
                <w:sz w:val="14"/>
                <w:szCs w:val="14"/>
                <w:color w:val="auto"/>
              </w:rPr>
              <w:t>Acquisition and integration related expense</w:t>
            </w:r>
          </w:p>
        </w:tc>
        <w:tc>
          <w:tcPr>
            <w:tcW w:w="3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10,079</w:t>
            </w:r>
          </w:p>
        </w:tc>
        <w:tc>
          <w:tcPr>
            <w:tcW w:w="4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7,243</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83,874</w:t>
            </w:r>
          </w:p>
        </w:tc>
        <w:tc>
          <w:tcPr>
            <w:tcW w:w="4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14,044</w:t>
            </w:r>
          </w:p>
        </w:tc>
        <w:tc>
          <w:tcPr>
            <w:tcW w:w="0" w:type="dxa"/>
            <w:vAlign w:val="bottom"/>
          </w:tcPr>
          <w:p>
            <w:pPr>
              <w:spacing w:after="0"/>
              <w:rPr>
                <w:sz w:val="1"/>
                <w:szCs w:val="1"/>
                <w:color w:val="auto"/>
              </w:rPr>
            </w:pPr>
          </w:p>
        </w:tc>
      </w:tr>
      <w:tr>
        <w:trPr>
          <w:trHeight w:val="169"/>
        </w:trPr>
        <w:tc>
          <w:tcPr>
            <w:tcW w:w="4960" w:type="dxa"/>
            <w:vAlign w:val="bottom"/>
          </w:tcPr>
          <w:p>
            <w:pPr>
              <w:ind w:left="200"/>
              <w:spacing w:after="0"/>
              <w:rPr>
                <w:sz w:val="20"/>
                <w:szCs w:val="20"/>
                <w:color w:val="auto"/>
              </w:rPr>
            </w:pPr>
            <w:r>
              <w:rPr>
                <w:rFonts w:ascii="Arial" w:cs="Arial" w:eastAsia="Arial" w:hAnsi="Arial"/>
                <w:sz w:val="14"/>
                <w:szCs w:val="14"/>
                <w:color w:val="auto"/>
              </w:rPr>
              <w:t>Non-GAAP operating income</w:t>
            </w:r>
          </w:p>
        </w:tc>
        <w:tc>
          <w:tcPr>
            <w:tcW w:w="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70,381</w:t>
            </w:r>
          </w:p>
        </w:tc>
        <w:tc>
          <w:tcPr>
            <w:tcW w:w="4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50,416</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142,272</w:t>
            </w:r>
          </w:p>
        </w:tc>
        <w:tc>
          <w:tcPr>
            <w:tcW w:w="4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143,286</w:t>
            </w:r>
          </w:p>
        </w:tc>
        <w:tc>
          <w:tcPr>
            <w:tcW w:w="0" w:type="dxa"/>
            <w:vAlign w:val="bottom"/>
          </w:tcPr>
          <w:p>
            <w:pPr>
              <w:spacing w:after="0"/>
              <w:rPr>
                <w:sz w:val="1"/>
                <w:szCs w:val="1"/>
                <w:color w:val="auto"/>
              </w:rPr>
            </w:pPr>
          </w:p>
        </w:tc>
      </w:tr>
      <w:tr>
        <w:trPr>
          <w:trHeight w:val="20"/>
        </w:trPr>
        <w:tc>
          <w:tcPr>
            <w:tcW w:w="496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NON-GAAP OPERATING EXPENSES</w:t>
            </w: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49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960" w:type="dxa"/>
            <w:vAlign w:val="bottom"/>
          </w:tcPr>
          <w:p>
            <w:pPr>
              <w:ind w:left="200"/>
              <w:spacing w:after="0"/>
              <w:rPr>
                <w:sz w:val="20"/>
                <w:szCs w:val="20"/>
                <w:color w:val="auto"/>
              </w:rPr>
            </w:pPr>
            <w:r>
              <w:rPr>
                <w:rFonts w:ascii="Arial" w:cs="Arial" w:eastAsia="Arial" w:hAnsi="Arial"/>
                <w:sz w:val="14"/>
                <w:szCs w:val="14"/>
                <w:color w:val="auto"/>
              </w:rPr>
              <w:t>GAAP operating expenses</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108"/>
              <w:spacing w:after="0"/>
              <w:rPr>
                <w:sz w:val="20"/>
                <w:szCs w:val="20"/>
                <w:color w:val="auto"/>
              </w:rPr>
            </w:pPr>
            <w:r>
              <w:rPr>
                <w:rFonts w:ascii="Arial" w:cs="Arial" w:eastAsia="Arial" w:hAnsi="Arial"/>
                <w:sz w:val="14"/>
                <w:szCs w:val="14"/>
                <w:color w:val="auto"/>
              </w:rPr>
              <w:t>155,421</w:t>
            </w:r>
          </w:p>
        </w:tc>
        <w:tc>
          <w:tcPr>
            <w:tcW w:w="42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127,529</w:t>
            </w:r>
          </w:p>
        </w:tc>
        <w:tc>
          <w:tcPr>
            <w:tcW w:w="4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631,738</w:t>
            </w:r>
          </w:p>
        </w:tc>
        <w:tc>
          <w:tcPr>
            <w:tcW w:w="4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394,988</w:t>
            </w:r>
          </w:p>
        </w:tc>
        <w:tc>
          <w:tcPr>
            <w:tcW w:w="0" w:type="dxa"/>
            <w:vAlign w:val="bottom"/>
          </w:tcPr>
          <w:p>
            <w:pPr>
              <w:spacing w:after="0"/>
              <w:rPr>
                <w:sz w:val="1"/>
                <w:szCs w:val="1"/>
                <w:color w:val="auto"/>
              </w:rPr>
            </w:pPr>
          </w:p>
        </w:tc>
      </w:tr>
      <w:tr>
        <w:trPr>
          <w:trHeight w:val="176"/>
        </w:trPr>
        <w:tc>
          <w:tcPr>
            <w:tcW w:w="4960" w:type="dxa"/>
            <w:vAlign w:val="bottom"/>
          </w:tcPr>
          <w:p>
            <w:pPr>
              <w:ind w:left="300"/>
              <w:spacing w:after="0"/>
              <w:rPr>
                <w:sz w:val="20"/>
                <w:szCs w:val="20"/>
                <w:color w:val="auto"/>
              </w:rPr>
            </w:pPr>
            <w:r>
              <w:rPr>
                <w:rFonts w:ascii="Arial" w:cs="Arial" w:eastAsia="Arial" w:hAnsi="Arial"/>
                <w:sz w:val="14"/>
                <w:szCs w:val="14"/>
                <w:color w:val="auto"/>
              </w:rPr>
              <w:t>Amortization of intangible assets</w:t>
            </w:r>
          </w:p>
        </w:tc>
        <w:tc>
          <w:tcPr>
            <w:tcW w:w="340" w:type="dxa"/>
            <w:vAlign w:val="bottom"/>
          </w:tcPr>
          <w:p>
            <w:pPr>
              <w:spacing w:after="0"/>
              <w:rPr>
                <w:sz w:val="15"/>
                <w:szCs w:val="15"/>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(17,960)</w:t>
            </w:r>
          </w:p>
        </w:tc>
        <w:tc>
          <w:tcPr>
            <w:tcW w:w="420" w:type="dxa"/>
            <w:vAlign w:val="bottom"/>
          </w:tcPr>
          <w:p>
            <w:pPr>
              <w:spacing w:after="0"/>
              <w:rPr>
                <w:sz w:val="15"/>
                <w:szCs w:val="15"/>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(5,625)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(53,699)</w:t>
            </w:r>
          </w:p>
        </w:tc>
        <w:tc>
          <w:tcPr>
            <w:tcW w:w="400" w:type="dxa"/>
            <w:vAlign w:val="bottom"/>
          </w:tcPr>
          <w:p>
            <w:pPr>
              <w:spacing w:after="0"/>
              <w:rPr>
                <w:sz w:val="15"/>
                <w:szCs w:val="15"/>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(15,144)</w:t>
            </w:r>
          </w:p>
        </w:tc>
        <w:tc>
          <w:tcPr>
            <w:tcW w:w="0" w:type="dxa"/>
            <w:vAlign w:val="bottom"/>
          </w:tcPr>
          <w:p>
            <w:pPr>
              <w:spacing w:after="0"/>
              <w:rPr>
                <w:sz w:val="1"/>
                <w:szCs w:val="1"/>
                <w:color w:val="auto"/>
              </w:rPr>
            </w:pPr>
          </w:p>
        </w:tc>
      </w:tr>
      <w:tr>
        <w:trPr>
          <w:trHeight w:val="176"/>
        </w:trPr>
        <w:tc>
          <w:tcPr>
            <w:tcW w:w="4960" w:type="dxa"/>
            <w:vAlign w:val="bottom"/>
          </w:tcPr>
          <w:p>
            <w:pPr>
              <w:ind w:left="300"/>
              <w:spacing w:after="0"/>
              <w:rPr>
                <w:sz w:val="20"/>
                <w:szCs w:val="20"/>
                <w:color w:val="auto"/>
              </w:rPr>
            </w:pPr>
            <w:r>
              <w:rPr>
                <w:rFonts w:ascii="Arial" w:cs="Arial" w:eastAsia="Arial" w:hAnsi="Arial"/>
                <w:sz w:val="14"/>
                <w:szCs w:val="14"/>
                <w:color w:val="auto"/>
              </w:rPr>
              <w:t>Restructuring</w:t>
            </w:r>
          </w:p>
        </w:tc>
        <w:tc>
          <w:tcPr>
            <w:tcW w:w="340" w:type="dxa"/>
            <w:vAlign w:val="bottom"/>
          </w:tcPr>
          <w:p>
            <w:pPr>
              <w:spacing w:after="0"/>
              <w:rPr>
                <w:sz w:val="15"/>
                <w:szCs w:val="15"/>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(666)</w:t>
            </w:r>
          </w:p>
        </w:tc>
        <w:tc>
          <w:tcPr>
            <w:tcW w:w="420" w:type="dxa"/>
            <w:vAlign w:val="bottom"/>
          </w:tcPr>
          <w:p>
            <w:pPr>
              <w:spacing w:after="0"/>
              <w:rPr>
                <w:sz w:val="15"/>
                <w:szCs w:val="15"/>
                <w:color w:val="auto"/>
              </w:rPr>
            </w:pP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678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(82,908)</w:t>
            </w:r>
          </w:p>
        </w:tc>
        <w:tc>
          <w:tcPr>
            <w:tcW w:w="400" w:type="dxa"/>
            <w:vAlign w:val="bottom"/>
          </w:tcPr>
          <w:p>
            <w:pPr>
              <w:spacing w:after="0"/>
              <w:rPr>
                <w:sz w:val="15"/>
                <w:szCs w:val="15"/>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(7,417)</w:t>
            </w:r>
          </w:p>
        </w:tc>
        <w:tc>
          <w:tcPr>
            <w:tcW w:w="0" w:type="dxa"/>
            <w:vAlign w:val="bottom"/>
          </w:tcPr>
          <w:p>
            <w:pPr>
              <w:spacing w:after="0"/>
              <w:rPr>
                <w:sz w:val="1"/>
                <w:szCs w:val="1"/>
                <w:color w:val="auto"/>
              </w:rPr>
            </w:pPr>
          </w:p>
        </w:tc>
      </w:tr>
      <w:tr>
        <w:trPr>
          <w:trHeight w:val="181"/>
        </w:trPr>
        <w:tc>
          <w:tcPr>
            <w:tcW w:w="4960" w:type="dxa"/>
            <w:vAlign w:val="bottom"/>
          </w:tcPr>
          <w:p>
            <w:pPr>
              <w:ind w:left="300"/>
              <w:spacing w:after="0"/>
              <w:rPr>
                <w:sz w:val="20"/>
                <w:szCs w:val="20"/>
                <w:color w:val="auto"/>
              </w:rPr>
            </w:pPr>
            <w:r>
              <w:rPr>
                <w:rFonts w:ascii="Arial" w:cs="Arial" w:eastAsia="Arial" w:hAnsi="Arial"/>
                <w:sz w:val="14"/>
                <w:szCs w:val="14"/>
                <w:color w:val="auto"/>
              </w:rPr>
              <w:t>Acquisition and integration related expense</w:t>
            </w:r>
          </w:p>
        </w:tc>
        <w:tc>
          <w:tcPr>
            <w:tcW w:w="3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(10,079)</w:t>
            </w:r>
          </w:p>
        </w:tc>
        <w:tc>
          <w:tcPr>
            <w:tcW w:w="4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(7,243)</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(83,874)</w:t>
            </w:r>
          </w:p>
        </w:tc>
        <w:tc>
          <w:tcPr>
            <w:tcW w:w="4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(14,044)</w:t>
            </w:r>
          </w:p>
        </w:tc>
        <w:tc>
          <w:tcPr>
            <w:tcW w:w="0" w:type="dxa"/>
            <w:vAlign w:val="bottom"/>
          </w:tcPr>
          <w:p>
            <w:pPr>
              <w:spacing w:after="0"/>
              <w:rPr>
                <w:sz w:val="1"/>
                <w:szCs w:val="1"/>
                <w:color w:val="auto"/>
              </w:rPr>
            </w:pPr>
          </w:p>
        </w:tc>
      </w:tr>
      <w:tr>
        <w:trPr>
          <w:trHeight w:val="169"/>
        </w:trPr>
        <w:tc>
          <w:tcPr>
            <w:tcW w:w="4960" w:type="dxa"/>
            <w:vAlign w:val="bottom"/>
          </w:tcPr>
          <w:p>
            <w:pPr>
              <w:ind w:left="200"/>
              <w:spacing w:after="0"/>
              <w:rPr>
                <w:sz w:val="20"/>
                <w:szCs w:val="20"/>
                <w:color w:val="auto"/>
              </w:rPr>
            </w:pPr>
            <w:r>
              <w:rPr>
                <w:rFonts w:ascii="Arial" w:cs="Arial" w:eastAsia="Arial" w:hAnsi="Arial"/>
                <w:sz w:val="14"/>
                <w:szCs w:val="14"/>
                <w:color w:val="auto"/>
              </w:rPr>
              <w:t>Non-GAAP operating expenses</w:t>
            </w:r>
          </w:p>
        </w:tc>
        <w:tc>
          <w:tcPr>
            <w:tcW w:w="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126,716</w:t>
            </w:r>
          </w:p>
        </w:tc>
        <w:tc>
          <w:tcPr>
            <w:tcW w:w="4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115,339</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411,257</w:t>
            </w:r>
          </w:p>
        </w:tc>
        <w:tc>
          <w:tcPr>
            <w:tcW w:w="4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358,383</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9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96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c>
          <w:tcPr>
            <w:tcW w:w="420" w:type="dxa"/>
            <w:vAlign w:val="bottom"/>
            <w:tcBorders>
              <w:bottom w:val="single" w:sz="8" w:color="EEEEEE"/>
            </w:tcBorders>
          </w:tcPr>
          <w:p>
            <w:pPr>
              <w:spacing w:after="0" w:line="20" w:lineRule="exact"/>
              <w:rPr>
                <w:sz w:val="1"/>
                <w:szCs w:val="1"/>
                <w:color w:val="auto"/>
              </w:rPr>
            </w:pPr>
          </w:p>
        </w:tc>
        <w:tc>
          <w:tcPr>
            <w:tcW w:w="120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11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4"/>
          <w:szCs w:val="14"/>
          <w:b w:val="1"/>
          <w:bCs w:val="1"/>
          <w:color w:val="auto"/>
        </w:rPr>
        <w:t>ITRON,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RECONCILIATIONS OF NON-GAAP FINANCIAL MEASURES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TO THE MOST DIRECTLY COMPARABLE GAAP FINANCIAL MEASURES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800" w:type="dxa"/>
            <w:vAlign w:val="bottom"/>
          </w:tcPr>
          <w:p>
            <w:pPr>
              <w:spacing w:after="0"/>
              <w:rPr>
                <w:sz w:val="20"/>
                <w:szCs w:val="20"/>
                <w:color w:val="auto"/>
              </w:rPr>
            </w:pPr>
            <w:r>
              <w:rPr>
                <w:rFonts w:ascii="Arial" w:cs="Arial" w:eastAsia="Arial" w:hAnsi="Arial"/>
                <w:sz w:val="14"/>
                <w:szCs w:val="14"/>
                <w:color w:val="auto"/>
              </w:rPr>
              <w:t>(Unaudited, in thousands)</w:t>
            </w: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0"/>
        </w:trPr>
        <w:tc>
          <w:tcPr>
            <w:tcW w:w="5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SEGMENT RECONCILIATIONS</w:t>
            </w:r>
          </w:p>
        </w:tc>
        <w:tc>
          <w:tcPr>
            <w:tcW w:w="2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3"/>
          </w:tcPr>
          <w:p>
            <w:pPr>
              <w:jc w:val="right"/>
              <w:ind w:right="208"/>
              <w:spacing w:after="0"/>
              <w:rPr>
                <w:sz w:val="20"/>
                <w:szCs w:val="20"/>
                <w:color w:val="auto"/>
              </w:rPr>
            </w:pPr>
            <w:r>
              <w:rPr>
                <w:rFonts w:ascii="Arial" w:cs="Arial" w:eastAsia="Arial" w:hAnsi="Arial"/>
                <w:sz w:val="14"/>
                <w:szCs w:val="14"/>
                <w:b w:val="1"/>
                <w:bCs w:val="1"/>
                <w:color w:val="auto"/>
                <w:w w:val="94"/>
              </w:rPr>
              <w:t>Three Months Ended September 30,</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3"/>
          </w:tcPr>
          <w:p>
            <w:pPr>
              <w:jc w:val="right"/>
              <w:ind w:right="248"/>
              <w:spacing w:after="0"/>
              <w:rPr>
                <w:sz w:val="20"/>
                <w:szCs w:val="20"/>
                <w:color w:val="auto"/>
              </w:rPr>
            </w:pPr>
            <w:r>
              <w:rPr>
                <w:rFonts w:ascii="Arial" w:cs="Arial" w:eastAsia="Arial" w:hAnsi="Arial"/>
                <w:sz w:val="14"/>
                <w:szCs w:val="14"/>
                <w:b w:val="1"/>
                <w:bCs w:val="1"/>
                <w:color w:val="auto"/>
                <w:w w:val="94"/>
              </w:rPr>
              <w:t>Nine Months Ended September 30,</w:t>
            </w:r>
          </w:p>
        </w:tc>
        <w:tc>
          <w:tcPr>
            <w:tcW w:w="0" w:type="dxa"/>
            <w:vAlign w:val="bottom"/>
          </w:tcPr>
          <w:p>
            <w:pPr>
              <w:spacing w:after="0"/>
              <w:rPr>
                <w:sz w:val="1"/>
                <w:szCs w:val="1"/>
                <w:color w:val="auto"/>
              </w:rPr>
            </w:pPr>
          </w:p>
        </w:tc>
      </w:tr>
      <w:tr>
        <w:trPr>
          <w:trHeight w:val="169"/>
        </w:trPr>
        <w:tc>
          <w:tcPr>
            <w:tcW w:w="58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64"/>
        </w:trPr>
        <w:tc>
          <w:tcPr>
            <w:tcW w:w="5800" w:type="dxa"/>
            <w:vAlign w:val="bottom"/>
          </w:tcPr>
          <w:p>
            <w:pPr>
              <w:ind w:left="80"/>
              <w:spacing w:after="0"/>
              <w:rPr>
                <w:sz w:val="20"/>
                <w:szCs w:val="20"/>
                <w:color w:val="auto"/>
              </w:rPr>
            </w:pPr>
            <w:r>
              <w:rPr>
                <w:rFonts w:ascii="Arial" w:cs="Arial" w:eastAsia="Arial" w:hAnsi="Arial"/>
                <w:sz w:val="14"/>
                <w:szCs w:val="14"/>
                <w:b w:val="1"/>
                <w:bCs w:val="1"/>
                <w:color w:val="auto"/>
              </w:rPr>
              <w:t>NON-GAAP OPERATING INCOME - ELECTRICITY</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800" w:type="dxa"/>
            <w:vAlign w:val="bottom"/>
          </w:tcPr>
          <w:p>
            <w:pPr>
              <w:ind w:left="180"/>
              <w:spacing w:after="0"/>
              <w:rPr>
                <w:sz w:val="20"/>
                <w:szCs w:val="20"/>
                <w:color w:val="auto"/>
              </w:rPr>
            </w:pPr>
            <w:r>
              <w:rPr>
                <w:rFonts w:ascii="Arial" w:cs="Arial" w:eastAsia="Arial" w:hAnsi="Arial"/>
                <w:sz w:val="14"/>
                <w:szCs w:val="14"/>
                <w:color w:val="auto"/>
              </w:rPr>
              <w:t>Electricity - GAAP operating income</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25,853</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17,317</w:t>
            </w:r>
          </w:p>
        </w:tc>
        <w:tc>
          <w:tcPr>
            <w:tcW w:w="3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52,082</w:t>
            </w:r>
          </w:p>
        </w:tc>
        <w:tc>
          <w:tcPr>
            <w:tcW w:w="3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52,240</w:t>
            </w:r>
          </w:p>
        </w:tc>
        <w:tc>
          <w:tcPr>
            <w:tcW w:w="0" w:type="dxa"/>
            <w:vAlign w:val="bottom"/>
          </w:tcPr>
          <w:p>
            <w:pPr>
              <w:spacing w:after="0"/>
              <w:rPr>
                <w:sz w:val="1"/>
                <w:szCs w:val="1"/>
                <w:color w:val="auto"/>
              </w:rPr>
            </w:pPr>
          </w:p>
        </w:tc>
      </w:tr>
      <w:tr>
        <w:trPr>
          <w:trHeight w:val="176"/>
        </w:trPr>
        <w:tc>
          <w:tcPr>
            <w:tcW w:w="5800" w:type="dxa"/>
            <w:vAlign w:val="bottom"/>
          </w:tcPr>
          <w:p>
            <w:pPr>
              <w:ind w:left="280"/>
              <w:spacing w:after="0"/>
              <w:rPr>
                <w:sz w:val="20"/>
                <w:szCs w:val="20"/>
                <w:color w:val="auto"/>
              </w:rPr>
            </w:pPr>
            <w:r>
              <w:rPr>
                <w:rFonts w:ascii="Arial" w:cs="Arial" w:eastAsia="Arial" w:hAnsi="Arial"/>
                <w:sz w:val="14"/>
                <w:szCs w:val="14"/>
                <w:color w:val="auto"/>
              </w:rPr>
              <w:t>Amortization of intangible assets</w:t>
            </w:r>
          </w:p>
        </w:tc>
        <w:tc>
          <w:tcPr>
            <w:tcW w:w="220" w:type="dxa"/>
            <w:vAlign w:val="bottom"/>
          </w:tcPr>
          <w:p>
            <w:pPr>
              <w:spacing w:after="0"/>
              <w:rPr>
                <w:sz w:val="15"/>
                <w:szCs w:val="15"/>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2,772</w:t>
            </w:r>
          </w:p>
        </w:tc>
        <w:tc>
          <w:tcPr>
            <w:tcW w:w="36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3,260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8,494</w:t>
            </w:r>
          </w:p>
        </w:tc>
        <w:tc>
          <w:tcPr>
            <w:tcW w:w="340" w:type="dxa"/>
            <w:vAlign w:val="bottom"/>
          </w:tcPr>
          <w:p>
            <w:pPr>
              <w:spacing w:after="0"/>
              <w:rPr>
                <w:sz w:val="15"/>
                <w:szCs w:val="15"/>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8,350</w:t>
            </w:r>
          </w:p>
        </w:tc>
        <w:tc>
          <w:tcPr>
            <w:tcW w:w="0" w:type="dxa"/>
            <w:vAlign w:val="bottom"/>
          </w:tcPr>
          <w:p>
            <w:pPr>
              <w:spacing w:after="0"/>
              <w:rPr>
                <w:sz w:val="1"/>
                <w:szCs w:val="1"/>
                <w:color w:val="auto"/>
              </w:rPr>
            </w:pPr>
          </w:p>
        </w:tc>
      </w:tr>
      <w:tr>
        <w:trPr>
          <w:trHeight w:val="176"/>
        </w:trPr>
        <w:tc>
          <w:tcPr>
            <w:tcW w:w="5800" w:type="dxa"/>
            <w:vAlign w:val="bottom"/>
          </w:tcPr>
          <w:p>
            <w:pPr>
              <w:ind w:left="280"/>
              <w:spacing w:after="0"/>
              <w:rPr>
                <w:sz w:val="20"/>
                <w:szCs w:val="20"/>
                <w:color w:val="auto"/>
              </w:rPr>
            </w:pPr>
            <w:r>
              <w:rPr>
                <w:rFonts w:ascii="Arial" w:cs="Arial" w:eastAsia="Arial" w:hAnsi="Arial"/>
                <w:sz w:val="14"/>
                <w:szCs w:val="14"/>
                <w:color w:val="auto"/>
              </w:rPr>
              <w:t>Restructuring</w:t>
            </w:r>
          </w:p>
        </w:tc>
        <w:tc>
          <w:tcPr>
            <w:tcW w:w="220" w:type="dxa"/>
            <w:vAlign w:val="bottom"/>
          </w:tcPr>
          <w:p>
            <w:pPr>
              <w:spacing w:after="0"/>
              <w:rPr>
                <w:sz w:val="15"/>
                <w:szCs w:val="15"/>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350</w:t>
            </w:r>
          </w:p>
        </w:tc>
        <w:tc>
          <w:tcPr>
            <w:tcW w:w="36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1,227</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19,805</w:t>
            </w:r>
          </w:p>
        </w:tc>
        <w:tc>
          <w:tcPr>
            <w:tcW w:w="340" w:type="dxa"/>
            <w:vAlign w:val="bottom"/>
          </w:tcPr>
          <w:p>
            <w:pPr>
              <w:spacing w:after="0"/>
              <w:rPr>
                <w:sz w:val="15"/>
                <w:szCs w:val="15"/>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1,557</w:t>
            </w:r>
          </w:p>
        </w:tc>
        <w:tc>
          <w:tcPr>
            <w:tcW w:w="0" w:type="dxa"/>
            <w:vAlign w:val="bottom"/>
          </w:tcPr>
          <w:p>
            <w:pPr>
              <w:spacing w:after="0"/>
              <w:rPr>
                <w:sz w:val="1"/>
                <w:szCs w:val="1"/>
                <w:color w:val="auto"/>
              </w:rPr>
            </w:pPr>
          </w:p>
        </w:tc>
      </w:tr>
      <w:tr>
        <w:trPr>
          <w:trHeight w:val="181"/>
        </w:trPr>
        <w:tc>
          <w:tcPr>
            <w:tcW w:w="5800" w:type="dxa"/>
            <w:vAlign w:val="bottom"/>
          </w:tcPr>
          <w:p>
            <w:pPr>
              <w:ind w:left="280"/>
              <w:spacing w:after="0"/>
              <w:rPr>
                <w:sz w:val="20"/>
                <w:szCs w:val="20"/>
                <w:color w:val="auto"/>
              </w:rPr>
            </w:pPr>
            <w:r>
              <w:rPr>
                <w:rFonts w:ascii="Arial" w:cs="Arial" w:eastAsia="Arial" w:hAnsi="Arial"/>
                <w:sz w:val="14"/>
                <w:szCs w:val="14"/>
                <w:color w:val="auto"/>
              </w:rPr>
              <w:t>Acquisition and integration related expense (recovery)</w:t>
            </w: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45</w:t>
            </w:r>
          </w:p>
        </w:tc>
        <w:tc>
          <w:tcPr>
            <w:tcW w:w="3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3,586</w:t>
            </w: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(876)</w:t>
            </w:r>
          </w:p>
        </w:tc>
        <w:tc>
          <w:tcPr>
            <w:tcW w:w="3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9,787</w:t>
            </w:r>
          </w:p>
        </w:tc>
        <w:tc>
          <w:tcPr>
            <w:tcW w:w="0" w:type="dxa"/>
            <w:vAlign w:val="bottom"/>
          </w:tcPr>
          <w:p>
            <w:pPr>
              <w:spacing w:after="0"/>
              <w:rPr>
                <w:sz w:val="1"/>
                <w:szCs w:val="1"/>
                <w:color w:val="auto"/>
              </w:rPr>
            </w:pPr>
          </w:p>
        </w:tc>
      </w:tr>
      <w:tr>
        <w:trPr>
          <w:trHeight w:val="169"/>
        </w:trPr>
        <w:tc>
          <w:tcPr>
            <w:tcW w:w="5800" w:type="dxa"/>
            <w:vAlign w:val="bottom"/>
          </w:tcPr>
          <w:p>
            <w:pPr>
              <w:ind w:left="180"/>
              <w:spacing w:after="0"/>
              <w:rPr>
                <w:sz w:val="20"/>
                <w:szCs w:val="20"/>
                <w:color w:val="auto"/>
              </w:rPr>
            </w:pPr>
            <w:r>
              <w:rPr>
                <w:rFonts w:ascii="Arial" w:cs="Arial" w:eastAsia="Arial" w:hAnsi="Arial"/>
                <w:sz w:val="14"/>
                <w:szCs w:val="14"/>
                <w:color w:val="auto"/>
              </w:rPr>
              <w:t>Electricity - Non-GAAP operating income</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29,020</w:t>
            </w:r>
          </w:p>
        </w:tc>
        <w:tc>
          <w:tcPr>
            <w:tcW w:w="3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25,390</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79,505</w:t>
            </w:r>
          </w:p>
        </w:tc>
        <w:tc>
          <w:tcPr>
            <w:tcW w:w="3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71,934</w:t>
            </w:r>
          </w:p>
        </w:tc>
        <w:tc>
          <w:tcPr>
            <w:tcW w:w="0" w:type="dxa"/>
            <w:vAlign w:val="bottom"/>
          </w:tcPr>
          <w:p>
            <w:pPr>
              <w:spacing w:after="0"/>
              <w:rPr>
                <w:sz w:val="1"/>
                <w:szCs w:val="1"/>
                <w:color w:val="auto"/>
              </w:rPr>
            </w:pPr>
          </w:p>
        </w:tc>
      </w:tr>
      <w:tr>
        <w:trPr>
          <w:trHeight w:val="20"/>
        </w:trPr>
        <w:tc>
          <w:tcPr>
            <w:tcW w:w="58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NON-GAAP OPERATING INCOME - GAS</w:t>
            </w: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58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800" w:type="dxa"/>
            <w:vAlign w:val="bottom"/>
          </w:tcPr>
          <w:p>
            <w:pPr>
              <w:ind w:left="180"/>
              <w:spacing w:after="0"/>
              <w:rPr>
                <w:sz w:val="20"/>
                <w:szCs w:val="20"/>
                <w:color w:val="auto"/>
              </w:rPr>
            </w:pPr>
            <w:r>
              <w:rPr>
                <w:rFonts w:ascii="Arial" w:cs="Arial" w:eastAsia="Arial" w:hAnsi="Arial"/>
                <w:sz w:val="14"/>
                <w:szCs w:val="14"/>
                <w:color w:val="auto"/>
              </w:rPr>
              <w:t>Gas - GAAP operating income</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31,279</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20,469</w:t>
            </w:r>
          </w:p>
        </w:tc>
        <w:tc>
          <w:tcPr>
            <w:tcW w:w="3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18,176</w:t>
            </w:r>
          </w:p>
        </w:tc>
        <w:tc>
          <w:tcPr>
            <w:tcW w:w="3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59,177</w:t>
            </w:r>
          </w:p>
        </w:tc>
        <w:tc>
          <w:tcPr>
            <w:tcW w:w="0" w:type="dxa"/>
            <w:vAlign w:val="bottom"/>
          </w:tcPr>
          <w:p>
            <w:pPr>
              <w:spacing w:after="0"/>
              <w:rPr>
                <w:sz w:val="1"/>
                <w:szCs w:val="1"/>
                <w:color w:val="auto"/>
              </w:rPr>
            </w:pPr>
          </w:p>
        </w:tc>
      </w:tr>
      <w:tr>
        <w:trPr>
          <w:trHeight w:val="176"/>
        </w:trPr>
        <w:tc>
          <w:tcPr>
            <w:tcW w:w="5800" w:type="dxa"/>
            <w:vAlign w:val="bottom"/>
          </w:tcPr>
          <w:p>
            <w:pPr>
              <w:ind w:left="280"/>
              <w:spacing w:after="0"/>
              <w:rPr>
                <w:sz w:val="20"/>
                <w:szCs w:val="20"/>
                <w:color w:val="auto"/>
              </w:rPr>
            </w:pPr>
            <w:r>
              <w:rPr>
                <w:rFonts w:ascii="Arial" w:cs="Arial" w:eastAsia="Arial" w:hAnsi="Arial"/>
                <w:sz w:val="14"/>
                <w:szCs w:val="14"/>
                <w:color w:val="auto"/>
              </w:rPr>
              <w:t>Amortization of intangible assets</w:t>
            </w:r>
          </w:p>
        </w:tc>
        <w:tc>
          <w:tcPr>
            <w:tcW w:w="220" w:type="dxa"/>
            <w:vAlign w:val="bottom"/>
          </w:tcPr>
          <w:p>
            <w:pPr>
              <w:spacing w:after="0"/>
              <w:rPr>
                <w:sz w:val="15"/>
                <w:szCs w:val="15"/>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1,078</w:t>
            </w:r>
          </w:p>
        </w:tc>
        <w:tc>
          <w:tcPr>
            <w:tcW w:w="36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1,375</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3,309</w:t>
            </w:r>
          </w:p>
        </w:tc>
        <w:tc>
          <w:tcPr>
            <w:tcW w:w="340" w:type="dxa"/>
            <w:vAlign w:val="bottom"/>
          </w:tcPr>
          <w:p>
            <w:pPr>
              <w:spacing w:after="0"/>
              <w:rPr>
                <w:sz w:val="15"/>
                <w:szCs w:val="15"/>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3,961</w:t>
            </w:r>
          </w:p>
        </w:tc>
        <w:tc>
          <w:tcPr>
            <w:tcW w:w="0" w:type="dxa"/>
            <w:vAlign w:val="bottom"/>
          </w:tcPr>
          <w:p>
            <w:pPr>
              <w:spacing w:after="0"/>
              <w:rPr>
                <w:sz w:val="1"/>
                <w:szCs w:val="1"/>
                <w:color w:val="auto"/>
              </w:rPr>
            </w:pPr>
          </w:p>
        </w:tc>
      </w:tr>
      <w:tr>
        <w:trPr>
          <w:trHeight w:val="181"/>
        </w:trPr>
        <w:tc>
          <w:tcPr>
            <w:tcW w:w="5800" w:type="dxa"/>
            <w:vAlign w:val="bottom"/>
          </w:tcPr>
          <w:p>
            <w:pPr>
              <w:ind w:left="280"/>
              <w:spacing w:after="0"/>
              <w:rPr>
                <w:sz w:val="20"/>
                <w:szCs w:val="20"/>
                <w:color w:val="auto"/>
              </w:rPr>
            </w:pPr>
            <w:r>
              <w:rPr>
                <w:rFonts w:ascii="Arial" w:cs="Arial" w:eastAsia="Arial" w:hAnsi="Arial"/>
                <w:sz w:val="14"/>
                <w:szCs w:val="14"/>
                <w:color w:val="auto"/>
              </w:rPr>
              <w:t>Restructuring</w:t>
            </w: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(669)</w:t>
            </w:r>
          </w:p>
        </w:tc>
        <w:tc>
          <w:tcPr>
            <w:tcW w:w="3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(706)</w:t>
            </w: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40,792</w:t>
            </w:r>
          </w:p>
        </w:tc>
        <w:tc>
          <w:tcPr>
            <w:tcW w:w="3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4,717</w:t>
            </w:r>
          </w:p>
        </w:tc>
        <w:tc>
          <w:tcPr>
            <w:tcW w:w="0" w:type="dxa"/>
            <w:vAlign w:val="bottom"/>
          </w:tcPr>
          <w:p>
            <w:pPr>
              <w:spacing w:after="0"/>
              <w:rPr>
                <w:sz w:val="1"/>
                <w:szCs w:val="1"/>
                <w:color w:val="auto"/>
              </w:rPr>
            </w:pPr>
          </w:p>
        </w:tc>
      </w:tr>
      <w:tr>
        <w:trPr>
          <w:trHeight w:val="169"/>
        </w:trPr>
        <w:tc>
          <w:tcPr>
            <w:tcW w:w="5800" w:type="dxa"/>
            <w:vAlign w:val="bottom"/>
          </w:tcPr>
          <w:p>
            <w:pPr>
              <w:ind w:left="180"/>
              <w:spacing w:after="0"/>
              <w:rPr>
                <w:sz w:val="20"/>
                <w:szCs w:val="20"/>
                <w:color w:val="auto"/>
              </w:rPr>
            </w:pPr>
            <w:r>
              <w:rPr>
                <w:rFonts w:ascii="Arial" w:cs="Arial" w:eastAsia="Arial" w:hAnsi="Arial"/>
                <w:sz w:val="14"/>
                <w:szCs w:val="14"/>
                <w:color w:val="auto"/>
              </w:rPr>
              <w:t>Gas - Non-GAAP operating income</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31,688</w:t>
            </w:r>
          </w:p>
        </w:tc>
        <w:tc>
          <w:tcPr>
            <w:tcW w:w="3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21,138</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62,277</w:t>
            </w:r>
          </w:p>
        </w:tc>
        <w:tc>
          <w:tcPr>
            <w:tcW w:w="3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67,855</w:t>
            </w:r>
          </w:p>
        </w:tc>
        <w:tc>
          <w:tcPr>
            <w:tcW w:w="0" w:type="dxa"/>
            <w:vAlign w:val="bottom"/>
          </w:tcPr>
          <w:p>
            <w:pPr>
              <w:spacing w:after="0"/>
              <w:rPr>
                <w:sz w:val="1"/>
                <w:szCs w:val="1"/>
                <w:color w:val="auto"/>
              </w:rPr>
            </w:pPr>
          </w:p>
        </w:tc>
      </w:tr>
      <w:tr>
        <w:trPr>
          <w:trHeight w:val="20"/>
        </w:trPr>
        <w:tc>
          <w:tcPr>
            <w:tcW w:w="58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NON-GAAP OPERATING INCOME - WATER</w:t>
            </w: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58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800" w:type="dxa"/>
            <w:vAlign w:val="bottom"/>
          </w:tcPr>
          <w:p>
            <w:pPr>
              <w:ind w:left="180"/>
              <w:spacing w:after="0"/>
              <w:rPr>
                <w:sz w:val="20"/>
                <w:szCs w:val="20"/>
                <w:color w:val="auto"/>
              </w:rPr>
            </w:pPr>
            <w:r>
              <w:rPr>
                <w:rFonts w:ascii="Arial" w:cs="Arial" w:eastAsia="Arial" w:hAnsi="Arial"/>
                <w:sz w:val="14"/>
                <w:szCs w:val="14"/>
                <w:color w:val="auto"/>
              </w:rPr>
              <w:t>Water - GAAP operating income</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6,859</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15,032</w:t>
            </w:r>
          </w:p>
        </w:tc>
        <w:tc>
          <w:tcPr>
            <w:tcW w:w="3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3,973</w:t>
            </w:r>
          </w:p>
        </w:tc>
        <w:tc>
          <w:tcPr>
            <w:tcW w:w="3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40,702</w:t>
            </w:r>
          </w:p>
        </w:tc>
        <w:tc>
          <w:tcPr>
            <w:tcW w:w="0" w:type="dxa"/>
            <w:vAlign w:val="bottom"/>
          </w:tcPr>
          <w:p>
            <w:pPr>
              <w:spacing w:after="0"/>
              <w:rPr>
                <w:sz w:val="1"/>
                <w:szCs w:val="1"/>
                <w:color w:val="auto"/>
              </w:rPr>
            </w:pPr>
          </w:p>
        </w:tc>
      </w:tr>
      <w:tr>
        <w:trPr>
          <w:trHeight w:val="176"/>
        </w:trPr>
        <w:tc>
          <w:tcPr>
            <w:tcW w:w="5800" w:type="dxa"/>
            <w:vAlign w:val="bottom"/>
          </w:tcPr>
          <w:p>
            <w:pPr>
              <w:ind w:left="280"/>
              <w:spacing w:after="0"/>
              <w:rPr>
                <w:sz w:val="20"/>
                <w:szCs w:val="20"/>
                <w:color w:val="auto"/>
              </w:rPr>
            </w:pPr>
            <w:r>
              <w:rPr>
                <w:rFonts w:ascii="Arial" w:cs="Arial" w:eastAsia="Arial" w:hAnsi="Arial"/>
                <w:sz w:val="14"/>
                <w:szCs w:val="14"/>
                <w:color w:val="auto"/>
              </w:rPr>
              <w:t>Amortization of intangible assets</w:t>
            </w:r>
          </w:p>
        </w:tc>
        <w:tc>
          <w:tcPr>
            <w:tcW w:w="220" w:type="dxa"/>
            <w:vAlign w:val="bottom"/>
          </w:tcPr>
          <w:p>
            <w:pPr>
              <w:spacing w:after="0"/>
              <w:rPr>
                <w:sz w:val="15"/>
                <w:szCs w:val="15"/>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809</w:t>
            </w:r>
          </w:p>
        </w:tc>
        <w:tc>
          <w:tcPr>
            <w:tcW w:w="36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990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2,452</w:t>
            </w:r>
          </w:p>
        </w:tc>
        <w:tc>
          <w:tcPr>
            <w:tcW w:w="340" w:type="dxa"/>
            <w:vAlign w:val="bottom"/>
          </w:tcPr>
          <w:p>
            <w:pPr>
              <w:spacing w:after="0"/>
              <w:rPr>
                <w:sz w:val="15"/>
                <w:szCs w:val="15"/>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2,833</w:t>
            </w:r>
          </w:p>
        </w:tc>
        <w:tc>
          <w:tcPr>
            <w:tcW w:w="0" w:type="dxa"/>
            <w:vAlign w:val="bottom"/>
          </w:tcPr>
          <w:p>
            <w:pPr>
              <w:spacing w:after="0"/>
              <w:rPr>
                <w:sz w:val="1"/>
                <w:szCs w:val="1"/>
                <w:color w:val="auto"/>
              </w:rPr>
            </w:pPr>
          </w:p>
        </w:tc>
      </w:tr>
      <w:tr>
        <w:trPr>
          <w:trHeight w:val="176"/>
        </w:trPr>
        <w:tc>
          <w:tcPr>
            <w:tcW w:w="5800" w:type="dxa"/>
            <w:vAlign w:val="bottom"/>
          </w:tcPr>
          <w:p>
            <w:pPr>
              <w:ind w:left="280"/>
              <w:spacing w:after="0"/>
              <w:rPr>
                <w:sz w:val="20"/>
                <w:szCs w:val="20"/>
                <w:color w:val="auto"/>
              </w:rPr>
            </w:pPr>
            <w:r>
              <w:rPr>
                <w:rFonts w:ascii="Arial" w:cs="Arial" w:eastAsia="Arial" w:hAnsi="Arial"/>
                <w:sz w:val="14"/>
                <w:szCs w:val="14"/>
                <w:color w:val="auto"/>
              </w:rPr>
              <w:t>Restructuring</w:t>
            </w:r>
          </w:p>
        </w:tc>
        <w:tc>
          <w:tcPr>
            <w:tcW w:w="220" w:type="dxa"/>
            <w:vAlign w:val="bottom"/>
          </w:tcPr>
          <w:p>
            <w:pPr>
              <w:spacing w:after="0"/>
              <w:rPr>
                <w:sz w:val="15"/>
                <w:szCs w:val="15"/>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639</w:t>
            </w:r>
          </w:p>
        </w:tc>
        <w:tc>
          <w:tcPr>
            <w:tcW w:w="36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(1,567)</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15,632</w:t>
            </w:r>
          </w:p>
        </w:tc>
        <w:tc>
          <w:tcPr>
            <w:tcW w:w="340" w:type="dxa"/>
            <w:vAlign w:val="bottom"/>
          </w:tcPr>
          <w:p>
            <w:pPr>
              <w:spacing w:after="0"/>
              <w:rPr>
                <w:sz w:val="15"/>
                <w:szCs w:val="15"/>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446</w:t>
            </w:r>
          </w:p>
        </w:tc>
        <w:tc>
          <w:tcPr>
            <w:tcW w:w="0" w:type="dxa"/>
            <w:vAlign w:val="bottom"/>
          </w:tcPr>
          <w:p>
            <w:pPr>
              <w:spacing w:after="0"/>
              <w:rPr>
                <w:sz w:val="1"/>
                <w:szCs w:val="1"/>
                <w:color w:val="auto"/>
              </w:rPr>
            </w:pPr>
          </w:p>
        </w:tc>
      </w:tr>
      <w:tr>
        <w:trPr>
          <w:trHeight w:val="181"/>
        </w:trPr>
        <w:tc>
          <w:tcPr>
            <w:tcW w:w="5800" w:type="dxa"/>
            <w:vAlign w:val="bottom"/>
          </w:tcPr>
          <w:p>
            <w:pPr>
              <w:ind w:left="280"/>
              <w:spacing w:after="0"/>
              <w:rPr>
                <w:sz w:val="20"/>
                <w:szCs w:val="20"/>
                <w:color w:val="auto"/>
              </w:rPr>
            </w:pPr>
            <w:r>
              <w:rPr>
                <w:rFonts w:ascii="Arial" w:cs="Arial" w:eastAsia="Arial" w:hAnsi="Arial"/>
                <w:sz w:val="14"/>
                <w:szCs w:val="14"/>
                <w:color w:val="auto"/>
              </w:rPr>
              <w:t>Acquisition and integration related expense</w:t>
            </w: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49</w:t>
            </w:r>
          </w:p>
        </w:tc>
        <w:tc>
          <w:tcPr>
            <w:tcW w:w="3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49</w:t>
            </w:r>
          </w:p>
        </w:tc>
        <w:tc>
          <w:tcPr>
            <w:tcW w:w="3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5800" w:type="dxa"/>
            <w:vAlign w:val="bottom"/>
          </w:tcPr>
          <w:p>
            <w:pPr>
              <w:ind w:left="180"/>
              <w:spacing w:after="0"/>
              <w:rPr>
                <w:sz w:val="20"/>
                <w:szCs w:val="20"/>
                <w:color w:val="auto"/>
              </w:rPr>
            </w:pPr>
            <w:r>
              <w:rPr>
                <w:rFonts w:ascii="Arial" w:cs="Arial" w:eastAsia="Arial" w:hAnsi="Arial"/>
                <w:sz w:val="14"/>
                <w:szCs w:val="14"/>
                <w:color w:val="auto"/>
              </w:rPr>
              <w:t>Water - Non-GAAP operating income</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8,356</w:t>
            </w:r>
          </w:p>
        </w:tc>
        <w:tc>
          <w:tcPr>
            <w:tcW w:w="3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14,455</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22,106</w:t>
            </w:r>
          </w:p>
        </w:tc>
        <w:tc>
          <w:tcPr>
            <w:tcW w:w="3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43,981</w:t>
            </w:r>
          </w:p>
        </w:tc>
        <w:tc>
          <w:tcPr>
            <w:tcW w:w="0" w:type="dxa"/>
            <w:vAlign w:val="bottom"/>
          </w:tcPr>
          <w:p>
            <w:pPr>
              <w:spacing w:after="0"/>
              <w:rPr>
                <w:sz w:val="1"/>
                <w:szCs w:val="1"/>
                <w:color w:val="auto"/>
              </w:rPr>
            </w:pPr>
          </w:p>
        </w:tc>
      </w:tr>
      <w:tr>
        <w:trPr>
          <w:trHeight w:val="20"/>
        </w:trPr>
        <w:tc>
          <w:tcPr>
            <w:tcW w:w="58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NON-GAAP OPERATING INCOME - NETWORKS</w:t>
            </w: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58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800" w:type="dxa"/>
            <w:vAlign w:val="bottom"/>
          </w:tcPr>
          <w:p>
            <w:pPr>
              <w:ind w:left="180"/>
              <w:spacing w:after="0"/>
              <w:rPr>
                <w:sz w:val="20"/>
                <w:szCs w:val="20"/>
                <w:color w:val="auto"/>
              </w:rPr>
            </w:pPr>
            <w:r>
              <w:rPr>
                <w:rFonts w:ascii="Arial" w:cs="Arial" w:eastAsia="Arial" w:hAnsi="Arial"/>
                <w:sz w:val="14"/>
                <w:szCs w:val="14"/>
                <w:color w:val="auto"/>
              </w:rPr>
              <w:t>Networks - GAAP operating loss</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(15,624)</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(119,353)</w:t>
            </w:r>
          </w:p>
        </w:tc>
        <w:tc>
          <w:tcPr>
            <w:tcW w:w="3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5800" w:type="dxa"/>
            <w:vAlign w:val="bottom"/>
          </w:tcPr>
          <w:p>
            <w:pPr>
              <w:ind w:left="280"/>
              <w:spacing w:after="0"/>
              <w:rPr>
                <w:sz w:val="20"/>
                <w:szCs w:val="20"/>
                <w:color w:val="auto"/>
              </w:rPr>
            </w:pPr>
            <w:r>
              <w:rPr>
                <w:rFonts w:ascii="Arial" w:cs="Arial" w:eastAsia="Arial" w:hAnsi="Arial"/>
                <w:sz w:val="14"/>
                <w:szCs w:val="14"/>
                <w:color w:val="auto"/>
              </w:rPr>
              <w:t>Amortization of intangible assets</w:t>
            </w:r>
          </w:p>
        </w:tc>
        <w:tc>
          <w:tcPr>
            <w:tcW w:w="220" w:type="dxa"/>
            <w:vAlign w:val="bottom"/>
          </w:tcPr>
          <w:p>
            <w:pPr>
              <w:spacing w:after="0"/>
              <w:rPr>
                <w:sz w:val="15"/>
                <w:szCs w:val="15"/>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13,301</w:t>
            </w:r>
          </w:p>
        </w:tc>
        <w:tc>
          <w:tcPr>
            <w:tcW w:w="36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39,444</w:t>
            </w:r>
          </w:p>
        </w:tc>
        <w:tc>
          <w:tcPr>
            <w:tcW w:w="340" w:type="dxa"/>
            <w:vAlign w:val="bottom"/>
          </w:tcPr>
          <w:p>
            <w:pPr>
              <w:spacing w:after="0"/>
              <w:rPr>
                <w:sz w:val="15"/>
                <w:szCs w:val="15"/>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5800" w:type="dxa"/>
            <w:vAlign w:val="bottom"/>
          </w:tcPr>
          <w:p>
            <w:pPr>
              <w:ind w:left="280"/>
              <w:spacing w:after="0"/>
              <w:rPr>
                <w:sz w:val="20"/>
                <w:szCs w:val="20"/>
                <w:color w:val="auto"/>
              </w:rPr>
            </w:pPr>
            <w:r>
              <w:rPr>
                <w:rFonts w:ascii="Arial" w:cs="Arial" w:eastAsia="Arial" w:hAnsi="Arial"/>
                <w:sz w:val="14"/>
                <w:szCs w:val="14"/>
                <w:color w:val="auto"/>
              </w:rPr>
              <w:t>Acquisition and integration related expense</w:t>
            </w: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9,381</w:t>
            </w:r>
          </w:p>
        </w:tc>
        <w:tc>
          <w:tcPr>
            <w:tcW w:w="3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83,940</w:t>
            </w:r>
          </w:p>
        </w:tc>
        <w:tc>
          <w:tcPr>
            <w:tcW w:w="3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5800" w:type="dxa"/>
            <w:vAlign w:val="bottom"/>
          </w:tcPr>
          <w:p>
            <w:pPr>
              <w:ind w:left="180"/>
              <w:spacing w:after="0"/>
              <w:rPr>
                <w:sz w:val="20"/>
                <w:szCs w:val="20"/>
                <w:color w:val="auto"/>
              </w:rPr>
            </w:pPr>
            <w:r>
              <w:rPr>
                <w:rFonts w:ascii="Arial" w:cs="Arial" w:eastAsia="Arial" w:hAnsi="Arial"/>
                <w:sz w:val="14"/>
                <w:szCs w:val="14"/>
                <w:color w:val="auto"/>
              </w:rPr>
              <w:t>Networks - Non-GAAP operating income</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7,058</w:t>
            </w:r>
          </w:p>
        </w:tc>
        <w:tc>
          <w:tcPr>
            <w:tcW w:w="3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4,031</w:t>
            </w:r>
          </w:p>
        </w:tc>
        <w:tc>
          <w:tcPr>
            <w:tcW w:w="3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58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NON-GAAP OPERATING INCOME - CORPORATE UNALLOCATED</w:t>
            </w: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58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800" w:type="dxa"/>
            <w:vAlign w:val="bottom"/>
          </w:tcPr>
          <w:p>
            <w:pPr>
              <w:ind w:left="180"/>
              <w:spacing w:after="0"/>
              <w:rPr>
                <w:sz w:val="20"/>
                <w:szCs w:val="20"/>
                <w:color w:val="auto"/>
              </w:rPr>
            </w:pPr>
            <w:r>
              <w:rPr>
                <w:rFonts w:ascii="Arial" w:cs="Arial" w:eastAsia="Arial" w:hAnsi="Arial"/>
                <w:sz w:val="14"/>
                <w:szCs w:val="14"/>
                <w:color w:val="auto"/>
              </w:rPr>
              <w:t>Corporate unallocated - GAAP operating loss</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(6,691)</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(14,592)</w:t>
            </w:r>
          </w:p>
        </w:tc>
        <w:tc>
          <w:tcPr>
            <w:tcW w:w="3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(33,087)</w:t>
            </w:r>
          </w:p>
        </w:tc>
        <w:tc>
          <w:tcPr>
            <w:tcW w:w="3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(45,438)</w:t>
            </w:r>
          </w:p>
        </w:tc>
        <w:tc>
          <w:tcPr>
            <w:tcW w:w="0" w:type="dxa"/>
            <w:vAlign w:val="bottom"/>
          </w:tcPr>
          <w:p>
            <w:pPr>
              <w:spacing w:after="0"/>
              <w:rPr>
                <w:sz w:val="1"/>
                <w:szCs w:val="1"/>
                <w:color w:val="auto"/>
              </w:rPr>
            </w:pPr>
          </w:p>
        </w:tc>
      </w:tr>
      <w:tr>
        <w:trPr>
          <w:trHeight w:val="176"/>
        </w:trPr>
        <w:tc>
          <w:tcPr>
            <w:tcW w:w="5800" w:type="dxa"/>
            <w:vAlign w:val="bottom"/>
          </w:tcPr>
          <w:p>
            <w:pPr>
              <w:ind w:left="280"/>
              <w:spacing w:after="0"/>
              <w:rPr>
                <w:sz w:val="20"/>
                <w:szCs w:val="20"/>
                <w:color w:val="auto"/>
              </w:rPr>
            </w:pPr>
            <w:r>
              <w:rPr>
                <w:rFonts w:ascii="Arial" w:cs="Arial" w:eastAsia="Arial" w:hAnsi="Arial"/>
                <w:sz w:val="14"/>
                <w:szCs w:val="14"/>
                <w:color w:val="auto"/>
              </w:rPr>
              <w:t>Restructuring</w:t>
            </w:r>
          </w:p>
        </w:tc>
        <w:tc>
          <w:tcPr>
            <w:tcW w:w="220" w:type="dxa"/>
            <w:vAlign w:val="bottom"/>
          </w:tcPr>
          <w:p>
            <w:pPr>
              <w:spacing w:after="0"/>
              <w:rPr>
                <w:sz w:val="15"/>
                <w:szCs w:val="15"/>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346</w:t>
            </w:r>
          </w:p>
        </w:tc>
        <w:tc>
          <w:tcPr>
            <w:tcW w:w="36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368</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6,679</w:t>
            </w:r>
          </w:p>
        </w:tc>
        <w:tc>
          <w:tcPr>
            <w:tcW w:w="340" w:type="dxa"/>
            <w:vAlign w:val="bottom"/>
          </w:tcPr>
          <w:p>
            <w:pPr>
              <w:spacing w:after="0"/>
              <w:rPr>
                <w:sz w:val="15"/>
                <w:szCs w:val="15"/>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697</w:t>
            </w:r>
          </w:p>
        </w:tc>
        <w:tc>
          <w:tcPr>
            <w:tcW w:w="0" w:type="dxa"/>
            <w:vAlign w:val="bottom"/>
          </w:tcPr>
          <w:p>
            <w:pPr>
              <w:spacing w:after="0"/>
              <w:rPr>
                <w:sz w:val="1"/>
                <w:szCs w:val="1"/>
                <w:color w:val="auto"/>
              </w:rPr>
            </w:pPr>
          </w:p>
        </w:tc>
      </w:tr>
      <w:tr>
        <w:trPr>
          <w:trHeight w:val="181"/>
        </w:trPr>
        <w:tc>
          <w:tcPr>
            <w:tcW w:w="5800" w:type="dxa"/>
            <w:vAlign w:val="bottom"/>
          </w:tcPr>
          <w:p>
            <w:pPr>
              <w:ind w:left="280"/>
              <w:spacing w:after="0"/>
              <w:rPr>
                <w:sz w:val="20"/>
                <w:szCs w:val="20"/>
                <w:color w:val="auto"/>
              </w:rPr>
            </w:pPr>
            <w:r>
              <w:rPr>
                <w:rFonts w:ascii="Arial" w:cs="Arial" w:eastAsia="Arial" w:hAnsi="Arial"/>
                <w:sz w:val="14"/>
                <w:szCs w:val="14"/>
                <w:color w:val="auto"/>
              </w:rPr>
              <w:t>Acquisition and integration related expense</w:t>
            </w: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604</w:t>
            </w:r>
          </w:p>
        </w:tc>
        <w:tc>
          <w:tcPr>
            <w:tcW w:w="3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3,657</w:t>
            </w: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761</w:t>
            </w:r>
          </w:p>
        </w:tc>
        <w:tc>
          <w:tcPr>
            <w:tcW w:w="3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4,257</w:t>
            </w:r>
          </w:p>
        </w:tc>
        <w:tc>
          <w:tcPr>
            <w:tcW w:w="0" w:type="dxa"/>
            <w:vAlign w:val="bottom"/>
          </w:tcPr>
          <w:p>
            <w:pPr>
              <w:spacing w:after="0"/>
              <w:rPr>
                <w:sz w:val="1"/>
                <w:szCs w:val="1"/>
                <w:color w:val="auto"/>
              </w:rPr>
            </w:pPr>
          </w:p>
        </w:tc>
      </w:tr>
      <w:tr>
        <w:trPr>
          <w:trHeight w:val="169"/>
        </w:trPr>
        <w:tc>
          <w:tcPr>
            <w:tcW w:w="5800" w:type="dxa"/>
            <w:vAlign w:val="bottom"/>
          </w:tcPr>
          <w:p>
            <w:pPr>
              <w:ind w:left="180"/>
              <w:spacing w:after="0"/>
              <w:rPr>
                <w:sz w:val="20"/>
                <w:szCs w:val="20"/>
                <w:color w:val="auto"/>
              </w:rPr>
            </w:pPr>
            <w:r>
              <w:rPr>
                <w:rFonts w:ascii="Arial" w:cs="Arial" w:eastAsia="Arial" w:hAnsi="Arial"/>
                <w:sz w:val="14"/>
                <w:szCs w:val="14"/>
                <w:color w:val="auto"/>
              </w:rPr>
              <w:t>Corporate unallocated - Non-GAAP operating loss</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(5,741)</w:t>
            </w:r>
          </w:p>
        </w:tc>
        <w:tc>
          <w:tcPr>
            <w:tcW w:w="3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(10,567)</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(25,647)</w:t>
            </w:r>
          </w:p>
        </w:tc>
        <w:tc>
          <w:tcPr>
            <w:tcW w:w="3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(40,484)</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0"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b w:val="1"/>
          <w:bCs w:val="1"/>
          <w:color w:val="auto"/>
        </w:rPr>
        <w:t>Itron, Inc.</w:t>
      </w:r>
    </w:p>
    <w:p>
      <w:pPr>
        <w:spacing w:after="0" w:line="230" w:lineRule="auto"/>
        <w:rPr>
          <w:sz w:val="20"/>
          <w:szCs w:val="20"/>
          <w:color w:val="auto"/>
        </w:rPr>
      </w:pPr>
      <w:r>
        <w:rPr>
          <w:rFonts w:ascii="Arial" w:cs="Arial" w:eastAsia="Arial" w:hAnsi="Arial"/>
          <w:sz w:val="22"/>
          <w:szCs w:val="22"/>
          <w:color w:val="auto"/>
        </w:rPr>
        <w:t>Kenneth P. Gianella, 669-770-4643</w:t>
      </w:r>
    </w:p>
    <w:p>
      <w:pPr>
        <w:spacing w:after="0" w:line="231" w:lineRule="auto"/>
        <w:rPr>
          <w:sz w:val="20"/>
          <w:szCs w:val="20"/>
          <w:color w:val="auto"/>
        </w:rPr>
      </w:pPr>
      <w:r>
        <w:rPr>
          <w:rFonts w:ascii="Arial" w:cs="Arial" w:eastAsia="Arial" w:hAnsi="Arial"/>
          <w:sz w:val="22"/>
          <w:szCs w:val="22"/>
          <w:color w:val="auto"/>
        </w:rPr>
        <w:t>Vice President, Investor Relations</w:t>
      </w:r>
    </w:p>
    <w:p>
      <w:pPr>
        <w:spacing w:after="0" w:line="231" w:lineRule="auto"/>
        <w:rPr>
          <w:sz w:val="20"/>
          <w:szCs w:val="20"/>
          <w:color w:val="auto"/>
        </w:rPr>
      </w:pPr>
      <w:r>
        <w:rPr>
          <w:rFonts w:ascii="Arial" w:cs="Arial" w:eastAsia="Arial" w:hAnsi="Arial"/>
          <w:sz w:val="22"/>
          <w:szCs w:val="22"/>
          <w:color w:val="auto"/>
        </w:rPr>
        <w:t>or</w:t>
      </w:r>
    </w:p>
    <w:p>
      <w:pPr>
        <w:spacing w:after="0" w:line="230" w:lineRule="auto"/>
        <w:rPr>
          <w:sz w:val="20"/>
          <w:szCs w:val="20"/>
          <w:color w:val="auto"/>
        </w:rPr>
      </w:pPr>
      <w:r>
        <w:rPr>
          <w:rFonts w:ascii="Arial" w:cs="Arial" w:eastAsia="Arial" w:hAnsi="Arial"/>
          <w:sz w:val="22"/>
          <w:szCs w:val="22"/>
          <w:color w:val="auto"/>
        </w:rPr>
        <w:t>Rebecca Hussey, 509-891-3574</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Manager, Investor Relations</w:t>
      </w:r>
    </w:p>
    <w:sectPr>
      <w:pgSz w:w="11900" w:h="16838" w:orient="portrait"/>
      <w:cols w:equalWidth="0" w:num="1">
        <w:col w:w="11420"/>
      </w:cols>
      <w:pgMar w:left="240" w:top="30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2019-12-28T18:12:39Z</dcterms:created>
  <dcterms:modified xsi:type="dcterms:W3CDTF">2019-12-28T18:12:39Z</dcterms:modified>
</cp:coreProperties>
</file>