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4"/>
          <w:szCs w:val="14"/>
          <w:color w:val="auto"/>
        </w:rPr>
        <w:t>PROSPECTUS SUPPLEMENT</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TO PROSPECTUS DATED JULY 2, 1997</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4"/>
          <w:szCs w:val="14"/>
          <w:color w:val="auto"/>
        </w:rPr>
        <w:t>FILED PURSUANT TO RULE 424(B)(3)</w:t>
      </w:r>
    </w:p>
    <w:p>
      <w:pPr>
        <w:spacing w:after="0" w:line="7" w:lineRule="exact"/>
        <w:rPr>
          <w:sz w:val="24"/>
          <w:szCs w:val="24"/>
          <w:color w:val="auto"/>
        </w:rPr>
      </w:pPr>
    </w:p>
    <w:p>
      <w:pPr>
        <w:ind w:left="440"/>
        <w:spacing w:after="0"/>
        <w:rPr>
          <w:sz w:val="20"/>
          <w:szCs w:val="20"/>
          <w:color w:val="auto"/>
        </w:rPr>
      </w:pPr>
      <w:r>
        <w:rPr>
          <w:rFonts w:ascii="Courier New" w:cs="Courier New" w:eastAsia="Courier New" w:hAnsi="Courier New"/>
          <w:sz w:val="14"/>
          <w:szCs w:val="14"/>
          <w:color w:val="auto"/>
        </w:rPr>
        <w:t>REGISTRATION NO. 333-28451</w:t>
      </w:r>
    </w:p>
    <w:p>
      <w:pPr>
        <w:spacing w:after="0" w:line="200" w:lineRule="exact"/>
        <w:rPr>
          <w:sz w:val="24"/>
          <w:szCs w:val="24"/>
          <w:color w:val="auto"/>
        </w:rPr>
      </w:pPr>
    </w:p>
    <w:p>
      <w:pPr>
        <w:sectPr>
          <w:pgSz w:w="11900" w:h="16838" w:orient="portrait"/>
          <w:cols w:equalWidth="0" w:num="2">
            <w:col w:w="3420" w:space="720"/>
            <w:col w:w="7400"/>
          </w:cols>
          <w:pgMar w:left="220" w:top="395" w:right="139" w:bottom="0" w:gutter="0" w:footer="0" w:header="0"/>
        </w:sectPr>
      </w:pPr>
    </w:p>
    <w:p>
      <w:pPr>
        <w:spacing w:after="0" w:line="138" w:lineRule="exact"/>
        <w:rPr>
          <w:sz w:val="24"/>
          <w:szCs w:val="24"/>
          <w:color w:val="auto"/>
        </w:rPr>
      </w:pPr>
    </w:p>
    <w:p>
      <w:pPr>
        <w:ind w:left="3020"/>
        <w:spacing w:after="0"/>
        <w:rPr>
          <w:sz w:val="20"/>
          <w:szCs w:val="20"/>
          <w:color w:val="auto"/>
        </w:rPr>
      </w:pPr>
      <w:r>
        <w:rPr>
          <w:rFonts w:ascii="Courier New" w:cs="Courier New" w:eastAsia="Courier New" w:hAnsi="Courier New"/>
          <w:sz w:val="14"/>
          <w:szCs w:val="14"/>
          <w:color w:val="auto"/>
        </w:rPr>
        <w:t>$63,400,000</w:t>
      </w:r>
    </w:p>
    <w:p>
      <w:pPr>
        <w:spacing w:after="0" w:line="173" w:lineRule="exact"/>
        <w:rPr>
          <w:sz w:val="24"/>
          <w:szCs w:val="24"/>
          <w:color w:val="auto"/>
        </w:rPr>
      </w:pPr>
    </w:p>
    <w:p>
      <w:pPr>
        <w:ind w:left="3020"/>
        <w:spacing w:after="0"/>
        <w:rPr>
          <w:sz w:val="20"/>
          <w:szCs w:val="20"/>
          <w:color w:val="auto"/>
        </w:rPr>
      </w:pPr>
      <w:r>
        <w:rPr>
          <w:rFonts w:ascii="Courier New" w:cs="Courier New" w:eastAsia="Courier New" w:hAnsi="Courier New"/>
          <w:sz w:val="14"/>
          <w:szCs w:val="14"/>
          <w:color w:val="auto"/>
        </w:rPr>
        <w:t>ITRON, INC.</w:t>
      </w:r>
    </w:p>
    <w:p>
      <w:pPr>
        <w:spacing w:after="0" w:line="7" w:lineRule="exact"/>
        <w:rPr>
          <w:sz w:val="24"/>
          <w:szCs w:val="24"/>
          <w:color w:val="auto"/>
        </w:rPr>
      </w:pPr>
    </w:p>
    <w:p>
      <w:pPr>
        <w:ind w:left="1480"/>
        <w:spacing w:after="0"/>
        <w:rPr>
          <w:sz w:val="20"/>
          <w:szCs w:val="20"/>
          <w:color w:val="auto"/>
        </w:rPr>
      </w:pPr>
      <w:r>
        <w:rPr>
          <w:rFonts w:ascii="Courier New" w:cs="Courier New" w:eastAsia="Courier New" w:hAnsi="Courier New"/>
          <w:sz w:val="14"/>
          <w:szCs w:val="14"/>
          <w:color w:val="auto"/>
        </w:rPr>
        <w:t>6-3/4% Convertible Subordinated Notes Due 2004</w:t>
      </w:r>
    </w:p>
    <w:p>
      <w:pPr>
        <w:spacing w:after="0" w:line="7" w:lineRule="exact"/>
        <w:rPr>
          <w:sz w:val="24"/>
          <w:szCs w:val="24"/>
          <w:color w:val="auto"/>
        </w:rPr>
      </w:pPr>
    </w:p>
    <w:p>
      <w:pPr>
        <w:ind w:left="3360"/>
        <w:spacing w:after="0"/>
        <w:rPr>
          <w:sz w:val="20"/>
          <w:szCs w:val="20"/>
          <w:color w:val="auto"/>
        </w:rPr>
      </w:pPr>
      <w:r>
        <w:rPr>
          <w:rFonts w:ascii="Courier New" w:cs="Courier New" w:eastAsia="Courier New" w:hAnsi="Courier New"/>
          <w:sz w:val="14"/>
          <w:szCs w:val="14"/>
          <w:color w:val="auto"/>
        </w:rPr>
        <w:t>and</w:t>
      </w:r>
    </w:p>
    <w:p>
      <w:pPr>
        <w:spacing w:after="0" w:line="7" w:lineRule="exact"/>
        <w:rPr>
          <w:sz w:val="24"/>
          <w:szCs w:val="24"/>
          <w:color w:val="auto"/>
        </w:rPr>
      </w:pPr>
    </w:p>
    <w:p>
      <w:pPr>
        <w:ind w:left="2500"/>
        <w:spacing w:after="0"/>
        <w:rPr>
          <w:sz w:val="20"/>
          <w:szCs w:val="20"/>
          <w:color w:val="auto"/>
        </w:rPr>
      </w:pPr>
      <w:r>
        <w:rPr>
          <w:rFonts w:ascii="Courier New" w:cs="Courier New" w:eastAsia="Courier New" w:hAnsi="Courier New"/>
          <w:sz w:val="14"/>
          <w:szCs w:val="14"/>
          <w:color w:val="auto"/>
        </w:rPr>
        <w:t>Shares of Common Stock</w:t>
      </w:r>
    </w:p>
    <w:p>
      <w:pPr>
        <w:spacing w:after="0" w:line="7" w:lineRule="exact"/>
        <w:rPr>
          <w:sz w:val="24"/>
          <w:szCs w:val="24"/>
          <w:color w:val="auto"/>
        </w:rPr>
      </w:pPr>
    </w:p>
    <w:p>
      <w:pPr>
        <w:ind w:left="2080"/>
        <w:spacing w:after="0"/>
        <w:rPr>
          <w:sz w:val="20"/>
          <w:szCs w:val="20"/>
          <w:color w:val="auto"/>
        </w:rPr>
      </w:pPr>
      <w:r>
        <w:rPr>
          <w:rFonts w:ascii="Courier New" w:cs="Courier New" w:eastAsia="Courier New" w:hAnsi="Courier New"/>
          <w:sz w:val="14"/>
          <w:szCs w:val="14"/>
          <w:color w:val="auto"/>
        </w:rPr>
        <w:t>Issuable Upon Conversion Thereof</w:t>
      </w:r>
    </w:p>
    <w:p>
      <w:pPr>
        <w:spacing w:after="0" w:line="7" w:lineRule="exact"/>
        <w:rPr>
          <w:sz w:val="24"/>
          <w:szCs w:val="24"/>
          <w:color w:val="auto"/>
        </w:rPr>
      </w:pPr>
    </w:p>
    <w:p>
      <w:pPr>
        <w:ind w:left="3360"/>
        <w:spacing w:after="0"/>
        <w:rPr>
          <w:sz w:val="20"/>
          <w:szCs w:val="20"/>
          <w:color w:val="auto"/>
        </w:rPr>
      </w:pPr>
      <w:r>
        <w:rPr>
          <w:rFonts w:ascii="Courier New" w:cs="Courier New" w:eastAsia="Courier New" w:hAnsi="Courier New"/>
          <w:sz w:val="14"/>
          <w:szCs w:val="14"/>
          <w:color w:val="auto"/>
        </w:rPr>
        <w:t>and</w:t>
      </w:r>
    </w:p>
    <w:p>
      <w:pPr>
        <w:spacing w:after="0" w:line="7" w:lineRule="exact"/>
        <w:rPr>
          <w:sz w:val="24"/>
          <w:szCs w:val="24"/>
          <w:color w:val="auto"/>
        </w:rPr>
      </w:pPr>
    </w:p>
    <w:p>
      <w:pPr>
        <w:ind w:left="2080"/>
        <w:spacing w:after="0"/>
        <w:rPr>
          <w:sz w:val="20"/>
          <w:szCs w:val="20"/>
          <w:color w:val="auto"/>
        </w:rPr>
      </w:pPr>
      <w:r>
        <w:rPr>
          <w:rFonts w:ascii="Courier New" w:cs="Courier New" w:eastAsia="Courier New" w:hAnsi="Courier New"/>
          <w:sz w:val="14"/>
          <w:szCs w:val="14"/>
          <w:color w:val="auto"/>
        </w:rPr>
        <w:t>2,638,600 Shares of Common Stock</w:t>
      </w:r>
    </w:p>
    <w:p>
      <w:pPr>
        <w:spacing w:after="0" w:line="338" w:lineRule="exact"/>
        <w:rPr>
          <w:sz w:val="24"/>
          <w:szCs w:val="24"/>
          <w:color w:val="auto"/>
        </w:rPr>
      </w:pPr>
    </w:p>
    <w:p>
      <w:pPr>
        <w:jc w:val="both"/>
        <w:ind w:right="4640" w:firstLine="775"/>
        <w:spacing w:after="0" w:line="251" w:lineRule="auto"/>
        <w:rPr>
          <w:sz w:val="20"/>
          <w:szCs w:val="20"/>
          <w:color w:val="auto"/>
        </w:rPr>
      </w:pPr>
      <w:r>
        <w:rPr>
          <w:rFonts w:ascii="Courier New" w:cs="Courier New" w:eastAsia="Courier New" w:hAnsi="Courier New"/>
          <w:sz w:val="14"/>
          <w:szCs w:val="14"/>
          <w:color w:val="auto"/>
        </w:rPr>
        <w:t>This Prospectus Supplement relates to the resale by the holders (the "Selling Securityholders") of 6 3/4% Convertible Subordinated Notes Due 2004 (the "Notes") of Itron, Inc. (the "Company") and the shares of Common Stock, no par value (the "Common Stock"), of the Company issuable upon the conversion thereof (the "Conversion Shares").</w:t>
      </w:r>
    </w:p>
    <w:p>
      <w:pPr>
        <w:spacing w:after="0" w:line="165" w:lineRule="exact"/>
        <w:rPr>
          <w:sz w:val="24"/>
          <w:szCs w:val="24"/>
          <w:color w:val="auto"/>
        </w:rPr>
      </w:pPr>
    </w:p>
    <w:p>
      <w:pPr>
        <w:jc w:val="both"/>
        <w:ind w:right="4640" w:firstLine="775"/>
        <w:spacing w:after="0" w:line="252" w:lineRule="auto"/>
        <w:rPr>
          <w:sz w:val="20"/>
          <w:szCs w:val="20"/>
          <w:color w:val="auto"/>
        </w:rPr>
      </w:pPr>
      <w:r>
        <w:rPr>
          <w:rFonts w:ascii="Courier New" w:cs="Courier New" w:eastAsia="Courier New" w:hAnsi="Courier New"/>
          <w:sz w:val="14"/>
          <w:szCs w:val="14"/>
          <w:color w:val="auto"/>
        </w:rPr>
        <w:t>This Prospectus Supplement should be read in conjunction with the Prospectus dated June 13, 1997 (the "Prospectus"), which is to be delivered with this Prospectus Supplement. All capitalized terms used but not defined in this Prospectus Supplement shall have the meanings given them in the Prospectus.</w:t>
      </w:r>
    </w:p>
    <w:p>
      <w:pPr>
        <w:spacing w:after="0" w:line="162" w:lineRule="exact"/>
        <w:rPr>
          <w:sz w:val="24"/>
          <w:szCs w:val="24"/>
          <w:color w:val="auto"/>
        </w:rPr>
      </w:pPr>
    </w:p>
    <w:p>
      <w:pPr>
        <w:ind w:left="780"/>
        <w:spacing w:after="0"/>
        <w:tabs>
          <w:tab w:leader="none" w:pos="1200" w:val="left"/>
          <w:tab w:leader="none" w:pos="2320" w:val="left"/>
          <w:tab w:leader="none" w:pos="3520" w:val="left"/>
          <w:tab w:leader="none" w:pos="4460" w:val="left"/>
          <w:tab w:leader="none" w:pos="5420" w:val="left"/>
          <w:tab w:leader="none" w:pos="6200" w:val="left"/>
        </w:tabs>
        <w:rPr>
          <w:sz w:val="20"/>
          <w:szCs w:val="20"/>
          <w:color w:val="auto"/>
        </w:rPr>
      </w:pPr>
      <w:r>
        <w:rPr>
          <w:rFonts w:ascii="Courier New" w:cs="Courier New" w:eastAsia="Courier New" w:hAnsi="Courier New"/>
          <w:sz w:val="14"/>
          <w:szCs w:val="14"/>
          <w:color w:val="auto"/>
        </w:rPr>
        <w:t>The</w:t>
        <w:tab/>
        <w:t>information</w:t>
        <w:tab/>
        <w:t>in the table</w:t>
        <w:tab/>
        <w:t>appearing</w:t>
        <w:tab/>
        <w:t>under the</w:t>
        <w:tab/>
        <w:t>heading</w:t>
        <w:tab/>
        <w:t>"Selling</w:t>
      </w:r>
    </w:p>
    <w:p>
      <w:pPr>
        <w:spacing w:after="0" w:line="7" w:lineRule="exact"/>
        <w:rPr>
          <w:sz w:val="24"/>
          <w:szCs w:val="24"/>
          <w:color w:val="auto"/>
        </w:rPr>
      </w:pPr>
    </w:p>
    <w:p>
      <w:pPr>
        <w:spacing w:after="0"/>
        <w:tabs>
          <w:tab w:leader="none" w:pos="1540" w:val="left"/>
          <w:tab w:leader="none" w:pos="2220" w:val="left"/>
          <w:tab w:leader="none" w:pos="3520" w:val="left"/>
          <w:tab w:leader="none" w:pos="4560" w:val="left"/>
          <w:tab w:leader="none" w:pos="5940" w:val="left"/>
        </w:tabs>
        <w:rPr>
          <w:sz w:val="20"/>
          <w:szCs w:val="20"/>
          <w:color w:val="auto"/>
        </w:rPr>
      </w:pPr>
      <w:r>
        <w:rPr>
          <w:rFonts w:ascii="Courier New" w:cs="Courier New" w:eastAsia="Courier New" w:hAnsi="Courier New"/>
          <w:sz w:val="14"/>
          <w:szCs w:val="14"/>
          <w:color w:val="auto"/>
        </w:rPr>
        <w:t>Securityholders"</w:t>
        <w:tab/>
        <w:t>in the</w:t>
        <w:tab/>
        <w:t>Prospectus is</w:t>
        <w:tab/>
        <w:t>superseded</w:t>
        <w:tab/>
        <w:t>in part by the</w:t>
        <w:tab/>
        <w:t>information</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appearing in the table below:</w:t>
      </w:r>
    </w:p>
    <w:p>
      <w:pPr>
        <w:sectPr>
          <w:pgSz w:w="11900" w:h="16838" w:orient="portrait"/>
          <w:cols w:equalWidth="0" w:num="1">
            <w:col w:w="11540"/>
          </w:cols>
          <w:pgMar w:left="220" w:top="395" w:right="139" w:bottom="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9" w:lineRule="exact"/>
        <w:rPr>
          <w:sz w:val="24"/>
          <w:szCs w:val="24"/>
          <w:color w:val="auto"/>
        </w:rPr>
      </w:pPr>
    </w:p>
    <w:p>
      <w:pPr>
        <w:ind w:left="440"/>
        <w:spacing w:after="0"/>
        <w:rPr>
          <w:sz w:val="20"/>
          <w:szCs w:val="20"/>
          <w:color w:val="auto"/>
        </w:rPr>
      </w:pPr>
      <w:r>
        <w:rPr>
          <w:rFonts w:ascii="Courier New" w:cs="Courier New" w:eastAsia="Courier New" w:hAnsi="Courier New"/>
          <w:sz w:val="14"/>
          <w:szCs w:val="14"/>
          <w:color w:val="auto"/>
        </w:rPr>
        <w:t>Name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50" w:lineRule="exact"/>
        <w:rPr>
          <w:sz w:val="24"/>
          <w:szCs w:val="24"/>
          <w:color w:val="auto"/>
        </w:rPr>
      </w:pPr>
    </w:p>
    <w:p>
      <w:pPr>
        <w:ind w:left="700"/>
        <w:spacing w:after="0"/>
        <w:tabs>
          <w:tab w:leader="none" w:pos="4560" w:val="left"/>
        </w:tabs>
        <w:rPr>
          <w:sz w:val="20"/>
          <w:szCs w:val="20"/>
          <w:color w:val="auto"/>
        </w:rPr>
      </w:pPr>
      <w:r>
        <w:rPr>
          <w:rFonts w:ascii="Courier New" w:cs="Courier New" w:eastAsia="Courier New" w:hAnsi="Courier New"/>
          <w:sz w:val="14"/>
          <w:szCs w:val="14"/>
          <w:color w:val="auto"/>
        </w:rPr>
        <w:t>Notes and Conversion Shares</w:t>
      </w:r>
      <w:r>
        <w:rPr>
          <w:sz w:val="20"/>
          <w:szCs w:val="20"/>
          <w:color w:val="auto"/>
        </w:rPr>
        <w:tab/>
      </w:r>
      <w:r>
        <w:rPr>
          <w:rFonts w:ascii="Courier New" w:cs="Courier New" w:eastAsia="Courier New" w:hAnsi="Courier New"/>
          <w:sz w:val="13"/>
          <w:szCs w:val="13"/>
          <w:color w:val="auto"/>
        </w:rPr>
        <w:t>Shares</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4"/>
          <w:szCs w:val="24"/>
          <w:color w:val="auto"/>
        </w:rPr>
      </w:pPr>
    </w:p>
    <w:p>
      <w:pPr>
        <w:ind w:left="180"/>
        <w:spacing w:after="0"/>
        <w:rPr>
          <w:sz w:val="20"/>
          <w:szCs w:val="20"/>
          <w:color w:val="auto"/>
        </w:rPr>
      </w:pPr>
      <w:r>
        <w:rPr>
          <w:rFonts w:ascii="Courier New" w:cs="Courier New" w:eastAsia="Courier New" w:hAnsi="Courier New"/>
          <w:sz w:val="14"/>
          <w:szCs w:val="14"/>
          <w:color w:val="auto"/>
        </w:rPr>
        <w:t>Principal</w:t>
      </w:r>
    </w:p>
    <w:p>
      <w:pPr>
        <w:spacing w:after="0" w:line="7" w:lineRule="exact"/>
        <w:rPr>
          <w:sz w:val="24"/>
          <w:szCs w:val="24"/>
          <w:color w:val="auto"/>
        </w:rPr>
      </w:pPr>
    </w:p>
    <w:p>
      <w:pPr>
        <w:ind w:left="180"/>
        <w:spacing w:after="0"/>
        <w:tabs>
          <w:tab w:leader="none" w:pos="3860" w:val="left"/>
          <w:tab w:leader="none" w:pos="5060" w:val="left"/>
        </w:tabs>
        <w:rPr>
          <w:sz w:val="20"/>
          <w:szCs w:val="20"/>
          <w:color w:val="auto"/>
        </w:rPr>
      </w:pPr>
      <w:r>
        <w:rPr>
          <w:rFonts w:ascii="Courier New" w:cs="Courier New" w:eastAsia="Courier New" w:hAnsi="Courier New"/>
          <w:sz w:val="14"/>
          <w:szCs w:val="14"/>
          <w:color w:val="auto"/>
        </w:rPr>
        <w:t>Amount of</w:t>
      </w:r>
      <w:r>
        <w:rPr>
          <w:sz w:val="20"/>
          <w:szCs w:val="20"/>
          <w:color w:val="auto"/>
        </w:rPr>
        <w:tab/>
      </w:r>
      <w:r>
        <w:rPr>
          <w:rFonts w:ascii="Courier New" w:cs="Courier New" w:eastAsia="Courier New" w:hAnsi="Courier New"/>
          <w:sz w:val="14"/>
          <w:szCs w:val="14"/>
          <w:color w:val="auto"/>
        </w:rPr>
        <w:t>Shares</w:t>
      </w:r>
      <w:r>
        <w:rPr>
          <w:sz w:val="20"/>
          <w:szCs w:val="20"/>
          <w:color w:val="auto"/>
        </w:rPr>
        <w:tab/>
      </w:r>
      <w:r>
        <w:rPr>
          <w:rFonts w:ascii="Courier New" w:cs="Courier New" w:eastAsia="Courier New" w:hAnsi="Courier New"/>
          <w:sz w:val="14"/>
          <w:szCs w:val="14"/>
          <w:color w:val="auto"/>
        </w:rPr>
        <w:t>Number</w:t>
      </w:r>
    </w:p>
    <w:p>
      <w:pPr>
        <w:spacing w:after="0" w:line="7" w:lineRule="exact"/>
        <w:rPr>
          <w:sz w:val="24"/>
          <w:szCs w:val="24"/>
          <w:color w:val="auto"/>
        </w:rPr>
      </w:pPr>
    </w:p>
    <w:p>
      <w:pPr>
        <w:ind w:left="260"/>
        <w:spacing w:after="0"/>
        <w:tabs>
          <w:tab w:leader="none" w:pos="2400" w:val="left"/>
          <w:tab w:leader="none" w:pos="3700" w:val="left"/>
          <w:tab w:leader="none" w:pos="4900" w:val="left"/>
        </w:tabs>
        <w:rPr>
          <w:sz w:val="20"/>
          <w:szCs w:val="20"/>
          <w:color w:val="auto"/>
        </w:rPr>
      </w:pPr>
      <w:r>
        <w:rPr>
          <w:rFonts w:ascii="Courier New" w:cs="Courier New" w:eastAsia="Courier New" w:hAnsi="Courier New"/>
          <w:sz w:val="14"/>
          <w:szCs w:val="14"/>
          <w:color w:val="auto"/>
        </w:rPr>
        <w:t>Notes</w:t>
      </w:r>
      <w:r>
        <w:rPr>
          <w:sz w:val="20"/>
          <w:szCs w:val="20"/>
          <w:color w:val="auto"/>
        </w:rPr>
        <w:tab/>
      </w:r>
      <w:r>
        <w:rPr>
          <w:rFonts w:ascii="Courier New" w:cs="Courier New" w:eastAsia="Courier New" w:hAnsi="Courier New"/>
          <w:sz w:val="14"/>
          <w:szCs w:val="14"/>
          <w:color w:val="auto"/>
        </w:rPr>
        <w:t>Number of</w:t>
      </w:r>
      <w:r>
        <w:rPr>
          <w:sz w:val="20"/>
          <w:szCs w:val="20"/>
          <w:color w:val="auto"/>
        </w:rPr>
        <w:tab/>
      </w:r>
      <w:r>
        <w:rPr>
          <w:rFonts w:ascii="Courier New" w:cs="Courier New" w:eastAsia="Courier New" w:hAnsi="Courier New"/>
          <w:sz w:val="14"/>
          <w:szCs w:val="14"/>
          <w:color w:val="auto"/>
        </w:rPr>
        <w:t>Beneficially</w:t>
        <w:tab/>
        <w:t>of Shares</w:t>
      </w:r>
    </w:p>
    <w:p>
      <w:pPr>
        <w:spacing w:after="0" w:line="7" w:lineRule="exact"/>
        <w:rPr>
          <w:sz w:val="24"/>
          <w:szCs w:val="24"/>
          <w:color w:val="auto"/>
        </w:rPr>
      </w:pPr>
    </w:p>
    <w:p>
      <w:pPr>
        <w:spacing w:after="0"/>
        <w:tabs>
          <w:tab w:leader="none" w:pos="2320" w:val="left"/>
          <w:tab w:leader="none" w:pos="3860" w:val="left"/>
          <w:tab w:leader="none" w:pos="5060" w:val="left"/>
        </w:tabs>
        <w:rPr>
          <w:sz w:val="20"/>
          <w:szCs w:val="20"/>
          <w:color w:val="auto"/>
        </w:rPr>
      </w:pPr>
      <w:r>
        <w:rPr>
          <w:rFonts w:ascii="Courier New" w:cs="Courier New" w:eastAsia="Courier New" w:hAnsi="Courier New"/>
          <w:sz w:val="14"/>
          <w:szCs w:val="14"/>
          <w:color w:val="auto"/>
        </w:rPr>
        <w:t>Beneficially Percentage</w:t>
      </w:r>
      <w:r>
        <w:rPr>
          <w:sz w:val="20"/>
          <w:szCs w:val="20"/>
          <w:color w:val="auto"/>
        </w:rPr>
        <w:tab/>
      </w:r>
      <w:r>
        <w:rPr>
          <w:rFonts w:ascii="Courier New" w:cs="Courier New" w:eastAsia="Courier New" w:hAnsi="Courier New"/>
          <w:sz w:val="14"/>
          <w:szCs w:val="14"/>
          <w:color w:val="auto"/>
        </w:rPr>
        <w:t>Conversion</w:t>
      </w:r>
      <w:r>
        <w:rPr>
          <w:sz w:val="20"/>
          <w:szCs w:val="20"/>
          <w:color w:val="auto"/>
        </w:rPr>
        <w:tab/>
      </w:r>
      <w:r>
        <w:rPr>
          <w:rFonts w:ascii="Courier New" w:cs="Courier New" w:eastAsia="Courier New" w:hAnsi="Courier New"/>
          <w:sz w:val="14"/>
          <w:szCs w:val="14"/>
          <w:color w:val="auto"/>
        </w:rPr>
        <w:t>Owned</w:t>
      </w:r>
      <w:r>
        <w:rPr>
          <w:sz w:val="20"/>
          <w:szCs w:val="20"/>
          <w:color w:val="auto"/>
        </w:rPr>
        <w:tab/>
      </w:r>
      <w:r>
        <w:rPr>
          <w:rFonts w:ascii="Courier New" w:cs="Courier New" w:eastAsia="Courier New" w:hAnsi="Courier New"/>
          <w:sz w:val="14"/>
          <w:szCs w:val="14"/>
          <w:color w:val="auto"/>
        </w:rPr>
        <w:t>that</w:t>
      </w:r>
    </w:p>
    <w:p>
      <w:pPr>
        <w:spacing w:after="0" w:line="7" w:lineRule="exact"/>
        <w:rPr>
          <w:sz w:val="24"/>
          <w:szCs w:val="24"/>
          <w:color w:val="auto"/>
        </w:rPr>
      </w:pPr>
    </w:p>
    <w:p>
      <w:pPr>
        <w:spacing w:after="0"/>
        <w:tabs>
          <w:tab w:leader="none" w:pos="1200" w:val="left"/>
          <w:tab w:leader="none" w:pos="2220" w:val="left"/>
          <w:tab w:leader="none" w:pos="3780" w:val="left"/>
          <w:tab w:leader="none" w:pos="4980" w:val="left"/>
        </w:tabs>
        <w:rPr>
          <w:sz w:val="20"/>
          <w:szCs w:val="20"/>
          <w:color w:val="auto"/>
        </w:rPr>
      </w:pPr>
      <w:r>
        <w:rPr>
          <w:rFonts w:ascii="Courier New" w:cs="Courier New" w:eastAsia="Courier New" w:hAnsi="Courier New"/>
          <w:sz w:val="14"/>
          <w:szCs w:val="14"/>
          <w:color w:val="auto"/>
        </w:rPr>
        <w:t>Owned that</w:t>
      </w:r>
      <w:r>
        <w:rPr>
          <w:sz w:val="20"/>
          <w:szCs w:val="20"/>
          <w:color w:val="auto"/>
        </w:rPr>
        <w:tab/>
      </w:r>
      <w:r>
        <w:rPr>
          <w:rFonts w:ascii="Courier New" w:cs="Courier New" w:eastAsia="Courier New" w:hAnsi="Courier New"/>
          <w:sz w:val="14"/>
          <w:szCs w:val="14"/>
          <w:color w:val="auto"/>
        </w:rPr>
        <w:t>of Notes</w:t>
      </w:r>
      <w:r>
        <w:rPr>
          <w:sz w:val="20"/>
          <w:szCs w:val="20"/>
          <w:color w:val="auto"/>
        </w:rPr>
        <w:tab/>
      </w:r>
      <w:r>
        <w:rPr>
          <w:rFonts w:ascii="Courier New" w:cs="Courier New" w:eastAsia="Courier New" w:hAnsi="Courier New"/>
          <w:sz w:val="14"/>
          <w:szCs w:val="14"/>
          <w:color w:val="auto"/>
        </w:rPr>
        <w:t>Shares that May</w:t>
      </w:r>
      <w:r>
        <w:rPr>
          <w:sz w:val="20"/>
          <w:szCs w:val="20"/>
          <w:color w:val="auto"/>
        </w:rPr>
        <w:tab/>
      </w:r>
      <w:r>
        <w:rPr>
          <w:rFonts w:ascii="Courier New" w:cs="Courier New" w:eastAsia="Courier New" w:hAnsi="Courier New"/>
          <w:sz w:val="14"/>
          <w:szCs w:val="14"/>
          <w:color w:val="auto"/>
        </w:rPr>
        <w:t>Prior to</w:t>
      </w:r>
      <w:r>
        <w:rPr>
          <w:sz w:val="20"/>
          <w:szCs w:val="20"/>
          <w:color w:val="auto"/>
        </w:rPr>
        <w:tab/>
      </w:r>
      <w:r>
        <w:rPr>
          <w:rFonts w:ascii="Courier New" w:cs="Courier New" w:eastAsia="Courier New" w:hAnsi="Courier New"/>
          <w:sz w:val="14"/>
          <w:szCs w:val="14"/>
          <w:color w:val="auto"/>
        </w:rPr>
        <w:t>May be</w:t>
      </w:r>
    </w:p>
    <w:p>
      <w:pPr>
        <w:spacing w:after="0" w:line="7" w:lineRule="exact"/>
        <w:rPr>
          <w:sz w:val="24"/>
          <w:szCs w:val="24"/>
          <w:color w:val="auto"/>
        </w:rPr>
      </w:pPr>
    </w:p>
    <w:p>
      <w:pPr>
        <w:spacing w:after="0"/>
        <w:tabs>
          <w:tab w:leader="none" w:pos="1100" w:val="left"/>
          <w:tab w:leader="none" w:pos="2220" w:val="left"/>
          <w:tab w:leader="none" w:pos="3780" w:val="left"/>
          <w:tab w:leader="none" w:pos="5060" w:val="left"/>
        </w:tabs>
        <w:rPr>
          <w:sz w:val="20"/>
          <w:szCs w:val="20"/>
          <w:color w:val="auto"/>
        </w:rPr>
      </w:pPr>
      <w:r>
        <w:rPr>
          <w:rFonts w:ascii="Courier New" w:cs="Courier New" w:eastAsia="Courier New" w:hAnsi="Courier New"/>
          <w:sz w:val="14"/>
          <w:szCs w:val="14"/>
          <w:color w:val="auto"/>
        </w:rPr>
        <w:t>May Be Sold</w:t>
        <w:tab/>
        <w:t>Outstanding</w:t>
        <w:tab/>
        <w:t>May Be Sold (1)</w:t>
      </w:r>
      <w:r>
        <w:rPr>
          <w:sz w:val="20"/>
          <w:szCs w:val="20"/>
          <w:color w:val="auto"/>
        </w:rPr>
        <w:tab/>
      </w:r>
      <w:r>
        <w:rPr>
          <w:rFonts w:ascii="Courier New" w:cs="Courier New" w:eastAsia="Courier New" w:hAnsi="Courier New"/>
          <w:sz w:val="14"/>
          <w:szCs w:val="14"/>
          <w:color w:val="auto"/>
        </w:rPr>
        <w:t>Offering</w:t>
      </w:r>
      <w:r>
        <w:rPr>
          <w:sz w:val="20"/>
          <w:szCs w:val="20"/>
          <w:color w:val="auto"/>
        </w:rPr>
        <w:tab/>
      </w:r>
      <w:r>
        <w:rPr>
          <w:rFonts w:ascii="Courier New" w:cs="Courier New" w:eastAsia="Courier New" w:hAnsi="Courier New"/>
          <w:sz w:val="14"/>
          <w:szCs w:val="14"/>
          <w:color w:val="auto"/>
        </w:rPr>
        <w:t>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2"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Securities to be</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Sold--Percentage</w:t>
      </w:r>
    </w:p>
    <w:p>
      <w:pPr>
        <w:spacing w:after="0" w:line="7" w:lineRule="exact"/>
        <w:rPr>
          <w:sz w:val="24"/>
          <w:szCs w:val="24"/>
          <w:color w:val="auto"/>
        </w:rPr>
      </w:pPr>
    </w:p>
    <w:p>
      <w:pPr>
        <w:ind w:left="100"/>
        <w:spacing w:after="0"/>
        <w:rPr>
          <w:sz w:val="20"/>
          <w:szCs w:val="20"/>
          <w:color w:val="auto"/>
        </w:rPr>
      </w:pPr>
      <w:r>
        <w:rPr>
          <w:rFonts w:ascii="Courier New" w:cs="Courier New" w:eastAsia="Courier New" w:hAnsi="Courier New"/>
          <w:sz w:val="14"/>
          <w:szCs w:val="14"/>
          <w:color w:val="auto"/>
        </w:rPr>
        <w:t>of Common Stock</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Outstanding (2)</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84"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Securities Beneficially</w:t>
      </w:r>
    </w:p>
    <w:p>
      <w:pPr>
        <w:spacing w:after="0" w:line="7" w:lineRule="exact"/>
        <w:rPr>
          <w:sz w:val="24"/>
          <w:szCs w:val="24"/>
          <w:color w:val="auto"/>
        </w:rPr>
      </w:pPr>
    </w:p>
    <w:p>
      <w:pPr>
        <w:ind w:left="160"/>
        <w:spacing w:after="0"/>
        <w:rPr>
          <w:sz w:val="20"/>
          <w:szCs w:val="20"/>
          <w:color w:val="auto"/>
        </w:rPr>
      </w:pPr>
      <w:r>
        <w:rPr>
          <w:rFonts w:ascii="Courier New" w:cs="Courier New" w:eastAsia="Courier New" w:hAnsi="Courier New"/>
          <w:sz w:val="14"/>
          <w:szCs w:val="14"/>
          <w:color w:val="auto"/>
        </w:rPr>
        <w:t>Owned After Offering</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38" w:lineRule="exact"/>
        <w:rPr>
          <w:sz w:val="24"/>
          <w:szCs w:val="24"/>
          <w:color w:val="auto"/>
        </w:rPr>
      </w:pPr>
    </w:p>
    <w:p>
      <w:pPr>
        <w:ind w:left="1020"/>
        <w:spacing w:after="0"/>
        <w:rPr>
          <w:sz w:val="20"/>
          <w:szCs w:val="20"/>
          <w:color w:val="auto"/>
        </w:rPr>
      </w:pPr>
      <w:r>
        <w:rPr>
          <w:rFonts w:ascii="Courier New" w:cs="Courier New" w:eastAsia="Courier New" w:hAnsi="Courier New"/>
          <w:sz w:val="14"/>
          <w:szCs w:val="14"/>
          <w:color w:val="auto"/>
        </w:rPr>
        <w:t>Percentage</w:t>
      </w:r>
    </w:p>
    <w:p>
      <w:pPr>
        <w:spacing w:after="0" w:line="7" w:lineRule="exact"/>
        <w:rPr>
          <w:sz w:val="24"/>
          <w:szCs w:val="24"/>
          <w:color w:val="auto"/>
        </w:rPr>
      </w:pPr>
    </w:p>
    <w:p>
      <w:pPr>
        <w:ind w:left="1120"/>
        <w:spacing w:after="0"/>
        <w:rPr>
          <w:sz w:val="20"/>
          <w:szCs w:val="20"/>
          <w:color w:val="auto"/>
        </w:rPr>
      </w:pPr>
      <w:r>
        <w:rPr>
          <w:rFonts w:ascii="Courier New" w:cs="Courier New" w:eastAsia="Courier New" w:hAnsi="Courier New"/>
          <w:sz w:val="14"/>
          <w:szCs w:val="14"/>
          <w:color w:val="auto"/>
        </w:rPr>
        <w:t>of Common</w:t>
      </w:r>
    </w:p>
    <w:p>
      <w:pPr>
        <w:spacing w:after="0" w:line="7" w:lineRule="exact"/>
        <w:rPr>
          <w:sz w:val="24"/>
          <w:szCs w:val="24"/>
          <w:color w:val="auto"/>
        </w:rPr>
      </w:pPr>
    </w:p>
    <w:p>
      <w:pPr>
        <w:ind w:left="1200"/>
        <w:spacing w:after="0"/>
        <w:rPr>
          <w:sz w:val="20"/>
          <w:szCs w:val="20"/>
          <w:color w:val="auto"/>
        </w:rPr>
      </w:pPr>
      <w:r>
        <w:rPr>
          <w:rFonts w:ascii="Courier New" w:cs="Courier New" w:eastAsia="Courier New" w:hAnsi="Courier New"/>
          <w:sz w:val="14"/>
          <w:szCs w:val="14"/>
          <w:color w:val="auto"/>
        </w:rPr>
        <w:t>Stock</w:t>
      </w:r>
    </w:p>
    <w:p>
      <w:pPr>
        <w:spacing w:after="0" w:line="7" w:lineRule="exact"/>
        <w:rPr>
          <w:sz w:val="24"/>
          <w:szCs w:val="24"/>
          <w:color w:val="auto"/>
        </w:rPr>
      </w:pPr>
    </w:p>
    <w:p>
      <w:pPr>
        <w:ind w:left="160"/>
        <w:spacing w:after="0"/>
        <w:tabs>
          <w:tab w:leader="none" w:pos="920" w:val="left"/>
        </w:tabs>
        <w:rPr>
          <w:sz w:val="20"/>
          <w:szCs w:val="20"/>
          <w:color w:val="auto"/>
        </w:rPr>
      </w:pPr>
      <w:r>
        <w:rPr>
          <w:rFonts w:ascii="Courier New" w:cs="Courier New" w:eastAsia="Courier New" w:hAnsi="Courier New"/>
          <w:sz w:val="14"/>
          <w:szCs w:val="14"/>
          <w:color w:val="auto"/>
        </w:rPr>
        <w:t>Amount</w:t>
      </w:r>
      <w:r>
        <w:rPr>
          <w:sz w:val="20"/>
          <w:szCs w:val="20"/>
          <w:color w:val="auto"/>
        </w:rPr>
        <w:tab/>
      </w:r>
      <w:r>
        <w:rPr>
          <w:rFonts w:ascii="Courier New" w:cs="Courier New" w:eastAsia="Courier New" w:hAnsi="Courier New"/>
          <w:sz w:val="14"/>
          <w:szCs w:val="14"/>
          <w:color w:val="auto"/>
        </w:rPr>
        <w:t>Outstanding</w:t>
      </w:r>
    </w:p>
    <w:p>
      <w:pPr>
        <w:spacing w:after="0" w:line="173" w:lineRule="exact"/>
        <w:rPr>
          <w:sz w:val="24"/>
          <w:szCs w:val="24"/>
          <w:color w:val="auto"/>
        </w:rPr>
      </w:pPr>
    </w:p>
    <w:p>
      <w:pPr>
        <w:sectPr>
          <w:pgSz w:w="11900" w:h="16838" w:orient="portrait"/>
          <w:cols w:equalWidth="0" w:num="4">
            <w:col w:w="780" w:space="600"/>
            <w:col w:w="5700" w:space="240"/>
            <w:col w:w="1380" w:space="100"/>
            <w:col w:w="2740"/>
          </w:cols>
          <w:pgMar w:left="220" w:top="395" w:right="139" w:bottom="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 ----------------------------------------------------------------------------------------------------------------------------------</w:t>
      </w:r>
    </w:p>
    <w:p>
      <w:pPr>
        <w:spacing w:after="0" w:line="338" w:lineRule="exact"/>
        <w:rPr>
          <w:sz w:val="24"/>
          <w:szCs w:val="24"/>
          <w:color w:val="auto"/>
        </w:rPr>
      </w:pPr>
    </w:p>
    <w:tbl>
      <w:tblPr>
        <w:tblLayout w:type="fixed"/>
        <w:tblInd w:w="0" w:type="dxa"/>
        <w:tblCellMar>
          <w:top w:w="0" w:type="dxa"/>
          <w:left w:w="0" w:type="dxa"/>
          <w:bottom w:w="0" w:type="dxa"/>
          <w:right w:w="0" w:type="dxa"/>
        </w:tblCellMar>
      </w:tblPr>
      <w:tr>
        <w:trPr>
          <w:trHeight w:val="162"/>
        </w:trPr>
        <w:tc>
          <w:tcPr>
            <w:tcW w:w="1300" w:type="dxa"/>
            <w:vAlign w:val="bottom"/>
          </w:tcPr>
          <w:p>
            <w:pPr>
              <w:spacing w:after="0"/>
              <w:rPr>
                <w:sz w:val="20"/>
                <w:szCs w:val="20"/>
                <w:color w:val="auto"/>
              </w:rPr>
            </w:pPr>
            <w:r>
              <w:rPr>
                <w:rFonts w:ascii="Courier New" w:cs="Courier New" w:eastAsia="Courier New" w:hAnsi="Courier New"/>
                <w:sz w:val="14"/>
                <w:szCs w:val="14"/>
                <w:color w:val="auto"/>
              </w:rPr>
              <w:t>Credit Suisse</w:t>
            </w:r>
          </w:p>
        </w:tc>
        <w:tc>
          <w:tcPr>
            <w:tcW w:w="1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66"/>
        </w:trPr>
        <w:tc>
          <w:tcPr>
            <w:tcW w:w="1300" w:type="dxa"/>
            <w:vAlign w:val="bottom"/>
          </w:tcPr>
          <w:p>
            <w:pPr>
              <w:spacing w:after="0"/>
              <w:rPr>
                <w:sz w:val="20"/>
                <w:szCs w:val="20"/>
                <w:color w:val="auto"/>
              </w:rPr>
            </w:pPr>
            <w:r>
              <w:rPr>
                <w:rFonts w:ascii="Courier New" w:cs="Courier New" w:eastAsia="Courier New" w:hAnsi="Courier New"/>
                <w:sz w:val="14"/>
                <w:szCs w:val="14"/>
                <w:color w:val="auto"/>
              </w:rPr>
              <w:t>First Boston</w:t>
            </w:r>
          </w:p>
        </w:tc>
        <w:tc>
          <w:tcPr>
            <w:tcW w:w="11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6,950,000</w:t>
            </w:r>
          </w:p>
        </w:tc>
        <w:tc>
          <w:tcPr>
            <w:tcW w:w="9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11.0</w:t>
            </w:r>
          </w:p>
        </w:tc>
        <w:tc>
          <w:tcPr>
            <w:tcW w:w="2720" w:type="dxa"/>
            <w:vAlign w:val="bottom"/>
          </w:tcPr>
          <w:p>
            <w:pPr>
              <w:jc w:val="right"/>
              <w:ind w:right="1688"/>
              <w:spacing w:after="0"/>
              <w:rPr>
                <w:sz w:val="20"/>
                <w:szCs w:val="20"/>
                <w:color w:val="auto"/>
              </w:rPr>
            </w:pPr>
            <w:r>
              <w:rPr>
                <w:rFonts w:ascii="Courier New" w:cs="Courier New" w:eastAsia="Courier New" w:hAnsi="Courier New"/>
                <w:sz w:val="14"/>
                <w:szCs w:val="14"/>
                <w:color w:val="auto"/>
              </w:rPr>
              <w:t>293,248</w:t>
            </w:r>
          </w:p>
        </w:tc>
        <w:tc>
          <w:tcPr>
            <w:tcW w:w="2620" w:type="dxa"/>
            <w:vAlign w:val="bottom"/>
          </w:tcPr>
          <w:p>
            <w:pPr>
              <w:ind w:left="1760"/>
              <w:spacing w:after="0"/>
              <w:rPr>
                <w:sz w:val="20"/>
                <w:szCs w:val="20"/>
                <w:color w:val="auto"/>
              </w:rPr>
            </w:pPr>
            <w:r>
              <w:rPr>
                <w:rFonts w:ascii="Courier New" w:cs="Courier New" w:eastAsia="Courier New" w:hAnsi="Courier New"/>
                <w:sz w:val="14"/>
                <w:szCs w:val="14"/>
                <w:color w:val="auto"/>
              </w:rPr>
              <w:t>2.0</w:t>
            </w:r>
          </w:p>
        </w:tc>
        <w:tc>
          <w:tcPr>
            <w:tcW w:w="11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0</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1300" w:type="dxa"/>
            <w:vAlign w:val="bottom"/>
          </w:tcPr>
          <w:p>
            <w:pPr>
              <w:spacing w:after="0"/>
              <w:rPr>
                <w:sz w:val="20"/>
                <w:szCs w:val="20"/>
                <w:color w:val="auto"/>
              </w:rPr>
            </w:pPr>
            <w:r>
              <w:rPr>
                <w:rFonts w:ascii="Courier New" w:cs="Courier New" w:eastAsia="Courier New" w:hAnsi="Courier New"/>
                <w:sz w:val="14"/>
                <w:szCs w:val="14"/>
                <w:color w:val="auto"/>
              </w:rPr>
              <w:t>Corp. (3)</w:t>
            </w:r>
          </w:p>
        </w:tc>
        <w:tc>
          <w:tcPr>
            <w:tcW w:w="1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331"/>
        </w:trPr>
        <w:tc>
          <w:tcPr>
            <w:tcW w:w="1300" w:type="dxa"/>
            <w:vAlign w:val="bottom"/>
          </w:tcPr>
          <w:p>
            <w:pPr>
              <w:spacing w:after="0"/>
              <w:rPr>
                <w:sz w:val="20"/>
                <w:szCs w:val="20"/>
                <w:color w:val="auto"/>
              </w:rPr>
            </w:pPr>
            <w:r>
              <w:rPr>
                <w:rFonts w:ascii="Courier New" w:cs="Courier New" w:eastAsia="Courier New" w:hAnsi="Courier New"/>
                <w:sz w:val="14"/>
                <w:szCs w:val="14"/>
                <w:color w:val="auto"/>
              </w:rPr>
              <w:t>Forest Fulcrum</w:t>
            </w:r>
          </w:p>
        </w:tc>
        <w:tc>
          <w:tcPr>
            <w:tcW w:w="11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400,000</w:t>
            </w:r>
          </w:p>
        </w:tc>
        <w:tc>
          <w:tcPr>
            <w:tcW w:w="9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.6</w:t>
            </w:r>
          </w:p>
        </w:tc>
        <w:tc>
          <w:tcPr>
            <w:tcW w:w="2720" w:type="dxa"/>
            <w:vAlign w:val="bottom"/>
          </w:tcPr>
          <w:p>
            <w:pPr>
              <w:jc w:val="right"/>
              <w:ind w:right="1688"/>
              <w:spacing w:after="0"/>
              <w:rPr>
                <w:sz w:val="20"/>
                <w:szCs w:val="20"/>
                <w:color w:val="auto"/>
              </w:rPr>
            </w:pPr>
            <w:r>
              <w:rPr>
                <w:rFonts w:ascii="Courier New" w:cs="Courier New" w:eastAsia="Courier New" w:hAnsi="Courier New"/>
                <w:sz w:val="14"/>
                <w:szCs w:val="14"/>
                <w:color w:val="auto"/>
              </w:rPr>
              <w:t>16,877</w:t>
            </w:r>
          </w:p>
        </w:tc>
        <w:tc>
          <w:tcPr>
            <w:tcW w:w="2620" w:type="dxa"/>
            <w:vAlign w:val="bottom"/>
          </w:tcPr>
          <w:p>
            <w:pPr>
              <w:ind w:left="1760"/>
              <w:spacing w:after="0"/>
              <w:rPr>
                <w:sz w:val="20"/>
                <w:szCs w:val="20"/>
                <w:color w:val="auto"/>
              </w:rPr>
            </w:pPr>
            <w:r>
              <w:rPr>
                <w:rFonts w:ascii="Courier New" w:cs="Courier New" w:eastAsia="Courier New" w:hAnsi="Courier New"/>
                <w:sz w:val="14"/>
                <w:szCs w:val="14"/>
                <w:color w:val="auto"/>
              </w:rPr>
              <w:t>*</w:t>
            </w:r>
          </w:p>
        </w:tc>
        <w:tc>
          <w:tcPr>
            <w:tcW w:w="11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0</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1300" w:type="dxa"/>
            <w:vAlign w:val="bottom"/>
          </w:tcPr>
          <w:p>
            <w:pPr>
              <w:spacing w:after="0"/>
              <w:rPr>
                <w:sz w:val="20"/>
                <w:szCs w:val="20"/>
                <w:color w:val="auto"/>
              </w:rPr>
            </w:pPr>
            <w:r>
              <w:rPr>
                <w:rFonts w:ascii="Courier New" w:cs="Courier New" w:eastAsia="Courier New" w:hAnsi="Courier New"/>
                <w:sz w:val="14"/>
                <w:szCs w:val="14"/>
                <w:color w:val="auto"/>
              </w:rPr>
              <w:t>Fund LTD</w:t>
            </w:r>
          </w:p>
        </w:tc>
        <w:tc>
          <w:tcPr>
            <w:tcW w:w="1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331"/>
        </w:trPr>
        <w:tc>
          <w:tcPr>
            <w:tcW w:w="1300" w:type="dxa"/>
            <w:vAlign w:val="bottom"/>
          </w:tcPr>
          <w:p>
            <w:pPr>
              <w:spacing w:after="0"/>
              <w:rPr>
                <w:sz w:val="20"/>
                <w:szCs w:val="20"/>
                <w:color w:val="auto"/>
              </w:rPr>
            </w:pPr>
            <w:r>
              <w:rPr>
                <w:rFonts w:ascii="Courier New" w:cs="Courier New" w:eastAsia="Courier New" w:hAnsi="Courier New"/>
                <w:sz w:val="14"/>
                <w:szCs w:val="14"/>
                <w:color w:val="auto"/>
              </w:rPr>
              <w:t>Forest Fulcrum</w:t>
            </w:r>
          </w:p>
        </w:tc>
        <w:tc>
          <w:tcPr>
            <w:tcW w:w="11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750,000</w:t>
            </w:r>
          </w:p>
        </w:tc>
        <w:tc>
          <w:tcPr>
            <w:tcW w:w="9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1.2</w:t>
            </w:r>
          </w:p>
        </w:tc>
        <w:tc>
          <w:tcPr>
            <w:tcW w:w="2720" w:type="dxa"/>
            <w:vAlign w:val="bottom"/>
          </w:tcPr>
          <w:p>
            <w:pPr>
              <w:jc w:val="right"/>
              <w:ind w:right="1688"/>
              <w:spacing w:after="0"/>
              <w:rPr>
                <w:sz w:val="20"/>
                <w:szCs w:val="20"/>
                <w:color w:val="auto"/>
              </w:rPr>
            </w:pPr>
            <w:r>
              <w:rPr>
                <w:rFonts w:ascii="Courier New" w:cs="Courier New" w:eastAsia="Courier New" w:hAnsi="Courier New"/>
                <w:sz w:val="14"/>
                <w:szCs w:val="14"/>
                <w:color w:val="auto"/>
              </w:rPr>
              <w:t>31,645</w:t>
            </w:r>
          </w:p>
        </w:tc>
        <w:tc>
          <w:tcPr>
            <w:tcW w:w="2620" w:type="dxa"/>
            <w:vAlign w:val="bottom"/>
          </w:tcPr>
          <w:p>
            <w:pPr>
              <w:ind w:left="1760"/>
              <w:spacing w:after="0"/>
              <w:rPr>
                <w:sz w:val="20"/>
                <w:szCs w:val="20"/>
                <w:color w:val="auto"/>
              </w:rPr>
            </w:pPr>
            <w:r>
              <w:rPr>
                <w:rFonts w:ascii="Courier New" w:cs="Courier New" w:eastAsia="Courier New" w:hAnsi="Courier New"/>
                <w:sz w:val="14"/>
                <w:szCs w:val="14"/>
                <w:color w:val="auto"/>
              </w:rPr>
              <w:t>*</w:t>
            </w:r>
          </w:p>
        </w:tc>
        <w:tc>
          <w:tcPr>
            <w:tcW w:w="11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0</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1300" w:type="dxa"/>
            <w:vAlign w:val="bottom"/>
          </w:tcPr>
          <w:p>
            <w:pPr>
              <w:spacing w:after="0"/>
              <w:rPr>
                <w:sz w:val="20"/>
                <w:szCs w:val="20"/>
                <w:color w:val="auto"/>
              </w:rPr>
            </w:pPr>
            <w:r>
              <w:rPr>
                <w:rFonts w:ascii="Courier New" w:cs="Courier New" w:eastAsia="Courier New" w:hAnsi="Courier New"/>
                <w:sz w:val="14"/>
                <w:szCs w:val="14"/>
                <w:color w:val="auto"/>
              </w:rPr>
              <w:t>Fund, L.P.</w:t>
            </w:r>
          </w:p>
        </w:tc>
        <w:tc>
          <w:tcPr>
            <w:tcW w:w="1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331"/>
        </w:trPr>
        <w:tc>
          <w:tcPr>
            <w:tcW w:w="1300" w:type="dxa"/>
            <w:vAlign w:val="bottom"/>
          </w:tcPr>
          <w:p>
            <w:pPr>
              <w:spacing w:after="0"/>
              <w:rPr>
                <w:sz w:val="20"/>
                <w:szCs w:val="20"/>
                <w:color w:val="auto"/>
              </w:rPr>
            </w:pPr>
            <w:r>
              <w:rPr>
                <w:rFonts w:ascii="Courier New" w:cs="Courier New" w:eastAsia="Courier New" w:hAnsi="Courier New"/>
                <w:sz w:val="14"/>
                <w:szCs w:val="14"/>
                <w:color w:val="auto"/>
              </w:rPr>
              <w:t>Franklin</w:t>
            </w:r>
          </w:p>
        </w:tc>
        <w:tc>
          <w:tcPr>
            <w:tcW w:w="1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166"/>
        </w:trPr>
        <w:tc>
          <w:tcPr>
            <w:tcW w:w="1300" w:type="dxa"/>
            <w:vAlign w:val="bottom"/>
          </w:tcPr>
          <w:p>
            <w:pPr>
              <w:spacing w:after="0"/>
              <w:rPr>
                <w:sz w:val="20"/>
                <w:szCs w:val="20"/>
                <w:color w:val="auto"/>
              </w:rPr>
            </w:pPr>
            <w:r>
              <w:rPr>
                <w:rFonts w:ascii="Courier New" w:cs="Courier New" w:eastAsia="Courier New" w:hAnsi="Courier New"/>
                <w:sz w:val="14"/>
                <w:szCs w:val="14"/>
                <w:color w:val="auto"/>
              </w:rPr>
              <w:t>Custodian</w:t>
            </w:r>
          </w:p>
        </w:tc>
        <w:tc>
          <w:tcPr>
            <w:tcW w:w="11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10,000,000</w:t>
            </w:r>
          </w:p>
        </w:tc>
        <w:tc>
          <w:tcPr>
            <w:tcW w:w="9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15.8</w:t>
            </w:r>
          </w:p>
        </w:tc>
        <w:tc>
          <w:tcPr>
            <w:tcW w:w="2720" w:type="dxa"/>
            <w:vAlign w:val="bottom"/>
          </w:tcPr>
          <w:p>
            <w:pPr>
              <w:jc w:val="right"/>
              <w:ind w:right="1688"/>
              <w:spacing w:after="0"/>
              <w:rPr>
                <w:sz w:val="20"/>
                <w:szCs w:val="20"/>
                <w:color w:val="auto"/>
              </w:rPr>
            </w:pPr>
            <w:r>
              <w:rPr>
                <w:rFonts w:ascii="Courier New" w:cs="Courier New" w:eastAsia="Courier New" w:hAnsi="Courier New"/>
                <w:sz w:val="14"/>
                <w:szCs w:val="14"/>
                <w:color w:val="auto"/>
              </w:rPr>
              <w:t>421,940</w:t>
            </w:r>
          </w:p>
        </w:tc>
        <w:tc>
          <w:tcPr>
            <w:tcW w:w="2620" w:type="dxa"/>
            <w:vAlign w:val="bottom"/>
          </w:tcPr>
          <w:p>
            <w:pPr>
              <w:ind w:left="1760"/>
              <w:spacing w:after="0"/>
              <w:rPr>
                <w:sz w:val="20"/>
                <w:szCs w:val="20"/>
                <w:color w:val="auto"/>
              </w:rPr>
            </w:pPr>
            <w:r>
              <w:rPr>
                <w:rFonts w:ascii="Courier New" w:cs="Courier New" w:eastAsia="Courier New" w:hAnsi="Courier New"/>
                <w:sz w:val="14"/>
                <w:szCs w:val="14"/>
                <w:color w:val="auto"/>
              </w:rPr>
              <w:t>2.8</w:t>
            </w:r>
          </w:p>
        </w:tc>
        <w:tc>
          <w:tcPr>
            <w:tcW w:w="11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0</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1300" w:type="dxa"/>
            <w:vAlign w:val="bottom"/>
          </w:tcPr>
          <w:p>
            <w:pPr>
              <w:spacing w:after="0"/>
              <w:rPr>
                <w:sz w:val="20"/>
                <w:szCs w:val="20"/>
                <w:color w:val="auto"/>
              </w:rPr>
            </w:pPr>
            <w:r>
              <w:rPr>
                <w:rFonts w:ascii="Courier New" w:cs="Courier New" w:eastAsia="Courier New" w:hAnsi="Courier New"/>
                <w:sz w:val="14"/>
                <w:szCs w:val="14"/>
                <w:color w:val="auto"/>
              </w:rPr>
              <w:t>Funds, Inc.:</w:t>
            </w:r>
          </w:p>
        </w:tc>
        <w:tc>
          <w:tcPr>
            <w:tcW w:w="1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66"/>
        </w:trPr>
        <w:tc>
          <w:tcPr>
            <w:tcW w:w="1300" w:type="dxa"/>
            <w:vAlign w:val="bottom"/>
          </w:tcPr>
          <w:p>
            <w:pPr>
              <w:spacing w:after="0"/>
              <w:rPr>
                <w:sz w:val="20"/>
                <w:szCs w:val="20"/>
                <w:color w:val="auto"/>
              </w:rPr>
            </w:pPr>
            <w:r>
              <w:rPr>
                <w:rFonts w:ascii="Courier New" w:cs="Courier New" w:eastAsia="Courier New" w:hAnsi="Courier New"/>
                <w:sz w:val="14"/>
                <w:szCs w:val="14"/>
                <w:color w:val="auto"/>
              </w:rPr>
              <w:t>Utilities Fund</w:t>
            </w:r>
          </w:p>
        </w:tc>
        <w:tc>
          <w:tcPr>
            <w:tcW w:w="1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331"/>
        </w:trPr>
        <w:tc>
          <w:tcPr>
            <w:tcW w:w="1300" w:type="dxa"/>
            <w:vAlign w:val="bottom"/>
          </w:tcPr>
          <w:p>
            <w:pPr>
              <w:spacing w:after="0"/>
              <w:rPr>
                <w:sz w:val="20"/>
                <w:szCs w:val="20"/>
                <w:color w:val="auto"/>
              </w:rPr>
            </w:pPr>
            <w:r>
              <w:rPr>
                <w:rFonts w:ascii="Courier New" w:cs="Courier New" w:eastAsia="Courier New" w:hAnsi="Courier New"/>
                <w:sz w:val="14"/>
                <w:szCs w:val="14"/>
                <w:color w:val="auto"/>
              </w:rPr>
              <w:t>Och-Ziff</w:t>
            </w:r>
          </w:p>
        </w:tc>
        <w:tc>
          <w:tcPr>
            <w:tcW w:w="1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166"/>
        </w:trPr>
        <w:tc>
          <w:tcPr>
            <w:tcW w:w="1300" w:type="dxa"/>
            <w:vAlign w:val="bottom"/>
          </w:tcPr>
          <w:p>
            <w:pPr>
              <w:spacing w:after="0"/>
              <w:rPr>
                <w:sz w:val="20"/>
                <w:szCs w:val="20"/>
                <w:color w:val="auto"/>
              </w:rPr>
            </w:pPr>
            <w:r>
              <w:rPr>
                <w:rFonts w:ascii="Courier New" w:cs="Courier New" w:eastAsia="Courier New" w:hAnsi="Courier New"/>
                <w:sz w:val="14"/>
                <w:szCs w:val="14"/>
                <w:color w:val="auto"/>
              </w:rPr>
              <w:t>Capital</w:t>
            </w:r>
          </w:p>
        </w:tc>
        <w:tc>
          <w:tcPr>
            <w:tcW w:w="11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500,000</w:t>
            </w:r>
          </w:p>
        </w:tc>
        <w:tc>
          <w:tcPr>
            <w:tcW w:w="9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.8</w:t>
            </w:r>
          </w:p>
        </w:tc>
        <w:tc>
          <w:tcPr>
            <w:tcW w:w="2720" w:type="dxa"/>
            <w:vAlign w:val="bottom"/>
          </w:tcPr>
          <w:p>
            <w:pPr>
              <w:jc w:val="right"/>
              <w:ind w:right="1688"/>
              <w:spacing w:after="0"/>
              <w:rPr>
                <w:sz w:val="20"/>
                <w:szCs w:val="20"/>
                <w:color w:val="auto"/>
              </w:rPr>
            </w:pPr>
            <w:r>
              <w:rPr>
                <w:rFonts w:ascii="Courier New" w:cs="Courier New" w:eastAsia="Courier New" w:hAnsi="Courier New"/>
                <w:sz w:val="14"/>
                <w:szCs w:val="14"/>
                <w:color w:val="auto"/>
              </w:rPr>
              <w:t>21,097</w:t>
            </w:r>
          </w:p>
        </w:tc>
        <w:tc>
          <w:tcPr>
            <w:tcW w:w="2620" w:type="dxa"/>
            <w:vAlign w:val="bottom"/>
          </w:tcPr>
          <w:p>
            <w:pPr>
              <w:ind w:left="1760"/>
              <w:spacing w:after="0"/>
              <w:rPr>
                <w:sz w:val="20"/>
                <w:szCs w:val="20"/>
                <w:color w:val="auto"/>
              </w:rPr>
            </w:pPr>
            <w:r>
              <w:rPr>
                <w:rFonts w:ascii="Courier New" w:cs="Courier New" w:eastAsia="Courier New" w:hAnsi="Courier New"/>
                <w:sz w:val="14"/>
                <w:szCs w:val="14"/>
                <w:color w:val="auto"/>
              </w:rPr>
              <w:t>*</w:t>
            </w:r>
          </w:p>
        </w:tc>
        <w:tc>
          <w:tcPr>
            <w:tcW w:w="11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0</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1300" w:type="dxa"/>
            <w:vAlign w:val="bottom"/>
          </w:tcPr>
          <w:p>
            <w:pPr>
              <w:spacing w:after="0"/>
              <w:rPr>
                <w:sz w:val="20"/>
                <w:szCs w:val="20"/>
                <w:color w:val="auto"/>
              </w:rPr>
            </w:pPr>
            <w:r>
              <w:rPr>
                <w:rFonts w:ascii="Courier New" w:cs="Courier New" w:eastAsia="Courier New" w:hAnsi="Courier New"/>
                <w:sz w:val="14"/>
                <w:szCs w:val="14"/>
                <w:color w:val="auto"/>
              </w:rPr>
              <w:t>Management,</w:t>
            </w:r>
          </w:p>
        </w:tc>
        <w:tc>
          <w:tcPr>
            <w:tcW w:w="1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66"/>
        </w:trPr>
        <w:tc>
          <w:tcPr>
            <w:tcW w:w="1300" w:type="dxa"/>
            <w:vAlign w:val="bottom"/>
          </w:tcPr>
          <w:p>
            <w:pPr>
              <w:spacing w:after="0"/>
              <w:rPr>
                <w:sz w:val="20"/>
                <w:szCs w:val="20"/>
                <w:color w:val="auto"/>
              </w:rPr>
            </w:pPr>
            <w:r>
              <w:rPr>
                <w:rFonts w:ascii="Courier New" w:cs="Courier New" w:eastAsia="Courier New" w:hAnsi="Courier New"/>
                <w:sz w:val="14"/>
                <w:szCs w:val="14"/>
                <w:color w:val="auto"/>
              </w:rPr>
              <w:t>L.P.</w:t>
            </w:r>
          </w:p>
        </w:tc>
        <w:tc>
          <w:tcPr>
            <w:tcW w:w="1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331"/>
        </w:trPr>
        <w:tc>
          <w:tcPr>
            <w:tcW w:w="1300" w:type="dxa"/>
            <w:vAlign w:val="bottom"/>
          </w:tcPr>
          <w:p>
            <w:pPr>
              <w:spacing w:after="0"/>
              <w:rPr>
                <w:sz w:val="20"/>
                <w:szCs w:val="20"/>
                <w:color w:val="auto"/>
              </w:rPr>
            </w:pPr>
            <w:r>
              <w:rPr>
                <w:rFonts w:ascii="Courier New" w:cs="Courier New" w:eastAsia="Courier New" w:hAnsi="Courier New"/>
                <w:sz w:val="14"/>
                <w:szCs w:val="14"/>
                <w:color w:val="auto"/>
              </w:rPr>
              <w:t>Paloma</w:t>
            </w:r>
          </w:p>
        </w:tc>
        <w:tc>
          <w:tcPr>
            <w:tcW w:w="11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1,500,000</w:t>
            </w:r>
          </w:p>
        </w:tc>
        <w:tc>
          <w:tcPr>
            <w:tcW w:w="9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2.4</w:t>
            </w:r>
          </w:p>
        </w:tc>
        <w:tc>
          <w:tcPr>
            <w:tcW w:w="2720" w:type="dxa"/>
            <w:vAlign w:val="bottom"/>
          </w:tcPr>
          <w:p>
            <w:pPr>
              <w:jc w:val="right"/>
              <w:ind w:right="1688"/>
              <w:spacing w:after="0"/>
              <w:rPr>
                <w:sz w:val="20"/>
                <w:szCs w:val="20"/>
                <w:color w:val="auto"/>
              </w:rPr>
            </w:pPr>
            <w:r>
              <w:rPr>
                <w:rFonts w:ascii="Courier New" w:cs="Courier New" w:eastAsia="Courier New" w:hAnsi="Courier New"/>
                <w:sz w:val="14"/>
                <w:szCs w:val="14"/>
                <w:color w:val="auto"/>
              </w:rPr>
              <w:t>63,291</w:t>
            </w:r>
          </w:p>
        </w:tc>
        <w:tc>
          <w:tcPr>
            <w:tcW w:w="2620" w:type="dxa"/>
            <w:vAlign w:val="bottom"/>
          </w:tcPr>
          <w:p>
            <w:pPr>
              <w:ind w:left="1760"/>
              <w:spacing w:after="0"/>
              <w:rPr>
                <w:sz w:val="20"/>
                <w:szCs w:val="20"/>
                <w:color w:val="auto"/>
              </w:rPr>
            </w:pPr>
            <w:r>
              <w:rPr>
                <w:rFonts w:ascii="Courier New" w:cs="Courier New" w:eastAsia="Courier New" w:hAnsi="Courier New"/>
                <w:sz w:val="14"/>
                <w:szCs w:val="14"/>
                <w:color w:val="auto"/>
              </w:rPr>
              <w:t>*</w:t>
            </w:r>
          </w:p>
        </w:tc>
        <w:tc>
          <w:tcPr>
            <w:tcW w:w="11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0</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1300" w:type="dxa"/>
            <w:vAlign w:val="bottom"/>
          </w:tcPr>
          <w:p>
            <w:pPr>
              <w:spacing w:after="0"/>
              <w:rPr>
                <w:sz w:val="20"/>
                <w:szCs w:val="20"/>
                <w:color w:val="auto"/>
              </w:rPr>
            </w:pPr>
            <w:r>
              <w:rPr>
                <w:rFonts w:ascii="Courier New" w:cs="Courier New" w:eastAsia="Courier New" w:hAnsi="Courier New"/>
                <w:sz w:val="14"/>
                <w:szCs w:val="14"/>
                <w:color w:val="auto"/>
              </w:rPr>
              <w:t>Securities</w:t>
            </w:r>
          </w:p>
        </w:tc>
        <w:tc>
          <w:tcPr>
            <w:tcW w:w="1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66"/>
        </w:trPr>
        <w:tc>
          <w:tcPr>
            <w:tcW w:w="1300" w:type="dxa"/>
            <w:vAlign w:val="bottom"/>
          </w:tcPr>
          <w:p>
            <w:pPr>
              <w:spacing w:after="0"/>
              <w:rPr>
                <w:sz w:val="20"/>
                <w:szCs w:val="20"/>
                <w:color w:val="auto"/>
              </w:rPr>
            </w:pPr>
            <w:r>
              <w:rPr>
                <w:rFonts w:ascii="Courier New" w:cs="Courier New" w:eastAsia="Courier New" w:hAnsi="Courier New"/>
                <w:sz w:val="14"/>
                <w:szCs w:val="14"/>
                <w:color w:val="auto"/>
              </w:rPr>
              <w:t>L.L.C.</w:t>
            </w:r>
          </w:p>
        </w:tc>
        <w:tc>
          <w:tcPr>
            <w:tcW w:w="1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331"/>
        </w:trPr>
        <w:tc>
          <w:tcPr>
            <w:tcW w:w="1300" w:type="dxa"/>
            <w:vAlign w:val="bottom"/>
          </w:tcPr>
          <w:p>
            <w:pPr>
              <w:spacing w:after="0"/>
              <w:rPr>
                <w:sz w:val="20"/>
                <w:szCs w:val="20"/>
                <w:color w:val="auto"/>
              </w:rPr>
            </w:pPr>
            <w:r>
              <w:rPr>
                <w:rFonts w:ascii="Courier New" w:cs="Courier New" w:eastAsia="Courier New" w:hAnsi="Courier New"/>
                <w:sz w:val="14"/>
                <w:szCs w:val="14"/>
                <w:color w:val="auto"/>
              </w:rPr>
              <w:t>Phoenix Income</w:t>
            </w:r>
          </w:p>
        </w:tc>
        <w:tc>
          <w:tcPr>
            <w:tcW w:w="1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166"/>
        </w:trPr>
        <w:tc>
          <w:tcPr>
            <w:tcW w:w="1300" w:type="dxa"/>
            <w:vAlign w:val="bottom"/>
          </w:tcPr>
          <w:p>
            <w:pPr>
              <w:spacing w:after="0"/>
              <w:rPr>
                <w:sz w:val="20"/>
                <w:szCs w:val="20"/>
                <w:color w:val="auto"/>
              </w:rPr>
            </w:pPr>
            <w:r>
              <w:rPr>
                <w:rFonts w:ascii="Courier New" w:cs="Courier New" w:eastAsia="Courier New" w:hAnsi="Courier New"/>
                <w:sz w:val="14"/>
                <w:szCs w:val="14"/>
                <w:color w:val="auto"/>
              </w:rPr>
              <w:t>Growth Fund</w:t>
            </w:r>
          </w:p>
        </w:tc>
        <w:tc>
          <w:tcPr>
            <w:tcW w:w="11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1,000,000</w:t>
            </w:r>
          </w:p>
        </w:tc>
        <w:tc>
          <w:tcPr>
            <w:tcW w:w="9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1.6</w:t>
            </w:r>
          </w:p>
        </w:tc>
        <w:tc>
          <w:tcPr>
            <w:tcW w:w="2720" w:type="dxa"/>
            <w:vAlign w:val="bottom"/>
          </w:tcPr>
          <w:p>
            <w:pPr>
              <w:jc w:val="right"/>
              <w:ind w:right="1688"/>
              <w:spacing w:after="0"/>
              <w:rPr>
                <w:sz w:val="20"/>
                <w:szCs w:val="20"/>
                <w:color w:val="auto"/>
              </w:rPr>
            </w:pPr>
            <w:r>
              <w:rPr>
                <w:rFonts w:ascii="Courier New" w:cs="Courier New" w:eastAsia="Courier New" w:hAnsi="Courier New"/>
                <w:sz w:val="14"/>
                <w:szCs w:val="14"/>
                <w:color w:val="auto"/>
              </w:rPr>
              <w:t>42,194</w:t>
            </w:r>
          </w:p>
        </w:tc>
        <w:tc>
          <w:tcPr>
            <w:tcW w:w="2620" w:type="dxa"/>
            <w:vAlign w:val="bottom"/>
          </w:tcPr>
          <w:p>
            <w:pPr>
              <w:ind w:left="1760"/>
              <w:spacing w:after="0"/>
              <w:rPr>
                <w:sz w:val="20"/>
                <w:szCs w:val="20"/>
                <w:color w:val="auto"/>
              </w:rPr>
            </w:pPr>
            <w:r>
              <w:rPr>
                <w:rFonts w:ascii="Courier New" w:cs="Courier New" w:eastAsia="Courier New" w:hAnsi="Courier New"/>
                <w:sz w:val="14"/>
                <w:szCs w:val="14"/>
                <w:color w:val="auto"/>
              </w:rPr>
              <w:t>*</w:t>
            </w:r>
          </w:p>
        </w:tc>
        <w:tc>
          <w:tcPr>
            <w:tcW w:w="11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0</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1300" w:type="dxa"/>
            <w:vAlign w:val="bottom"/>
          </w:tcPr>
          <w:p>
            <w:pPr>
              <w:spacing w:after="0"/>
              <w:rPr>
                <w:sz w:val="20"/>
                <w:szCs w:val="20"/>
                <w:color w:val="auto"/>
              </w:rPr>
            </w:pPr>
            <w:r>
              <w:rPr>
                <w:rFonts w:ascii="Courier New" w:cs="Courier New" w:eastAsia="Courier New" w:hAnsi="Courier New"/>
                <w:sz w:val="14"/>
                <w:szCs w:val="14"/>
                <w:color w:val="auto"/>
              </w:rPr>
              <w:t>Robertson</w:t>
            </w:r>
          </w:p>
        </w:tc>
        <w:tc>
          <w:tcPr>
            <w:tcW w:w="1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166"/>
        </w:trPr>
        <w:tc>
          <w:tcPr>
            <w:tcW w:w="1300" w:type="dxa"/>
            <w:vAlign w:val="bottom"/>
          </w:tcPr>
          <w:p>
            <w:pPr>
              <w:spacing w:after="0"/>
              <w:rPr>
                <w:sz w:val="20"/>
                <w:szCs w:val="20"/>
                <w:color w:val="auto"/>
              </w:rPr>
            </w:pPr>
            <w:r>
              <w:rPr>
                <w:rFonts w:ascii="Courier New" w:cs="Courier New" w:eastAsia="Courier New" w:hAnsi="Courier New"/>
                <w:sz w:val="14"/>
                <w:szCs w:val="14"/>
                <w:color w:val="auto"/>
              </w:rPr>
              <w:t>Stephens</w:t>
            </w:r>
          </w:p>
        </w:tc>
        <w:tc>
          <w:tcPr>
            <w:tcW w:w="11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2,300,000</w:t>
            </w:r>
          </w:p>
        </w:tc>
        <w:tc>
          <w:tcPr>
            <w:tcW w:w="9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3.6</w:t>
            </w:r>
          </w:p>
        </w:tc>
        <w:tc>
          <w:tcPr>
            <w:tcW w:w="2720" w:type="dxa"/>
            <w:vAlign w:val="bottom"/>
          </w:tcPr>
          <w:p>
            <w:pPr>
              <w:jc w:val="right"/>
              <w:ind w:right="1688"/>
              <w:spacing w:after="0"/>
              <w:rPr>
                <w:sz w:val="20"/>
                <w:szCs w:val="20"/>
                <w:color w:val="auto"/>
              </w:rPr>
            </w:pPr>
            <w:r>
              <w:rPr>
                <w:rFonts w:ascii="Courier New" w:cs="Courier New" w:eastAsia="Courier New" w:hAnsi="Courier New"/>
                <w:sz w:val="14"/>
                <w:szCs w:val="14"/>
                <w:color w:val="auto"/>
              </w:rPr>
              <w:t>97,046</w:t>
            </w:r>
          </w:p>
        </w:tc>
        <w:tc>
          <w:tcPr>
            <w:tcW w:w="2620" w:type="dxa"/>
            <w:vAlign w:val="bottom"/>
          </w:tcPr>
          <w:p>
            <w:pPr>
              <w:ind w:left="1760"/>
              <w:spacing w:after="0"/>
              <w:rPr>
                <w:sz w:val="20"/>
                <w:szCs w:val="20"/>
                <w:color w:val="auto"/>
              </w:rPr>
            </w:pPr>
            <w:r>
              <w:rPr>
                <w:rFonts w:ascii="Courier New" w:cs="Courier New" w:eastAsia="Courier New" w:hAnsi="Courier New"/>
                <w:sz w:val="14"/>
                <w:szCs w:val="14"/>
                <w:color w:val="auto"/>
              </w:rPr>
              <w:t>*</w:t>
            </w:r>
          </w:p>
        </w:tc>
        <w:tc>
          <w:tcPr>
            <w:tcW w:w="11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0</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1300" w:type="dxa"/>
            <w:vAlign w:val="bottom"/>
          </w:tcPr>
          <w:p>
            <w:pPr>
              <w:spacing w:after="0"/>
              <w:rPr>
                <w:sz w:val="20"/>
                <w:szCs w:val="20"/>
                <w:color w:val="auto"/>
              </w:rPr>
            </w:pPr>
            <w:r>
              <w:rPr>
                <w:rFonts w:ascii="Courier New" w:cs="Courier New" w:eastAsia="Courier New" w:hAnsi="Courier New"/>
                <w:sz w:val="14"/>
                <w:szCs w:val="14"/>
                <w:color w:val="auto"/>
              </w:rPr>
              <w:t>Growth &amp;</w:t>
            </w:r>
          </w:p>
        </w:tc>
        <w:tc>
          <w:tcPr>
            <w:tcW w:w="1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66"/>
        </w:trPr>
        <w:tc>
          <w:tcPr>
            <w:tcW w:w="1300" w:type="dxa"/>
            <w:vAlign w:val="bottom"/>
          </w:tcPr>
          <w:p>
            <w:pPr>
              <w:spacing w:after="0"/>
              <w:rPr>
                <w:sz w:val="20"/>
                <w:szCs w:val="20"/>
                <w:color w:val="auto"/>
              </w:rPr>
            </w:pPr>
            <w:r>
              <w:rPr>
                <w:rFonts w:ascii="Courier New" w:cs="Courier New" w:eastAsia="Courier New" w:hAnsi="Courier New"/>
                <w:sz w:val="14"/>
                <w:szCs w:val="14"/>
                <w:color w:val="auto"/>
              </w:rPr>
              <w:t>Income Fund</w:t>
            </w:r>
          </w:p>
        </w:tc>
        <w:tc>
          <w:tcPr>
            <w:tcW w:w="1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331"/>
        </w:trPr>
        <w:tc>
          <w:tcPr>
            <w:tcW w:w="1300" w:type="dxa"/>
            <w:vAlign w:val="bottom"/>
          </w:tcPr>
          <w:p>
            <w:pPr>
              <w:spacing w:after="0"/>
              <w:rPr>
                <w:sz w:val="20"/>
                <w:szCs w:val="20"/>
                <w:color w:val="auto"/>
              </w:rPr>
            </w:pPr>
            <w:r>
              <w:rPr>
                <w:rFonts w:ascii="Courier New" w:cs="Courier New" w:eastAsia="Courier New" w:hAnsi="Courier New"/>
                <w:sz w:val="14"/>
                <w:szCs w:val="14"/>
                <w:color w:val="auto"/>
              </w:rPr>
              <w:t>Any other</w:t>
            </w:r>
          </w:p>
        </w:tc>
        <w:tc>
          <w:tcPr>
            <w:tcW w:w="1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166"/>
        </w:trPr>
        <w:tc>
          <w:tcPr>
            <w:tcW w:w="1300" w:type="dxa"/>
            <w:vAlign w:val="bottom"/>
          </w:tcPr>
          <w:p>
            <w:pPr>
              <w:spacing w:after="0"/>
              <w:rPr>
                <w:sz w:val="20"/>
                <w:szCs w:val="20"/>
                <w:color w:val="auto"/>
              </w:rPr>
            </w:pPr>
            <w:r>
              <w:rPr>
                <w:rFonts w:ascii="Courier New" w:cs="Courier New" w:eastAsia="Courier New" w:hAnsi="Courier New"/>
                <w:sz w:val="14"/>
                <w:szCs w:val="14"/>
                <w:color w:val="auto"/>
              </w:rPr>
              <w:t>holder of</w:t>
            </w:r>
          </w:p>
        </w:tc>
        <w:tc>
          <w:tcPr>
            <w:tcW w:w="1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66"/>
        </w:trPr>
        <w:tc>
          <w:tcPr>
            <w:tcW w:w="1300" w:type="dxa"/>
            <w:vAlign w:val="bottom"/>
          </w:tcPr>
          <w:p>
            <w:pPr>
              <w:spacing w:after="0"/>
              <w:rPr>
                <w:sz w:val="20"/>
                <w:szCs w:val="20"/>
                <w:color w:val="auto"/>
              </w:rPr>
            </w:pPr>
            <w:r>
              <w:rPr>
                <w:rFonts w:ascii="Courier New" w:cs="Courier New" w:eastAsia="Courier New" w:hAnsi="Courier New"/>
                <w:sz w:val="14"/>
                <w:szCs w:val="14"/>
                <w:color w:val="auto"/>
              </w:rPr>
              <w:t>Notes or</w:t>
            </w:r>
          </w:p>
        </w:tc>
        <w:tc>
          <w:tcPr>
            <w:tcW w:w="1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66"/>
        </w:trPr>
        <w:tc>
          <w:tcPr>
            <w:tcW w:w="1300" w:type="dxa"/>
            <w:vAlign w:val="bottom"/>
          </w:tcPr>
          <w:p>
            <w:pPr>
              <w:spacing w:after="0"/>
              <w:rPr>
                <w:sz w:val="20"/>
                <w:szCs w:val="20"/>
                <w:color w:val="auto"/>
              </w:rPr>
            </w:pPr>
            <w:r>
              <w:rPr>
                <w:rFonts w:ascii="Courier New" w:cs="Courier New" w:eastAsia="Courier New" w:hAnsi="Courier New"/>
                <w:sz w:val="14"/>
                <w:szCs w:val="14"/>
                <w:color w:val="auto"/>
              </w:rPr>
              <w:t>future</w:t>
            </w:r>
          </w:p>
        </w:tc>
        <w:tc>
          <w:tcPr>
            <w:tcW w:w="1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66"/>
        </w:trPr>
        <w:tc>
          <w:tcPr>
            <w:tcW w:w="1300" w:type="dxa"/>
            <w:vAlign w:val="bottom"/>
          </w:tcPr>
          <w:p>
            <w:pPr>
              <w:spacing w:after="0"/>
              <w:rPr>
                <w:sz w:val="20"/>
                <w:szCs w:val="20"/>
                <w:color w:val="auto"/>
              </w:rPr>
            </w:pPr>
            <w:r>
              <w:rPr>
                <w:rFonts w:ascii="Courier New" w:cs="Courier New" w:eastAsia="Courier New" w:hAnsi="Courier New"/>
                <w:sz w:val="14"/>
                <w:szCs w:val="14"/>
                <w:color w:val="auto"/>
              </w:rPr>
              <w:t>transferee,</w:t>
            </w:r>
          </w:p>
        </w:tc>
        <w:tc>
          <w:tcPr>
            <w:tcW w:w="11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9,300,000</w:t>
            </w:r>
          </w:p>
        </w:tc>
        <w:tc>
          <w:tcPr>
            <w:tcW w:w="9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14.7</w:t>
            </w:r>
          </w:p>
        </w:tc>
        <w:tc>
          <w:tcPr>
            <w:tcW w:w="2720" w:type="dxa"/>
            <w:vAlign w:val="bottom"/>
          </w:tcPr>
          <w:p>
            <w:pPr>
              <w:jc w:val="right"/>
              <w:ind w:right="1688"/>
              <w:spacing w:after="0"/>
              <w:rPr>
                <w:sz w:val="20"/>
                <w:szCs w:val="20"/>
                <w:color w:val="auto"/>
              </w:rPr>
            </w:pPr>
            <w:r>
              <w:rPr>
                <w:rFonts w:ascii="Courier New" w:cs="Courier New" w:eastAsia="Courier New" w:hAnsi="Courier New"/>
                <w:sz w:val="14"/>
                <w:szCs w:val="14"/>
                <w:color w:val="auto"/>
              </w:rPr>
              <w:t>392,405</w:t>
            </w:r>
          </w:p>
        </w:tc>
        <w:tc>
          <w:tcPr>
            <w:tcW w:w="2620" w:type="dxa"/>
            <w:vAlign w:val="bottom"/>
          </w:tcPr>
          <w:p>
            <w:pPr>
              <w:ind w:left="1760"/>
              <w:spacing w:after="0"/>
              <w:rPr>
                <w:sz w:val="20"/>
                <w:szCs w:val="20"/>
                <w:color w:val="auto"/>
              </w:rPr>
            </w:pPr>
            <w:r>
              <w:rPr>
                <w:rFonts w:ascii="Courier New" w:cs="Courier New" w:eastAsia="Courier New" w:hAnsi="Courier New"/>
                <w:sz w:val="14"/>
                <w:szCs w:val="14"/>
                <w:color w:val="auto"/>
              </w:rPr>
              <w:t>2.7</w:t>
            </w:r>
          </w:p>
        </w:tc>
        <w:tc>
          <w:tcPr>
            <w:tcW w:w="11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0</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1300" w:type="dxa"/>
            <w:vAlign w:val="bottom"/>
          </w:tcPr>
          <w:p>
            <w:pPr>
              <w:spacing w:after="0"/>
              <w:rPr>
                <w:sz w:val="20"/>
                <w:szCs w:val="20"/>
                <w:color w:val="auto"/>
              </w:rPr>
            </w:pPr>
            <w:r>
              <w:rPr>
                <w:rFonts w:ascii="Courier New" w:cs="Courier New" w:eastAsia="Courier New" w:hAnsi="Courier New"/>
                <w:sz w:val="14"/>
                <w:szCs w:val="14"/>
                <w:color w:val="auto"/>
              </w:rPr>
              <w:t>pledgee, donee</w:t>
            </w:r>
          </w:p>
        </w:tc>
        <w:tc>
          <w:tcPr>
            <w:tcW w:w="1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66"/>
        </w:trPr>
        <w:tc>
          <w:tcPr>
            <w:tcW w:w="1300" w:type="dxa"/>
            <w:vAlign w:val="bottom"/>
          </w:tcPr>
          <w:p>
            <w:pPr>
              <w:spacing w:after="0"/>
              <w:rPr>
                <w:sz w:val="20"/>
                <w:szCs w:val="20"/>
                <w:color w:val="auto"/>
              </w:rPr>
            </w:pPr>
            <w:r>
              <w:rPr>
                <w:rFonts w:ascii="Courier New" w:cs="Courier New" w:eastAsia="Courier New" w:hAnsi="Courier New"/>
                <w:sz w:val="14"/>
                <w:szCs w:val="14"/>
                <w:color w:val="auto"/>
              </w:rPr>
              <w:t>or successor</w:t>
            </w:r>
          </w:p>
        </w:tc>
        <w:tc>
          <w:tcPr>
            <w:tcW w:w="1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66"/>
        </w:trPr>
        <w:tc>
          <w:tcPr>
            <w:tcW w:w="1300" w:type="dxa"/>
            <w:vAlign w:val="bottom"/>
          </w:tcPr>
          <w:p>
            <w:pPr>
              <w:spacing w:after="0"/>
              <w:rPr>
                <w:sz w:val="20"/>
                <w:szCs w:val="20"/>
                <w:color w:val="auto"/>
              </w:rPr>
            </w:pPr>
            <w:r>
              <w:rPr>
                <w:rFonts w:ascii="Courier New" w:cs="Courier New" w:eastAsia="Courier New" w:hAnsi="Courier New"/>
                <w:sz w:val="14"/>
                <w:szCs w:val="14"/>
                <w:color w:val="auto"/>
              </w:rPr>
              <w:t>of or from any</w:t>
            </w:r>
          </w:p>
        </w:tc>
        <w:tc>
          <w:tcPr>
            <w:tcW w:w="1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66"/>
        </w:trPr>
        <w:tc>
          <w:tcPr>
            <w:tcW w:w="1300" w:type="dxa"/>
            <w:vAlign w:val="bottom"/>
          </w:tcPr>
          <w:p>
            <w:pPr>
              <w:spacing w:after="0"/>
              <w:rPr>
                <w:sz w:val="20"/>
                <w:szCs w:val="20"/>
                <w:color w:val="auto"/>
              </w:rPr>
            </w:pPr>
            <w:r>
              <w:rPr>
                <w:rFonts w:ascii="Courier New" w:cs="Courier New" w:eastAsia="Courier New" w:hAnsi="Courier New"/>
                <w:sz w:val="14"/>
                <w:szCs w:val="14"/>
                <w:color w:val="auto"/>
              </w:rPr>
              <w:t>such other</w:t>
            </w:r>
          </w:p>
        </w:tc>
        <w:tc>
          <w:tcPr>
            <w:tcW w:w="1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66"/>
        </w:trPr>
        <w:tc>
          <w:tcPr>
            <w:tcW w:w="1300" w:type="dxa"/>
            <w:vAlign w:val="bottom"/>
          </w:tcPr>
          <w:p>
            <w:pPr>
              <w:spacing w:after="0"/>
              <w:rPr>
                <w:sz w:val="20"/>
                <w:szCs w:val="20"/>
                <w:color w:val="auto"/>
              </w:rPr>
            </w:pPr>
            <w:r>
              <w:rPr>
                <w:rFonts w:ascii="Courier New" w:cs="Courier New" w:eastAsia="Courier New" w:hAnsi="Courier New"/>
                <w:sz w:val="14"/>
                <w:szCs w:val="14"/>
                <w:color w:val="auto"/>
              </w:rPr>
              <w:t>holder.(4)(5)</w:t>
            </w:r>
          </w:p>
        </w:tc>
        <w:tc>
          <w:tcPr>
            <w:tcW w:w="1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40" w:type="dxa"/>
            <w:vAlign w:val="bottom"/>
          </w:tcPr>
          <w:p>
            <w:pPr>
              <w:spacing w:after="0"/>
              <w:rPr>
                <w:sz w:val="14"/>
                <w:szCs w:val="14"/>
                <w:color w:val="auto"/>
              </w:rPr>
            </w:pPr>
          </w:p>
        </w:tc>
      </w:tr>
    </w:tbl>
    <w:p>
      <w:pPr>
        <w:spacing w:after="0" w:line="4" w:lineRule="exact"/>
        <w:rPr>
          <w:sz w:val="24"/>
          <w:szCs w:val="24"/>
          <w:color w:val="auto"/>
        </w:rPr>
      </w:pPr>
    </w:p>
    <w:p>
      <w:pPr>
        <w:ind w:left="180" w:hanging="172"/>
        <w:spacing w:after="0"/>
        <w:tabs>
          <w:tab w:leader="none" w:pos="18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2"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*Less than 1% .</w:t>
      </w:r>
    </w:p>
    <w:p>
      <w:pPr>
        <w:spacing w:after="0" w:line="200" w:lineRule="exact"/>
        <w:rPr>
          <w:sz w:val="24"/>
          <w:szCs w:val="24"/>
          <w:color w:val="auto"/>
        </w:rPr>
      </w:pPr>
    </w:p>
    <w:p>
      <w:pPr>
        <w:spacing w:after="0" w:line="304" w:lineRule="exact"/>
        <w:rPr>
          <w:sz w:val="24"/>
          <w:szCs w:val="24"/>
          <w:color w:val="auto"/>
        </w:rPr>
      </w:pPr>
    </w:p>
    <w:p>
      <w:pPr>
        <w:jc w:val="both"/>
        <w:ind w:right="4640" w:firstLine="8"/>
        <w:spacing w:after="0" w:line="251" w:lineRule="auto"/>
        <w:tabs>
          <w:tab w:leader="none" w:pos="431"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Assumes conversion of the full amount of Notes held by such Selling Securityholder at the initial conversion price of $23.70 per share; such conversion price is subject to adjustment as described under "Description of Notes--Conversion." Accordingly, the number of shares of Common Stock issuable upon conversion of the Notes may increase or decrease from time to time. Under</w:t>
      </w:r>
    </w:p>
    <w:p>
      <w:pPr>
        <w:sectPr>
          <w:pgSz w:w="11900" w:h="16838" w:orient="portrait"/>
          <w:cols w:equalWidth="0" w:num="1">
            <w:col w:w="11540"/>
          </w:cols>
          <w:pgMar w:left="220" w:top="395" w:right="139" w:bottom="0" w:gutter="0" w:footer="0" w:header="0"/>
          <w:type w:val="continuous"/>
        </w:sectPr>
      </w:pPr>
    </w:p>
    <w:bookmarkStart w:id="1" w:name="page2"/>
    <w:bookmarkEnd w:id="1"/>
    <w:p>
      <w:pPr>
        <w:ind w:right="3339"/>
        <w:spacing w:after="0" w:line="255" w:lineRule="auto"/>
        <w:rPr>
          <w:sz w:val="20"/>
          <w:szCs w:val="20"/>
          <w:color w:val="auto"/>
        </w:rPr>
      </w:pPr>
      <w:r>
        <w:rPr>
          <w:rFonts w:ascii="Courier New" w:cs="Courier New" w:eastAsia="Courier New" w:hAnsi="Courier New"/>
          <w:sz w:val="14"/>
          <w:szCs w:val="14"/>
          <w:color w:val="auto"/>
        </w:rPr>
        <w:t>the terms of the Indenture, fractional shares will not be issued upon conversion of the Notes; cash will be paid in lieu of fractional shares, if any.</w:t>
      </w:r>
    </w:p>
    <w:p>
      <w:pPr>
        <w:spacing w:after="0" w:line="160" w:lineRule="exact"/>
        <w:rPr>
          <w:sz w:val="20"/>
          <w:szCs w:val="20"/>
          <w:color w:val="auto"/>
        </w:rPr>
      </w:pPr>
    </w:p>
    <w:p>
      <w:pPr>
        <w:jc w:val="both"/>
        <w:ind w:right="3339" w:firstLine="8"/>
        <w:spacing w:after="0" w:line="251" w:lineRule="auto"/>
        <w:tabs>
          <w:tab w:leader="none" w:pos="344"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Computed in accordance with Rule 13d-3(d)(i) promulgated under the Exchange Act, and based upon 14,383,914 shares of Common Stock outstanding as of June 24, 1997, treating as outstanding the number of Conversion Shares issuable upon the assumed conversion by the named Selling Securityholder of the full amount of such Selling Securityholder's Notes, but not assuming the conversion of the Notes or the exercise of warrants of any other Selling Securityholder.</w:t>
      </w:r>
    </w:p>
    <w:p>
      <w:pPr>
        <w:spacing w:after="0" w:line="164" w:lineRule="exact"/>
        <w:rPr>
          <w:rFonts w:ascii="Courier New" w:cs="Courier New" w:eastAsia="Courier New" w:hAnsi="Courier New"/>
          <w:sz w:val="14"/>
          <w:szCs w:val="14"/>
          <w:color w:val="auto"/>
        </w:rPr>
      </w:pPr>
    </w:p>
    <w:p>
      <w:pPr>
        <w:ind w:right="3339" w:firstLine="8"/>
        <w:spacing w:after="0" w:line="255" w:lineRule="auto"/>
        <w:tabs>
          <w:tab w:leader="none" w:pos="344"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Represents an additional $2,950,000 principal amount of Notes acquired after June 13, 1997.</w:t>
      </w:r>
    </w:p>
    <w:p>
      <w:pPr>
        <w:spacing w:after="0" w:line="159" w:lineRule="exact"/>
        <w:rPr>
          <w:rFonts w:ascii="Courier New" w:cs="Courier New" w:eastAsia="Courier New" w:hAnsi="Courier New"/>
          <w:sz w:val="14"/>
          <w:szCs w:val="14"/>
          <w:color w:val="auto"/>
        </w:rPr>
      </w:pPr>
    </w:p>
    <w:p>
      <w:pPr>
        <w:ind w:right="3339" w:firstLine="8"/>
        <w:spacing w:after="0" w:line="255" w:lineRule="auto"/>
        <w:tabs>
          <w:tab w:leader="none" w:pos="344"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Information concerning other Selling Securityholders will be set forth in supplements to this Prospectus from time to time, if required.</w:t>
      </w:r>
    </w:p>
    <w:p>
      <w:pPr>
        <w:spacing w:after="0" w:line="159" w:lineRule="exact"/>
        <w:rPr>
          <w:rFonts w:ascii="Courier New" w:cs="Courier New" w:eastAsia="Courier New" w:hAnsi="Courier New"/>
          <w:sz w:val="14"/>
          <w:szCs w:val="14"/>
          <w:color w:val="auto"/>
        </w:rPr>
      </w:pPr>
    </w:p>
    <w:p>
      <w:pPr>
        <w:jc w:val="both"/>
        <w:ind w:right="3339" w:firstLine="8"/>
        <w:spacing w:after="0" w:line="252" w:lineRule="auto"/>
        <w:tabs>
          <w:tab w:leader="none" w:pos="431"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Assumes that any other holders of Notes, or any further transferees, pledgees, donees or successors of or from any such other holders of Notes, do not beneficially own any Common Stock other than the Common Stock issuable upon conversion of the Notes at the initial conversion rate.</w:t>
      </w:r>
    </w:p>
    <w:p>
      <w:pPr>
        <w:spacing w:after="0" w:line="162" w:lineRule="exact"/>
        <w:rPr>
          <w:sz w:val="20"/>
          <w:szCs w:val="20"/>
          <w:color w:val="auto"/>
        </w:rPr>
      </w:pPr>
    </w:p>
    <w:p>
      <w:pPr>
        <w:ind w:left="268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left="1300"/>
        <w:spacing w:after="0"/>
        <w:rPr>
          <w:sz w:val="20"/>
          <w:szCs w:val="20"/>
          <w:color w:val="auto"/>
        </w:rPr>
      </w:pPr>
      <w:r>
        <w:rPr>
          <w:rFonts w:ascii="Courier New" w:cs="Courier New" w:eastAsia="Courier New" w:hAnsi="Courier New"/>
          <w:sz w:val="14"/>
          <w:szCs w:val="14"/>
          <w:color w:val="auto"/>
        </w:rPr>
        <w:t>FOR A DISCUSSION OF CERTAIN FACTORS THAT SHOULD BE</w:t>
      </w:r>
    </w:p>
    <w:p>
      <w:pPr>
        <w:spacing w:after="0" w:line="7" w:lineRule="exact"/>
        <w:rPr>
          <w:sz w:val="20"/>
          <w:szCs w:val="20"/>
          <w:color w:val="auto"/>
        </w:rPr>
      </w:pPr>
    </w:p>
    <w:p>
      <w:pPr>
        <w:ind w:left="1300"/>
        <w:spacing w:after="0"/>
        <w:rPr>
          <w:sz w:val="20"/>
          <w:szCs w:val="20"/>
          <w:color w:val="auto"/>
        </w:rPr>
      </w:pPr>
      <w:r>
        <w:rPr>
          <w:rFonts w:ascii="Courier New" w:cs="Courier New" w:eastAsia="Courier New" w:hAnsi="Courier New"/>
          <w:sz w:val="14"/>
          <w:szCs w:val="14"/>
          <w:color w:val="auto"/>
        </w:rPr>
        <w:t>CONSIDERED IN CONNECTION WITH AN INVESTMENT IN THE</w:t>
      </w:r>
    </w:p>
    <w:p>
      <w:pPr>
        <w:spacing w:after="0" w:line="7"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SECURITIES OFFERED HEREBY, SEE "RISK FACTORS"</w:t>
      </w:r>
    </w:p>
    <w:p>
      <w:pPr>
        <w:spacing w:after="0" w:line="7" w:lineRule="exact"/>
        <w:rPr>
          <w:sz w:val="20"/>
          <w:szCs w:val="20"/>
          <w:color w:val="auto"/>
        </w:rPr>
      </w:pPr>
    </w:p>
    <w:p>
      <w:pPr>
        <w:ind w:left="1820"/>
        <w:spacing w:after="0"/>
        <w:rPr>
          <w:sz w:val="20"/>
          <w:szCs w:val="20"/>
          <w:color w:val="auto"/>
        </w:rPr>
      </w:pPr>
      <w:r>
        <w:rPr>
          <w:rFonts w:ascii="Courier New" w:cs="Courier New" w:eastAsia="Courier New" w:hAnsi="Courier New"/>
          <w:sz w:val="14"/>
          <w:szCs w:val="14"/>
          <w:color w:val="auto"/>
        </w:rPr>
        <w:t>BEGINNING ON PAGE 6 OF THE PROSPECTUS.</w:t>
      </w:r>
    </w:p>
    <w:p>
      <w:pPr>
        <w:spacing w:after="0" w:line="7" w:lineRule="exact"/>
        <w:rPr>
          <w:sz w:val="20"/>
          <w:szCs w:val="20"/>
          <w:color w:val="auto"/>
        </w:rPr>
      </w:pPr>
    </w:p>
    <w:p>
      <w:pPr>
        <w:ind w:left="268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THESE SECURITIES HAVE NOT BEEN APPROVED OR DISAPPROVED BY THE</w:t>
      </w:r>
    </w:p>
    <w:p>
      <w:pPr>
        <w:spacing w:after="0" w:line="7" w:lineRule="exact"/>
        <w:rPr>
          <w:sz w:val="20"/>
          <w:szCs w:val="20"/>
          <w:color w:val="auto"/>
        </w:rPr>
      </w:pPr>
    </w:p>
    <w:p>
      <w:pPr>
        <w:jc w:val="center"/>
        <w:ind w:left="320" w:right="80"/>
        <w:spacing w:after="0" w:line="250" w:lineRule="auto"/>
        <w:rPr>
          <w:sz w:val="20"/>
          <w:szCs w:val="20"/>
          <w:color w:val="auto"/>
        </w:rPr>
      </w:pPr>
      <w:r>
        <w:rPr>
          <w:rFonts w:ascii="Courier New" w:cs="Courier New" w:eastAsia="Courier New" w:hAnsi="Courier New"/>
          <w:sz w:val="14"/>
          <w:szCs w:val="14"/>
          <w:color w:val="auto"/>
        </w:rPr>
        <w:t>SECURITIES AND EXCHANGE COMMISSION OR ANY STATE SECURITIES COMMISSION NOR HAS THE SECURITIES AND EXCHANGE COMMISSION OR ANY STATE SECURITIES COMMISSION PASSED UPON THE ACCURACY OR ADEQUACY OF THIS PROSPECTUS. ANY REPRESENTATION TO THE CONTRARY IS A CRIMINAL OFFENSE.</w:t>
      </w:r>
    </w:p>
    <w:p>
      <w:pPr>
        <w:spacing w:after="0" w:line="2" w:lineRule="exact"/>
        <w:rPr>
          <w:sz w:val="20"/>
          <w:szCs w:val="20"/>
          <w:color w:val="auto"/>
        </w:rPr>
      </w:pPr>
    </w:p>
    <w:p>
      <w:pPr>
        <w:ind w:left="268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left="1120"/>
        <w:spacing w:after="0"/>
        <w:rPr>
          <w:sz w:val="20"/>
          <w:szCs w:val="20"/>
          <w:color w:val="auto"/>
        </w:rPr>
      </w:pPr>
      <w:r>
        <w:rPr>
          <w:rFonts w:ascii="Courier New" w:cs="Courier New" w:eastAsia="Courier New" w:hAnsi="Courier New"/>
          <w:sz w:val="14"/>
          <w:szCs w:val="14"/>
          <w:color w:val="auto"/>
        </w:rPr>
        <w:t>The date of this Prospectus Supplement is July 2, 1997</w:t>
      </w:r>
    </w:p>
    <w:sectPr>
      <w:pgSz w:w="11900" w:h="16838" w:orient="portrait"/>
      <w:cols w:equalWidth="0" w:num="1">
        <w:col w:w="10239"/>
      </w:cols>
      <w:pgMar w:left="220" w:top="14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1)"/>
      <w:numFmt w:val="decimal"/>
      <w:start w:val="2"/>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2019-12-13T15:42:49Z</dcterms:created>
  <dcterms:modified xsi:type="dcterms:W3CDTF">2019-12-13T15:42:49Z</dcterms:modified>
</cp:coreProperties>
</file>