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2"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Itron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465741106</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2013</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160" w:right="5059" w:firstLine="8"/>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2,565,439</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1,831,138</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734,301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2,565,439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99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6.55% based on 39,149,045 outstanding common shares as per</w:t>
      </w:r>
    </w:p>
    <w:p>
      <w:pPr>
        <w:ind w:left="960"/>
        <w:spacing w:after="0" w:line="238" w:lineRule="auto"/>
        <w:rPr>
          <w:sz w:val="20"/>
          <w:szCs w:val="20"/>
          <w:color w:val="auto"/>
        </w:rPr>
      </w:pPr>
      <w:r>
        <w:rPr>
          <w:rFonts w:ascii="Courier New" w:cs="Courier New" w:eastAsia="Courier New" w:hAnsi="Courier New"/>
          <w:sz w:val="18"/>
          <w:szCs w:val="18"/>
          <w:color w:val="auto"/>
        </w:rPr>
        <w:t>Form 10-Q published on November 5, 2013.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CUSIP No.: 465741106</w:t>
            </w:r>
          </w:p>
        </w:tc>
        <w:tc>
          <w:tcPr>
            <w:tcW w:w="2800" w:type="dxa"/>
            <w:vAlign w:val="bottom"/>
          </w:tcPr>
          <w:p>
            <w:pPr>
              <w:ind w:left="1020"/>
              <w:spacing w:after="0"/>
              <w:rPr>
                <w:sz w:val="20"/>
                <w:szCs w:val="20"/>
                <w:color w:val="auto"/>
              </w:rPr>
            </w:pPr>
            <w:r>
              <w:rPr>
                <w:rFonts w:ascii="Courier New" w:cs="Courier New" w:eastAsia="Courier New" w:hAnsi="Courier New"/>
                <w:sz w:val="18"/>
                <w:szCs w:val="18"/>
                <w:color w:val="auto"/>
                <w:w w:val="95"/>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Itron Inc. (the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2111 N Molter Road</w:t>
            </w:r>
          </w:p>
        </w:tc>
        <w:tc>
          <w:tcPr>
            <w:tcW w:w="280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Liberty Lake</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Washington 99019</w:t>
            </w:r>
          </w:p>
        </w:tc>
        <w:tc>
          <w:tcPr>
            <w:tcW w:w="2800" w:type="dxa"/>
            <w:vAlign w:val="bottom"/>
          </w:tcPr>
          <w:p>
            <w:pPr>
              <w:spacing w:after="0"/>
              <w:rPr>
                <w:sz w:val="17"/>
                <w:szCs w:val="17"/>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This  Statement  is filed on behalf</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of each of the  following</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persons (collectively, the "Reporting Persons"):</w:t>
            </w: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w w:val="98"/>
              </w:rPr>
              <w:t>NORGES BANK (CENTRAL BANK OF NORWAY)</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 Oslo</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Norway</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280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Norwegian</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Common stock</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465741106</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ss.ss.240.13d-1(b) or</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240.13d-2(b) or (c),</w:t>
            </w:r>
          </w:p>
        </w:tc>
        <w:tc>
          <w:tcPr>
            <w:tcW w:w="2800" w:type="dxa"/>
            <w:vAlign w:val="bottom"/>
          </w:tcPr>
          <w:p>
            <w:pPr>
              <w:spacing w:after="0"/>
              <w:rPr>
                <w:sz w:val="17"/>
                <w:szCs w:val="17"/>
                <w:color w:val="auto"/>
              </w:rPr>
            </w:pP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74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20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 ].</w:t>
      </w:r>
    </w:p>
    <w:p>
      <w:pPr>
        <w:spacing w:after="0" w:line="200" w:lineRule="exact"/>
        <w:rPr>
          <w:sz w:val="20"/>
          <w:szCs w:val="20"/>
          <w:color w:val="auto"/>
        </w:rPr>
      </w:pPr>
    </w:p>
    <w:p>
      <w:pPr>
        <w:spacing w:after="0" w:line="210"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674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NORGES BANK</w:t>
      </w:r>
    </w:p>
    <w:p>
      <w:pPr>
        <w:spacing w:after="0" w:line="238" w:lineRule="auto"/>
        <w:rPr>
          <w:sz w:val="20"/>
          <w:szCs w:val="20"/>
          <w:color w:val="auto"/>
        </w:rPr>
      </w:pPr>
      <w:r>
        <w:rPr>
          <w:rFonts w:ascii="Courier New" w:cs="Courier New" w:eastAsia="Courier New" w:hAnsi="Courier New"/>
          <w:sz w:val="18"/>
          <w:szCs w:val="18"/>
          <w:color w:val="auto"/>
        </w:rPr>
        <w:t>Date: February 19, 2014</w:t>
      </w:r>
    </w:p>
    <w:p>
      <w:pPr>
        <w:sectPr>
          <w:pgSz w:w="11900" w:h="16838" w:orient="portrait"/>
          <w:cols w:equalWidth="0" w:num="1">
            <w:col w:w="10219"/>
          </w:cols>
          <w:pgMar w:left="240" w:top="717" w:right="1440" w:bottom="1440" w:gutter="0" w:footer="0" w:header="0"/>
        </w:sect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Stanislav Boiadjiev</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Stanislav Boiadjiev</w:t>
      </w:r>
    </w:p>
    <w:p>
      <w:pPr>
        <w:spacing w:after="0"/>
        <w:rPr>
          <w:sz w:val="20"/>
          <w:szCs w:val="20"/>
          <w:color w:val="auto"/>
        </w:rPr>
      </w:pPr>
      <w:r>
        <w:rPr>
          <w:rFonts w:ascii="Courier New" w:cs="Courier New" w:eastAsia="Courier New" w:hAnsi="Courier New"/>
          <w:sz w:val="18"/>
          <w:szCs w:val="18"/>
          <w:color w:val="auto"/>
        </w:rPr>
        <w:t>Analyst</w:t>
      </w:r>
    </w:p>
    <w:sectPr>
      <w:pgSz w:w="11900" w:h="16838" w:orient="portrait"/>
      <w:cols w:equalWidth="0" w:num="2">
        <w:col w:w="4860" w:space="420"/>
        <w:col w:w="49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2019-12-05T21:22:47Z</dcterms:created>
  <dcterms:modified xsi:type="dcterms:W3CDTF">2019-12-05T21:22:47Z</dcterms:modified>
</cp:coreProperties>
</file>