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509270</wp:posOffset>
            </wp:positionV>
            <wp:extent cx="70580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-224155</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78" w:lineRule="exact"/>
        <w:rPr>
          <w:sz w:val="24"/>
          <w:szCs w:val="24"/>
          <w:color w:val="auto"/>
        </w:rPr>
      </w:pPr>
    </w:p>
    <w:p>
      <w:pPr>
        <w:ind w:left="660" w:right="2140" w:hanging="625"/>
        <w:spacing w:after="0" w:line="276" w:lineRule="auto"/>
        <w:tabs>
          <w:tab w:leader="none" w:pos="4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500" w:hanging="307"/>
        <w:spacing w:after="0" w:line="212"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000-22418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855" w:right="239" w:bottom="1440" w:gutter="0" w:footer="0" w:header="0"/>
        </w:sectPr>
      </w:pPr>
    </w:p>
    <w:p>
      <w:pPr>
        <w:spacing w:after="0" w:line="152"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700" w:space="720"/>
            <w:col w:w="3000"/>
          </w:cols>
          <w:pgMar w:left="240" w:top="855" w:right="23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60" w:space="720"/>
            <w:col w:w="4140"/>
          </w:cols>
          <w:pgMar w:left="240" w:top="855"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no par value</w:t>
            </w:r>
          </w:p>
        </w:tc>
        <w:tc>
          <w:tcPr>
            <w:tcW w:w="55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4"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right="366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63" w:lineRule="exact"/>
        <w:rPr>
          <w:sz w:val="24"/>
          <w:szCs w:val="24"/>
          <w:color w:val="auto"/>
        </w:rPr>
      </w:pPr>
    </w:p>
    <w:tbl>
      <w:tblPr>
        <w:tblLayout w:type="fixed"/>
        <w:tblInd w:w="58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0" w:type="dxa"/>
            <w:vAlign w:val="bottom"/>
          </w:tcPr>
          <w:p>
            <w:pPr>
              <w:ind w:left="400"/>
              <w:spacing w:after="0"/>
              <w:rPr>
                <w:sz w:val="20"/>
                <w:szCs w:val="20"/>
                <w:color w:val="auto"/>
              </w:rPr>
            </w:pPr>
            <w:r>
              <w:rPr>
                <w:rFonts w:ascii="Arial" w:cs="Arial" w:eastAsia="Arial" w:hAnsi="Arial"/>
                <w:sz w:val="14"/>
                <w:szCs w:val="14"/>
                <w:color w:val="auto"/>
              </w:rPr>
              <w:t>x</w:t>
            </w:r>
          </w:p>
        </w:tc>
        <w:tc>
          <w:tcPr>
            <w:tcW w:w="6600" w:type="dxa"/>
            <w:vAlign w:val="bottom"/>
          </w:tcPr>
          <w:p>
            <w:pPr>
              <w:ind w:left="450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3"/>
        </w:trPr>
        <w:tc>
          <w:tcPr>
            <w:tcW w:w="170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400"/>
              <w:spacing w:after="0"/>
              <w:rPr>
                <w:sz w:val="20"/>
                <w:szCs w:val="20"/>
                <w:color w:val="auto"/>
              </w:rPr>
            </w:pPr>
            <w:r>
              <w:rPr>
                <w:rFonts w:ascii="Arial" w:cs="Arial" w:eastAsia="Arial" w:hAnsi="Arial"/>
                <w:sz w:val="14"/>
                <w:szCs w:val="14"/>
                <w:color w:val="auto"/>
              </w:rPr>
              <w:t>o</w:t>
            </w:r>
          </w:p>
        </w:tc>
        <w:tc>
          <w:tcPr>
            <w:tcW w:w="6600" w:type="dxa"/>
            <w:vAlign w:val="bottom"/>
          </w:tcPr>
          <w:p>
            <w:pPr>
              <w:ind w:left="20"/>
              <w:spacing w:after="0"/>
              <w:rPr>
                <w:sz w:val="20"/>
                <w:szCs w:val="20"/>
                <w:color w:val="auto"/>
              </w:rPr>
            </w:pPr>
            <w:r>
              <w:rPr>
                <w:rFonts w:ascii="Arial" w:cs="Arial" w:eastAsia="Arial" w:hAnsi="Arial"/>
                <w:sz w:val="14"/>
                <w:szCs w:val="14"/>
                <w:color w:val="auto"/>
              </w:rPr>
              <w:t>(Do not check if a smaller reporting company)</w:t>
            </w:r>
          </w:p>
        </w:tc>
        <w:tc>
          <w:tcPr>
            <w:tcW w:w="640" w:type="dxa"/>
            <w:vAlign w:val="bottom"/>
            <w:vMerge w:val="restart"/>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0" w:type="dxa"/>
            <w:vAlign w:val="bottom"/>
          </w:tcPr>
          <w:p>
            <w:pPr>
              <w:ind w:left="4500"/>
              <w:spacing w:after="0"/>
              <w:rPr>
                <w:sz w:val="20"/>
                <w:szCs w:val="20"/>
                <w:color w:val="auto"/>
              </w:rPr>
            </w:pPr>
            <w:r>
              <w:rPr>
                <w:rFonts w:ascii="Arial" w:cs="Arial" w:eastAsia="Arial" w:hAnsi="Arial"/>
                <w:sz w:val="14"/>
                <w:szCs w:val="14"/>
                <w:color w:val="auto"/>
              </w:rPr>
              <w:t>Smaller reporting company</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0" w:type="dxa"/>
            <w:vAlign w:val="bottom"/>
            <w:vMerge w:val="restart"/>
          </w:tcPr>
          <w:p>
            <w:pPr>
              <w:ind w:left="450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7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2017 (the last business day of the registrant’s most recently completed second fiscal quarter), the aggregate market value of the shares of common stock held by non-affiliates of the registrant (based on the closing price for the common stock on the NASDAQ Global Select Market) was $2,598,397,322.</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2018, there were outstanding 38,784,060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information called for by Part III is incorporated by reference to the definitive Proxy Statement for the Annual Meeting of Shareholders of the Company to be held on May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132715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3"/>
          </w:tcPr>
          <w:p>
            <w:pPr>
              <w:jc w:val="center"/>
              <w:ind w:right="3620"/>
              <w:spacing w:after="0"/>
              <w:rPr>
                <w:sz w:val="20"/>
                <w:szCs w:val="20"/>
                <w:color w:val="auto"/>
              </w:rPr>
            </w:pPr>
            <w:r>
              <w:rPr>
                <w:rFonts w:ascii="Arial" w:cs="Arial" w:eastAsia="Arial" w:hAnsi="Arial"/>
                <w:sz w:val="18"/>
                <w:szCs w:val="18"/>
                <w:b w:val="1"/>
                <w:bCs w:val="1"/>
                <w:color w:val="auto"/>
                <w:w w:val="96"/>
              </w:rPr>
              <w:t>Itron, Inc.</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15"/>
          </w:tcPr>
          <w:p>
            <w:pPr>
              <w:jc w:val="center"/>
              <w:ind w:right="3320"/>
              <w:spacing w:after="0"/>
              <w:rPr>
                <w:sz w:val="20"/>
                <w:szCs w:val="20"/>
                <w:color w:val="auto"/>
              </w:rPr>
            </w:pPr>
            <w:r>
              <w:rPr>
                <w:rFonts w:ascii="Arial" w:cs="Arial" w:eastAsia="Arial" w:hAnsi="Arial"/>
                <w:sz w:val="18"/>
                <w:szCs w:val="18"/>
                <w:b w:val="1"/>
                <w:bCs w:val="1"/>
                <w:color w:val="auto"/>
                <w:w w:val="89"/>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4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w:t>
            </w:r>
          </w:p>
        </w:tc>
        <w:tc>
          <w:tcPr>
            <w:tcW w:w="766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00" w:type="dxa"/>
            <w:vAlign w:val="bottom"/>
            <w:gridSpan w:val="2"/>
          </w:tcPr>
          <w:p>
            <w:pPr>
              <w:jc w:val="center"/>
              <w:ind w:left="51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1A:</w:t>
            </w:r>
          </w:p>
        </w:tc>
        <w:tc>
          <w:tcPr>
            <w:tcW w:w="7660" w:type="dxa"/>
            <w:vAlign w:val="bottom"/>
            <w:gridSpan w:val="2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00" w:type="dxa"/>
            <w:vAlign w:val="bottom"/>
            <w:gridSpan w:val="2"/>
          </w:tcPr>
          <w:p>
            <w:pPr>
              <w:jc w:val="center"/>
              <w:ind w:left="51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1B:</w:t>
            </w:r>
          </w:p>
        </w:tc>
        <w:tc>
          <w:tcPr>
            <w:tcW w:w="2800" w:type="dxa"/>
            <w:vAlign w:val="bottom"/>
            <w:gridSpan w:val="11"/>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UNRESOLVED STAFF COMMENTS</w:t>
              </w:r>
            </w:hyperlink>
          </w:p>
        </w:tc>
        <w:tc>
          <w:tcPr>
            <w:tcW w:w="4860" w:type="dxa"/>
            <w:vAlign w:val="bottom"/>
            <w:gridSpan w:val="1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2:</w:t>
            </w:r>
          </w:p>
        </w:tc>
        <w:tc>
          <w:tcPr>
            <w:tcW w:w="280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4860" w:type="dxa"/>
            <w:vAlign w:val="bottom"/>
            <w:gridSpan w:val="1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3:</w:t>
            </w:r>
          </w:p>
        </w:tc>
        <w:tc>
          <w:tcPr>
            <w:tcW w:w="766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4:</w:t>
            </w:r>
          </w:p>
        </w:tc>
        <w:tc>
          <w:tcPr>
            <w:tcW w:w="766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MARKET FOR REGISTRANT’S COMMON EQUITY, RELATED STOCKHOLDER MATTERS AND</w:t>
              </w:r>
            </w:hyperlink>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60" w:type="dxa"/>
            <w:vAlign w:val="bottom"/>
            <w:gridSpan w:val="15"/>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ISSUER PURCHASES OF EQUITY SECURITIES</w:t>
              </w:r>
            </w:hyperlink>
          </w:p>
        </w:tc>
        <w:tc>
          <w:tcPr>
            <w:tcW w:w="3900" w:type="dxa"/>
            <w:vAlign w:val="bottom"/>
            <w:gridSpan w:val="12"/>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6:</w:t>
            </w:r>
          </w:p>
        </w:tc>
        <w:tc>
          <w:tcPr>
            <w:tcW w:w="3840" w:type="dxa"/>
            <w:vAlign w:val="bottom"/>
            <w:gridSpan w:val="16"/>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SELECTED CONSOLIDATED FINANCIAL DATA</w:t>
              </w:r>
            </w:hyperlink>
          </w:p>
        </w:tc>
        <w:tc>
          <w:tcPr>
            <w:tcW w:w="3820" w:type="dxa"/>
            <w:vAlign w:val="bottom"/>
            <w:gridSpan w:val="11"/>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7:</w:t>
            </w:r>
          </w:p>
        </w:tc>
        <w:tc>
          <w:tcPr>
            <w:tcW w:w="750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MANAGEMENT’S DISCUSSION AND ANALYSIS OF FINANCIAL CONDITION AND RESULTS</w:t>
              </w:r>
            </w:hyperlink>
          </w:p>
        </w:tc>
        <w:tc>
          <w:tcPr>
            <w:tcW w:w="1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OF OPERATIONS</w:t>
              </w:r>
            </w:hyperlink>
          </w:p>
        </w:tc>
        <w:tc>
          <w:tcPr>
            <w:tcW w:w="6300" w:type="dxa"/>
            <w:vAlign w:val="bottom"/>
            <w:gridSpan w:val="23"/>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7A:</w:t>
            </w:r>
          </w:p>
        </w:tc>
        <w:tc>
          <w:tcPr>
            <w:tcW w:w="6140" w:type="dxa"/>
            <w:vAlign w:val="bottom"/>
            <w:gridSpan w:val="21"/>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QUANTITATIVE AND QUALITATIVE DISCLOSURES ABOUT MARKET RISK</w:t>
              </w:r>
            </w:hyperlink>
          </w:p>
        </w:tc>
        <w:tc>
          <w:tcPr>
            <w:tcW w:w="1520" w:type="dxa"/>
            <w:vAlign w:val="bottom"/>
            <w:gridSpan w:val="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8:</w:t>
            </w:r>
          </w:p>
        </w:tc>
        <w:tc>
          <w:tcPr>
            <w:tcW w:w="4660" w:type="dxa"/>
            <w:vAlign w:val="bottom"/>
            <w:gridSpan w:val="19"/>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1520" w:type="dxa"/>
            <w:vAlign w:val="bottom"/>
            <w:gridSpan w:val="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Operations</w:t>
              </w:r>
            </w:hyperlink>
          </w:p>
        </w:tc>
        <w:tc>
          <w:tcPr>
            <w:tcW w:w="3000" w:type="dxa"/>
            <w:vAlign w:val="bottom"/>
            <w:gridSpan w:val="8"/>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40" w:type="dxa"/>
            <w:vAlign w:val="bottom"/>
            <w:gridSpan w:val="18"/>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Comprehensive Income (Loss)</w:t>
              </w:r>
            </w:hyperlink>
          </w:p>
        </w:tc>
        <w:tc>
          <w:tcPr>
            <w:tcW w:w="3420" w:type="dxa"/>
            <w:vAlign w:val="bottom"/>
            <w:gridSpan w:val="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Balance Sheets</w:t>
              </w:r>
            </w:hyperlink>
          </w:p>
        </w:tc>
        <w:tc>
          <w:tcPr>
            <w:tcW w:w="3420" w:type="dxa"/>
            <w:vAlign w:val="bottom"/>
            <w:gridSpan w:val="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40" w:type="dxa"/>
            <w:vAlign w:val="bottom"/>
            <w:gridSpan w:val="9"/>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Consolidated Statements of Equity</w:t>
              </w:r>
            </w:hyperlink>
          </w:p>
        </w:tc>
        <w:tc>
          <w:tcPr>
            <w:tcW w:w="5220" w:type="dxa"/>
            <w:vAlign w:val="bottom"/>
            <w:gridSpan w:val="18"/>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2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2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w:t>
            </w:r>
          </w:p>
        </w:tc>
        <w:tc>
          <w:tcPr>
            <w:tcW w:w="7660" w:type="dxa"/>
            <w:vAlign w:val="bottom"/>
            <w:gridSpan w:val="2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w:t>
              </w:r>
            </w:hyperlink>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5"/>
          </w:tcPr>
          <w:p>
            <w:pPr>
              <w:spacing w:after="0"/>
              <w:rPr>
                <w:sz w:val="17"/>
                <w:szCs w:val="17"/>
                <w:color w:val="auto"/>
              </w:rPr>
            </w:pPr>
          </w:p>
        </w:tc>
        <w:tc>
          <w:tcPr>
            <w:tcW w:w="740" w:type="dxa"/>
            <w:vAlign w:val="bottom"/>
            <w:gridSpan w:val="4"/>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93</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9A:</w:t>
            </w:r>
          </w:p>
        </w:tc>
        <w:tc>
          <w:tcPr>
            <w:tcW w:w="2600" w:type="dxa"/>
            <w:vAlign w:val="bottom"/>
            <w:gridSpan w:val="10"/>
          </w:tcPr>
          <w:p>
            <w:pPr>
              <w:spacing w:after="0"/>
              <w:rPr>
                <w:rFonts w:ascii="Arial" w:cs="Arial" w:eastAsia="Arial" w:hAnsi="Arial"/>
                <w:sz w:val="18"/>
                <w:szCs w:val="18"/>
                <w:color w:val="0000EE"/>
                <w:w w:val="93"/>
              </w:rPr>
            </w:pPr>
            <w:hyperlink w:anchor="page95">
              <w:r>
                <w:rPr>
                  <w:rFonts w:ascii="Arial" w:cs="Arial" w:eastAsia="Arial" w:hAnsi="Arial"/>
                  <w:sz w:val="18"/>
                  <w:szCs w:val="18"/>
                  <w:color w:val="0000EE"/>
                  <w:w w:val="93"/>
                </w:rPr>
                <w:t>CONTROLS AND PROCEDURES</w:t>
              </w:r>
            </w:hyperlink>
          </w:p>
        </w:tc>
        <w:tc>
          <w:tcPr>
            <w:tcW w:w="5060" w:type="dxa"/>
            <w:vAlign w:val="bottom"/>
            <w:gridSpan w:val="1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93</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9B:</w:t>
            </w:r>
          </w:p>
        </w:tc>
        <w:tc>
          <w:tcPr>
            <w:tcW w:w="2600" w:type="dxa"/>
            <w:vAlign w:val="bottom"/>
            <w:gridSpan w:val="1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5060" w:type="dxa"/>
            <w:vAlign w:val="bottom"/>
            <w:gridSpan w:val="1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10:</w:t>
            </w:r>
          </w:p>
        </w:tc>
        <w:tc>
          <w:tcPr>
            <w:tcW w:w="5800" w:type="dxa"/>
            <w:vAlign w:val="bottom"/>
            <w:gridSpan w:val="20"/>
          </w:tcPr>
          <w:p>
            <w:pP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DIRECTORS, EXECUTIVE OFFICERS AND CORPORATE GOVERNANCE</w:t>
              </w:r>
            </w:hyperlink>
          </w:p>
        </w:tc>
        <w:tc>
          <w:tcPr>
            <w:tcW w:w="1860" w:type="dxa"/>
            <w:vAlign w:val="bottom"/>
            <w:gridSpan w:val="7"/>
          </w:tcPr>
          <w:p>
            <w:pPr>
              <w:spacing w:after="0"/>
              <w:rPr>
                <w:sz w:val="19"/>
                <w:szCs w:val="19"/>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920" w:type="dxa"/>
            <w:vAlign w:val="bottom"/>
            <w:tcBorders>
              <w:right w:val="single" w:sz="8" w:color="0000EE"/>
            </w:tcBorders>
            <w:gridSpan w:val="4"/>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11:</w:t>
            </w:r>
          </w:p>
        </w:tc>
        <w:tc>
          <w:tcPr>
            <w:tcW w:w="2440" w:type="dxa"/>
            <w:vAlign w:val="bottom"/>
            <w:gridSpan w:val="9"/>
          </w:tcPr>
          <w:p>
            <w:pPr>
              <w:spacing w:after="0"/>
              <w:rPr>
                <w:rFonts w:ascii="Arial" w:cs="Arial" w:eastAsia="Arial" w:hAnsi="Arial"/>
                <w:sz w:val="18"/>
                <w:szCs w:val="18"/>
                <w:color w:val="0000EE"/>
                <w:w w:val="94"/>
              </w:rPr>
            </w:pPr>
            <w:hyperlink w:anchor="page99">
              <w:r>
                <w:rPr>
                  <w:rFonts w:ascii="Arial" w:cs="Arial" w:eastAsia="Arial" w:hAnsi="Arial"/>
                  <w:sz w:val="18"/>
                  <w:szCs w:val="18"/>
                  <w:color w:val="0000EE"/>
                  <w:w w:val="94"/>
                </w:rPr>
                <w:t>EXECUTIVE COMPENSATION</w:t>
              </w:r>
            </w:hyperlink>
          </w:p>
        </w:tc>
        <w:tc>
          <w:tcPr>
            <w:tcW w:w="3360" w:type="dxa"/>
            <w:vAlign w:val="bottom"/>
            <w:gridSpan w:val="11"/>
          </w:tcPr>
          <w:p>
            <w:pPr>
              <w:spacing w:after="0"/>
              <w:rPr>
                <w:sz w:val="21"/>
                <w:szCs w:val="21"/>
                <w:color w:val="auto"/>
              </w:rPr>
            </w:pPr>
          </w:p>
        </w:tc>
        <w:tc>
          <w:tcPr>
            <w:tcW w:w="1860" w:type="dxa"/>
            <w:vAlign w:val="bottom"/>
            <w:gridSpan w:val="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99">
              <w:r>
                <w:rPr>
                  <w:rFonts w:ascii="Arial" w:cs="Arial" w:eastAsia="Arial" w:hAnsi="Arial"/>
                  <w:sz w:val="18"/>
                  <w:szCs w:val="18"/>
                  <w:color w:val="0000EE"/>
                  <w:w w:val="96"/>
                </w:rPr>
                <w:t>SECURITY OWNERSHIP OF CERTAIN BENEFICIAL OWNERS AND MANAGEMENT AND</w:t>
              </w:r>
            </w:hyperlink>
          </w:p>
        </w:tc>
        <w:tc>
          <w:tcPr>
            <w:tcW w:w="50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60" w:type="dxa"/>
            <w:vAlign w:val="bottom"/>
            <w:gridSpan w:val="2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RELATED STOCKHOLDER MATTERS</w:t>
              </w:r>
            </w:hyperlink>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9"/>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13:</w:t>
            </w:r>
          </w:p>
        </w:tc>
        <w:tc>
          <w:tcPr>
            <w:tcW w:w="7660" w:type="dxa"/>
            <w:vAlign w:val="bottom"/>
            <w:gridSpan w:val="2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w:t>
              </w:r>
            </w:hyperlink>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INDEPENDENCE</w:t>
              </w:r>
            </w:hyperlink>
          </w:p>
        </w:tc>
        <w:tc>
          <w:tcPr>
            <w:tcW w:w="1380" w:type="dxa"/>
            <w:vAlign w:val="bottom"/>
            <w:gridSpan w:val="5"/>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80" w:type="dxa"/>
            <w:vAlign w:val="bottom"/>
            <w:gridSpan w:val="13"/>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14:</w:t>
            </w:r>
          </w:p>
        </w:tc>
        <w:tc>
          <w:tcPr>
            <w:tcW w:w="7660" w:type="dxa"/>
            <w:vAlign w:val="bottom"/>
            <w:gridSpan w:val="2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15:</w:t>
            </w:r>
          </w:p>
        </w:tc>
        <w:tc>
          <w:tcPr>
            <w:tcW w:w="7660" w:type="dxa"/>
            <w:vAlign w:val="bottom"/>
            <w:gridSpan w:val="2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 SCHEDULE</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SIGNATURES</w:t>
              </w:r>
            </w:hyperlink>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80"/>
          </w:cols>
          <w:pgMar w:left="620" w:top="364" w:right="5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You should not solely rely on these forward-looking statements as they are only valid as of the date of this Annual Report on Form 10-K. We do not have any obligation to publicly update or revise any forward-looking statement in this document. For a complete description of risks and uncertainties, refer to Item 1A: “Risk Factors” included in this Annual Report on Form 10-K.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http://www.sec.gov</w:t>
      </w:r>
      <w:r>
        <w:rPr>
          <w:rFonts w:ascii="Arial" w:cs="Arial" w:eastAsia="Arial" w:hAnsi="Arial"/>
          <w:sz w:val="17"/>
          <w:szCs w:val="17"/>
          <w:color w:val="auto"/>
        </w:rPr>
        <w:t>) and at the SEC’s Headquarters at 100 F Street, NE, Washington, DC 20549, or by calling 1-800-SEC-0330.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is among the leading technology and services companies dedicated to the resourceful use of electricity, natural gas, and water. We provide comprehensive solutions that measure, manage, and analyze energy and water use. Our broad product portfolio helps utilities responsibly and efficiently manage resources.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increasing populations and resource consumption, there continues to be growing demand for electricity, natural gas, and water. This demand comes at a time when utilities are challenged by cost constraints, regulatory requirements, environmental concerns and water scarcity. Our solution is to provide utilities with the knowledge they need to optimize their resources, improve their efficiency and to better understand and serve their customers - knowledge that gives their customers control over their energy and water needs and allows for better management and conservation of valuable resources.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were incorporated in 1977 with a focus on meter reading technology. In 2004, we entered the electricity meter manufacturing business with the acquisition of Schlumberger Electricity Metering. In 2007, we expanded our presence in global meter manufacturing and systems with the acquisition of Actaris Metering Systems SA. In 2017, we completed our acquisition of </w:t>
      </w:r>
      <w:r>
        <w:rPr>
          <w:rFonts w:ascii="Arial" w:cs="Arial" w:eastAsia="Arial" w:hAnsi="Arial"/>
          <w:sz w:val="18"/>
          <w:szCs w:val="18"/>
          <w:color w:val="222222"/>
        </w:rPr>
        <w:t>Comverge by purchasing the stock of its parent, Peak Holding Corp. (Comverge),</w:t>
      </w:r>
      <w:r>
        <w:rPr>
          <w:rFonts w:ascii="Arial" w:cs="Arial" w:eastAsia="Arial" w:hAnsi="Arial"/>
          <w:sz w:val="18"/>
          <w:szCs w:val="18"/>
          <w:color w:val="auto"/>
        </w:rPr>
        <w:t xml:space="preserve"> </w:t>
      </w:r>
      <w:r>
        <w:rPr>
          <w:rFonts w:ascii="Arial" w:cs="Arial" w:eastAsia="Arial" w:hAnsi="Arial"/>
          <w:sz w:val="18"/>
          <w:szCs w:val="18"/>
          <w:color w:val="222222"/>
        </w:rPr>
        <w:t>which e</w:t>
      </w:r>
      <w:r>
        <w:rPr>
          <w:rFonts w:ascii="Arial" w:cs="Arial" w:eastAsia="Arial" w:hAnsi="Arial"/>
          <w:sz w:val="18"/>
          <w:szCs w:val="18"/>
          <w:color w:val="000000"/>
        </w:rPr>
        <w:t>nabled us to offer integrated cloud-based demand response, energy efficiency and customer engagement solutions. In 2018, we will strengthen our</w:t>
      </w:r>
      <w:r>
        <w:rPr>
          <w:rFonts w:ascii="Arial" w:cs="Arial" w:eastAsia="Arial" w:hAnsi="Arial"/>
          <w:sz w:val="18"/>
          <w:szCs w:val="18"/>
          <w:color w:val="222222"/>
        </w:rPr>
        <w:t xml:space="preserve"> </w:t>
      </w:r>
      <w:r>
        <w:rPr>
          <w:rFonts w:ascii="Arial" w:cs="Arial" w:eastAsia="Arial" w:hAnsi="Arial"/>
          <w:sz w:val="18"/>
          <w:szCs w:val="18"/>
          <w:color w:val="000000"/>
        </w:rPr>
        <w:t>ability to deliver a broader set of solutions, increase the pace of growth and innovation in the smart city and industrial Internet of Important Things</w:t>
      </w:r>
      <w:r>
        <w:rPr>
          <w:rFonts w:ascii="Arial" w:cs="Arial" w:eastAsia="Arial" w:hAnsi="Arial"/>
          <w:sz w:val="25"/>
          <w:szCs w:val="25"/>
          <w:color w:val="000000"/>
          <w:vertAlign w:val="superscript"/>
        </w:rPr>
        <w:t>TM</w:t>
      </w:r>
      <w:r>
        <w:rPr>
          <w:rFonts w:ascii="Arial" w:cs="Arial" w:eastAsia="Arial" w:hAnsi="Arial"/>
          <w:sz w:val="18"/>
          <w:szCs w:val="18"/>
          <w:color w:val="000000"/>
        </w:rPr>
        <w:t xml:space="preserve"> markets with the acquisition of Silver Spring Networks, Inc. (SSNI).</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discussion of our major products, our markets, and our operating segments. Refer to Item 8: “Financial Statements and Supplementary Data” included in this Annual Report on Form 10-K for specific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solutions that enable electric and natural gas utilities to build smart grids to manage assets, secure revenue, lower operational costs, improve customer service, and enable demand response. Our solutions include standard meters and next-generation smart metering products, metering systems, software and services, which ultimately empower and benefit consumers.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supply comprehensive solutions to address the unique challenges facing the water industry, including increasing demand and resource scarcity. We offer a complete product portfolio, including standard meters and smart metering products, systems, and services, for applications in the residential and commercial industrial markets for water and heat.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offer a portfolio of services to our customers from standalone services to end-to-end solutions. These include licensing meter data management and analytics software, managed services, software-as-a-service (SaaS), technical support services, licensing hardware technology, and consulting services.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classify metering systems into two categories: standard metering systems and smart metering solutions. These categories are described in more detail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Metering Systems</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Standard metering systems employ a standard meter, which measures electricity, natural gas, water, or thermal energy by mechanical, electromechanical, or electronic means, with no built-in remote-reading communication capability. Standard meters require manual reading, which is typically performed by a utility representative or meter reading service provider. Worldwide, we produce standard residential, commercial and industrial (C&amp;I), and transmission and distribution (T&amp;D) electricity, natural gas, water, and heat meters.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Metering Solutions</w:t>
      </w:r>
    </w:p>
    <w:p>
      <w:pPr>
        <w:spacing w:after="0" w:line="23" w:lineRule="exact"/>
        <w:rPr>
          <w:sz w:val="20"/>
          <w:szCs w:val="20"/>
          <w:color w:val="auto"/>
        </w:rPr>
      </w:pPr>
    </w:p>
    <w:p>
      <w:pPr>
        <w:jc w:val="both"/>
        <w:ind w:left="420"/>
        <w:spacing w:after="0" w:line="290" w:lineRule="auto"/>
        <w:rPr>
          <w:sz w:val="20"/>
          <w:szCs w:val="20"/>
          <w:color w:val="auto"/>
        </w:rPr>
      </w:pPr>
      <w:r>
        <w:rPr>
          <w:rFonts w:ascii="Arial" w:cs="Arial" w:eastAsia="Arial" w:hAnsi="Arial"/>
          <w:sz w:val="16"/>
          <w:szCs w:val="16"/>
          <w:color w:val="auto"/>
        </w:rPr>
        <w:t>Smart metering solutions employ meters or modules with one-way or two-way communication capability embedded in or attached to a meter to collect and store meter data, which is transmitted to handheld computers, mobile units, telephone, radio frequency (RF), cellular, power line carrier (PLC), fixed networks, or through adaptive communication technology (ACT). ACT enables dynamic selection of the optimal communications path, utilizing RF or PLC, based on network operating conditions, data attributes and application requirements. This allows utilities to collect and analyze meter data to optimize operations, store interval data, remotely connect and disconnect service to the meter, send data, receive commands, and interface with other devices, such as in-home displays, smart thermostats and appliances, home area networks, and advanced control systems.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and allocation solutions. This structure allows each segment to develop its own go-to-market strategy, prioritize its marketing and product development requirements, and focus on its strategic investments. Our sales and marketing functions are managed under each segment. Our product development and manufacturing operations are managed on a worldwide basis to promote a global perspective in our operations and processes while serving the needs of our segments.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Comverge's technologies have been integrated into our Electricity segment's increasing software and services offerings. We completed the acquisition of SSNI on January 5, 2018 and SSNI became our wholly-owned subsidiary, changing its name to Itron Networked Solutions, Inc. This entity will operate and be managed as a separate operating segment, allowing it to maintain focus, ensure business continuity and successfully deliver on customer commitments established by SSNI. Product, solution and service branding used under the Itron brand will be reviewed as part of integrating Itron Networked Solutions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Ended</w:t>
            </w:r>
          </w:p>
        </w:tc>
        <w:tc>
          <w:tcPr>
            <w:tcW w:w="360" w:type="dxa"/>
            <w:vAlign w:val="bottom"/>
          </w:tcPr>
          <w:p>
            <w:pPr>
              <w:spacing w:after="0"/>
              <w:rPr>
                <w:sz w:val="21"/>
                <w:szCs w:val="21"/>
                <w:color w:val="auto"/>
              </w:rPr>
            </w:pPr>
          </w:p>
        </w:tc>
        <w:tc>
          <w:tcPr>
            <w:tcW w:w="196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 Bookings</w:t>
            </w:r>
          </w:p>
        </w:tc>
        <w:tc>
          <w:tcPr>
            <w:tcW w:w="440" w:type="dxa"/>
            <w:vAlign w:val="bottom"/>
          </w:tcPr>
          <w:p>
            <w:pPr>
              <w:spacing w:after="0"/>
              <w:rPr>
                <w:sz w:val="21"/>
                <w:szCs w:val="21"/>
                <w:color w:val="auto"/>
              </w:rPr>
            </w:pPr>
          </w:p>
        </w:tc>
        <w:tc>
          <w:tcPr>
            <w:tcW w:w="1940" w:type="dxa"/>
            <w:vAlign w:val="bottom"/>
          </w:tcPr>
          <w:p>
            <w:pPr>
              <w:jc w:val="right"/>
              <w:ind w:right="519"/>
              <w:spacing w:after="0"/>
              <w:rPr>
                <w:sz w:val="20"/>
                <w:szCs w:val="20"/>
                <w:color w:val="auto"/>
              </w:rPr>
            </w:pPr>
            <w:r>
              <w:rPr>
                <w:rFonts w:ascii="Arial" w:cs="Arial" w:eastAsia="Arial" w:hAnsi="Arial"/>
                <w:sz w:val="16"/>
                <w:szCs w:val="16"/>
                <w:b w:val="1"/>
                <w:bCs w:val="1"/>
                <w:color w:val="auto"/>
              </w:rPr>
              <w:t xml:space="preserve">Total Backlog </w:t>
            </w:r>
            <w:r>
              <w:rPr>
                <w:rFonts w:ascii="Arial" w:cs="Arial" w:eastAsia="Arial" w:hAnsi="Arial"/>
                <w:sz w:val="21"/>
                <w:szCs w:val="21"/>
                <w:b w:val="1"/>
                <w:bCs w:val="1"/>
                <w:color w:val="auto"/>
                <w:vertAlign w:val="superscript"/>
              </w:rPr>
              <w:t>(1)</w:t>
            </w:r>
          </w:p>
        </w:tc>
        <w:tc>
          <w:tcPr>
            <w:tcW w:w="340" w:type="dxa"/>
            <w:vAlign w:val="bottom"/>
          </w:tcPr>
          <w:p>
            <w:pPr>
              <w:spacing w:after="0"/>
              <w:rPr>
                <w:sz w:val="21"/>
                <w:szCs w:val="21"/>
                <w:color w:val="auto"/>
              </w:rPr>
            </w:pP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auto"/>
              </w:rPr>
              <w:t xml:space="preserve">12-Month Backlog </w:t>
            </w:r>
            <w:r>
              <w:rPr>
                <w:rFonts w:ascii="Arial" w:cs="Arial" w:eastAsia="Arial" w:hAnsi="Arial"/>
                <w:sz w:val="21"/>
                <w:szCs w:val="21"/>
                <w:b w:val="1"/>
                <w:bCs w:val="1"/>
                <w:color w:val="auto"/>
                <w:vertAlign w:val="superscript"/>
              </w:rPr>
              <w:t>(2)</w:t>
            </w:r>
          </w:p>
        </w:tc>
      </w:tr>
      <w:tr>
        <w:trPr>
          <w:trHeight w:val="217"/>
        </w:trPr>
        <w:tc>
          <w:tcPr>
            <w:tcW w:w="4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1,993</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2016</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2,066</w:t>
            </w:r>
          </w:p>
        </w:tc>
        <w:tc>
          <w:tcPr>
            <w:tcW w:w="44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1,652</w:t>
            </w:r>
          </w:p>
        </w:tc>
        <w:tc>
          <w:tcPr>
            <w:tcW w:w="340" w:type="dxa"/>
            <w:vAlign w:val="bottom"/>
          </w:tcPr>
          <w:p>
            <w:pPr>
              <w:spacing w:after="0"/>
              <w:rPr>
                <w:sz w:val="20"/>
                <w:szCs w:val="20"/>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761</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36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1,981</w:t>
            </w:r>
          </w:p>
        </w:tc>
        <w:tc>
          <w:tcPr>
            <w:tcW w:w="44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1,575</w:t>
            </w:r>
          </w:p>
        </w:tc>
        <w:tc>
          <w:tcPr>
            <w:tcW w:w="34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B</w:t>
      </w:r>
      <w:r>
        <w:rPr>
          <w:rFonts w:ascii="Arial" w:cs="Arial" w:eastAsia="Arial" w:hAnsi="Arial"/>
          <w:sz w:val="16"/>
          <w:szCs w:val="16"/>
          <w:color w:val="auto"/>
        </w:rPr>
        <w:t>acklog includes $116.3 million related to Comverge as of December 31, 2017.</w:t>
      </w:r>
    </w:p>
    <w:p>
      <w:pPr>
        <w:spacing w:after="0" w:line="17" w:lineRule="exact"/>
        <w:rPr>
          <w:rFonts w:ascii="Arial" w:cs="Arial" w:eastAsia="Arial" w:hAnsi="Arial"/>
          <w:sz w:val="25"/>
          <w:szCs w:val="25"/>
          <w:color w:val="auto"/>
          <w:vertAlign w:val="superscript"/>
        </w:rPr>
      </w:pPr>
    </w:p>
    <w:p>
      <w:pPr>
        <w:ind w:left="340" w:hanging="332"/>
        <w:spacing w:after="0" w:line="182"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12-month backlog includes $35.1 million related to Comverge as of December 31, 2017.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1,993</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2016</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2,066</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1,013</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486</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1,981</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958</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577</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combination of direct and indirect sales channels in our operating segments. A direct sales force is utilized for large electric, natural gas, and water utilities, with which we have long-established relationships. For smaller utilities, we typically use an indirect sales force that consists of distributors, sales representatives, partners, and meter manufacturer representatives.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single customer represented more than 10% of total revenues for the years ended December 31, 2017, 2016, and 2015. Our 10 largest customers in each of the years ended December 31, 2017, 2016, and 2015, accounted for approximately 33%, 31%, and 22% of total revenues,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require a wide variety of components and materials, which are subject to price and supply fluctuations. We enter into standard purchase orders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perform certain contracts depends on the availability of these materials. Refer to Item 1A: “Risk Factors,” included in this Annual Report on Form 10-K, for further discussion related to supply risks.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manufacturing facilities are located throughout the world, an overview of which is presented in Item 2: “Properties,” included in this Annual Report on Form 10-K. While we manufacture and assemble the majority of our products, we outsource the manufacturing of certain products to various manufacturing partners. This approach allows us to reduce our costs as it reduces our manufacturing overhead and inventory and also allows us to adjust more quickly to changing end-customer demand. These partners assemble our products using design specifications, quality assurance programs, and standards that we establish, and procure components and assemble our products based on demand forecasts. These forecasts represent our estimates of future demand for our products based upon historical trends and analysis from our sales and product management functions, as adjusted for overall market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delivering products and systems to our customers, we may partner with third party vendors to provide hardware, software, or services, e.g., meter installation and communication network equipment and infrastructure. Our ability to perform on our contractual obligations with our customers is dependent on these partners meeting their obligations to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development is focused on both improving existing technology and developing innovative new technology for electricity, natural gas, water and heat meters, sensing and control devices, data collection software, communication technologies, data warehousing, and software applications. We invested approximately $170 million, $168 million, and $162 million in product development in 2017, 2016 and 2015, which represented 8% of total revenues for 2017, 8% of total revenues for 2016 and 9% of total revenues in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had approximately 7,800 people in our workforce, including 6,500 permanent employees. We have not experienced significant employee work stoppages and consider our employee relations to be good.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broad portfolio of products, solutions, software, and services to electric, gas, and water utility customers globally. Consequently, we operate within a large and complex competitive landscape. Some of our competitors have diversified product portfolios and participate in multiple geographic markets, while others focus on specific regional markets and/or certain types of products, including some low-cost suppliers based in China and India. Our competitors in China have an increasing presence in other markets around the world, however, excluding the Asia Pacific region this competition does not represent a major market share in our global operating regions. Our competitors range from small to large established companies. Our primary competitors for each operating segment are discussed below.</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our competitive advantage is based on our in-depth knowledge of the utility industries, our capacity to innovate, our ability to provide complete end-to-end integrated solutions (including metering, network communications, data collection systems, meter data management software, and other metering software applications), our established customer relationships, and our track record of delivering reliable, accurate, and long-lived products and services. Refer to Item 1A: “Risk Factors” included in this Annual Report on Form 10-K for a discussion of the competitive pressures we face.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Electricity</w:t>
      </w:r>
    </w:p>
    <w:p>
      <w:pPr>
        <w:spacing w:after="0" w:line="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We are among the leading global suppliers of electricity metering solutions, including standard meters and smart metering solutions. Within the electricity business line, our primary global competitors include Aclara (Hubbell Inc.), Elster (Honeywell International Inc.), Landis+Gyr, Hexing Electrical Co., Ltd, and historically SSNI. On a regional basis, other major competitors include Sagemcom Energy &amp; Telecom (Charterhouse Capital Partners), Sensus (Xylem, Inc.), Endesa (Enel SpA), and ELO Electronic Systems.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Gas</w:t>
      </w:r>
    </w:p>
    <w:p>
      <w:pPr>
        <w:spacing w:after="0" w:line="2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We are among the leading global suppliers of gas metering solutions, including standard meters and smart metering solutions. Our primary global competitor is Elster (Honeywell International Inc.). On a regional basis, other major competitors include Aclara, Apator, Landis+Gyr, LAO Industria, Pietro Fiorentini, and Sensus (Xylem, Inc.).</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Water</w:t>
      </w:r>
    </w:p>
    <w:p>
      <w:pPr>
        <w:spacing w:after="0" w:line="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We are among the leading global suppliers of standard and smart water meters and communication modules. Our primary global competitors include Diehl Metering (Diehl Stiftung &amp; Co. KG), Elster (Honeywell International Inc.), Sensus (Xylem, Inc.), and Zenner Performance (Zenner International GmbH &amp; Co. KG). On a regional basis, other major competitors include Badger Meter, LAO Industria, Kamstrup Water Metering L.L.C., Neptune Technologies (Roper Technologies, Inc.), Master Meter, Mueller Water Products, and Aclara.</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product development, joint sales and marketing, or access to new geographic markets. Refer to Item 1A: “Risk Factors” included in this Annual Report on Form 10-K for a discussion of risks associated with strategic alliances.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patents and patent applications cover a range of technologies, which relate to standard metering, smart metering solutions and technology, meter data management software, and knowledge application solutions. We also rely on a combination of copyrights, patents,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we are in compliance with environmental laws, rules, and regulations applicable to the operation of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28,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Joan S. Hooper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L. Deitrich</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Shannon M. Votava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shd w:val="clear" w:color="auto" w:fill="CCEEFF"/>
          </w:tcPr>
          <w:p>
            <w:pPr>
              <w:spacing w:after="0"/>
              <w:rPr>
                <w:sz w:val="21"/>
                <w:szCs w:val="21"/>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Philip C. Mezey </w:t>
      </w:r>
      <w:r>
        <w:rPr>
          <w:rFonts w:ascii="Arial" w:cs="Arial" w:eastAsia="Arial" w:hAnsi="Arial"/>
          <w:sz w:val="17"/>
          <w:szCs w:val="17"/>
          <w:color w:val="auto"/>
        </w:rPr>
        <w:t>is President and Chief Executive Officer and a member of our Board of Directors. Mr. Mezey was appointed to his current position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in January 2013. Mr. Mezey joined Itron in March 2003, and in 2007 Mr. Mezey became Senior Vice President and Chief Operating Officer, Itron North America. Mr. Mezey served as President and Chief Operating Officer, Energy from March 2011 through December 2012.</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Joan S. Hooper </w:t>
      </w:r>
      <w:r>
        <w:rPr>
          <w:rFonts w:ascii="Arial" w:cs="Arial" w:eastAsia="Arial" w:hAnsi="Arial"/>
          <w:sz w:val="18"/>
          <w:szCs w:val="18"/>
          <w:color w:val="auto"/>
        </w:rPr>
        <w:t>is Senior Vice President and Chief Financial Officer. Ms. Hooper was appointed to this role in June 2017. Prior to joining Itron, Ms. Hooper</w:t>
      </w:r>
      <w:r>
        <w:rPr>
          <w:rFonts w:ascii="Arial" w:cs="Arial" w:eastAsia="Arial" w:hAnsi="Arial"/>
          <w:sz w:val="18"/>
          <w:szCs w:val="18"/>
          <w:b w:val="1"/>
          <w:bCs w:val="1"/>
          <w:color w:val="auto"/>
        </w:rPr>
        <w:t xml:space="preserve"> </w:t>
      </w:r>
      <w:r>
        <w:rPr>
          <w:rFonts w:ascii="Arial" w:cs="Arial" w:eastAsia="Arial" w:hAnsi="Arial"/>
          <w:sz w:val="18"/>
          <w:szCs w:val="18"/>
          <w:color w:val="auto"/>
        </w:rPr>
        <w:t>was Chief Financial Officer of CHC Helicopter from 2011 to July 2015. Following Ms. Hooper's departure from CHC, CHC filed a voluntary petition of relief under Chapter 11 of the U.S. Bankruptcy Code in May 2016, and CHC emerged from bankruptcy in March 2017. Prior to CHC, she held several finance executive positions at Dell, Inc. from 2003 to 2010, including vice president and CFO for its Global Public and Americas business units, vice president of corporate finance and chief accounting officer.</w:t>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Thomas L. Deitrich </w:t>
      </w:r>
      <w:r>
        <w:rPr>
          <w:rFonts w:ascii="Arial" w:cs="Arial" w:eastAsia="Arial" w:hAnsi="Arial"/>
          <w:sz w:val="16"/>
          <w:szCs w:val="16"/>
          <w:color w:val="auto"/>
        </w:rPr>
        <w:t>is Executive Vice President and Chief Operating Officer. Mr. Deitrich joined Itron in October 2015. From 2012 to September 2015, Mr.</w:t>
      </w:r>
      <w:r>
        <w:rPr>
          <w:rFonts w:ascii="Arial" w:cs="Arial" w:eastAsia="Arial" w:hAnsi="Arial"/>
          <w:sz w:val="16"/>
          <w:szCs w:val="16"/>
          <w:b w:val="1"/>
          <w:bCs w:val="1"/>
          <w:color w:val="auto"/>
        </w:rPr>
        <w:t xml:space="preserve"> </w:t>
      </w:r>
      <w:r>
        <w:rPr>
          <w:rFonts w:ascii="Arial" w:cs="Arial" w:eastAsia="Arial" w:hAnsi="Arial"/>
          <w:sz w:val="16"/>
          <w:szCs w:val="16"/>
          <w:color w:val="auto"/>
        </w:rPr>
        <w:t>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and has been so since joining Itron in February 2014. From 2008 to 2012, Mr. Cadieux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Human Resources and Security at Freescale Semiconductor, Inc.</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Shannon M. Votava </w:t>
      </w:r>
      <w:r>
        <w:rPr>
          <w:rFonts w:ascii="Arial" w:cs="Arial" w:eastAsia="Arial" w:hAnsi="Arial"/>
          <w:sz w:val="16"/>
          <w:szCs w:val="16"/>
          <w:color w:val="auto"/>
        </w:rPr>
        <w:t>is Senior Vice President, General Counsel and Corporate Secretary. Ms. Votava was promoted to this role in March 2016. Ms. Votava</w:t>
      </w:r>
      <w:r>
        <w:rPr>
          <w:rFonts w:ascii="Arial" w:cs="Arial" w:eastAsia="Arial" w:hAnsi="Arial"/>
          <w:sz w:val="16"/>
          <w:szCs w:val="16"/>
          <w:b w:val="1"/>
          <w:bCs w:val="1"/>
          <w:color w:val="auto"/>
        </w:rPr>
        <w:t xml:space="preserve"> </w:t>
      </w:r>
      <w:r>
        <w:rPr>
          <w:rFonts w:ascii="Arial" w:cs="Arial" w:eastAsia="Arial" w:hAnsi="Arial"/>
          <w:sz w:val="16"/>
          <w:szCs w:val="16"/>
          <w:color w:val="auto"/>
        </w:rPr>
        <w:t>joined Itron in May 2010 as Assistant General Counsel and was promoted to Vice President and General Counsel in January 2012. She assumed the responsibilities of Corporate Secretary in January 2013. Before joining Itron, Ms. Votava served as Associate General Counsel, Commercial at Cooper Industries plc from October 2008 to April 2010, and as General Counsel for Honeywell's Electronic Materials business from 2003 to 2008.</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competitive products.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success will depend, in part, on our ability to continue to design and manufacture competitive products, and to enhance and sustain our existing products, keep pace with technological advances and changing customer requirements, gain international market acceptance, and manage other factors in the markets in which we sell our products. Product development will require continued investment in order to maintain our competitive position, and the periods in which we incur significant product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product development schedules. New products often require certifications or regulatory approvals before the products can be used and we cannot be certain that our new products will be approved in a timely manner. Finally, we may not achieve market acceptance of our new products and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utility industry is subject to substantial government regulation. Regulations have often influenced the frequency of meter replacements. Sales cycles for standalone meter products have typically been based on annual or biennial bid-based agreements. Utilities place purchase orders against these agreements as their inventories decline, which can create fluctuations in our sales volumes.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Some of these contracts contain long-term commitments to a set schedule of delivery or performance. If we failed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Further, we could be required to recognize a current-period reduction of revenue related to a specific component of a customer contract at the time we determine the products and/or services to be delivered under that component would result in a loss due to expected revenues estimated to be less than expected costs. Depending on the amounts of the associated revenues (if any) and the costs, this charge could be material to our results of operations in the period it is recognized.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 strategic partners, and other third parties.</w:t>
      </w:r>
    </w:p>
    <w:p>
      <w:pPr>
        <w:spacing w:after="0" w:line="3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of our products, subassemblies, and system components including most of our circuit boards are procured from limited or sole sources. We cannot be certain that we will not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component or material shortages, cost increases or other similar problems. Further, in order to minimize their inventory risk, our manufacturers might not order components from third-party suppliers with adequate lead time, thereby impacting our ability to meet our demand forecast. Therefore, if we fail to manage our relationship with our manufacturers effectively, or if they experience operational difficulties, our ability to ship products to our customers and distributors could be impaired and our competitive position and reputation could be harmed. In the event that we receive shipments of products that fail to comply with our technical specifications or that fail to conform to our quality control standards, and we are not able to obtain replacement products in a timely manner, we risk revenue losses from the inability to sell those products, increased administrative and shipping costs, and lower profitability. Additionally, if defects are not discovered until after consumers purchase our products, they could lose confidence in the technical attributes of our products and our business could be harmed. Although arrangements with these partners may contain provisions for warranty expense reimbursement, we may remain responsible to the consumer for warranty service in the event of product defects and could experience an unanticipated product defect or warranty liability. While the Company relies on its partners to adhere to its supplier code of conduct, material violations of the supplier code of conduct could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increasing 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In addition, there is a risk that low-cost providers will expand their presence in our markets, improve their quality, or form alliances or cooperative relationships with our competitors, thereby contributing to future price erosion. Some of our products and services may become commoditized, and we may have to adjust the prices of some of our products to stay competitive. Further, some utilities may purchase meters separately from the communication devices. The specifications for such meters may require interchangeability, which could lead to further commoditization of the meter, driving prices lower and reducing margins. Should we fail to compete successfully with current or future competitors, we could experience material adverse effects on our business, financial condition, results of operations, and cash flows.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current and expected level and terms of indebtedness could adversely affect our ability to raise additional capital to fund our operations and take advantage of new business opportunities and prevent us from meeting our obligations under our debt instruments, and our ability to service our indebtedness is dependent on our ability to generate cash, which is influenced by many factors beyond our control.</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we issued $300 million aggregate principal amount of 5.00% senior notes due 2026 (December Notes). The December Notes were issued pursuant to an indenture, dated as of December 22, 2017 (Indenture), among Itron, the guarantors from time to time party thereto and U.S. Bank National Association, as trustee. The December Notes formed part of the financing of the merger consideration for the acquisition of Silver Spring Networks, Inc. (SSNI) by Itron (SSNI Acquisition). On January 19, 2018, we issued an additional $100 million aggregate principal amount of 5.00% senior notes due 2026 pursuant to the Indenture (January Notes). The proceeds from the January Notes were used to refinance existing indebtedness related to the SSNI Acquisition, pay related fees and expenses, and for general corporate purposes.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5, 2018, we entered into a credit agreement providing for committed credit facilities in the amount of $1.15 billion (the 2018 credit facility). The 2018 credit facility consists of a U.S. dollar term loan in the amount of $650 million and a multicurrency revolving credit facility in the committed amount of $500 million. The 2018 credit facility amended and restated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its entirety our amended and restated credit agreement dated June 23, 2015 and replaced committed facilities in the amount of $725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substantial indebtedness incurred in December and January could have </w:t>
      </w:r>
      <w:r>
        <w:rPr>
          <w:rFonts w:ascii="Arial" w:cs="Arial" w:eastAsia="Arial" w:hAnsi="Arial"/>
          <w:sz w:val="18"/>
          <w:szCs w:val="18"/>
          <w:color w:val="231F20"/>
        </w:rPr>
        <w:t>important consequences to us,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63" w:lineRule="exact"/>
        <w:rPr>
          <w:rFonts w:ascii="Arial" w:cs="Arial" w:eastAsia="Arial" w:hAnsi="Arial"/>
          <w:sz w:val="18"/>
          <w:szCs w:val="18"/>
          <w:color w:val="auto"/>
        </w:rPr>
      </w:pPr>
    </w:p>
    <w:p>
      <w:pPr>
        <w:ind w:left="660" w:hanging="328"/>
        <w:spacing w:after="0" w:line="31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requiring a substantial portion of our cash flow used in operations to be dedicated to the payment of principal and interest on our indebtedness, therefore reducing our liquidity and our ability to use our cash flow to fund our operations, capital expenditures and future business opportunities;</w:t>
      </w: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and corresponding increased interest expense, as borrowings under the 2018 credit facility would be at variable rates of interest;</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adjust to changing marketplace conditions and placing us at a competitive disadvantage compared with our competitors who may have less debt.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scheduled payments on and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and capital markets. We cannot assure you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meet our debt service obligations or to fund our other liquidity needs, we will need to restructure or refinance all or a portion of our debt which could cause us to default on our debt obligations and impair our liquidity. Our ability to restructure or refinance our debt will depend on the condition of the capital markets and our financial condition at such time. Even if refinancing indebtedness is available, any refinancing of our indebtedness could be at higher interest rates and may require us to comply with more onerous covenants that could further restrict our business operations.</w:t>
      </w:r>
    </w:p>
    <w:p>
      <w:pPr>
        <w:spacing w:after="0" w:line="1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2018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2018 credit facility, we would be in default thereunder. Such lenders could exercise their rights, as described above, and we could be forced into bankruptcy or liquidation.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variable rate indebtedness subjects us to interest rate risk, which could cause our debt service obligations to increase significantly.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2018 credit facility will bear, and other indebtedness we may incur in the future may bear, interest at a variable rate. As a result, at any given time interest rates on the 2018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and may institute derivative instruments to manage such risk in the future, these instruments could be ineffective at mitigating all or a part of our risk, including changes to the applicable margin under our 2018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2018 credit facility and Senior Notes limit our ability and the ability of many of our subsidiaries to take certain 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2018 credit facility and Senior Notes place restrictions on our ability, and the ability of many of our subsidiaries, dependent on meeting specified financial ratios, to, among other things: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incur more debt;</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w w:val="91"/>
              </w:rPr>
              <w:t>•  pay dividends, make distributions, and repurchase capital stock;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make certain investments;</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create liens;</w:t>
            </w: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rPr>
              <w:t>•  enter into sale lease-back transactions;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merge or consolidate;</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transfer or sell assets.</w:t>
            </w:r>
          </w:p>
        </w:tc>
      </w:tr>
      <w:tr>
        <w:trPr>
          <w:trHeight w:val="729"/>
        </w:trPr>
        <w:tc>
          <w:tcPr>
            <w:tcW w:w="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00" w:type="dxa"/>
            <w:vAlign w:val="bottom"/>
          </w:tcPr>
          <w:p>
            <w:pPr>
              <w:jc w:val="right"/>
              <w:ind w:right="365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2018 credit facility contain other customary covenants, including the requirement to meet specified financial ratios and provide periodic financial reporting. Our ability to borrow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2018 credit facility, the lenders may be permitted to foreclose on our assets securing that indebtedness. 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Despite our current level of indebtedness, we may be able to incur substantially more debt and enter into other transactions which could further exacerbate the risks to our financial condition described above.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We may be able to incur significant additional indebtedness in the future. Although the credit agreement that currently governs our 2018 credit facility, the Senior Notes, and other debt instruments contain restrictions on the incurrence of additional indebtedness and entering into certain types of other transactions, these restrictions are subject to a number of qualifications and exceptions. Additional indebtedness incurred in compliance with these restrictions could be substantial. These restrictions also do not prevent us from incurring obligations, such as certain trade payables that do not constitute indebtedness as defined under our debt instruments. To the extent we incur additional indebtedness or other obligations, the risks described in the immediately preceding risk factor and others described herein may increase.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have risks.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complete acquisitions or make investments in the future, both within and outside of the United States. Acquisitions and investments involve numerous risks such as the diversion of senior management’s attention; unsuccessful integration of the acquired entity’s personnel, operations, technologies, and products; incurrence of significant expenses to meet an acquiree's customer contractual commitments; lack of market acceptance of new services and technologies; or difficulties in operating businesses in international legal jurisdictions. Failure to adequately address these issues could result in the diversion of resources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adverse publicity, consumer or political opposition, or liability associated with our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safety and security of the power grid and natural gas and water supply systems,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Unfavorable publicity and consumer opposition may cause utilities or their regulators to delay or modify planned smart grid initiatives. Smart grid projects may be, or may be perceived as, unsuccessful.</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We may incur additional warranty expenses in the future with respect to new or established products, which could materially and adversely affect our operations and financial position.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valuation allowances, and unanticipated tax liabilities could adversely affect our effective income tax rate and profitability.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all of these matters to determine the adequacy of our tax provision, which is subject to significant judgment.</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Organization for Economic Cooperation and Development guidance under the Base Erosion and Profit Shifting (BEPS) initiatives aim to minimize perceived tax abuses and modernize global tax policy. More countries are beginning to implement legislative changes based on these BEPS recommendations.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22, 2017, the United States enacted comprehensive tax reform commonly referred to as the Tax Cuts and Jobs Act (Tax Act). The Tax Act makes significant changes to the way the U.S. taxes corporations. Although we are currently evaluating the impact of the Tax Act on our business, significant uncertainty exists with respect to how the Tax Act will affect our business. Some of this uncertainty will not be resolved until clarifying Treasury regulations are promulgated or other relevant authoritative guidance is published. These include modifying the rules regarding limitations on certain deductions for executive compensation, introducing a capital investment deduction in certain circumstances, placing certain limitations on the interest deduction, modifying the rules regarding the usability of certain net operating losses, implementing a minimum tax on the global intangible low-taxed income of a “United States shareholder” of a “controlled foreign corporation,” modifying certain rules applicable to United States shareholders of controlled foreign corporations, imposing a deemed repatriation tax on certain earnings and adding certain anti-base erosion rules. It is possible that the application of these new rules may have a material and adverse impact on our consolidated results of operations, financial position, cash flows, and related financial statement disclosures.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unfavorable implications of such events for the global economy, may unfavorably impact our business, liquidity, operating results, and financial condition.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an unfavorable impact on the global economy and our business, liquidity,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engage in future restructuring activities and incur additional charges in our efforts to improve profitability. We also may not achieve the anticipated savings and benefits from current or any future restructuring projects.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implemented multiple restructuring projects to adjust our cost structure, and we may engage in similar restructuring activities in the future. These restructuring activities reduce our available employee talent, assets, and other resources, which could slow product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changes in governmental policies, or failure to meet targeted improvements could change the timing or reduce the overall savings realized from the restructuring project.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encounter strikes or other labor disruptions that could adversely affect our financial condition and results of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significant inventory, intangible assets, long-lived assets, and goodwill that are susceptible to valuation adjustments as a result of changes in various factors or conditions, which could impact our results of operations or and financial condition. Factors that could trigger an impairment of such assets include the following:</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 in the net realizable value of inventory which becomes obsolete or exceeds anticipated demand;</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industry or economic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financial condition, and cash flows.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involved in litigation that arises from our business. In addition, these entities may bring claims against our customers, which, in some instances, could result in an indemnification of the customer. Litigation may also relate to, among other things, product failure or product liability claims, contractual disputes, employment matters, or securities litigation. Litigation can be expensive to defend and can divert the attention of management and other personnel for long periods of time, regardless of the ultimate outcome. We may be required to pay damage awards or settlements or become subject to equitable remedies that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adversely affect our financial condition and results of operations. While we currently maintain insurance coverage, such insurance may not provide adequate coverage against potential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 party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the availability and regulation of radio spectrum and interference with the radio spectrum that we use.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smart metering solutions are typically Part 15 devices that transmit information to (and receive information from, if applicable) handheld, mobile, or fixed network systems pursuant to these rules.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from selling our products in those countries. In addition, new consumer products may create interference with the performance of our products, which could lead to claims against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in large part on the efforts of our highly qualified technical and management personnel and highly skilled individuals in all disciplines. The loss of one or more of these employees and the inability to attract and retain qualified replacements could have a material adverse effect on our business. Specifically, uncertainty among Itron's employees about their future roles after the completion of the SSNI Acquisition may impair Itron's ability to attr</w:t>
      </w:r>
      <w:r>
        <w:rPr>
          <w:rFonts w:ascii="Arial" w:cs="Arial" w:eastAsia="Arial" w:hAnsi="Arial"/>
          <w:sz w:val="18"/>
          <w:szCs w:val="18"/>
          <w:color w:val="231F20"/>
        </w:rPr>
        <w:t>act,</w:t>
      </w:r>
      <w:r>
        <w:rPr>
          <w:rFonts w:ascii="Arial" w:cs="Arial" w:eastAsia="Arial" w:hAnsi="Arial"/>
          <w:sz w:val="18"/>
          <w:szCs w:val="18"/>
          <w:color w:val="auto"/>
        </w:rPr>
        <w:t xml:space="preserve"> </w:t>
      </w:r>
      <w:r>
        <w:rPr>
          <w:rFonts w:ascii="Arial" w:cs="Arial" w:eastAsia="Arial" w:hAnsi="Arial"/>
          <w:sz w:val="18"/>
          <w:szCs w:val="18"/>
          <w:color w:val="231F20"/>
        </w:rPr>
        <w:t>retain and motivate key personnel. In addition, some of SSNI's key employees may consider career changes due to uncertainty about their employment, distracting them from performing their duties to Itron.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are unable to protect our information technology infrastructure and network against data corruption, cyber-based attacks or network security breaches, we could be exposed to customer liability and reputational risk.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various information technology systems to capture, process, store, and report data and interact with customers, vendors, and employees. Despite security steps we have taken to secure all information and transactions, our information technology systems, and those of our third-party providers, may be subject to cyber attacks. Any data breaches could result in misappropriation of data or disruption of operations. In addition, hardware and operating system software and applications that we procure from third parties may contain defects in design or manufacture that could interfere with the operation of the systems. Misuse of internal applications; theft of intellectual property, trade secrets, or other corporate assets; and inappropriate disclosure of confidential information could stem from such incidents.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have designed products and services that connect to and are part of the “Internet of Things.” While we attempt to provide adequate security measures to safeguard our products from cyber attacks, the potential for an attack remains. A successful attack may result in inappropriate access to information or an inability for our products to function properly.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operational disruption and/or misappropriation of information could result in lost sales, unfavorable publicity, or business delays and could have a material adverse effect on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product development or experience other operational difficulties.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completing a phased upgrade of our primary enterprise resource planning (ERP) systems to allow for greater depth and breadth of functionality worldwide. System conversions are expensive and time consuming undertakings that impact all areas of the Company. While successful implementations of each phase will provide many benefits to us, an unsuccessful or delayed implementation of any particular phase may cost us significant time and resources.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2018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 and guidance could result in unfavorable accounting charges or effects.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prepare our consolidated financial statements in accordance with GAAP. These principles are subject to interpretation by the Securities and Exchange Commission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 For example, in May 2014, the Financial Accounting Standards Board (FASB) issued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to supersede nearly all existing revenue recognition guidance under GAAP. We adopted this standard effective January 1, 2018 using the cumulative catch-up transition method, and therefore, will recognize the cumulative effect of initially applying the revenue standard as an adjustment to the opening balance of retained earnings in the period of initial application. While we are finalizing the assessment of the impact of adoption we currently believe the most significant impact relates to our accounting for software and software-related elements, and the increased financial statement disclosures, but are continuing to evaluate the effect that the updated standard will have on our consolidated results of operations, financial position, cash flows, and related financial statement disclosures. Depending on the outcome of these evaluations for us and acquisition targets and the potential issuance of further accounting pronouncements, implementation guidelines, and interpretations, we may be required to modify our reported results, revenue recognition policies, or business practices, which could have a material adverse effect on our business, financial condition, or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prevent fraud, or maintain investor confidence.</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design and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 Our acquisition of SSNI will be subject to this risk as they are an emerging growth company, as defined in the Jumpstart Our Business Startups Act of 2012, and have chosen to be exempt from complying with the internal control over financial reporting auditor attestation requirements of Section 404(b) of the Sarbanes-Oxley Act.</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confidence in our reported financial information, which could have an unfavorable effect on the trading price of our stock and our access to capital.</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SSNI had identified a material weakness in their internal control over financial reporting. If this material weakness is not deemed to be remediated or if additional SSNI related material weaknesses are identified in the future, our business, results of operations and investors’ confidence in us could be materially affected.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SSNI identified a material weakness in internal control over financial reporting, as reported in their consolidated financial statements for the period ended December 31, 2016, which was not remediated as of their last filed Form 10-Q related to September 30, 2017. Specifically, they determined that the design and operation of controls related to revenue recognition were inadequate. Although SSNI management has implemented a remediation plan to address this material weakness, they provide no assurance that testing of the remediation efforts will conclude they were successful and their controls are effective. If we are required to continue remediation efforts, or if additional SSNI related material weaknesses are identified in the future this could result in financial reporting delays, increased costs, cause investors to lose confidence, require us to divert substantial resources, and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Regulations related to “conflict minerals” may force us to incur additional expenses, may result in damage to our business reputation, and may adversely impact our ability to conduct our business.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2012, under the Dodd-Frank Wall Street Reform and Consumer Protection Act of 2010, the SEC adopted requirements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or not such metals originated from the Democratic Republic of Congo or adjoining countries and required due diligence efforts. There may be increased costs associated with complying with these disclosure requirements, including for diligence to determine the sources of conflict minerals used in our products and related components,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own our headquarters facility, which is located in Liberty Lake, Washington.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major manufacturing facilities by the location and product line.</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60" w:type="dxa"/>
            <w:vAlign w:val="bottom"/>
            <w:tcBorders>
              <w:right w:val="single" w:sz="8" w:color="auto"/>
            </w:tcBorders>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4780" w:type="dxa"/>
            <w:vAlign w:val="bottom"/>
            <w:tcBorders>
              <w:top w:val="single" w:sz="8" w:color="auto"/>
            </w:tcBorders>
            <w:gridSpan w:val="2"/>
          </w:tcPr>
          <w:p>
            <w:pPr>
              <w:ind w:left="1880"/>
              <w:spacing w:after="0"/>
              <w:rPr>
                <w:sz w:val="20"/>
                <w:szCs w:val="20"/>
                <w:color w:val="auto"/>
              </w:rPr>
            </w:pPr>
            <w:r>
              <w:rPr>
                <w:rFonts w:ascii="Arial" w:cs="Arial" w:eastAsia="Arial" w:hAnsi="Arial"/>
                <w:sz w:val="18"/>
                <w:szCs w:val="18"/>
                <w:b w:val="1"/>
                <w:bCs w:val="1"/>
                <w:color w:val="auto"/>
              </w:rPr>
              <w:t>Product Line</w:t>
            </w:r>
          </w:p>
        </w:tc>
        <w:tc>
          <w:tcPr>
            <w:tcW w:w="24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Region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Electricity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Gas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Water</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Multiple Product Lines</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North America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Waseca, MN - G,W (L)</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Oconee, SC - E, G (O)</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Chasseneuil, France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Argenteuil, France (L)</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Massy, France (L)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Godollo, Hungary -</w:t>
            </w:r>
          </w:p>
        </w:tc>
        <w:tc>
          <w:tcPr>
            <w:tcW w:w="0" w:type="dxa"/>
            <w:vAlign w:val="bottom"/>
          </w:tcPr>
          <w:p>
            <w:pPr>
              <w:spacing w:after="0"/>
              <w:rPr>
                <w:sz w:val="1"/>
                <w:szCs w:val="1"/>
                <w:color w:val="auto"/>
              </w:rPr>
            </w:pPr>
          </w:p>
        </w:tc>
      </w:tr>
      <w:tr>
        <w:trPr>
          <w:trHeight w:val="306"/>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Europe, Middle East,</w:t>
            </w:r>
          </w:p>
        </w:tc>
        <w:tc>
          <w:tcPr>
            <w:tcW w:w="24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Reims, France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Macon, France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 G, W (O)</w:t>
            </w:r>
          </w:p>
        </w:tc>
        <w:tc>
          <w:tcPr>
            <w:tcW w:w="0" w:type="dxa"/>
            <w:vAlign w:val="bottom"/>
          </w:tcPr>
          <w:p>
            <w:pPr>
              <w:spacing w:after="0"/>
              <w:rPr>
                <w:sz w:val="1"/>
                <w:szCs w:val="1"/>
                <w:color w:val="auto"/>
              </w:rPr>
            </w:pPr>
          </w:p>
        </w:tc>
      </w:tr>
      <w:tr>
        <w:trPr>
          <w:trHeight w:val="234"/>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and Africa</w:t>
            </w:r>
          </w:p>
        </w:tc>
        <w:tc>
          <w:tcPr>
            <w:tcW w:w="24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Karlsruhe, Germany (O)</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Oldenburg, Germany (O)</w:t>
            </w:r>
          </w:p>
        </w:tc>
        <w:tc>
          <w:tcPr>
            <w:tcW w:w="2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Asti, Italy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Asia/Pacific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Wujiang, China (L)</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Suzhou, China (L)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Bekasi, Indonesia - E,W (O)</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Dehradun, India (L)</w:t>
            </w:r>
          </w:p>
        </w:tc>
        <w:tc>
          <w:tcPr>
            <w:tcW w:w="2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vMerge w:val="continue"/>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Latin America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Americana, Brazil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Manufacturing facility is owned</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Manufacturing facility is leased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 - Electricity manufacturing facility, G - Gas manufacturing facility, W - Water manufacturing facility</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properties are in good condition, and we believe our current facilities are sufficient to support our operations. Our major manufacturing facilities are owned, while smaller factories are typically leased.</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our manufacturing facilities, we have numerous sales offices, product development facilities, and distribution centers, which are located throughout the world.</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40"/>
          </w:cols>
          <w:pgMar w:left="240" w:top="125" w:right="2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106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2017 and 2016 as reported by the NASDAQ Global Select Market.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89"/>
              </w:rPr>
              <w:t>2017</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89"/>
              </w:rPr>
              <w:t>2016</w:t>
            </w:r>
          </w:p>
        </w:tc>
        <w:tc>
          <w:tcPr>
            <w:tcW w:w="12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Arial" w:cs="Arial" w:eastAsia="Arial" w:hAnsi="Arial"/>
                <w:sz w:val="16"/>
                <w:szCs w:val="16"/>
                <w:b w:val="1"/>
                <w:bCs w:val="1"/>
                <w:color w:val="auto"/>
              </w:rPr>
              <w:t>Low</w:t>
            </w:r>
          </w:p>
        </w:tc>
        <w:tc>
          <w:tcPr>
            <w:tcW w:w="380" w:type="dxa"/>
            <w:vAlign w:val="bottom"/>
          </w:tcPr>
          <w:p>
            <w:pPr>
              <w:spacing w:after="0"/>
              <w:rPr>
                <w:sz w:val="20"/>
                <w:szCs w:val="20"/>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619"/>
              <w:spacing w:after="0"/>
              <w:rPr>
                <w:sz w:val="20"/>
                <w:szCs w:val="20"/>
                <w:color w:val="auto"/>
              </w:rPr>
            </w:pPr>
            <w:r>
              <w:rPr>
                <w:rFonts w:ascii="Arial" w:cs="Arial" w:eastAsia="Arial" w:hAnsi="Arial"/>
                <w:sz w:val="16"/>
                <w:szCs w:val="16"/>
                <w:b w:val="1"/>
                <w:bCs w:val="1"/>
                <w:color w:val="auto"/>
              </w:rPr>
              <w:t>Low</w:t>
            </w:r>
          </w:p>
        </w:tc>
      </w:tr>
      <w:tr>
        <w:trPr>
          <w:trHeight w:val="33"/>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30.31</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71.10</w:t>
            </w:r>
          </w:p>
        </w:tc>
        <w:tc>
          <w:tcPr>
            <w:tcW w:w="6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59.15</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45.51</w:t>
            </w: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39.78</w:t>
            </w: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77.45</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79.40</w:t>
            </w:r>
          </w:p>
        </w:tc>
        <w:tc>
          <w:tcPr>
            <w:tcW w:w="6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63.90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65.75</w:t>
            </w: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51.90</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2017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83185</wp:posOffset>
            </wp:positionV>
            <wp:extent cx="5711190" cy="4288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4420"/>
        <w:spacing w:after="0" w:line="277" w:lineRule="auto"/>
        <w:tabs>
          <w:tab w:leader="none" w:pos="1115"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invested on 12/31/12 in stock or index, including reinvestment of dividends. Fiscal years ending December 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2012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Each year, we reassess our peer group to identify global companies that are either direct competitors or have similar industry and business operating characteristics. Our 2016 peer group includes the following publicly traded companies: Badger Meter, Inc., Echelon Corporation, National Instruments Corporation, Roper Technologies, Inc., and Silver Spring Networks, Inc. (SSNI). Our 2017 peer group includes the following publicly traded companies: Badger Meter, Inc., Echelon Corporation, Landis+Gyr, National Instruments Corporation, and Roper Technologies, Inc. The 2017 peer group was created as a result of our acquisition of SSNI and to add Landis+Gyr as a peer after they became publicly traded in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shares of our common stock were repurchased during the quarter ended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2018, there were 203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consolidated financial data below is derived from our consolidated financial statements. Information included in the table below from fiscal years 2015 through 2017 Consolidated Statements of Operations and Consolidated Statements of Cash Flows, and the Consolidated Balance Sheets for 2016 and 2017, have been audited by an independent registered public accounting firm.</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selected consolidated financial and other data represent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(6)</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b w:val="1"/>
                <w:bCs w:val="1"/>
                <w:color w:val="auto"/>
                <w:vertAlign w:val="superscript"/>
              </w:rPr>
              <w:t>(3)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2,018,197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2,013,186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1,883,533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1,947,616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1,938,025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1,343,043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1,352,866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1,326,848</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1,333,566</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1,323,257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675,154</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660,320</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556,685</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614,050</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614,768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151,426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96,211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52,846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(139,863)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57,298</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31,770</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12,678</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(23,670)</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(153,153)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0.83</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0.82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0.33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38,655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38,207</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38,224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39,184</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39,387</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38,643</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38,506</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39,184</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39,281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Sheets Data</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341,959</w:t>
            </w:r>
          </w:p>
        </w:tc>
        <w:tc>
          <w:tcPr>
            <w:tcW w:w="3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319,420</w:t>
            </w:r>
          </w:p>
        </w:tc>
        <w:tc>
          <w:tcPr>
            <w:tcW w:w="3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281,166</w:t>
            </w:r>
          </w:p>
        </w:tc>
        <w:tc>
          <w:tcPr>
            <w:tcW w:w="3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262,393</w:t>
            </w:r>
          </w:p>
        </w:tc>
        <w:tc>
          <w:tcPr>
            <w:tcW w:w="3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338,476</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vMerge w:val="continue"/>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vMerge w:val="continue"/>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320" w:type="dxa"/>
            <w:vAlign w:val="bottom"/>
            <w:tcBorders>
              <w:bottom w:val="single" w:sz="8" w:color="CCEEFF"/>
            </w:tcBorders>
            <w:vMerge w:val="continue"/>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(5)</w:t>
            </w:r>
          </w:p>
        </w:tc>
        <w:tc>
          <w:tcPr>
            <w:tcW w:w="2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2,106,147</w:t>
            </w:r>
          </w:p>
        </w:tc>
        <w:tc>
          <w:tcPr>
            <w:tcW w:w="34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1,577,811</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1,680,316</w:t>
            </w:r>
          </w:p>
        </w:tc>
        <w:tc>
          <w:tcPr>
            <w:tcW w:w="34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1,751,085</w:t>
            </w:r>
          </w:p>
        </w:tc>
        <w:tc>
          <w:tcPr>
            <w:tcW w:w="3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1,906,025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Total debt, net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613,260</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304,523</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370,165</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323,307</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377,596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Itron, Inc. shareholders' equity</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786,416</w:t>
            </w:r>
          </w:p>
        </w:tc>
        <w:tc>
          <w:tcPr>
            <w:tcW w:w="3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631,604</w:t>
            </w:r>
          </w:p>
        </w:tc>
        <w:tc>
          <w:tcPr>
            <w:tcW w:w="3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604,758</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681,001</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839,011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191,354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115,842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73,350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132,973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(148,179)</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(47,528)</w:t>
            </w: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(48,951)</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(41,496)</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(56,771)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301,959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(63,023)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7,740</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(91,877)</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(49,495)</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(43,543)</w:t>
            </w: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(43,918)</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(44,495)</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(60,020)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Working capital represents current assets less current liabilities.</w:t>
      </w:r>
    </w:p>
    <w:p>
      <w:pPr>
        <w:spacing w:after="0" w:line="90"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During 2013, we incurred a goodwill impairment charge of $174.2 million. In addition, we incurred costs of $36.3 million in 2013 related to restructuring projects to increase efficiency.</w:t>
      </w:r>
    </w:p>
    <w:p>
      <w:pPr>
        <w:spacing w:after="0" w:line="44"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During 2014, we incurred costs of $49.5 million related to restructuring projects to improve operational efficiencies and reduce expenses.</w:t>
      </w:r>
    </w:p>
    <w:p>
      <w:pPr>
        <w:spacing w:after="0" w:line="90" w:lineRule="exact"/>
        <w:rPr>
          <w:rFonts w:ascii="Arial" w:cs="Arial" w:eastAsia="Arial" w:hAnsi="Arial"/>
          <w:sz w:val="22"/>
          <w:szCs w:val="22"/>
          <w:color w:val="auto"/>
          <w:vertAlign w:val="superscript"/>
        </w:rPr>
      </w:pPr>
    </w:p>
    <w:p>
      <w:pPr>
        <w:jc w:val="both"/>
        <w:ind w:left="340" w:right="20" w:hanging="332"/>
        <w:spacing w:after="0" w:line="225"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During 2016, we incurred costs of $49.1 million related to restructuring projects to restructure various company activities in order to improve operational efficiencies, reduce expenses and improve competiveness. Refer to Item 8: “Financial Statements and Supplementary Data, Note 13: Restructuring” included in this Annual Report on Form 10-K for further disclosures regarding the restructuring charges.</w:t>
      </w:r>
    </w:p>
    <w:p>
      <w:pPr>
        <w:spacing w:after="0" w:line="5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 xml:space="preserve">Total assets and total debt for all periods presented were adjusted for the adoption of Accounting Standards Update 2015-03, </w:t>
      </w:r>
      <w:r>
        <w:rPr>
          <w:rFonts w:ascii="Arial" w:cs="Arial" w:eastAsia="Arial" w:hAnsi="Arial"/>
          <w:sz w:val="15"/>
          <w:szCs w:val="15"/>
          <w:i w:val="1"/>
          <w:iCs w:val="1"/>
          <w:color w:val="auto"/>
        </w:rPr>
        <w:t>Interest - Imputation of Interest</w:t>
      </w:r>
      <w:r>
        <w:rPr>
          <w:rFonts w:ascii="Arial" w:cs="Arial" w:eastAsia="Arial" w:hAnsi="Arial"/>
          <w:sz w:val="15"/>
          <w:szCs w:val="15"/>
          <w:color w:val="auto"/>
        </w:rPr>
        <w:t>.</w:t>
      </w:r>
    </w:p>
    <w:p>
      <w:pPr>
        <w:spacing w:after="0" w:line="90" w:lineRule="exact"/>
        <w:rPr>
          <w:rFonts w:ascii="Arial" w:cs="Arial" w:eastAsia="Arial" w:hAnsi="Arial"/>
          <w:sz w:val="21"/>
          <w:szCs w:val="21"/>
          <w:color w:val="auto"/>
          <w:vertAlign w:val="superscript"/>
        </w:rPr>
      </w:pPr>
    </w:p>
    <w:p>
      <w:pPr>
        <w:jc w:val="both"/>
        <w:ind w:left="340" w:hanging="332"/>
        <w:spacing w:after="0" w:line="225"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 xml:space="preserve">During 2017, cash used in investing activities included $100 million paid for </w:t>
      </w:r>
      <w:r>
        <w:rPr>
          <w:rFonts w:ascii="Arial" w:cs="Arial" w:eastAsia="Arial" w:hAnsi="Arial"/>
          <w:sz w:val="16"/>
          <w:szCs w:val="16"/>
          <w:color w:val="222222"/>
        </w:rPr>
        <w:t>the acquisition of Comverge by purchasing the stock of its parent, Peak Holding Corp. In</w:t>
      </w:r>
      <w:r>
        <w:rPr>
          <w:rFonts w:ascii="Arial" w:cs="Arial" w:eastAsia="Arial" w:hAnsi="Arial"/>
          <w:sz w:val="16"/>
          <w:szCs w:val="16"/>
          <w:color w:val="auto"/>
        </w:rPr>
        <w:t xml:space="preserve"> </w:t>
      </w:r>
      <w:r>
        <w:rPr>
          <w:rFonts w:ascii="Arial" w:cs="Arial" w:eastAsia="Arial" w:hAnsi="Arial"/>
          <w:sz w:val="16"/>
          <w:szCs w:val="16"/>
          <w:color w:val="222222"/>
        </w:rPr>
        <w:t xml:space="preserve">addition, cash provided by financing activities included the issuance </w:t>
      </w:r>
      <w:r>
        <w:rPr>
          <w:rFonts w:ascii="Arial" w:cs="Arial" w:eastAsia="Arial" w:hAnsi="Arial"/>
          <w:sz w:val="16"/>
          <w:szCs w:val="16"/>
          <w:color w:val="000000"/>
        </w:rPr>
        <w:t>of $300 million of senior notes as part of the financing of the acquisition of Silver Spring Networks,</w:t>
      </w:r>
      <w:r>
        <w:rPr>
          <w:rFonts w:ascii="Arial" w:cs="Arial" w:eastAsia="Arial" w:hAnsi="Arial"/>
          <w:sz w:val="16"/>
          <w:szCs w:val="16"/>
          <w:color w:val="222222"/>
        </w:rPr>
        <w:t xml:space="preserve"> </w:t>
      </w:r>
      <w:r>
        <w:rPr>
          <w:rFonts w:ascii="Arial" w:cs="Arial" w:eastAsia="Arial" w:hAnsi="Arial"/>
          <w:sz w:val="16"/>
          <w:szCs w:val="16"/>
          <w:color w:val="000000"/>
        </w:rPr>
        <w:t>Inc.</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 included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 We operate under the Itron brand worldwide and manage and report under three operating segments: Electricity, Gas, and Water. Our Water operating segment includes our global water, and heat and allocation solutions. This structure allows each segment to develop its own go-to-market strategy, prioritize its marketing and product development requirements, and focus on its strategic investments. Our sales and marketing functions are managed under each segment. Our product development and manufacturing operations are managed on a worldwide basis to promote a global perspective in our operations and processes while serving the needs of our segments.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40-42 for information about these non-GAAP measures and the detailed reconciliation of items that impacted free cash flow, non-GAAP operating expenses, non-GAAP operating income, non-GAAP net income, adjusted EBITDA, and non-GAAP diluted EPS in the presented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Highlights and significant developments for the twelve months ended December 31, 2017</w:t>
      </w:r>
    </w:p>
    <w:p>
      <w:pPr>
        <w:spacing w:after="0" w:line="225" w:lineRule="exact"/>
        <w:rPr>
          <w:sz w:val="20"/>
          <w:szCs w:val="20"/>
          <w:color w:val="auto"/>
        </w:rPr>
      </w:pPr>
    </w:p>
    <w:p>
      <w:pPr>
        <w:ind w:left="260" w:hanging="171"/>
        <w:spacing w:after="0"/>
        <w:tabs>
          <w:tab w:leader="none" w:pos="26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Revenues were $2.0 billion for the year ended December 31, 2017, an increase of $5.0 million.</w:t>
      </w:r>
    </w:p>
    <w:p>
      <w:pPr>
        <w:spacing w:after="0" w:line="279" w:lineRule="exact"/>
        <w:rPr>
          <w:rFonts w:ascii="Arial" w:cs="Arial" w:eastAsia="Arial" w:hAnsi="Arial"/>
          <w:sz w:val="18"/>
          <w:szCs w:val="18"/>
          <w:color w:val="222222"/>
        </w:rPr>
      </w:pPr>
    </w:p>
    <w:p>
      <w:pPr>
        <w:ind w:left="260" w:right="20" w:hanging="171"/>
        <w:spacing w:after="0" w:line="277" w:lineRule="auto"/>
        <w:tabs>
          <w:tab w:leader="none" w:pos="26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Gross margin was 33.5% compared with 32.8% in the same period last year. The increase of 70 basis points was due to improvements in our Electricity and Water segments.</w:t>
      </w:r>
    </w:p>
    <w:p>
      <w:pPr>
        <w:spacing w:after="0" w:line="224" w:lineRule="exact"/>
        <w:rPr>
          <w:rFonts w:ascii="Arial" w:cs="Arial" w:eastAsia="Arial" w:hAnsi="Arial"/>
          <w:sz w:val="18"/>
          <w:szCs w:val="18"/>
          <w:color w:val="222222"/>
        </w:rPr>
      </w:pPr>
    </w:p>
    <w:p>
      <w:pPr>
        <w:ind w:left="260" w:hanging="171"/>
        <w:spacing w:after="0"/>
        <w:tabs>
          <w:tab w:leader="none" w:pos="26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Operating expenses were $40.4 million lower compared with the same period last year, primarily due to decreased restructuring expense.</w:t>
      </w:r>
    </w:p>
    <w:p>
      <w:pPr>
        <w:spacing w:after="0" w:line="279" w:lineRule="exact"/>
        <w:rPr>
          <w:rFonts w:ascii="Arial" w:cs="Arial" w:eastAsia="Arial" w:hAnsi="Arial"/>
          <w:sz w:val="18"/>
          <w:szCs w:val="18"/>
          <w:color w:val="222222"/>
        </w:rPr>
      </w:pPr>
    </w:p>
    <w:p>
      <w:pPr>
        <w:ind w:left="260" w:hanging="171"/>
        <w:spacing w:after="0"/>
        <w:tabs>
          <w:tab w:leader="none" w:pos="260" w:val="left"/>
        </w:tabs>
        <w:numPr>
          <w:ilvl w:val="0"/>
          <w:numId w:val="10"/>
        </w:numPr>
        <w:rPr>
          <w:rFonts w:ascii="Arial" w:cs="Arial" w:eastAsia="Arial" w:hAnsi="Arial"/>
          <w:sz w:val="18"/>
          <w:szCs w:val="18"/>
          <w:color w:val="222222"/>
        </w:rPr>
      </w:pPr>
      <w:r>
        <w:rPr>
          <w:rFonts w:ascii="Arial" w:cs="Arial" w:eastAsia="Arial" w:hAnsi="Arial"/>
          <w:sz w:val="18"/>
          <w:szCs w:val="18"/>
          <w:color w:val="auto"/>
        </w:rPr>
        <w:t>Net income attributable to Itron, Inc. was $57.3 million compared with $31.8 million in 2016.</w:t>
      </w:r>
    </w:p>
    <w:p>
      <w:pPr>
        <w:spacing w:after="0" w:line="279" w:lineRule="exact"/>
        <w:rPr>
          <w:rFonts w:ascii="Arial" w:cs="Arial" w:eastAsia="Arial" w:hAnsi="Arial"/>
          <w:sz w:val="18"/>
          <w:szCs w:val="18"/>
          <w:color w:val="222222"/>
        </w:rPr>
      </w:pPr>
    </w:p>
    <w:p>
      <w:pPr>
        <w:ind w:left="260" w:hanging="171"/>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increased $19.2 million, or 9% compared with the same period in 2016.</w:t>
      </w:r>
    </w:p>
    <w:p>
      <w:pPr>
        <w:spacing w:after="0" w:line="279" w:lineRule="exact"/>
        <w:rPr>
          <w:rFonts w:ascii="Arial" w:cs="Arial" w:eastAsia="Arial" w:hAnsi="Arial"/>
          <w:sz w:val="18"/>
          <w:szCs w:val="18"/>
          <w:color w:val="auto"/>
        </w:rPr>
      </w:pPr>
    </w:p>
    <w:p>
      <w:pPr>
        <w:ind w:left="260" w:hanging="171"/>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222222"/>
        </w:rPr>
        <w:t xml:space="preserve">GAAP diluted EPS improved </w:t>
      </w:r>
      <w:r>
        <w:rPr>
          <w:rFonts w:ascii="Arial" w:cs="Arial" w:eastAsia="Arial" w:hAnsi="Arial"/>
          <w:sz w:val="18"/>
          <w:szCs w:val="18"/>
          <w:color w:val="000000"/>
        </w:rPr>
        <w:t>$0.63 to $1.45 compared with the same period in 2016.</w:t>
      </w:r>
    </w:p>
    <w:p>
      <w:pPr>
        <w:spacing w:after="0" w:line="279" w:lineRule="exact"/>
        <w:rPr>
          <w:rFonts w:ascii="Arial" w:cs="Arial" w:eastAsia="Arial" w:hAnsi="Arial"/>
          <w:sz w:val="18"/>
          <w:szCs w:val="18"/>
          <w:color w:val="auto"/>
        </w:rPr>
      </w:pPr>
    </w:p>
    <w:p>
      <w:pPr>
        <w:ind w:left="260" w:hanging="171"/>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222222"/>
        </w:rPr>
        <w:t>Non-GAAP diluted EPS improved $0.52 to $3.06 compared with the same period last year.</w:t>
      </w:r>
    </w:p>
    <w:p>
      <w:pPr>
        <w:spacing w:after="0" w:line="279" w:lineRule="exact"/>
        <w:rPr>
          <w:rFonts w:ascii="Arial" w:cs="Arial" w:eastAsia="Arial" w:hAnsi="Arial"/>
          <w:sz w:val="18"/>
          <w:szCs w:val="18"/>
          <w:color w:val="auto"/>
        </w:rPr>
      </w:pPr>
    </w:p>
    <w:p>
      <w:pPr>
        <w:ind w:left="260" w:hanging="171"/>
        <w:spacing w:after="0"/>
        <w:tabs>
          <w:tab w:leader="none" w:pos="260" w:val="left"/>
        </w:tabs>
        <w:numPr>
          <w:ilvl w:val="0"/>
          <w:numId w:val="10"/>
        </w:numPr>
        <w:rPr>
          <w:rFonts w:ascii="Arial" w:cs="Arial" w:eastAsia="Arial" w:hAnsi="Arial"/>
          <w:sz w:val="18"/>
          <w:szCs w:val="18"/>
          <w:color w:val="222222"/>
        </w:rPr>
      </w:pPr>
      <w:r>
        <w:rPr>
          <w:rFonts w:ascii="Arial" w:cs="Arial" w:eastAsia="Arial" w:hAnsi="Arial"/>
          <w:sz w:val="18"/>
          <w:szCs w:val="18"/>
          <w:color w:val="222222"/>
        </w:rPr>
        <w:t>Total backlog was $1.8 billion and twelve-month backlog was $931 million at December 31,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Comverge Acquisition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On June 1, 2017, we completed the acquisition of Comverge by purchasing the stock of its parent, Peak Holding Corp. (Comverge). Comverge is an industry leading provider of integrated cloud-based demand response, energy efficiency and customer engagement solutions that allow electric utilities to improve grid reliability, lower energy costs, meet regulatory demands, and enhance customer experience. This acquisition provides opportunities to combine our technologies and continues our focus on transitioning from a hardware manufacturer into a total solutions provider, delivering even more value to our customers.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The acquisition resulted in the recognition of $36.5 million of intangible assets that will be amortized over 8-15 years, and goodwill in our Electricity reporting unit of $59.7 million. We anticipate this acquisition will be accretive for the year ended December 31, 2018. Comverge contributed $32.4 million in revenues from the acquisition on June 1, 2017 through the year ended December 31, 2017. </w:t>
      </w:r>
      <w:r>
        <w:rPr>
          <w:rFonts w:ascii="Arial" w:cs="Arial" w:eastAsia="Arial" w:hAnsi="Arial"/>
          <w:sz w:val="18"/>
          <w:szCs w:val="18"/>
          <w:color w:val="000000"/>
        </w:rPr>
        <w:t>For further discussion of the Comverge acquisition, refer to Item 8:</w:t>
      </w:r>
      <w:r>
        <w:rPr>
          <w:rFonts w:ascii="Arial" w:cs="Arial" w:eastAsia="Arial" w:hAnsi="Arial"/>
          <w:sz w:val="18"/>
          <w:szCs w:val="18"/>
          <w:color w:val="222222"/>
        </w:rPr>
        <w:t xml:space="preserve"> </w:t>
      </w:r>
      <w:r>
        <w:rPr>
          <w:rFonts w:ascii="Arial" w:cs="Arial" w:eastAsia="Arial" w:hAnsi="Arial"/>
          <w:sz w:val="18"/>
          <w:szCs w:val="18"/>
          <w:color w:val="000000"/>
        </w:rPr>
        <w:t>“Financial Statements, Note 17: Business Combinations.”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On January 5, 2018, we completed our acquisition of Silver Spring Networks, Inc. (SSNI) by purchasing all outstanding shares for $16.25 per share, resulting in a total purchase price, net of cash, of approximately $810 million. SSNI provided Internet of Important Things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connectivity platforms and solutions to utilities and cities. The acquisition continues our focus on expanding management services and software-as-a-service solutions, which allows us to provide more value to our customers by optimizing devices, network technologies, outcomes and analytics. This entity will operate and be managed as a separate operating segment.</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part of the acquisition of SSNI, we entered into a $1.15 billion senior secured credit facility (the 2018 credit facility), which amended and restated the senior secured credit facility we entered into in 2015. The 2018 credit facility consists of a $650 million U.S. dollar term loan and a multicurrency revolving line of credit with a principal amount of up to $500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22, 2017 and January 19, 2018, we issued $300 million and $100 million of 5.00% senior notes, respectively (Notes). The Notes were issued pursuant to an indenture dated December 22, 2017, mature in 2026, and are guaranteed by all of our subsidiaries that guarantee our borrowings under the 2018 credit facility. For further discussion of the Notes, refer to Item 1: "Financial Statements, Note 6: Debt and Note 19: Subsequent Events."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Restructuring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22, 2018, our Board approved a restructuring plan (2018 Projects). The 2018 Projects will include activities that continue our efforts to optimize our global supply chain and manufacturing operations, product development, and sales and marketing organizations. We expect to substantially complete the plan by the end of 2020. We estimate pre-tax restructuring charges of $100 million to $110 million with approximately $45 million to $50 million of annualized savings when substantially complete.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380" w:type="dxa"/>
            <w:vAlign w:val="bottom"/>
          </w:tcPr>
          <w:p>
            <w:pPr>
              <w:ind w:left="48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2016</w:t>
            </w:r>
          </w:p>
        </w:tc>
        <w:tc>
          <w:tcPr>
            <w:tcW w:w="320" w:type="dxa"/>
            <w:vAlign w:val="bottom"/>
          </w:tcPr>
          <w:p>
            <w:pPr>
              <w:spacing w:after="0"/>
              <w:rPr>
                <w:sz w:val="20"/>
                <w:szCs w:val="20"/>
                <w:color w:val="auto"/>
              </w:rPr>
            </w:pPr>
          </w:p>
        </w:tc>
        <w:tc>
          <w:tcPr>
            <w:tcW w:w="1360" w:type="dxa"/>
            <w:vAlign w:val="bottom"/>
          </w:tcPr>
          <w:p>
            <w:pPr>
              <w:ind w:left="160"/>
              <w:spacing w:after="0"/>
              <w:rPr>
                <w:sz w:val="20"/>
                <w:szCs w:val="20"/>
                <w:color w:val="auto"/>
              </w:rPr>
            </w:pPr>
            <w:r>
              <w:rPr>
                <w:rFonts w:ascii="Arial" w:cs="Arial" w:eastAsia="Arial" w:hAnsi="Arial"/>
                <w:sz w:val="16"/>
                <w:szCs w:val="16"/>
                <w:b w:val="1"/>
                <w:bCs w:val="1"/>
                <w:color w:val="auto"/>
              </w:rPr>
              <w:t>% Change</w:t>
            </w:r>
          </w:p>
        </w:tc>
        <w:tc>
          <w:tcPr>
            <w:tcW w:w="36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gridSpan w:val="6"/>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(in thousands, except margin and per share data)</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50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35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460" w:type="dxa"/>
            <w:vAlign w:val="bottom"/>
            <w:gridSpan w:val="5"/>
          </w:tcPr>
          <w:p>
            <w:pPr>
              <w:ind w:left="240"/>
              <w:spacing w:after="0"/>
              <w:rPr>
                <w:sz w:val="20"/>
                <w:szCs w:val="20"/>
                <w:color w:val="auto"/>
              </w:rPr>
            </w:pPr>
            <w:r>
              <w:rPr>
                <w:rFonts w:ascii="Arial" w:cs="Arial" w:eastAsia="Arial" w:hAnsi="Arial"/>
                <w:sz w:val="16"/>
                <w:szCs w:val="16"/>
                <w:color w:val="auto"/>
              </w:rPr>
              <w:t>Product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1,813,925</w:t>
            </w:r>
          </w:p>
        </w:tc>
        <w:tc>
          <w:tcPr>
            <w:tcW w:w="1380" w:type="dxa"/>
            <w:vAlign w:val="bottom"/>
          </w:tcPr>
          <w:p>
            <w:pPr>
              <w:jc w:val="center"/>
              <w:ind w:left="219"/>
              <w:spacing w:after="0"/>
              <w:rPr>
                <w:sz w:val="20"/>
                <w:szCs w:val="20"/>
                <w:color w:val="auto"/>
              </w:rPr>
            </w:pPr>
            <w:r>
              <w:rPr>
                <w:rFonts w:ascii="Arial" w:cs="Arial" w:eastAsia="Arial" w:hAnsi="Arial"/>
                <w:sz w:val="16"/>
                <w:szCs w:val="16"/>
                <w:color w:val="auto"/>
                <w:w w:val="94"/>
              </w:rPr>
              <w:t>(1)%</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1,830,070</w:t>
            </w:r>
          </w:p>
        </w:tc>
        <w:tc>
          <w:tcPr>
            <w:tcW w:w="320" w:type="dxa"/>
            <w:vAlign w:val="bottom"/>
          </w:tcPr>
          <w:p>
            <w:pPr>
              <w:spacing w:after="0"/>
              <w:rPr>
                <w:sz w:val="20"/>
                <w:szCs w:val="20"/>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color w:val="auto"/>
                <w:w w:val="94"/>
              </w:rPr>
              <w:t>8%</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1,699,534</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Service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204,272</w:t>
            </w:r>
          </w:p>
        </w:tc>
        <w:tc>
          <w:tcPr>
            <w:tcW w:w="1380" w:type="dxa"/>
            <w:vAlign w:val="bottom"/>
            <w:tcBorders>
              <w:bottom w:val="single" w:sz="8" w:color="CCEEFF"/>
            </w:tcBorders>
            <w:shd w:val="clear" w:color="auto" w:fill="CCEEFF"/>
          </w:tcPr>
          <w:p>
            <w:pPr>
              <w:jc w:val="center"/>
              <w:ind w:left="239"/>
              <w:spacing w:after="0"/>
              <w:rPr>
                <w:sz w:val="20"/>
                <w:szCs w:val="20"/>
                <w:color w:val="auto"/>
              </w:rPr>
            </w:pPr>
            <w:r>
              <w:rPr>
                <w:rFonts w:ascii="Arial" w:cs="Arial" w:eastAsia="Arial" w:hAnsi="Arial"/>
                <w:sz w:val="16"/>
                <w:szCs w:val="16"/>
                <w:color w:val="auto"/>
                <w:w w:val="93"/>
              </w:rPr>
              <w:t>12%</w:t>
            </w:r>
          </w:p>
        </w:tc>
        <w:tc>
          <w:tcPr>
            <w:tcW w:w="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183,116</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9"/>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183,999</w:t>
            </w:r>
          </w:p>
        </w:tc>
      </w:tr>
      <w:tr>
        <w:trPr>
          <w:trHeight w:val="217"/>
        </w:trPr>
        <w:tc>
          <w:tcPr>
            <w:tcW w:w="40" w:type="dxa"/>
            <w:vAlign w:val="bottom"/>
          </w:tcPr>
          <w:p>
            <w:pPr>
              <w:spacing w:after="0"/>
              <w:rPr>
                <w:sz w:val="18"/>
                <w:szCs w:val="18"/>
                <w:color w:val="auto"/>
              </w:rPr>
            </w:pPr>
          </w:p>
        </w:tc>
        <w:tc>
          <w:tcPr>
            <w:tcW w:w="3460" w:type="dxa"/>
            <w:vAlign w:val="bottom"/>
            <w:gridSpan w:val="5"/>
          </w:tcPr>
          <w:p>
            <w:pPr>
              <w:ind w:left="340"/>
              <w:spacing w:after="0"/>
              <w:rPr>
                <w:sz w:val="20"/>
                <w:szCs w:val="20"/>
                <w:color w:val="auto"/>
              </w:rPr>
            </w:pPr>
            <w:r>
              <w:rPr>
                <w:rFonts w:ascii="Arial" w:cs="Arial" w:eastAsia="Arial" w:hAnsi="Arial"/>
                <w:sz w:val="16"/>
                <w:szCs w:val="16"/>
                <w:color w:val="auto"/>
              </w:rPr>
              <w:t>Total revenues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2,018,197</w:t>
            </w:r>
          </w:p>
        </w:tc>
        <w:tc>
          <w:tcPr>
            <w:tcW w:w="1380" w:type="dxa"/>
            <w:vAlign w:val="bottom"/>
          </w:tcPr>
          <w:p>
            <w:pPr>
              <w:jc w:val="center"/>
              <w:ind w:left="239"/>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2,013,186</w:t>
            </w:r>
          </w:p>
        </w:tc>
        <w:tc>
          <w:tcPr>
            <w:tcW w:w="320" w:type="dxa"/>
            <w:vAlign w:val="bottom"/>
          </w:tcPr>
          <w:p>
            <w:pPr>
              <w:spacing w:after="0"/>
              <w:rPr>
                <w:sz w:val="18"/>
                <w:szCs w:val="18"/>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color w:val="auto"/>
                <w:w w:val="94"/>
              </w:rPr>
              <w:t>7%</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1,883,533</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62"/>
        </w:trPr>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7"/>
        </w:trPr>
        <w:tc>
          <w:tcPr>
            <w:tcW w:w="3500" w:type="dxa"/>
            <w:vAlign w:val="bottom"/>
            <w:gridSpan w:val="6"/>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675,154</w:t>
            </w:r>
          </w:p>
        </w:tc>
        <w:tc>
          <w:tcPr>
            <w:tcW w:w="1380" w:type="dxa"/>
            <w:vAlign w:val="bottom"/>
          </w:tcPr>
          <w:p>
            <w:pPr>
              <w:jc w:val="center"/>
              <w:ind w:left="239"/>
              <w:spacing w:after="0"/>
              <w:rPr>
                <w:sz w:val="20"/>
                <w:szCs w:val="20"/>
                <w:color w:val="auto"/>
              </w:rPr>
            </w:pPr>
            <w:r>
              <w:rPr>
                <w:rFonts w:ascii="Arial" w:cs="Arial" w:eastAsia="Arial" w:hAnsi="Arial"/>
                <w:sz w:val="16"/>
                <w:szCs w:val="16"/>
                <w:color w:val="auto"/>
                <w:w w:val="94"/>
              </w:rPr>
              <w:t>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660,320</w:t>
            </w:r>
          </w:p>
        </w:tc>
        <w:tc>
          <w:tcPr>
            <w:tcW w:w="320" w:type="dxa"/>
            <w:vAlign w:val="bottom"/>
          </w:tcPr>
          <w:p>
            <w:pPr>
              <w:spacing w:after="0"/>
              <w:rPr>
                <w:sz w:val="20"/>
                <w:szCs w:val="20"/>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color w:val="auto"/>
                <w:w w:val="93"/>
              </w:rPr>
              <w:t>19%</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556,685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523,728</w:t>
            </w:r>
          </w:p>
        </w:tc>
        <w:tc>
          <w:tcPr>
            <w:tcW w:w="1380" w:type="dxa"/>
            <w:vAlign w:val="bottom"/>
            <w:tcBorders>
              <w:bottom w:val="single" w:sz="8" w:color="CCEEFF"/>
            </w:tcBorders>
            <w:shd w:val="clear" w:color="auto" w:fill="CCEEFF"/>
          </w:tcPr>
          <w:p>
            <w:pPr>
              <w:jc w:val="center"/>
              <w:ind w:left="219"/>
              <w:spacing w:after="0"/>
              <w:rPr>
                <w:sz w:val="20"/>
                <w:szCs w:val="20"/>
                <w:color w:val="auto"/>
              </w:rPr>
            </w:pPr>
            <w:r>
              <w:rPr>
                <w:rFonts w:ascii="Arial" w:cs="Arial" w:eastAsia="Arial" w:hAnsi="Arial"/>
                <w:sz w:val="16"/>
                <w:szCs w:val="16"/>
                <w:color w:val="auto"/>
                <w:w w:val="94"/>
              </w:rPr>
              <w:t>(7)%</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564,109</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3"/>
              </w:rPr>
              <w:t>12%</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503,839</w:t>
            </w:r>
          </w:p>
        </w:tc>
      </w:tr>
      <w:tr>
        <w:trPr>
          <w:trHeight w:val="237"/>
        </w:trPr>
        <w:tc>
          <w:tcPr>
            <w:tcW w:w="3500" w:type="dxa"/>
            <w:vAlign w:val="bottom"/>
            <w:gridSpan w:val="6"/>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151,426</w:t>
            </w:r>
          </w:p>
        </w:tc>
        <w:tc>
          <w:tcPr>
            <w:tcW w:w="1380" w:type="dxa"/>
            <w:vAlign w:val="bottom"/>
          </w:tcPr>
          <w:p>
            <w:pPr>
              <w:jc w:val="center"/>
              <w:ind w:left="239"/>
              <w:spacing w:after="0"/>
              <w:rPr>
                <w:sz w:val="20"/>
                <w:szCs w:val="20"/>
                <w:color w:val="auto"/>
              </w:rPr>
            </w:pPr>
            <w:r>
              <w:rPr>
                <w:rFonts w:ascii="Arial" w:cs="Arial" w:eastAsia="Arial" w:hAnsi="Arial"/>
                <w:sz w:val="16"/>
                <w:szCs w:val="16"/>
                <w:color w:val="auto"/>
                <w:w w:val="93"/>
              </w:rPr>
              <w:t>57%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96,211</w:t>
            </w:r>
          </w:p>
        </w:tc>
        <w:tc>
          <w:tcPr>
            <w:tcW w:w="320" w:type="dxa"/>
            <w:vAlign w:val="bottom"/>
          </w:tcPr>
          <w:p>
            <w:pPr>
              <w:spacing w:after="0"/>
              <w:rPr>
                <w:sz w:val="20"/>
                <w:szCs w:val="20"/>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color w:val="auto"/>
                <w:w w:val="93"/>
              </w:rPr>
              <w:t>82%</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52,846</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(16,851)</w:t>
            </w:r>
          </w:p>
        </w:tc>
        <w:tc>
          <w:tcPr>
            <w:tcW w:w="1380" w:type="dxa"/>
            <w:vAlign w:val="bottom"/>
            <w:tcBorders>
              <w:bottom w:val="single" w:sz="8" w:color="CCEEFF"/>
            </w:tcBorders>
            <w:shd w:val="clear" w:color="auto" w:fill="CCEEFF"/>
          </w:tcPr>
          <w:p>
            <w:pPr>
              <w:jc w:val="center"/>
              <w:ind w:left="239"/>
              <w:spacing w:after="0"/>
              <w:rPr>
                <w:sz w:val="20"/>
                <w:szCs w:val="20"/>
                <w:color w:val="auto"/>
              </w:rPr>
            </w:pPr>
            <w:r>
              <w:rPr>
                <w:rFonts w:ascii="Arial" w:cs="Arial" w:eastAsia="Arial" w:hAnsi="Arial"/>
                <w:sz w:val="16"/>
                <w:szCs w:val="16"/>
                <w:color w:val="auto"/>
                <w:w w:val="93"/>
              </w:rPr>
              <w:t>45%</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239"/>
              <w:spacing w:after="0"/>
              <w:rPr>
                <w:sz w:val="20"/>
                <w:szCs w:val="20"/>
                <w:color w:val="auto"/>
              </w:rPr>
            </w:pPr>
            <w:r>
              <w:rPr>
                <w:rFonts w:ascii="Arial" w:cs="Arial" w:eastAsia="Arial" w:hAnsi="Arial"/>
                <w:sz w:val="16"/>
                <w:szCs w:val="16"/>
                <w:color w:val="auto"/>
                <w:w w:val="93"/>
              </w:rPr>
              <w:t>(26)%</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(15,744)</w:t>
            </w:r>
          </w:p>
        </w:tc>
      </w:tr>
      <w:tr>
        <w:trPr>
          <w:trHeight w:val="237"/>
        </w:trPr>
        <w:tc>
          <w:tcPr>
            <w:tcW w:w="3500" w:type="dxa"/>
            <w:vAlign w:val="bottom"/>
            <w:gridSpan w:val="6"/>
          </w:tcPr>
          <w:p>
            <w:pPr>
              <w:ind w:left="40"/>
              <w:spacing w:after="0"/>
              <w:rPr>
                <w:sz w:val="20"/>
                <w:szCs w:val="20"/>
                <w:color w:val="auto"/>
              </w:rPr>
            </w:pPr>
            <w:r>
              <w:rPr>
                <w:rFonts w:ascii="Arial" w:cs="Arial" w:eastAsia="Arial" w:hAnsi="Arial"/>
                <w:sz w:val="16"/>
                <w:szCs w:val="16"/>
                <w:color w:val="auto"/>
              </w:rPr>
              <w:t>Income tax provision</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(74,326)</w:t>
            </w:r>
          </w:p>
        </w:tc>
        <w:tc>
          <w:tcPr>
            <w:tcW w:w="1380" w:type="dxa"/>
            <w:vAlign w:val="bottom"/>
          </w:tcPr>
          <w:p>
            <w:pPr>
              <w:jc w:val="center"/>
              <w:ind w:left="239"/>
              <w:spacing w:after="0"/>
              <w:rPr>
                <w:sz w:val="20"/>
                <w:szCs w:val="20"/>
                <w:color w:val="auto"/>
              </w:rPr>
            </w:pPr>
            <w:r>
              <w:rPr>
                <w:rFonts w:ascii="Arial" w:cs="Arial" w:eastAsia="Arial" w:hAnsi="Arial"/>
                <w:sz w:val="16"/>
                <w:szCs w:val="16"/>
                <w:color w:val="auto"/>
                <w:w w:val="93"/>
              </w:rPr>
              <w:t>50%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(49,574)</w:t>
            </w:r>
          </w:p>
        </w:tc>
        <w:tc>
          <w:tcPr>
            <w:tcW w:w="320" w:type="dxa"/>
            <w:vAlign w:val="bottom"/>
          </w:tcPr>
          <w:p>
            <w:pPr>
              <w:spacing w:after="0"/>
              <w:rPr>
                <w:sz w:val="20"/>
                <w:szCs w:val="20"/>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color w:val="auto"/>
                <w:w w:val="92"/>
              </w:rPr>
              <w:t>124%</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(22,099)</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Net income attributable to Itron, Inc.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57,298</w:t>
            </w:r>
          </w:p>
        </w:tc>
        <w:tc>
          <w:tcPr>
            <w:tcW w:w="1380" w:type="dxa"/>
            <w:vAlign w:val="bottom"/>
            <w:tcBorders>
              <w:bottom w:val="single" w:sz="8" w:color="CCEEFF"/>
            </w:tcBorders>
            <w:shd w:val="clear" w:color="auto" w:fill="CCEEFF"/>
          </w:tcPr>
          <w:p>
            <w:pPr>
              <w:jc w:val="center"/>
              <w:ind w:left="239"/>
              <w:spacing w:after="0"/>
              <w:rPr>
                <w:sz w:val="20"/>
                <w:szCs w:val="20"/>
                <w:color w:val="auto"/>
              </w:rPr>
            </w:pPr>
            <w:r>
              <w:rPr>
                <w:rFonts w:ascii="Arial" w:cs="Arial" w:eastAsia="Arial" w:hAnsi="Arial"/>
                <w:sz w:val="16"/>
                <w:szCs w:val="16"/>
                <w:color w:val="auto"/>
                <w:w w:val="93"/>
              </w:rPr>
              <w:t>80%</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31,770</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2"/>
              </w:rPr>
              <w:t>151%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12,678</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89"/>
        </w:trPr>
        <w:tc>
          <w:tcPr>
            <w:tcW w:w="350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r>
      <w:tr>
        <w:trPr>
          <w:trHeight w:val="237"/>
        </w:trPr>
        <w:tc>
          <w:tcPr>
            <w:tcW w:w="3500" w:type="dxa"/>
            <w:vAlign w:val="bottom"/>
            <w:gridSpan w:val="6"/>
          </w:tcPr>
          <w:p>
            <w:pPr>
              <w:ind w:left="40"/>
              <w:spacing w:after="0"/>
              <w:rPr>
                <w:sz w:val="20"/>
                <w:szCs w:val="20"/>
                <w:color w:val="auto"/>
              </w:rPr>
            </w:pPr>
            <w:r>
              <w:rPr>
                <w:rFonts w:ascii="Arial" w:cs="Arial" w:eastAsia="Arial" w:hAnsi="Arial"/>
                <w:sz w:val="16"/>
                <w:szCs w:val="16"/>
                <w:color w:val="auto"/>
              </w:rPr>
              <w:t>Non-GAAP operating expenses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479,386</w:t>
            </w:r>
          </w:p>
        </w:tc>
        <w:tc>
          <w:tcPr>
            <w:tcW w:w="1380" w:type="dxa"/>
            <w:vAlign w:val="bottom"/>
          </w:tcPr>
          <w:p>
            <w:pPr>
              <w:jc w:val="center"/>
              <w:ind w:left="219"/>
              <w:spacing w:after="0"/>
              <w:rPr>
                <w:sz w:val="20"/>
                <w:szCs w:val="20"/>
                <w:color w:val="auto"/>
              </w:rPr>
            </w:pPr>
            <w:r>
              <w:rPr>
                <w:rFonts w:ascii="Arial" w:cs="Arial" w:eastAsia="Arial" w:hAnsi="Arial"/>
                <w:sz w:val="16"/>
                <w:szCs w:val="16"/>
                <w:color w:val="auto"/>
                <w:w w:val="94"/>
              </w:rPr>
              <w:t>(2)%</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490,104</w:t>
            </w:r>
          </w:p>
        </w:tc>
        <w:tc>
          <w:tcPr>
            <w:tcW w:w="320" w:type="dxa"/>
            <w:vAlign w:val="bottom"/>
          </w:tcPr>
          <w:p>
            <w:pPr>
              <w:spacing w:after="0"/>
              <w:rPr>
                <w:sz w:val="20"/>
                <w:szCs w:val="20"/>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color w:val="auto"/>
                <w:w w:val="94"/>
              </w:rPr>
              <w:t>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484,967</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Non-GAAP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195,768</w:t>
            </w:r>
          </w:p>
        </w:tc>
        <w:tc>
          <w:tcPr>
            <w:tcW w:w="1380" w:type="dxa"/>
            <w:vAlign w:val="bottom"/>
            <w:tcBorders>
              <w:bottom w:val="single" w:sz="8" w:color="CCEEFF"/>
            </w:tcBorders>
            <w:shd w:val="clear" w:color="auto" w:fill="CCEEFF"/>
          </w:tcPr>
          <w:p>
            <w:pPr>
              <w:jc w:val="center"/>
              <w:ind w:left="239"/>
              <w:spacing w:after="0"/>
              <w:rPr>
                <w:sz w:val="20"/>
                <w:szCs w:val="20"/>
                <w:color w:val="auto"/>
              </w:rPr>
            </w:pPr>
            <w:r>
              <w:rPr>
                <w:rFonts w:ascii="Arial" w:cs="Arial" w:eastAsia="Arial" w:hAnsi="Arial"/>
                <w:sz w:val="16"/>
                <w:szCs w:val="16"/>
                <w:color w:val="auto"/>
                <w:w w:val="93"/>
              </w:rPr>
              <w:t>15%</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170,216</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2"/>
              </w:rPr>
              <w:t>137%</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71,718</w:t>
            </w:r>
          </w:p>
        </w:tc>
      </w:tr>
      <w:tr>
        <w:trPr>
          <w:trHeight w:val="237"/>
        </w:trPr>
        <w:tc>
          <w:tcPr>
            <w:tcW w:w="3500" w:type="dxa"/>
            <w:vAlign w:val="bottom"/>
            <w:gridSpan w:val="6"/>
          </w:tcPr>
          <w:p>
            <w:pPr>
              <w:ind w:left="40"/>
              <w:spacing w:after="0"/>
              <w:rPr>
                <w:sz w:val="20"/>
                <w:szCs w:val="20"/>
                <w:color w:val="auto"/>
              </w:rPr>
            </w:pPr>
            <w:r>
              <w:rPr>
                <w:rFonts w:ascii="Arial" w:cs="Arial" w:eastAsia="Arial" w:hAnsi="Arial"/>
                <w:sz w:val="16"/>
                <w:szCs w:val="16"/>
                <w:color w:val="auto"/>
              </w:rPr>
              <w:t>Non-GAAP net income attributable to Itron, Inc.</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120,486</w:t>
            </w:r>
          </w:p>
        </w:tc>
        <w:tc>
          <w:tcPr>
            <w:tcW w:w="1380" w:type="dxa"/>
            <w:vAlign w:val="bottom"/>
          </w:tcPr>
          <w:p>
            <w:pPr>
              <w:jc w:val="center"/>
              <w:ind w:left="239"/>
              <w:spacing w:after="0"/>
              <w:rPr>
                <w:sz w:val="20"/>
                <w:szCs w:val="20"/>
                <w:color w:val="auto"/>
              </w:rPr>
            </w:pPr>
            <w:r>
              <w:rPr>
                <w:rFonts w:ascii="Arial" w:cs="Arial" w:eastAsia="Arial" w:hAnsi="Arial"/>
                <w:sz w:val="16"/>
                <w:szCs w:val="16"/>
                <w:color w:val="auto"/>
                <w:w w:val="93"/>
              </w:rPr>
              <w:t>23%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98,284</w:t>
            </w:r>
          </w:p>
        </w:tc>
        <w:tc>
          <w:tcPr>
            <w:tcW w:w="320" w:type="dxa"/>
            <w:vAlign w:val="bottom"/>
          </w:tcPr>
          <w:p>
            <w:pPr>
              <w:spacing w:after="0"/>
              <w:rPr>
                <w:sz w:val="20"/>
                <w:szCs w:val="20"/>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color w:val="auto"/>
                <w:w w:val="92"/>
              </w:rPr>
              <w:t>251%</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27,981</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227,851</w:t>
            </w:r>
          </w:p>
        </w:tc>
        <w:tc>
          <w:tcPr>
            <w:tcW w:w="1380" w:type="dxa"/>
            <w:vAlign w:val="bottom"/>
            <w:tcBorders>
              <w:bottom w:val="single" w:sz="8" w:color="CCEEFF"/>
            </w:tcBorders>
            <w:shd w:val="clear" w:color="auto" w:fill="CCEEFF"/>
          </w:tcPr>
          <w:p>
            <w:pPr>
              <w:jc w:val="center"/>
              <w:ind w:left="239"/>
              <w:spacing w:after="0"/>
              <w:rPr>
                <w:sz w:val="20"/>
                <w:szCs w:val="20"/>
                <w:color w:val="auto"/>
              </w:rPr>
            </w:pPr>
            <w:r>
              <w:rPr>
                <w:rFonts w:ascii="Arial" w:cs="Arial" w:eastAsia="Arial" w:hAnsi="Arial"/>
                <w:sz w:val="16"/>
                <w:szCs w:val="16"/>
                <w:color w:val="auto"/>
                <w:w w:val="94"/>
              </w:rPr>
              <w:t>9%</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208,638</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3"/>
              </w:rPr>
              <w:t>91%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109,497</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89"/>
        </w:trPr>
        <w:tc>
          <w:tcPr>
            <w:tcW w:w="3500" w:type="dxa"/>
            <w:vAlign w:val="bottom"/>
            <w:gridSpan w:val="6"/>
            <w:shd w:val="clear" w:color="auto" w:fill="CCEEFF"/>
          </w:tcPr>
          <w:p>
            <w:pPr>
              <w:ind w:left="40"/>
              <w:spacing w:after="0"/>
              <w:rPr>
                <w:sz w:val="20"/>
                <w:szCs w:val="20"/>
                <w:color w:val="auto"/>
              </w:rPr>
            </w:pPr>
            <w:r>
              <w:rPr>
                <w:rFonts w:ascii="Arial" w:cs="Arial" w:eastAsia="Arial" w:hAnsi="Arial"/>
                <w:sz w:val="16"/>
                <w:szCs w:val="16"/>
                <w:b w:val="1"/>
                <w:bCs w:val="1"/>
                <w:color w:val="auto"/>
              </w:rPr>
              <w:t>GAAP Margins and Earnings Per Share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r>
      <w:tr>
        <w:trPr>
          <w:trHeight w:val="224"/>
        </w:trPr>
        <w:tc>
          <w:tcPr>
            <w:tcW w:w="3500" w:type="dxa"/>
            <w:vAlign w:val="bottom"/>
            <w:gridSpan w:val="6"/>
          </w:tcPr>
          <w:p>
            <w:pPr>
              <w:ind w:left="40"/>
              <w:spacing w:after="0"/>
              <w:rPr>
                <w:sz w:val="20"/>
                <w:szCs w:val="20"/>
                <w:color w:val="auto"/>
              </w:rPr>
            </w:pPr>
            <w:r>
              <w:rPr>
                <w:rFonts w:ascii="Arial" w:cs="Arial" w:eastAsia="Arial" w:hAnsi="Arial"/>
                <w:sz w:val="16"/>
                <w:szCs w:val="16"/>
                <w:color w:val="auto"/>
              </w:rPr>
              <w:t>Gross margin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Product 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37"/>
        </w:trPr>
        <w:tc>
          <w:tcPr>
            <w:tcW w:w="40" w:type="dxa"/>
            <w:vAlign w:val="bottom"/>
          </w:tcPr>
          <w:p>
            <w:pPr>
              <w:spacing w:after="0"/>
              <w:rPr>
                <w:sz w:val="20"/>
                <w:szCs w:val="20"/>
                <w:color w:val="auto"/>
              </w:rPr>
            </w:pPr>
          </w:p>
        </w:tc>
        <w:tc>
          <w:tcPr>
            <w:tcW w:w="3460" w:type="dxa"/>
            <w:vAlign w:val="bottom"/>
            <w:gridSpan w:val="5"/>
          </w:tcPr>
          <w:p>
            <w:pPr>
              <w:ind w:left="240"/>
              <w:spacing w:after="0"/>
              <w:rPr>
                <w:sz w:val="20"/>
                <w:szCs w:val="20"/>
                <w:color w:val="auto"/>
              </w:rPr>
            </w:pPr>
            <w:r>
              <w:rPr>
                <w:rFonts w:ascii="Arial" w:cs="Arial" w:eastAsia="Arial" w:hAnsi="Arial"/>
                <w:sz w:val="16"/>
                <w:szCs w:val="16"/>
                <w:color w:val="auto"/>
              </w:rPr>
              <w:t>Service gross margin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32.7%</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Total 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176"/>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35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3500" w:type="dxa"/>
            <w:vAlign w:val="bottom"/>
            <w:gridSpan w:val="6"/>
          </w:tcPr>
          <w:p>
            <w:pPr>
              <w:ind w:left="40"/>
              <w:spacing w:after="0"/>
              <w:rPr>
                <w:sz w:val="20"/>
                <w:szCs w:val="20"/>
                <w:color w:val="auto"/>
              </w:rPr>
            </w:pPr>
            <w:r>
              <w:rPr>
                <w:rFonts w:ascii="Arial" w:cs="Arial" w:eastAsia="Arial" w:hAnsi="Arial"/>
                <w:sz w:val="16"/>
                <w:szCs w:val="16"/>
                <w:color w:val="auto"/>
              </w:rPr>
              <w:t>Basic EPS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13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0.83</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0.33</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w:t>
            </w:r>
          </w:p>
        </w:tc>
        <w:tc>
          <w:tcPr>
            <w:tcW w:w="1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0.33</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89"/>
        </w:trPr>
        <w:tc>
          <w:tcPr>
            <w:tcW w:w="350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r>
      <w:tr>
        <w:trPr>
          <w:trHeight w:val="237"/>
        </w:trPr>
        <w:tc>
          <w:tcPr>
            <w:tcW w:w="3500" w:type="dxa"/>
            <w:vAlign w:val="bottom"/>
            <w:gridSpan w:val="6"/>
          </w:tcPr>
          <w:p>
            <w:pPr>
              <w:ind w:left="40"/>
              <w:spacing w:after="0"/>
              <w:rPr>
                <w:sz w:val="20"/>
                <w:szCs w:val="20"/>
                <w:color w:val="auto"/>
              </w:rPr>
            </w:pPr>
            <w:r>
              <w:rPr>
                <w:rFonts w:ascii="Arial" w:cs="Arial" w:eastAsia="Arial" w:hAnsi="Arial"/>
                <w:sz w:val="16"/>
                <w:szCs w:val="16"/>
                <w:color w:val="auto"/>
              </w:rPr>
              <w:t>Non-GAAP diluted EPS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3.06</w:t>
            </w:r>
          </w:p>
        </w:tc>
        <w:tc>
          <w:tcPr>
            <w:tcW w:w="138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2.54</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0.73</w:t>
            </w:r>
          </w:p>
        </w:tc>
      </w:tr>
    </w:tbl>
    <w:p>
      <w:pPr>
        <w:spacing w:after="0" w:line="208" w:lineRule="exact"/>
        <w:rPr>
          <w:sz w:val="20"/>
          <w:szCs w:val="20"/>
          <w:color w:val="auto"/>
        </w:rPr>
      </w:pPr>
    </w:p>
    <w:p>
      <w:pPr>
        <w:ind w:left="340" w:right="380" w:hanging="332"/>
        <w:spacing w:after="0" w:line="244"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 xml:space="preserve">These measures exclude certain expenses that we do not believe are indicative of our core operating results. See pages </w:t>
      </w:r>
      <w:r>
        <w:rPr>
          <w:rFonts w:ascii="Arial" w:cs="Arial" w:eastAsia="Arial" w:hAnsi="Arial"/>
          <w:sz w:val="18"/>
          <w:szCs w:val="18"/>
          <w:color w:val="auto"/>
        </w:rPr>
        <w:t>40-42</w:t>
      </w:r>
      <w:r>
        <w:rPr>
          <w:rFonts w:ascii="Arial" w:cs="Arial" w:eastAsia="Arial" w:hAnsi="Arial"/>
          <w:sz w:val="16"/>
          <w:szCs w:val="16"/>
          <w:color w:val="auto"/>
        </w:rPr>
        <w:t xml:space="preserve"> for information about these non-GAAP measures and reconciliations to the most comparable GAAP measures.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Communication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two categories:</w:t>
      </w:r>
    </w:p>
    <w:p>
      <w:pPr>
        <w:spacing w:after="0" w:line="15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Smart metering – one-way communication of meter data or two-way communication including remote meter configuration and upgrade (consisting primarily of our OpenWay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smart meter communication modules can be sold separately from the meter.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gridSpan w:val="2"/>
          </w:tcPr>
          <w:p>
            <w:pPr>
              <w:ind w:left="6760"/>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(units in thousands)</w:t>
            </w:r>
          </w:p>
        </w:tc>
        <w:tc>
          <w:tcPr>
            <w:tcW w:w="1700" w:type="dxa"/>
            <w:vAlign w:val="bottom"/>
          </w:tcPr>
          <w:p>
            <w:pPr>
              <w:spacing w:after="0"/>
              <w:rPr>
                <w:sz w:val="18"/>
                <w:szCs w:val="18"/>
                <w:color w:val="auto"/>
              </w:rPr>
            </w:pPr>
          </w:p>
        </w:tc>
      </w:tr>
      <w:tr>
        <w:trPr>
          <w:trHeight w:val="270"/>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15,740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17,560</w:t>
            </w:r>
          </w:p>
        </w:tc>
      </w:tr>
      <w:tr>
        <w:trPr>
          <w:trHeight w:val="237"/>
        </w:trPr>
        <w:tc>
          <w:tcPr>
            <w:tcW w:w="71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10,390</w:t>
            </w:r>
          </w:p>
        </w:tc>
        <w:tc>
          <w:tcPr>
            <w:tcW w:w="1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9,340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7,290</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26,130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24,880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50"/>
        </w:trPr>
        <w:tc>
          <w:tcPr>
            <w:tcW w:w="7160" w:type="dxa"/>
            <w:vAlign w:val="bottom"/>
            <w:gridSpan w:val="2"/>
          </w:tcPr>
          <w:p>
            <w:pPr>
              <w:ind w:left="720"/>
              <w:spacing w:after="0"/>
              <w:rPr>
                <w:sz w:val="20"/>
                <w:szCs w:val="20"/>
                <w:color w:val="auto"/>
              </w:rPr>
            </w:pPr>
            <w:r>
              <w:rPr>
                <w:rFonts w:ascii="Arial" w:cs="Arial" w:eastAsia="Arial" w:hAnsi="Arial"/>
                <w:sz w:val="16"/>
                <w:szCs w:val="16"/>
                <w:color w:val="auto"/>
              </w:rPr>
              <w:t>Smart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5,980</w:t>
            </w:r>
          </w:p>
        </w:tc>
        <w:tc>
          <w:tcPr>
            <w:tcW w:w="1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5,840</w:t>
            </w: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3"/>
            <w:vMerge w:val="restart"/>
          </w:tcPr>
          <w:p>
            <w:pPr>
              <w:jc w:val="right"/>
              <w:ind w:right="699"/>
              <w:spacing w:after="0"/>
              <w:rPr>
                <w:sz w:val="20"/>
                <w:szCs w:val="20"/>
                <w:color w:val="auto"/>
              </w:rPr>
            </w:pPr>
            <w:r>
              <w:rPr>
                <w:rFonts w:ascii="Arial" w:cs="Arial" w:eastAsia="Arial" w:hAnsi="Arial"/>
                <w:sz w:val="16"/>
                <w:szCs w:val="16"/>
                <w:b w:val="1"/>
                <w:bCs w:val="1"/>
                <w:color w:val="auto"/>
              </w:rPr>
              <w:t>Year Ended December 31,</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60" w:type="dxa"/>
            <w:vAlign w:val="bottom"/>
          </w:tcPr>
          <w:p>
            <w:pPr>
              <w:spacing w:after="0"/>
              <w:rPr>
                <w:sz w:val="11"/>
                <w:szCs w:val="11"/>
                <w:color w:val="auto"/>
              </w:rPr>
            </w:pPr>
          </w:p>
        </w:tc>
        <w:tc>
          <w:tcPr>
            <w:tcW w:w="15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2,018,197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2,013,186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37"/>
        </w:trPr>
        <w:tc>
          <w:tcPr>
            <w:tcW w:w="286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675,154</w:t>
            </w:r>
          </w:p>
        </w:tc>
        <w:tc>
          <w:tcPr>
            <w:tcW w:w="4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660,320</w:t>
            </w:r>
          </w:p>
        </w:tc>
        <w:tc>
          <w:tcPr>
            <w:tcW w:w="24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923</w:t>
            </w:r>
          </w:p>
        </w:tc>
        <w:tc>
          <w:tcPr>
            <w:tcW w:w="1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13,911</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14,834</w:t>
            </w:r>
          </w:p>
        </w:tc>
        <w:tc>
          <w:tcPr>
            <w:tcW w:w="0" w:type="dxa"/>
            <w:vAlign w:val="bottom"/>
          </w:tcPr>
          <w:p>
            <w:pPr>
              <w:spacing w:after="0"/>
              <w:rPr>
                <w:sz w:val="1"/>
                <w:szCs w:val="1"/>
                <w:color w:val="auto"/>
              </w:rPr>
            </w:pPr>
          </w:p>
        </w:tc>
      </w:tr>
      <w:tr>
        <w:trPr>
          <w:trHeight w:val="681"/>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3"/>
            <w:vMerge w:val="restart"/>
          </w:tcPr>
          <w:p>
            <w:pPr>
              <w:jc w:val="right"/>
              <w:ind w:right="699"/>
              <w:spacing w:after="0"/>
              <w:rPr>
                <w:sz w:val="20"/>
                <w:szCs w:val="20"/>
                <w:color w:val="auto"/>
              </w:rPr>
            </w:pPr>
            <w:r>
              <w:rPr>
                <w:rFonts w:ascii="Arial" w:cs="Arial" w:eastAsia="Arial" w:hAnsi="Arial"/>
                <w:sz w:val="16"/>
                <w:szCs w:val="16"/>
                <w:b w:val="1"/>
                <w:bCs w:val="1"/>
                <w:color w:val="auto"/>
              </w:rPr>
              <w:t>Year Ended December 31,</w:t>
            </w: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60" w:type="dxa"/>
            <w:vAlign w:val="bottom"/>
          </w:tcPr>
          <w:p>
            <w:pPr>
              <w:spacing w:after="0"/>
              <w:rPr>
                <w:sz w:val="11"/>
                <w:szCs w:val="11"/>
                <w:color w:val="auto"/>
              </w:rPr>
            </w:pPr>
          </w:p>
        </w:tc>
        <w:tc>
          <w:tcPr>
            <w:tcW w:w="15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2,013,186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1,883,533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164,434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129,653</w:t>
            </w:r>
          </w:p>
        </w:tc>
        <w:tc>
          <w:tcPr>
            <w:tcW w:w="0" w:type="dxa"/>
            <w:vAlign w:val="bottom"/>
          </w:tcPr>
          <w:p>
            <w:pPr>
              <w:spacing w:after="0"/>
              <w:rPr>
                <w:sz w:val="1"/>
                <w:szCs w:val="1"/>
                <w:color w:val="auto"/>
              </w:rPr>
            </w:pPr>
          </w:p>
        </w:tc>
      </w:tr>
      <w:tr>
        <w:trPr>
          <w:trHeight w:val="237"/>
        </w:trPr>
        <w:tc>
          <w:tcPr>
            <w:tcW w:w="286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660,320</w:t>
            </w:r>
          </w:p>
        </w:tc>
        <w:tc>
          <w:tcPr>
            <w:tcW w:w="4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556,685</w:t>
            </w: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(9,381)</w:t>
            </w:r>
          </w:p>
        </w:tc>
        <w:tc>
          <w:tcPr>
            <w:tcW w:w="16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113,016</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103,635</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4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$5.0 million in 2017, compared with 2016. Product revenues decreased $16.1 million in 2017 primarily in our North America and Europe, Middle East, and Africa (EMEA) regions. This was partially offset by improved product revenues in our Latin America and Asia Pacific regions during 2017. Service revenues increased $21.2 million in 2017 as compared with 2016, which was primarily driven by Comverge service revenues of $19.6 million. Changes in currency exchange rates favorably impacted revenues by $11.6 million in 2017.</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Revenues increased $129.7 million, or 7%, in 2016 compared with 2015 primarily due to an increase in product revenues, which increased $130.5 million in 2016 as compared with 2015. The growth was driven primarily by increased smart metering volumes</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in our North America region, as well as growth in our EMEA and Asia Pacific regions. These increases were partially offset by reduced product revenues in our Latin America region. Service revenues decreased $0.9 million in 2016 as compared with 2015. The decrease resulted from a reduction in EMEA service revenues in 2016, mostly offset by an increase in service revenues in North America. Changes in currency exchange rates unfavorably impacted revenues by $34.8 million. A more detailed analysis of these fluctuations, including analysis by segment, is provided in </w:t>
      </w:r>
      <w:r>
        <w:rPr>
          <w:rFonts w:ascii="Arial" w:cs="Arial" w:eastAsia="Arial" w:hAnsi="Arial"/>
          <w:sz w:val="16"/>
          <w:szCs w:val="16"/>
          <w:i w:val="1"/>
          <w:iCs w:val="1"/>
          <w:color w:val="auto"/>
        </w:rPr>
        <w:t>Operating Segment Results.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2017, 2016, and 2015. Our 10 largest customers accounted for 33%, 31%, and 22% of total revenues in 2017, 2016, and 2015,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margin was 33.5% for 2017, compared with 32.8% in 2016. Our gross margin associated with product sales improved to 33.5% in 2017 from 32.3% in 2016 due to improved product mix, particularly in our Electricity segment, and an $8.0 million insurance recovery in 2017 associated with warranty expenses previously recognized as a result of our 2015 communication module product replacement notification to customers in our Water segment. This recovery contributed 40 basis points to the gross margin improvement. Gross margin associated with our service revenues declined to 32.7% from 37.9% in 2016 due to lower margin sales in our EMEA region.</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was 32.8% in 2016, compared with 29.6% in 2015. The increase was primarily driven by the $29.4 million warranty charge recognized in 2015 previously discussed. Product gross margins increased to 32.3% in 2016 from 28.4% in 2015 as a result of the warranty charge in 2015. Service gross margin decreased to 37.9% in 2016 from 40.1% in 2015 as a result of the closure of a services business in our EMEA region.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operating expense:</w:t>
      </w: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170,008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158,883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169,977</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168,209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156,540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162,815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20,785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25,112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(4,327)</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(42,672)</w:t>
            </w:r>
          </w:p>
        </w:tc>
        <w:tc>
          <w:tcPr>
            <w:tcW w:w="0" w:type="dxa"/>
            <w:vAlign w:val="bottom"/>
          </w:tcPr>
          <w:p>
            <w:pPr>
              <w:spacing w:after="0"/>
              <w:rPr>
                <w:sz w:val="1"/>
                <w:szCs w:val="1"/>
                <w:color w:val="auto"/>
              </w:rPr>
            </w:pPr>
          </w:p>
        </w:tc>
      </w:tr>
      <w:tr>
        <w:trPr>
          <w:trHeight w:val="217"/>
        </w:trPr>
        <w:tc>
          <w:tcPr>
            <w:tcW w:w="30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523,728</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564,109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5,034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(45,415)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(40,381)</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000" w:type="dxa"/>
            <w:vAlign w:val="bottom"/>
          </w:tcPr>
          <w:p>
            <w:pPr>
              <w:spacing w:after="0"/>
              <w:rPr>
                <w:sz w:val="24"/>
                <w:szCs w:val="24"/>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158,883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161,380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168,209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162,334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5,875</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162,815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155,715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25,112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31,673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(6,561)</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49,090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56,353</w:t>
            </w:r>
          </w:p>
        </w:tc>
        <w:tc>
          <w:tcPr>
            <w:tcW w:w="0" w:type="dxa"/>
            <w:vAlign w:val="bottom"/>
          </w:tcPr>
          <w:p>
            <w:pPr>
              <w:spacing w:after="0"/>
              <w:rPr>
                <w:sz w:val="1"/>
                <w:szCs w:val="1"/>
                <w:color w:val="auto"/>
              </w:rPr>
            </w:pPr>
          </w:p>
        </w:tc>
      </w:tr>
      <w:tr>
        <w:trPr>
          <w:trHeight w:val="217"/>
        </w:trPr>
        <w:tc>
          <w:tcPr>
            <w:tcW w:w="30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564,109</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503,839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(7,320)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67,590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60,270</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Operating expenses decreased $40.4 million for the year ended December 31, 2017 as compared with the same period in 2016. This was primarily related to decreases in restructuring and general and administrative expense, partially offset by an increase in sales and marketing expenses.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2016, operating expenses increased $60.3 million as compared with the same period in 2015. This was primarily related to increased restructuring expense related to the 2016 Projects. The increases in general and administrative and product development expenses were related to variable compensation, professional service, and temporary worker expenses. This was partially offset by a decrease in amortization of intangible asset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gridSpan w:val="5"/>
          </w:tcPr>
          <w:p>
            <w:pPr>
              <w:ind w:left="160"/>
              <w:spacing w:after="0"/>
              <w:rPr>
                <w:sz w:val="20"/>
                <w:szCs w:val="20"/>
                <w:color w:val="auto"/>
              </w:rPr>
            </w:pPr>
            <w:r>
              <w:rPr>
                <w:rFonts w:ascii="Arial" w:cs="Arial" w:eastAsia="Arial" w:hAnsi="Arial"/>
                <w:sz w:val="16"/>
                <w:szCs w:val="16"/>
                <w:b w:val="1"/>
                <w:bCs w:val="1"/>
                <w:color w:val="auto"/>
                <w:w w:val="91"/>
              </w:rPr>
              <w:t>Year Ended December 31,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2"/>
              </w:rPr>
              <w:t>146%</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Pr>
          <w:p>
            <w:pPr>
              <w:spacing w:after="0"/>
              <w:rPr>
                <w:sz w:val="20"/>
                <w:szCs w:val="20"/>
                <w:color w:val="auto"/>
              </w:rPr>
            </w:pPr>
          </w:p>
        </w:tc>
        <w:tc>
          <w:tcPr>
            <w:tcW w:w="1200" w:type="dxa"/>
            <w:vAlign w:val="bottom"/>
          </w:tcPr>
          <w:p>
            <w:pPr>
              <w:jc w:val="center"/>
              <w:ind w:left="99"/>
              <w:spacing w:after="0"/>
              <w:rPr>
                <w:sz w:val="20"/>
                <w:szCs w:val="20"/>
                <w:color w:val="auto"/>
              </w:rPr>
            </w:pPr>
            <w:r>
              <w:rPr>
                <w:rFonts w:ascii="Arial" w:cs="Arial" w:eastAsia="Arial" w:hAnsi="Arial"/>
                <w:sz w:val="16"/>
                <w:szCs w:val="16"/>
                <w:color w:val="auto"/>
                <w:w w:val="94"/>
              </w:rPr>
              <w:t>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(9,872)</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(10,161)</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(7,396)</w:t>
            </w:r>
          </w:p>
        </w:tc>
        <w:tc>
          <w:tcPr>
            <w:tcW w:w="120" w:type="dxa"/>
            <w:vAlign w:val="bottom"/>
          </w:tcPr>
          <w:p>
            <w:pPr>
              <w:spacing w:after="0"/>
              <w:rPr>
                <w:sz w:val="20"/>
                <w:szCs w:val="20"/>
                <w:color w:val="auto"/>
              </w:rPr>
            </w:pPr>
          </w:p>
        </w:tc>
        <w:tc>
          <w:tcPr>
            <w:tcW w:w="1200" w:type="dxa"/>
            <w:vAlign w:val="bottom"/>
          </w:tcPr>
          <w:p>
            <w:pPr>
              <w:jc w:val="center"/>
              <w:ind w:left="99"/>
              <w:spacing w:after="0"/>
              <w:rPr>
                <w:sz w:val="20"/>
                <w:szCs w:val="20"/>
                <w:color w:val="auto"/>
              </w:rPr>
            </w:pPr>
            <w:r>
              <w:rPr>
                <w:rFonts w:ascii="Arial" w:cs="Arial" w:eastAsia="Arial" w:hAnsi="Arial"/>
                <w:sz w:val="16"/>
                <w:szCs w:val="16"/>
                <w:color w:val="auto"/>
                <w:w w:val="92"/>
              </w:rPr>
              <w:t>393%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(4,216)</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(16,851)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3"/>
              </w:rPr>
              <w:t>45%</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(15,744)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other income (expense) for the year ended December 31, 2017 was a net expense of $16.9 million compared with $11.6 million in 2016. The change for the year ended December 31, 2017 as compared with 2016 was due to fluctuations in the recognized foreign currency exchange gains and losses due to transactions denominated in a currency other than an entity's functional currency.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other income (expense) for the year ended December 31, 2016 was a net expense of $11.6 million compared with $15.7 million in 2015. The change for the year ended December 31, 2016 as compared with 2015 was due to fluctuations in the recognized foreign currency exchange gains and losses due to transactions denominated in a currency other than an entity's functional currency. The decreased expense in 2016 was also due to the write off of unamortized prepaid debt fees in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income tax provision was $74.3 million, $49.6 million, and $22.1 million for the years ended December 31, 2017, 2016, and 2015, respectively. Our tax rates of 55%, 59%, and 60% for the years ended December 31, 2017, 2016, and 2015 differ from the 35% U.S. federal statutory tax rate due to the level of profit or losses in domestic and foreign jurisdictions, new or revised tax legislation and accounting pronouncements, tax credits (including research and development and foreign tax), state income taxes, adjustments to valuation allowances, and uncertain tax positions, among other items.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tax provision for the year ended December 31, 2017 was significantly impacted by the inclusion of $30.4 million of expense for the provisional determination of the impact to our deferred tax positions of the Tax Cut and Jobs Act. We will continue to review any additional guidance issued by the U.S. Department of the Treasury, Internal Revenue Service, Financial Accounting Standards Board, or other regulatory bodies and adjust our provisional amount during the measurement period, which should not extend beyond one year from the enactment date of December 22,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related to income taxes, see Item 8: “Financial Statements and Supplementary Data, Note 11: Income Taxes.”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1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a description of our operating segments, refer to Item 8: “Financial Statements and Supplementary Data, Note 16: Segment Information” in this Annual Report on Form 10-K. The following tables and discussion highlight significant changes in trends or components of each operating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2"/>
              </w:rPr>
              <w:t>Year Ended December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121"/>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 Change</w:t>
            </w:r>
          </w:p>
        </w:tc>
        <w:tc>
          <w:tcPr>
            <w:tcW w:w="180" w:type="dxa"/>
            <w:vAlign w:val="bottom"/>
          </w:tcPr>
          <w:p>
            <w:pPr>
              <w:spacing w:after="0"/>
              <w:rPr>
                <w:sz w:val="20"/>
                <w:szCs w:val="20"/>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95"/>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Revenues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1,022,939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938,374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820,306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Gas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533,624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569,476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543,805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461,634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505,336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4"/>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519,422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340" w:type="dxa"/>
            <w:vAlign w:val="bottom"/>
          </w:tcPr>
          <w:p>
            <w:pPr>
              <w:ind w:left="72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2,018,197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2,013,186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1,883,533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82"/>
              </w:rPr>
              <w:t>Gross</w:t>
            </w: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6"/>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6"/>
              </w:rPr>
              <w:t>Gross</w:t>
            </w: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i w:val="1"/>
                <w:iCs w:val="1"/>
                <w:color w:val="auto"/>
                <w:w w:val="86"/>
              </w:rPr>
              <w:t>Gross</w:t>
            </w:r>
          </w:p>
        </w:tc>
        <w:tc>
          <w:tcPr>
            <w:tcW w:w="180" w:type="dxa"/>
            <w:vAlign w:val="bottom"/>
          </w:tcPr>
          <w:p>
            <w:pPr>
              <w:spacing w:after="0"/>
              <w:rPr>
                <w:sz w:val="18"/>
                <w:szCs w:val="18"/>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2"/>
              </w:rPr>
              <w:t>Gross</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86"/>
              </w:rPr>
              <w:t>Gross</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90"/>
              </w:rPr>
              <w:t>Profit</w:t>
            </w: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5"/>
              </w:rPr>
              <w:t>Profit</w:t>
            </w: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0"/>
              </w:rPr>
              <w:t>Profit</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318,953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31.2%</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282,677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225,446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27.5%</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Gas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191,303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35.8%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205,063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36.0%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185,559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34.1%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164,898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35.7%</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172,580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145,680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28.0%</w:t>
            </w:r>
          </w:p>
        </w:tc>
        <w:tc>
          <w:tcPr>
            <w:tcW w:w="0" w:type="dxa"/>
            <w:vAlign w:val="bottom"/>
          </w:tcPr>
          <w:p>
            <w:pPr>
              <w:spacing w:after="0"/>
              <w:rPr>
                <w:sz w:val="1"/>
                <w:szCs w:val="1"/>
                <w:color w:val="auto"/>
              </w:rPr>
            </w:pPr>
          </w:p>
        </w:tc>
      </w:tr>
      <w:tr>
        <w:trPr>
          <w:trHeight w:val="244"/>
        </w:trPr>
        <w:tc>
          <w:tcPr>
            <w:tcW w:w="3340" w:type="dxa"/>
            <w:vAlign w:val="bottom"/>
          </w:tcPr>
          <w:p>
            <w:pPr>
              <w:ind w:left="720"/>
              <w:spacing w:after="0"/>
              <w:rPr>
                <w:sz w:val="20"/>
                <w:szCs w:val="20"/>
                <w:color w:val="auto"/>
              </w:rPr>
            </w:pPr>
            <w:r>
              <w:rPr>
                <w:rFonts w:ascii="Arial" w:cs="Arial" w:eastAsia="Arial" w:hAnsi="Arial"/>
                <w:sz w:val="16"/>
                <w:szCs w:val="16"/>
                <w:color w:val="auto"/>
              </w:rPr>
              <w:t>Total gross profit and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675,154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34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660,320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32.8%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556,685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29.6%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2"/>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121"/>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 Change</w:t>
            </w:r>
          </w:p>
        </w:tc>
        <w:tc>
          <w:tcPr>
            <w:tcW w:w="180" w:type="dxa"/>
            <w:vAlign w:val="bottom"/>
          </w:tcPr>
          <w:p>
            <w:pPr>
              <w:spacing w:after="0"/>
              <w:rPr>
                <w:sz w:val="20"/>
                <w:szCs w:val="20"/>
                <w:color w:val="auto"/>
              </w:rPr>
            </w:pPr>
          </w:p>
        </w:tc>
        <w:tc>
          <w:tcPr>
            <w:tcW w:w="1060" w:type="dxa"/>
            <w:vAlign w:val="bottom"/>
          </w:tcPr>
          <w:p>
            <w:pPr>
              <w:jc w:val="center"/>
              <w:ind w:right="81"/>
              <w:spacing w:after="0"/>
              <w:rPr>
                <w:sz w:val="20"/>
                <w:szCs w:val="20"/>
                <w:color w:val="auto"/>
              </w:rPr>
            </w:pPr>
            <w:r>
              <w:rPr>
                <w:rFonts w:ascii="Arial" w:cs="Arial" w:eastAsia="Arial" w:hAnsi="Arial"/>
                <w:sz w:val="16"/>
                <w:szCs w:val="16"/>
                <w:b w:val="1"/>
                <w:bCs w:val="1"/>
                <w:color w:val="auto"/>
                <w:w w:val="95"/>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225,387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214,390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194,342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Gas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117,097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138,250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3"/>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118,088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4"/>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60,840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76,155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65,593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523,728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564,109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503,839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87"/>
              </w:rPr>
              <w:t>Operating</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9"/>
              </w:rPr>
              <w:t>Operating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7"/>
              </w:rPr>
              <w:t>Operating</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89"/>
              </w:rPr>
              <w:t>Income</w:t>
            </w: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9"/>
              </w:rPr>
              <w:t>Operating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2"/>
              </w:rPr>
              <w:t>Income</w:t>
            </w: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i w:val="1"/>
                <w:iCs w:val="1"/>
                <w:color w:val="auto"/>
                <w:w w:val="89"/>
              </w:rPr>
              <w:t>Operating</w:t>
            </w: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9"/>
              </w:rPr>
              <w:t>Income</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89"/>
              </w:rPr>
              <w:t>Operating</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6"/>
                <w:szCs w:val="16"/>
                <w:b w:val="1"/>
                <w:bCs w:val="1"/>
                <w:i w:val="1"/>
                <w:iCs w:val="1"/>
                <w:color w:val="auto"/>
                <w:w w:val="87"/>
              </w:rPr>
              <w:t>(Loss)</w:t>
            </w:r>
          </w:p>
        </w:tc>
        <w:tc>
          <w:tcPr>
            <w:tcW w:w="8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3"/>
              </w:rPr>
              <w:t>(Loss)</w:t>
            </w: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7"/>
              </w:rPr>
              <w:t>(Loss)</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Operating Income (Loss) and</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Operating Margin</w:t>
            </w:r>
          </w:p>
        </w:tc>
        <w:tc>
          <w:tcPr>
            <w:tcW w:w="180" w:type="dxa"/>
            <w:vAlign w:val="bottom"/>
          </w:tcPr>
          <w:p>
            <w:pPr>
              <w:spacing w:after="0"/>
              <w:rPr>
                <w:sz w:val="20"/>
                <w:szCs w:val="20"/>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93,566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w:t>
            </w: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68,287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87"/>
              </w:rPr>
              <w:t>3.8%</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Gas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74,206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13.9%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66,813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88"/>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67,471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12.4%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19,864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87"/>
              </w:rPr>
              <w:t>3.8%</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8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(60,840)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(65,593)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151,426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96,211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3"/>
              </w:rPr>
              <w:t>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52,846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87"/>
              </w:rPr>
              <w:t>2.8%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80" w:type="dxa"/>
            <w:vAlign w:val="bottom"/>
            <w:gridSpan w:val="3"/>
            <w:vMerge w:val="restart"/>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80" w:type="dxa"/>
            <w:vAlign w:val="bottom"/>
            <w:vMerge w:val="restart"/>
          </w:tcPr>
          <w:p>
            <w:pPr>
              <w:jc w:val="center"/>
              <w:ind w:right="3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99"/>
              <w:spacing w:after="0"/>
              <w:rPr>
                <w:sz w:val="20"/>
                <w:szCs w:val="20"/>
                <w:color w:val="auto"/>
              </w:rPr>
            </w:pPr>
            <w:r>
              <w:rPr>
                <w:rFonts w:ascii="Arial" w:cs="Arial" w:eastAsia="Arial" w:hAnsi="Arial"/>
                <w:sz w:val="16"/>
                <w:szCs w:val="16"/>
                <w:b w:val="1"/>
                <w:bCs w:val="1"/>
                <w:color w:val="auto"/>
                <w:w w:val="99"/>
              </w:rPr>
              <w:t>(in thousands)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1,022,939</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938,374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80,413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84,565</w:t>
            </w:r>
          </w:p>
        </w:tc>
        <w:tc>
          <w:tcPr>
            <w:tcW w:w="0" w:type="dxa"/>
            <w:vAlign w:val="bottom"/>
          </w:tcPr>
          <w:p>
            <w:pPr>
              <w:spacing w:after="0"/>
              <w:rPr>
                <w:sz w:val="1"/>
                <w:szCs w:val="1"/>
                <w:color w:val="auto"/>
              </w:rPr>
            </w:pPr>
          </w:p>
        </w:tc>
      </w:tr>
      <w:tr>
        <w:trPr>
          <w:trHeight w:val="237"/>
        </w:trPr>
        <w:tc>
          <w:tcPr>
            <w:tcW w:w="276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318,953</w:t>
            </w:r>
          </w:p>
        </w:tc>
        <w:tc>
          <w:tcPr>
            <w:tcW w:w="5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282,677</w:t>
            </w:r>
          </w:p>
        </w:tc>
        <w:tc>
          <w:tcPr>
            <w:tcW w:w="24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36,206</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36,276</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225,387</w:t>
            </w:r>
          </w:p>
        </w:tc>
        <w:tc>
          <w:tcPr>
            <w:tcW w:w="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214,390</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1,144</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10,997</w:t>
            </w:r>
          </w:p>
        </w:tc>
        <w:tc>
          <w:tcPr>
            <w:tcW w:w="0" w:type="dxa"/>
            <w:vAlign w:val="bottom"/>
          </w:tcPr>
          <w:p>
            <w:pPr>
              <w:spacing w:after="0"/>
              <w:rPr>
                <w:sz w:val="1"/>
                <w:szCs w:val="1"/>
                <w:color w:val="auto"/>
              </w:rPr>
            </w:pPr>
          </w:p>
        </w:tc>
      </w:tr>
      <w:tr>
        <w:trPr>
          <w:trHeight w:val="648"/>
        </w:trPr>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3"/>
            <w:vMerge w:val="restart"/>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24"/>
                <w:szCs w:val="24"/>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480" w:type="dxa"/>
            <w:vAlign w:val="bottom"/>
            <w:vMerge w:val="restart"/>
          </w:tcPr>
          <w:p>
            <w:pPr>
              <w:jc w:val="center"/>
              <w:ind w:right="3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99"/>
              <w:spacing w:after="0"/>
              <w:rPr>
                <w:sz w:val="20"/>
                <w:szCs w:val="20"/>
                <w:color w:val="auto"/>
              </w:rPr>
            </w:pPr>
            <w:r>
              <w:rPr>
                <w:rFonts w:ascii="Arial" w:cs="Arial" w:eastAsia="Arial" w:hAnsi="Arial"/>
                <w:sz w:val="16"/>
                <w:szCs w:val="16"/>
                <w:b w:val="1"/>
                <w:bCs w:val="1"/>
                <w:color w:val="auto"/>
                <w:w w:val="99"/>
              </w:rPr>
              <w:t>(in thousands)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938,374</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820,306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135,711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118,068</w:t>
            </w:r>
          </w:p>
        </w:tc>
        <w:tc>
          <w:tcPr>
            <w:tcW w:w="0" w:type="dxa"/>
            <w:vAlign w:val="bottom"/>
          </w:tcPr>
          <w:p>
            <w:pPr>
              <w:spacing w:after="0"/>
              <w:rPr>
                <w:sz w:val="1"/>
                <w:szCs w:val="1"/>
                <w:color w:val="auto"/>
              </w:rPr>
            </w:pPr>
          </w:p>
        </w:tc>
      </w:tr>
      <w:tr>
        <w:trPr>
          <w:trHeight w:val="237"/>
        </w:trPr>
        <w:tc>
          <w:tcPr>
            <w:tcW w:w="276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282,677</w:t>
            </w:r>
          </w:p>
        </w:tc>
        <w:tc>
          <w:tcPr>
            <w:tcW w:w="5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225,446</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(5,606)</w:t>
            </w: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62,837</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57,231</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214,390</w:t>
            </w:r>
          </w:p>
        </w:tc>
        <w:tc>
          <w:tcPr>
            <w:tcW w:w="5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194,342</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(3,368)</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23,416</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20,048</w:t>
            </w:r>
          </w:p>
        </w:tc>
        <w:tc>
          <w:tcPr>
            <w:tcW w:w="0" w:type="dxa"/>
            <w:vAlign w:val="bottom"/>
          </w:tcPr>
          <w:p>
            <w:pPr>
              <w:spacing w:after="0"/>
              <w:rPr>
                <w:sz w:val="1"/>
                <w:szCs w:val="1"/>
                <w:color w:val="auto"/>
              </w:rPr>
            </w:pPr>
          </w:p>
        </w:tc>
      </w:tr>
      <w:tr>
        <w:trPr>
          <w:trHeight w:val="33"/>
        </w:trPr>
        <w:tc>
          <w:tcPr>
            <w:tcW w:w="2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- 2017 vs. 2016</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Electricity revenues for 2017 increased by $84.6 million, or 9%, compared with 2016. This was a result of increased smart metering revenues in North America and EMEA regions, higher volumes of prepaid smart metering solutions in our Asia Pacific region, and improved service revenues in North America. This also included product revenues of $12.8 million and service revenues of $19.6 million associated with Comverge. These improvements were partially offset by a decline in service revenues in EMEA, and a decline in product revenues in Latin America.</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- 2016 vs. 2015</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Electricity revenues for 2016 increased by $118.1 million, or 14%, compared with 2015. This increase was primarily driven by increased smart metering revenues in North America and EMEA, higher volumes of prepaid smart metering solutions in our Asia Pacific region, and improved service revenue in North America. These improvements were partially offset by a decline in service revenues in EMEA, and a decline in product revenues in our Latin America region. The total change in Electricity revenues was unfavorably impacted by $17.6 million due to the effect of changes in foreign currency exchange rates.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2017, one customer represented 19% and two additional customers each represented 11% of the Electricity operating segment revenues. Two customers represented 12% and 10% of total Electricity operating segment revenues, respectively, for the year ended December 31, 2016. No customer represented more than 10% of total Electricity operating segment revenues in 2015.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- 2017 vs.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31.2% in 2017, compared with 30.1% in 2016. The 110 basis point improvement over the prior year was primarily the result of higher volumes and favorable product mix.</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- 2016 vs.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30.1% in 2016, compared with 27.5% in 2015. The 260 basis point improvement over the prior year was primarily the result of increased sales of higher margin smart metering solutions in North America and planned reduction of lower margin product sales.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- 2017 vs. 2016</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$11.0 million, or 5%. The increase was primarily due to acquisition and integration related expenses associated with the acquisition of Comverge, which are included in general and administrative expense. This was partially offset by a decrease in restructuring expenses in 2017 as compared with 2016.</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- 2016 vs.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by $20.0 million, or 10%. The increase was primarily due to higher restructuring expenses. In addition, general and administrative expenses for the year ended December 31, 2015 included a recovery of $8.2 million related to the settlement of litigation arising from the SmartSynch acquisition. These increases were partially offset by a decrease in amortization of intangible assets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changes in foreign currency exchange rates and the constant currency changes in certain Gas segment financial results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533,624</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569,476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(35,852)</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191,303</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205,063</w:t>
            </w:r>
          </w:p>
        </w:tc>
        <w:tc>
          <w:tcPr>
            <w:tcW w:w="24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329</w:t>
            </w: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(14,089)</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(13,760)</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117,097</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138,250</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1,113</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(22,266)</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(21,153)</w:t>
            </w:r>
          </w:p>
        </w:tc>
        <w:tc>
          <w:tcPr>
            <w:tcW w:w="0" w:type="dxa"/>
            <w:vAlign w:val="bottom"/>
          </w:tcPr>
          <w:p>
            <w:pPr>
              <w:spacing w:after="0"/>
              <w:rPr>
                <w:sz w:val="1"/>
                <w:szCs w:val="1"/>
                <w:color w:val="auto"/>
              </w:rPr>
            </w:pPr>
          </w:p>
        </w:tc>
      </w:tr>
      <w:tr>
        <w:trPr>
          <w:trHeight w:val="648"/>
        </w:trPr>
        <w:tc>
          <w:tcPr>
            <w:tcW w:w="2700" w:type="dxa"/>
            <w:vAlign w:val="bottom"/>
          </w:tcPr>
          <w:p>
            <w:pPr>
              <w:spacing w:after="0"/>
              <w:rPr>
                <w:sz w:val="24"/>
                <w:szCs w:val="24"/>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569,476</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543,805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32,661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25,671</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205,063</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185,559</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20,486</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19,504</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138,250</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118,088</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(1,336)</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21,498</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20,162</w:t>
            </w:r>
          </w:p>
        </w:tc>
        <w:tc>
          <w:tcPr>
            <w:tcW w:w="0" w:type="dxa"/>
            <w:vAlign w:val="bottom"/>
          </w:tcPr>
          <w:p>
            <w:pPr>
              <w:spacing w:after="0"/>
              <w:rPr>
                <w:sz w:val="1"/>
                <w:szCs w:val="1"/>
                <w:color w:val="auto"/>
              </w:rPr>
            </w:pPr>
          </w:p>
        </w:tc>
      </w:tr>
      <w:tr>
        <w:trPr>
          <w:trHeight w:val="33"/>
        </w:trPr>
        <w:tc>
          <w:tcPr>
            <w:tcW w:w="2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- 2017 vs. 2016</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by $35.9 million, or 6%, in 2017 compared with 2016. This was due to a decrease in product revenues in EMEA and North America due to the completion of significant projects in the prior year, partially offset by an increase in module revenues in North America and product revenues in Latin America.</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- 2016 vs. 2015</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Revenues increased by $25.7 million, or 5%, in 2016 compared with 2015. This was due to an increase in product revenues in North America, EMEA, and Asia Pacific. The total change in Gas revenues was unfavorably impacted by $7.0 million due to the effect of changes in foreign currency exchange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Gas operating segment revenues in 2017, 2016, or 2015.</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- 2017 vs.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35.8% in 2017, compared with 36.0% in 2016. The decrease of 20 basis points was related to higher warranty expenses and lower volumes, mostly offset by improved product mix.</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- 2016 vs. 2015</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margin was 36.0% in 2016, compared with 34.1% in 2015. The increase of 190 basis points was related to improved product mix and increased volumes.</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- 2017 vs.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decreased by $21.2 million, or 15%, in 2017. The decrease was primarily due to higher restructuring expenses in 2016.</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- 2016 vs. 2015</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by $20.2 million, or 17% in 2016. The increase was primarily due to higher restructuring expenses as a result of the announcement of the 2016 Projects, partially offset by a decrease in general and administrative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461,634</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505,336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(47,763)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(43,702)</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164,898</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172,580</w:t>
            </w:r>
          </w:p>
        </w:tc>
        <w:tc>
          <w:tcPr>
            <w:tcW w:w="24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524</w:t>
            </w: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(8,206)</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(7,682)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120,404</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135,314</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2,223</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(17,133)</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(14,910)</w:t>
            </w:r>
          </w:p>
        </w:tc>
        <w:tc>
          <w:tcPr>
            <w:tcW w:w="0" w:type="dxa"/>
            <w:vAlign w:val="bottom"/>
          </w:tcPr>
          <w:p>
            <w:pPr>
              <w:spacing w:after="0"/>
              <w:rPr>
                <w:sz w:val="1"/>
                <w:szCs w:val="1"/>
                <w:color w:val="auto"/>
              </w:rPr>
            </w:pPr>
          </w:p>
        </w:tc>
      </w:tr>
      <w:tr>
        <w:trPr>
          <w:trHeight w:val="648"/>
        </w:trPr>
        <w:tc>
          <w:tcPr>
            <w:tcW w:w="2700" w:type="dxa"/>
            <w:vAlign w:val="bottom"/>
          </w:tcPr>
          <w:p>
            <w:pPr>
              <w:spacing w:after="0"/>
              <w:rPr>
                <w:sz w:val="24"/>
                <w:szCs w:val="24"/>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505,336</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519,422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(14,086)</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172,580</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145,680</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(2,793)</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29,693</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26,900</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135,314</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125,816</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(1,003)</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10,501</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w:t>
            </w:r>
          </w:p>
        </w:tc>
        <w:tc>
          <w:tcPr>
            <w:tcW w:w="0" w:type="dxa"/>
            <w:vAlign w:val="bottom"/>
          </w:tcPr>
          <w:p>
            <w:pPr>
              <w:spacing w:after="0"/>
              <w:rPr>
                <w:sz w:val="1"/>
                <w:szCs w:val="1"/>
                <w:color w:val="auto"/>
              </w:rPr>
            </w:pPr>
          </w:p>
        </w:tc>
      </w:tr>
      <w:tr>
        <w:trPr>
          <w:trHeight w:val="33"/>
        </w:trPr>
        <w:tc>
          <w:tcPr>
            <w:tcW w:w="2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- 2017 vs.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decreased $43.7 million, or 9%, in 2017. This decrease was primarily due to lower product revenues in North America and EMEA. This was partially offset by improved product revenues in Latin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- 2016 vs. 2015</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Revenues decreased $14.1 million, or 3%, in 2016. This decrease was primarily due to the effects of changes in foreign currency exchange rates, along with lower meter volumes in EMEA. This was partially offset by improved product and service revenues in North America and Asia Pacific.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Water operating segment revenues in 2017, 2016, or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- 2017 vs. 2016</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margin increased to 35.7% in 2017, compared with 34.2% in 2016. The 150 basis point increase was driven by lower warranty expense in 2017, including an $8.0 million insurance recovery in North America associated with warranty expenses previously recognized as a result of our 2015 product replacement notification to customers who had purchased certain communication modules. This insurance recovery increased gross margin by 170 basis points in 2017.</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- 2016 vs.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increased to 34.2% in 2016, compared with 28.0% in 2015, driven by reduced warranty expenses in 2016. Gross margin in 2015 was unfavorably impacted 570 basis points by the 2015 product replacement discussed above.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- 2017 vs.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decreased $14.9 million, or 11%, in 2017. The decrease was primarily due to higher restructuring expenses in 2016.</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- 2016 vs.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increased by $9.5 million, or 8% in 2016. The increase was primarily due to higher restructuring expenses as a result of the announcement of the 2016 Projects.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$15.3 million, or 20%, in 2017 as compared with 2016. The decrease was primarily due to lower professional service fees associated with audit, accounting, and legal services, partially offset by an increase in acquisition and integration related expenses.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unallocated expenses increased $10.6 million, or 16%, in 2016 as compared with 2015. The increase was primarily in general and administrative expense due to higher professional service fees and variable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191,354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73,350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(148,179)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(47,528)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(48,951)</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301,959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8,636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(13,492)</w:t>
            </w:r>
          </w:p>
        </w:tc>
      </w:tr>
      <w:tr>
        <w:trPr>
          <w:trHeight w:val="33"/>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cash, cash equivalents, and restricted cash</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353,770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18,647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cash equivalents, and restricted cash at December 31, 2017 were $487.3 million, compared with $133.6 million at December 31, 2016. The $353.8 million increase in cash, cash equivalents, and restricted cash was primarily the result of our net financing and investing activities related to our acquisitions of Comverge and SSNI, as well as an increase in cash flow provided by operating activities.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at December 31, 2016 were $2.5 million higher compared with the prior year, as the increase in cash flow provided by provided by operating activities was substantially offset by an increase in cash used in financing activities.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cash provided by operating activities in 2017 was $75.5 million higher than in 2016. This increase was due to an improvement in net income adjusted for non-cash items and changes in operating asset and liabilities. Favorable adjustments include a $115.8 million reduction in cash used for accounts payable, other current liabilities, and taxes payable primarily due to the timing of payments and a litigation payment made during the year ended December 31, 2016. Unfavorable adjustments include a $38.6 million increased use of cash for inventory primarily related to </w:t>
      </w:r>
      <w:r>
        <w:rPr>
          <w:rFonts w:ascii="Arial" w:cs="Arial" w:eastAsia="Arial" w:hAnsi="Arial"/>
          <w:sz w:val="18"/>
          <w:szCs w:val="18"/>
          <w:color w:val="222222"/>
        </w:rPr>
        <w:t>our strategic sourcing projects and related</w:t>
      </w:r>
      <w:r>
        <w:rPr>
          <w:rFonts w:ascii="Arial" w:cs="Arial" w:eastAsia="Arial" w:hAnsi="Arial"/>
          <w:sz w:val="18"/>
          <w:szCs w:val="18"/>
          <w:color w:val="auto"/>
        </w:rPr>
        <w:t xml:space="preserve"> </w:t>
      </w:r>
      <w:r>
        <w:rPr>
          <w:rFonts w:ascii="Arial" w:cs="Arial" w:eastAsia="Arial" w:hAnsi="Arial"/>
          <w:sz w:val="18"/>
          <w:szCs w:val="18"/>
          <w:color w:val="222222"/>
        </w:rPr>
        <w:t xml:space="preserve">manufacturing and supplier transitions </w:t>
      </w:r>
      <w:r>
        <w:rPr>
          <w:rFonts w:ascii="Arial" w:cs="Arial" w:eastAsia="Arial" w:hAnsi="Arial"/>
          <w:sz w:val="18"/>
          <w:szCs w:val="18"/>
          <w:color w:val="000000"/>
        </w:rPr>
        <w:t>during the year ended December 31, 2017.</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in 2016 was $42.5 million higher than 2015. This increase was due to an improvement in net income adjusted for non-cash items and changes in operating asset and liabilities. These adjustments include a $75.1 million decreased use of cash for inventory caused by a prior year buildup for expected demand. In addition, $49.1 million of restructuring expense was recognized related to the 2016 Projects, much of which will be paid in future periods or relates to non-cash items. These improvements were partially offset by the $29.4 million warranty charge recognized during the year ended December 31, 2015 related to a product replacement notification to customers of our Water business line for which many replacements have been processed during 2016. In addition, there was a $37.8 million net reduction for unearned revenue recognized during the year for which cash was collected in previous years.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investing activities in 2017 was $100.7 million higher than in 2016. This increased use of cash was primarily related to our acquisition of Comverge during the year ended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in 2016 was $1.4 million lower than in 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in 2017 was $302.0 million, compared with a net use of cash of $63.0 million in 2016. The increase in cash provided by financing activities was primarily caused by the issuance of $300.0 million of senior notes to finance the acquisition of SSNI. In addition, net debt repayments for the year ended December 31, 2016 were $54.9 million greater than in 2017, as cash provided from operating activities in 2017 was retained and used for the acquisitions of Comverge and SSNI.</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financing activities in 2016 was $70.8 million greater than in 2015, primarily a result of the net repayment of $63.2 million of borrowings in 2016, compared with utilizing $50.5 million of net proceeds during the same period in 2015. This was partially offset by a $38.3 million reduction in cash used for repurchases of common stock during the year ended December 31, 2016, compared with the same period in 2015.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exchange rates on the cash balances of currencies held in foreign denominations resulted in an increase of $8.6 million, a decrease of $2.7 million, and a decrease of $13.5 million in 2017, 2016, and 2015, respectively. Our foreign currency exposure relates to non-U.S. dollar denominated balances in our international subsidiary operations, the most significant of which is the euro.</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191,354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73,350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(49,495)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(43,543)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(43,918)</w:t>
            </w:r>
          </w:p>
        </w:tc>
      </w:tr>
      <w:tr>
        <w:trPr>
          <w:trHeight w:val="33"/>
        </w:trPr>
        <w:tc>
          <w:tcPr>
            <w:tcW w:w="6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141,859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72,299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29,432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fluctuated primarily as a result of changes in cash provided by operating activities. See the cash flow discussion of operating activities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December 31, 2017 and December 31, 2016 that we believe are reasonably likely to have a current or future effect on our financial condition, results of operations, or cash flows.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about contractual obligations and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2017, as well as an estimate of the timing in which these obligations are expected to be satisfied.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1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Beyond</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3"/>
        </w:trPr>
        <w:tc>
          <w:tcPr>
            <w:tcW w:w="47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132,388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129,724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420,958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352,500</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48,602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15,353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16,830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9,799</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and service commitments</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156,549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155,642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rPr>
              <w:t>Other long-term liabilities reflected on the balance sheet under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9"/>
        </w:trPr>
        <w:tc>
          <w:tcPr>
            <w:tcW w:w="4700" w:type="dxa"/>
            <w:vAlign w:val="bottom"/>
          </w:tcPr>
          <w:p>
            <w:pPr>
              <w:ind w:left="120"/>
              <w:spacing w:after="0" w:line="239" w:lineRule="exact"/>
              <w:rPr>
                <w:sz w:val="20"/>
                <w:szCs w:val="20"/>
                <w:color w:val="auto"/>
              </w:rPr>
            </w:pPr>
            <w:r>
              <w:rPr>
                <w:rFonts w:ascii="Arial" w:cs="Arial" w:eastAsia="Arial" w:hAnsi="Arial"/>
                <w:sz w:val="16"/>
                <w:szCs w:val="16"/>
                <w:color w:val="auto"/>
              </w:rPr>
              <w:t>generally accepted accounting principles</w:t>
            </w:r>
            <w:r>
              <w:rPr>
                <w:rFonts w:ascii="Arial" w:cs="Arial" w:eastAsia="Arial" w:hAnsi="Arial"/>
                <w:sz w:val="21"/>
                <w:szCs w:val="21"/>
                <w:color w:val="auto"/>
                <w:vertAlign w:val="superscript"/>
              </w:rPr>
              <w:t>(4)</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84,597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41,858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29,984</w:t>
            </w:r>
          </w:p>
        </w:tc>
      </w:tr>
      <w:tr>
        <w:trPr>
          <w:trHeight w:val="24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1,051,053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401,774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392,283</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Borrowings are disclosed within Item 8: “Financial Statements and Supplementary Data, Note 6: Debt” included in this Annual Report on Form 10-K.</w:t>
      </w:r>
    </w:p>
    <w:p>
      <w:pPr>
        <w:spacing w:after="0" w:line="171" w:lineRule="exact"/>
        <w:rPr>
          <w:rFonts w:ascii="Arial" w:cs="Arial" w:eastAsia="Arial" w:hAnsi="Arial"/>
          <w:sz w:val="22"/>
          <w:szCs w:val="22"/>
          <w:color w:val="auto"/>
          <w:vertAlign w:val="superscript"/>
        </w:rPr>
      </w:pPr>
    </w:p>
    <w:p>
      <w:pPr>
        <w:ind w:left="340" w:hanging="332"/>
        <w:spacing w:after="0" w:line="229" w:lineRule="auto"/>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Operating lease obligations are disclosed in Item 8: “Financial Statements and Supplementary Data, Note 12: Commitments and Contingencies” included in this Annual Report on Form 10-K and do not include common area maintenance charges, real estate taxes, and insurance charges for which we are obligated.</w:t>
      </w:r>
    </w:p>
    <w:p>
      <w:pPr>
        <w:spacing w:after="0" w:line="172" w:lineRule="exact"/>
        <w:rPr>
          <w:rFonts w:ascii="Arial" w:cs="Arial" w:eastAsia="Arial" w:hAnsi="Arial"/>
          <w:sz w:val="21"/>
          <w:szCs w:val="21"/>
          <w:color w:val="auto"/>
          <w:vertAlign w:val="superscript"/>
        </w:rPr>
      </w:pPr>
    </w:p>
    <w:p>
      <w:pPr>
        <w:jc w:val="both"/>
        <w:ind w:left="340" w:hanging="332"/>
        <w:spacing w:after="0" w:line="230"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materials and other items. Purchase orders can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2017 if the commitments were canceled.</w:t>
      </w:r>
    </w:p>
    <w:p>
      <w:pPr>
        <w:spacing w:after="0" w:line="187" w:lineRule="exact"/>
        <w:rPr>
          <w:rFonts w:ascii="Arial" w:cs="Arial" w:eastAsia="Arial" w:hAnsi="Arial"/>
          <w:sz w:val="22"/>
          <w:szCs w:val="22"/>
          <w:color w:val="auto"/>
          <w:vertAlign w:val="superscript"/>
        </w:rPr>
      </w:pPr>
    </w:p>
    <w:p>
      <w:pPr>
        <w:jc w:val="both"/>
        <w:ind w:left="340" w:hanging="332"/>
        <w:spacing w:after="0" w:line="260"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 xml:space="preserve">Other long-term liabilities consist of warranty obligations, estimated pension benefit payments, and other obligations. Estimated pension benefit payments include amounts from 2019-2027. Long-term unrecognized tax benefits totaling $25.4 million (net of pre-payments), which include accrued interest and penalties, are not included in the above contractual obligations and commitments table as we cannot reliably estimate the period of cash settlement with the respective taxing authorities. Additionally, because the amount and timing of the future cash outflows are uncertain, deferred revenue totaling $35.6 million, which includes deferred revenue related to extended warranty guarantees, is not included in the table. For further information on defined benefit pension plans, income taxes, and warranty obligations and deferred revenue for extended warranties, see Item 8: </w:t>
      </w:r>
      <w:r>
        <w:rPr>
          <w:rFonts w:ascii="Arial" w:cs="Arial" w:eastAsia="Arial" w:hAnsi="Arial"/>
          <w:sz w:val="18"/>
          <w:szCs w:val="18"/>
          <w:color w:val="auto"/>
        </w:rPr>
        <w:t>“</w:t>
      </w:r>
      <w:r>
        <w:rPr>
          <w:rFonts w:ascii="Arial" w:cs="Arial" w:eastAsia="Arial" w:hAnsi="Arial"/>
          <w:sz w:val="16"/>
          <w:szCs w:val="16"/>
          <w:color w:val="auto"/>
        </w:rPr>
        <w:t>Financial Statements and Supplementary Data, Notes 8, 11, and 12,</w:t>
      </w:r>
      <w:r>
        <w:rPr>
          <w:rFonts w:ascii="Arial" w:cs="Arial" w:eastAsia="Arial" w:hAnsi="Arial"/>
          <w:sz w:val="18"/>
          <w:szCs w:val="18"/>
          <w:color w:val="auto"/>
        </w:rPr>
        <w:t>”</w:t>
      </w:r>
      <w:r>
        <w:rPr>
          <w:rFonts w:ascii="Arial" w:cs="Arial" w:eastAsia="Arial" w:hAnsi="Arial"/>
          <w:sz w:val="16"/>
          <w:szCs w:val="16"/>
          <w:color w:val="auto"/>
        </w:rPr>
        <w:t xml:space="preserve"> respectively, included in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$342.0 million at December 31, 2017.</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2015, we entered into an amended and restated credit agreement providing for committed credit facilities in the amount of $725 million U.S. dollars (the 2015 credit facility). The 2015 credit facility consists of a $225 million U.S. dollar term loan and a multicurrency revolving line of credit (the revolver) with a principal amount of up to $500 million. At December 31, 2017, $125.4 million was outstanding under the revolver, and $342.7 million was available for additional borrowings or standby letters of credit. At December 31, 2017, $31.9 million was utilized by outstanding standby letters of credit, resulting in $218.1 million available for additional letters of credit.</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5, 2018, we entered into a credit agreement (the 2018 credit facility) which amended and restated the 2015 credit facility in its entirety. The 2018 credit facility provides for a $650 million term loan and a $500 million revolver, including a $300 million letter of credit sub-facility and $50 million swingline loan sub-facility. Both the term loan and the revolver mature on January 5, 2023, and amounts borrowed under the revolver may be repaid and reborrowed until the revolver's maturity, at which time the revolver will terminate, and all outstanding loans, together with all accrued and unpaid interest, must be repaid.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we issued $300 million aggregate principal amount of 5.00% senior notes due 2026 (December Notes). The December Notes were issued pursuant to an indenture, dated as of December 22, 2017 (Indenture), among Itron, the guarantors from time to time party thereto and U.S. Bank National Association, as trustee. The December Notes formed a part of the financing of SSNI. On January 19, 2018, we issued an additional $100 million aggregate principal amount of 5.00% senior notes due 2026 pursuant to the Indenture (January Notes). The proceeds from the sale of the January Notes were used to refinance existing indebtedness related to the acquisition of SSNI, pay related fees and expenses and for general corporate purposes.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description of our borrowings, refer to Item 8: “Financial Statements and Supplementary Data, Note 6: Debt, and Note 19: Subsequent Events” included in this Annual Report on Form 10-K.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 included in this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acquired SSNI on January 5, 2018 for approximately $810 million in consideration, which was comprised of cash on hand, the net proceeds from our private offering of December and January Notes and the refinancing of our existing 2015 facility. We will be implementing an integration plan to obtain approximately $50 million of annualized savings by the end of 2020. We anticipate the cost to obtain these savings will be approximately $60 million, of which 95% will result in cash outlays.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pre-tax restructuring charges associated with the 2016 Projects of approximately $60 million, with expected annualized savings of approximately $40 million upon completion. As of December 31, 2017, $40.1 million was accrued for the restructuring projects, of which $32.5 million is expected to be paid over the next 12 months.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22, 2018, our Board of Directors approved the 2018 Projects. The 2018 Projects will include activities that continue our efforts to optimize our global supply chain and manufacturing operations, product development, and sales and marketing organizations. We expect to substantially complete the plan by the end of 2020. We estimate pre-tax restructuring charges of $100 million to $110 million with approximately 20% related to closing or consolidating facilities and non-manufacturing operations and approximately 80% associated with severance and other one-time termination benefits. Of the total estimated charge, approximately 95% will result in cash expenditures. We expect to record the majority of the charges in the first quarter of 2018. The 2018 Projects are expected to result in approximately $45 million to $50 million of annualized savings when substantially complete.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our employees are represented by unions or works councils, which requires consultation, and potential restructuring projects may be subject to regulatory approval, both of which could impact the timing of planned savings in certain jurisdictions.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details regarding our restructuring activities, refer to Item 8: “Financial Statements and Supplementary Data, Note 13: Restructuring.”</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provision as a percentage of income before tax typically differs from the U.S. federal statutory rate of 35%.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uncertain tax positions, among other items. Changes in tax laws, valuation allowances, and unanticipated tax liabilities could significantly impact our tax rate.</w:t>
      </w: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cash income tax payments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federal taxes paid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paid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and local income taxes paid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income taxes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17,500</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15,700</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4,526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1,543</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10,761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11,946</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28,969</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24,287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29,189</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-711200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-368300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$13 million in federal taxes, $8 million in state taxes and $14 million in foreign and local income taxes in 2018. These estimates exclude the impact of the acquisition of SSNI.</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December 31, 2017, there was $46.8 million of cash and short-term investments held by certain foreign subsidiaries in which we are permanently reinvested for tax purposes. If this cash were repatriated to fund U.S. operations, additional tax costs may be incurred. Tax is one of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2017, $12.6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2017, we have accrued $19.6 million of bonus and profit sharing plans expense for the expected achievement of financial and nonfinancial targets, which we expect to pay in cash during the first quarter of 2018.</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our dependence on certain key vendors and components, changes in estimated liabilities for product warranties and/or litigation, future business combinations, capital market fluctuations, international risks, and other factors described under Item 1A: “Risk Factors,” as well as Item 7A: “Quantitative and Qualitative Disclosures About Market Risk,” both included in this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Note 12: Commitments and Contingencies” included in this Annual Report on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Critical accounting policies for us include revenue recognition, warranty, restructuring, income taxes, business combinations, goodwill and intangible assets, defined benefit pension plans, contingencies, and stock-based compensation. Refer to Item 8: “Financial Statements and Supplementary Data, Note 1: Summary of Significant Accounting Policies” included in this Annual Report on Form 10-K for further disclosures regarding accounting policies and new accounting pronouncements.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for implementation services, 4) upon receipt of customer acceptance, or 5) transfer of title and risk of loss. The majority of our revenue is recognized when products are shipped to or received by a customer or when services are provided.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implementation services, revenue is recognized using the percentage-of-completion method of contract accounting if project costs can be reliably estimated, or the completed contract method if project costs cannot be reliably estimated. The estimation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costs through completion of a project is subject to many variables such as the length of time to complete, changes in wages, subcontractor performance, supplier information, and business volume assumptions. Changes in underlying assumptions and estimates may adversely or favorably affect financial performance.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few of our larger customer arrangements contain clauses for liquidated damages, related to delays in delivery or milestone accomplishments, which could become material in an event of failure to meet the contractual deadlines. At the inception of the arrangement and on an ongoing basis, we evaluate if the liquidated damages represent contingent revenue and, if so, we reduce the amount of consideration allocated to the delivered products and services and recognize it as a reduction in revenue in the period of default. If the arrangement is subject to contract accounting, liquidated damages resulting from failure or expected failure to meet milestones are estimated and are accounted for as a reduction in revenue in the period in which the liquidated damages are deemed probable of occurrence and are reasonably estimable.</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vendor specific objective evidence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or fair value, at which we would transact if the product or service were regularly sold by us on a standalone basis. Our determination of ESP involves a weighting of several factors based on the specific facts and circumstances of the arrangement. The factors considered include historical contractual sales, market conditions and entity specific factors, the cost to produce the deliverable, the anticipated margin on that deliverable, our ongoing pricing strategy and policies, and the characteristics of the varying markets in which the deliverable is sold.</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later of when we terminate a contract in accordance with the contract terms or when we cease using the rights conveyed by the contract.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uncertain tax positions, among other items. Changes in tax laws, valuation allowances, and unanticipated tax liabilities could significantly impact our tax rate.</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recognized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recognized value of the associated IPR&amp;D is immediately recognized. If practicable, assets acquired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estimate the preliminary fair value of acquired assets and liabilities as of the date of acquisition based on information available at that time utilizing either a cost or income approach. Contingent consideration is recorded at fair value as of the date of the acquisition with adjustments occurring after the purchase price allocation period, which could be up to one year, recorded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an impairment loss is recognized in an amount equal to the excess.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analysis as of October 1, 2017, it is not more likely than not that the fair value of our reporting units is less than their carrying amounts. Changes in market demand, fluctuations in the economies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condition.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of tax, the actuarial gains or losses and prior service costs or credits, if any that arise during the period but are not recognized as components of net periodic benefit cost.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93% of our benefit obligation, we use two discount rates with consideration of the duration of the plans, using a hypothetical yield curve developed from euro-denominated AA-rated corporate bond issues. These bond issues are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1.00% and 1.75%, respectively. The weighted average discount rate used to measure the projected benefit obligation for all of the plans at December 31, 2017 was 2.21%. A change of 25 basis points in the discount rate would change our projected benefit obligation by approximately $5 million. The financial and actuarial assumptions used at December 31, 2017 may differ materially from actual results due to changing market and economic conditions and other factors. These differences could result in a significant change in the amount of pension expense recognized in future periods.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grant various stock-based compensation awards to our officers, employees and Board of Directors with service, performance, and market vesting conditions, including stock options, restricted stock units, phantom stock units, and unrestricted stock units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the impact of the Tax Cuts and Jobs Act (Tax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free cash flow, and operating income by segment with the most directly comparable GAAP financial measures.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Pr>
          <w:p>
            <w:pPr>
              <w:ind w:left="40"/>
              <w:spacing w:after="0"/>
              <w:rPr>
                <w:sz w:val="20"/>
                <w:szCs w:val="20"/>
                <w:color w:val="auto"/>
              </w:rPr>
            </w:pPr>
            <w:r>
              <w:rPr>
                <w:rFonts w:ascii="Arial" w:cs="Arial" w:eastAsia="Arial" w:hAnsi="Arial"/>
                <w:sz w:val="13"/>
                <w:szCs w:val="13"/>
                <w:color w:val="auto"/>
              </w:rPr>
              <w:t>(Unaudited; in thousands, except per share data)</w:t>
            </w: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6080" w:type="dxa"/>
            <w:vAlign w:val="bottom"/>
          </w:tcPr>
          <w:p>
            <w:pPr>
              <w:ind w:left="40"/>
              <w:spacing w:after="0"/>
              <w:rPr>
                <w:sz w:val="20"/>
                <w:szCs w:val="20"/>
                <w:color w:val="auto"/>
              </w:rPr>
            </w:pPr>
            <w:r>
              <w:rPr>
                <w:rFonts w:ascii="Arial" w:cs="Arial" w:eastAsia="Arial" w:hAnsi="Arial"/>
                <w:sz w:val="13"/>
                <w:szCs w:val="13"/>
                <w:b w:val="1"/>
                <w:bCs w:val="1"/>
                <w:color w:val="auto"/>
              </w:rPr>
              <w:t>TOTAL COMPANY RECONCILIATIONS</w:t>
            </w: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EXPENSES</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operating expenses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523,728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564,109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503,839</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(20,785)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(25,112)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(31,673)</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(49,090)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7,263</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(17,139)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5,538</w:t>
            </w:r>
          </w:p>
        </w:tc>
        <w:tc>
          <w:tcPr>
            <w:tcW w:w="0" w:type="dxa"/>
            <w:vAlign w:val="bottom"/>
          </w:tcPr>
          <w:p>
            <w:pPr>
              <w:spacing w:after="0"/>
              <w:rPr>
                <w:sz w:val="1"/>
                <w:szCs w:val="1"/>
                <w:color w:val="auto"/>
              </w:rPr>
            </w:pP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Non-GAAP operating expenses</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479,386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490,104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484,967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NON-GAAP OPERATING INCOME</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080" w:type="dxa"/>
            <w:vAlign w:val="bottom"/>
          </w:tcPr>
          <w:p>
            <w:pPr>
              <w:ind w:left="280"/>
              <w:spacing w:after="0"/>
              <w:rPr>
                <w:sz w:val="20"/>
                <w:szCs w:val="20"/>
                <w:color w:val="auto"/>
              </w:rPr>
            </w:pPr>
            <w:r>
              <w:rPr>
                <w:rFonts w:ascii="Arial" w:cs="Arial" w:eastAsia="Arial" w:hAnsi="Arial"/>
                <w:sz w:val="13"/>
                <w:szCs w:val="13"/>
                <w:color w:val="auto"/>
              </w:rPr>
              <w:t>GAAP operating income</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151,426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96,211</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52,846</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31,673</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6,418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49,090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(7,263)</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17,139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(5,538)</w:t>
            </w:r>
          </w:p>
        </w:tc>
        <w:tc>
          <w:tcPr>
            <w:tcW w:w="0" w:type="dxa"/>
            <w:vAlign w:val="bottom"/>
          </w:tcPr>
          <w:p>
            <w:pPr>
              <w:spacing w:after="0"/>
              <w:rPr>
                <w:sz w:val="1"/>
                <w:szCs w:val="1"/>
                <w:color w:val="auto"/>
              </w:rPr>
            </w:pPr>
          </w:p>
        </w:tc>
      </w:tr>
      <w:tr>
        <w:trPr>
          <w:trHeight w:val="282"/>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Non-GAAP operating income</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195,768</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170,216</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71,718</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NET INCOME &amp; DILUTED EPS</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net income attributable to Itron, Inc.</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57,298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12,678</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20,785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25,112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31,673</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debt placement fees</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6,418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49,090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(7,263)</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(5,538)</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Tax Cuts and Jobs Act Adjustment</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30,424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Income tax effect of non-GAAP adjustments</w:t>
            </w:r>
            <w:r>
              <w:rPr>
                <w:rFonts w:ascii="Arial" w:cs="Arial" w:eastAsia="Arial" w:hAnsi="Arial"/>
                <w:sz w:val="8"/>
                <w:szCs w:val="8"/>
                <w:color w:val="auto"/>
              </w:rPr>
              <w:t>(1)</w:t>
            </w:r>
          </w:p>
        </w:tc>
        <w:tc>
          <w:tcPr>
            <w:tcW w:w="1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(12,544)</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(8,478)</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(5,590)</w:t>
            </w:r>
          </w:p>
        </w:tc>
        <w:tc>
          <w:tcPr>
            <w:tcW w:w="0" w:type="dxa"/>
            <w:vAlign w:val="bottom"/>
          </w:tcPr>
          <w:p>
            <w:pPr>
              <w:spacing w:after="0"/>
              <w:rPr>
                <w:sz w:val="1"/>
                <w:szCs w:val="1"/>
                <w:color w:val="auto"/>
              </w:rPr>
            </w:pPr>
          </w:p>
        </w:tc>
      </w:tr>
      <w:tr>
        <w:trPr>
          <w:trHeight w:val="153"/>
        </w:trPr>
        <w:tc>
          <w:tcPr>
            <w:tcW w:w="6080" w:type="dxa"/>
            <w:vAlign w:val="bottom"/>
          </w:tcPr>
          <w:p>
            <w:pPr>
              <w:ind w:left="280"/>
              <w:spacing w:after="0"/>
              <w:rPr>
                <w:sz w:val="20"/>
                <w:szCs w:val="20"/>
                <w:color w:val="auto"/>
              </w:rPr>
            </w:pPr>
            <w:r>
              <w:rPr>
                <w:rFonts w:ascii="Arial" w:cs="Arial" w:eastAsia="Arial" w:hAnsi="Arial"/>
                <w:sz w:val="13"/>
                <w:szCs w:val="13"/>
                <w:color w:val="auto"/>
              </w:rPr>
              <w:t>Non-GAAP net income attributable to Itron, Inc.</w:t>
            </w:r>
          </w:p>
        </w:tc>
        <w:tc>
          <w:tcPr>
            <w:tcW w:w="1100" w:type="dxa"/>
            <w:vAlign w:val="bottom"/>
            <w:vMerge w:val="restart"/>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color w:val="auto"/>
              </w:rPr>
              <w:t>120,486</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vMerge w:val="restart"/>
          </w:tcPr>
          <w:p>
            <w:pPr>
              <w:jc w:val="right"/>
              <w:ind w:right="37"/>
              <w:spacing w:after="0"/>
              <w:rPr>
                <w:sz w:val="20"/>
                <w:szCs w:val="20"/>
                <w:color w:val="auto"/>
              </w:rPr>
            </w:pPr>
            <w:r>
              <w:rPr>
                <w:rFonts w:ascii="Arial" w:cs="Arial" w:eastAsia="Arial" w:hAnsi="Arial"/>
                <w:sz w:val="13"/>
                <w:szCs w:val="13"/>
                <w:color w:val="auto"/>
              </w:rPr>
              <w:t>98,284</w:t>
            </w:r>
          </w:p>
        </w:tc>
        <w:tc>
          <w:tcPr>
            <w:tcW w:w="120" w:type="dxa"/>
            <w:vAlign w:val="bottom"/>
          </w:tcPr>
          <w:p>
            <w:pPr>
              <w:spacing w:after="0"/>
              <w:rPr>
                <w:sz w:val="13"/>
                <w:szCs w:val="13"/>
                <w:color w:val="auto"/>
              </w:rPr>
            </w:pPr>
          </w:p>
        </w:tc>
        <w:tc>
          <w:tcPr>
            <w:tcW w:w="400" w:type="dxa"/>
            <w:vAlign w:val="bottom"/>
            <w:vMerge w:val="restart"/>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27,981</w:t>
            </w:r>
          </w:p>
        </w:tc>
        <w:tc>
          <w:tcPr>
            <w:tcW w:w="0" w:type="dxa"/>
            <w:vAlign w:val="bottom"/>
          </w:tcPr>
          <w:p>
            <w:pPr>
              <w:spacing w:after="0"/>
              <w:rPr>
                <w:sz w:val="1"/>
                <w:szCs w:val="1"/>
                <w:color w:val="auto"/>
              </w:rPr>
            </w:pPr>
          </w:p>
        </w:tc>
      </w:tr>
      <w:tr>
        <w:trPr>
          <w:trHeight w:val="171"/>
        </w:trPr>
        <w:tc>
          <w:tcPr>
            <w:tcW w:w="60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Non-GAAP diluted EPS</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0.73</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Weighted average common shares outstanding - Diluted</w:t>
            </w: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39,387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38,643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38,506</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ADJUSTED EBITDA</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net income attributable to Itron, Inc.</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57,298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12,678</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Interest income</w:t>
            </w:r>
          </w:p>
        </w:tc>
        <w:tc>
          <w:tcPr>
            <w:tcW w:w="110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(761)</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Interest expense</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10,948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12,289</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Income tax provision</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74,326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49,574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22,099</w:t>
            </w: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Depreciation and amortization</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63,215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68,318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75,993</w:t>
            </w:r>
          </w:p>
        </w:tc>
        <w:tc>
          <w:tcPr>
            <w:tcW w:w="0" w:type="dxa"/>
            <w:vAlign w:val="bottom"/>
          </w:tcPr>
          <w:p>
            <w:pPr>
              <w:spacing w:after="0"/>
              <w:rPr>
                <w:sz w:val="1"/>
                <w:szCs w:val="1"/>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6,418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49,090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(7,263)</w:t>
            </w:r>
          </w:p>
        </w:tc>
        <w:tc>
          <w:tcPr>
            <w:tcW w:w="0" w:type="dxa"/>
            <w:vAlign w:val="bottom"/>
          </w:tcPr>
          <w:p>
            <w:pPr>
              <w:spacing w:after="0"/>
              <w:rPr>
                <w:sz w:val="1"/>
                <w:szCs w:val="1"/>
                <w:color w:val="auto"/>
              </w:rPr>
            </w:pP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17,139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(5,538)</w:t>
            </w:r>
          </w:p>
        </w:tc>
        <w:tc>
          <w:tcPr>
            <w:tcW w:w="0" w:type="dxa"/>
            <w:vAlign w:val="bottom"/>
          </w:tcPr>
          <w:p>
            <w:pPr>
              <w:spacing w:after="0"/>
              <w:rPr>
                <w:sz w:val="1"/>
                <w:szCs w:val="1"/>
                <w:color w:val="auto"/>
              </w:rPr>
            </w:pPr>
          </w:p>
        </w:tc>
      </w:tr>
      <w:tr>
        <w:trPr>
          <w:trHeight w:val="282"/>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Adjusted EBITDA</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227,851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208,638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109,497</w:t>
            </w: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FREE CASH FLOW</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provided by operating activities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191,354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115,842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73,350</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Acquisitions of property, plant, and equipment</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(49,495)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(43,543)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(43,918)</w:t>
            </w:r>
          </w:p>
        </w:tc>
        <w:tc>
          <w:tcPr>
            <w:tcW w:w="0" w:type="dxa"/>
            <w:vAlign w:val="bottom"/>
          </w:tcPr>
          <w:p>
            <w:pPr>
              <w:spacing w:after="0"/>
              <w:rPr>
                <w:sz w:val="1"/>
                <w:szCs w:val="1"/>
                <w:color w:val="auto"/>
              </w:rPr>
            </w:pP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Free Cash Flow</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141,859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72,299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29,432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55" w:lineRule="auto"/>
        <w:tabs>
          <w:tab w:leader="none" w:pos="340" w:val="left"/>
        </w:tabs>
        <w:numPr>
          <w:ilvl w:val="0"/>
          <w:numId w:val="19"/>
        </w:numPr>
        <w:rPr>
          <w:rFonts w:ascii="Arial" w:cs="Arial" w:eastAsia="Arial" w:hAnsi="Arial"/>
          <w:sz w:val="9"/>
          <w:szCs w:val="9"/>
          <w:color w:val="auto"/>
        </w:rPr>
      </w:pPr>
      <w:r>
        <w:rPr>
          <w:rFonts w:ascii="Arial" w:cs="Arial" w:eastAsia="Arial" w:hAnsi="Arial"/>
          <w:sz w:val="13"/>
          <w:szCs w:val="13"/>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Pr>
          <w:p>
            <w:pPr>
              <w:ind w:left="40"/>
              <w:spacing w:after="0"/>
              <w:rPr>
                <w:sz w:val="20"/>
                <w:szCs w:val="20"/>
                <w:color w:val="auto"/>
              </w:rPr>
            </w:pPr>
            <w:r>
              <w:rPr>
                <w:rFonts w:ascii="Arial" w:cs="Arial" w:eastAsia="Arial" w:hAnsi="Arial"/>
                <w:sz w:val="13"/>
                <w:szCs w:val="13"/>
                <w:color w:val="auto"/>
              </w:rPr>
              <w:t>(Unaudited; in thousands)</w:t>
            </w: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442"/>
        </w:trPr>
        <w:tc>
          <w:tcPr>
            <w:tcW w:w="6080" w:type="dxa"/>
            <w:vAlign w:val="bottom"/>
          </w:tcPr>
          <w:p>
            <w:pPr>
              <w:ind w:left="40"/>
              <w:spacing w:after="0"/>
              <w:rPr>
                <w:sz w:val="20"/>
                <w:szCs w:val="20"/>
                <w:color w:val="auto"/>
              </w:rPr>
            </w:pPr>
            <w:r>
              <w:rPr>
                <w:rFonts w:ascii="Arial" w:cs="Arial" w:eastAsia="Arial" w:hAnsi="Arial"/>
                <w:sz w:val="13"/>
                <w:szCs w:val="13"/>
                <w:b w:val="1"/>
                <w:bCs w:val="1"/>
                <w:color w:val="auto"/>
              </w:rPr>
              <w:t>SEGMENT RECONCILIATIONS</w:t>
            </w: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4"/>
        </w:trPr>
        <w:tc>
          <w:tcPr>
            <w:tcW w:w="6080" w:type="dxa"/>
            <w:vAlign w:val="bottom"/>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INCOME - ELECTRICITY</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Electricity - GAAP operating income</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93,566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68,287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31,104</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11,618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13,273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17,663</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7,694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(7,253)</w:t>
            </w: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 and integration related (recovery) expense</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10,258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(5,655)</w:t>
            </w: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Electricity - Non-GAAP operating income</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115,640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89,057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35,859</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NON-GAAP OPERATING INCOME - GAS</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6080" w:type="dxa"/>
            <w:vAlign w:val="bottom"/>
          </w:tcPr>
          <w:p>
            <w:pPr>
              <w:ind w:left="280"/>
              <w:spacing w:after="0"/>
              <w:rPr>
                <w:sz w:val="20"/>
                <w:szCs w:val="20"/>
                <w:color w:val="auto"/>
              </w:rPr>
            </w:pPr>
            <w:r>
              <w:rPr>
                <w:rFonts w:ascii="Arial" w:cs="Arial" w:eastAsia="Arial" w:hAnsi="Arial"/>
                <w:sz w:val="13"/>
                <w:szCs w:val="13"/>
                <w:color w:val="auto"/>
              </w:rPr>
              <w:t>Gas - GAAP operating income</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74,206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66,813</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67,471</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7,787</w:t>
            </w: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25,744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w:t>
            </w: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Gas - Non-GAAP operating income</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84,768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99,013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74,971</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NON-GAAP OPERATING INCOME - WATER</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6080" w:type="dxa"/>
            <w:vAlign w:val="bottom"/>
          </w:tcPr>
          <w:p>
            <w:pPr>
              <w:ind w:left="280"/>
              <w:spacing w:after="0"/>
              <w:rPr>
                <w:sz w:val="20"/>
                <w:szCs w:val="20"/>
                <w:color w:val="auto"/>
              </w:rPr>
            </w:pPr>
            <w:r>
              <w:rPr>
                <w:rFonts w:ascii="Arial" w:cs="Arial" w:eastAsia="Arial" w:hAnsi="Arial"/>
                <w:sz w:val="13"/>
                <w:szCs w:val="13"/>
                <w:color w:val="auto"/>
              </w:rPr>
              <w:t>Water - GAAP operating income</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44,494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37,266</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19,864</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5,383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6,223</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13,116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778</w:t>
            </w: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and integration related expense</w:t>
            </w:r>
          </w:p>
        </w:tc>
        <w:tc>
          <w:tcPr>
            <w:tcW w:w="1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w:t>
            </w:r>
          </w:p>
        </w:tc>
      </w:tr>
      <w:tr>
        <w:trPr>
          <w:trHeight w:val="282"/>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Water - Non-GAAP operating income</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49,012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55,765</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26,969</w:t>
            </w: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INCOME - CORPORATE UNALLOCATED</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Corporate unallocated - GAAP operating loss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(60,840)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(76,155)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(65,593)</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2,536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(501)</w:t>
            </w: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and integration related expense</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6,881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r>
      <w:tr>
        <w:trPr>
          <w:trHeight w:val="242"/>
        </w:trPr>
        <w:tc>
          <w:tcPr>
            <w:tcW w:w="6080" w:type="dxa"/>
            <w:vAlign w:val="bottom"/>
          </w:tcPr>
          <w:p>
            <w:pPr>
              <w:ind w:left="280"/>
              <w:spacing w:after="0"/>
              <w:rPr>
                <w:sz w:val="20"/>
                <w:szCs w:val="20"/>
                <w:color w:val="auto"/>
              </w:rPr>
            </w:pPr>
            <w:r>
              <w:rPr>
                <w:rFonts w:ascii="Arial" w:cs="Arial" w:eastAsia="Arial" w:hAnsi="Arial"/>
                <w:sz w:val="13"/>
                <w:szCs w:val="13"/>
                <w:color w:val="auto"/>
              </w:rPr>
              <w:t>Corporate unallocated - Non-GAAP operating loss</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(53,652)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(73,619)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(66,081)</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exposed to interest rate risk through our variable rate debt instruments. On June 23, 2015, we entered into an amended and restated credit agreement providing for committed credit facilities in the amount of $725 million U.S. dollars (the 2015 credit facility). The 2015 credit facility consists of a $225 million U.S. dollar term loan and a multicurrency revolving line of credit (the revolver) with a principal amount of up to $500 million. The revolver also contains a $250 million letter of credit sub-facility and a $50 million swingline sub-facility (available for immediate cash needs at a higher interest rate). 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December 31, 2017 the interest rates for both the term loan and the USD revolver was 2.82%, which includes the LIBOR rate plus a margin of 1.25%. At December 31, 2017, the interest rates for the EUR revolver was 1.25%, which includes the EURIBOR floor rate plus a margin of 1.25%.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December 31, 2017, our LIBOR-based debt balance was $254.1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w:t>
      </w:r>
    </w:p>
    <w:p>
      <w:pPr>
        <w:sectPr>
          <w:pgSz w:w="11900" w:h="16838" w:orient="portrait"/>
          <w:cols w:equalWidth="0" w:num="1">
            <w:col w:w="11420"/>
          </w:cols>
          <w:pgMar w:left="240" w:top="125" w:right="239" w:bottom="1081"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081"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capped rate of 2.00% with respect to the $100 million notional amount of such agreements. The interest rate cap contracts do not include the effect of the applicable margin.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December 31, 2017. Weighted average variable rates in the table are based on implied forward rates in the Reuters U.S. dollar yield curve as of December 31, 2017 and our estimated leverage ratio, which determines our additional interest rate margin at December 31, 2017.</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3"/>
          </w:tcPr>
          <w:p>
            <w:pPr>
              <w:ind w:left="38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6"/>
                <w:szCs w:val="16"/>
                <w:i w:val="1"/>
                <w:iCs w:val="1"/>
                <w:color w:val="auto"/>
              </w:rPr>
              <w:t>Variable Rate Debt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7"/>
        </w:trPr>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3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Principal: U.S. dollar term loan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19,688</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22,500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151,875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192,295</w:t>
            </w:r>
          </w:p>
        </w:tc>
      </w:tr>
      <w:tr>
        <w:trPr>
          <w:trHeight w:val="237"/>
        </w:trPr>
        <w:tc>
          <w:tcPr>
            <w:tcW w:w="3460" w:type="dxa"/>
            <w:vAlign w:val="bottom"/>
          </w:tcPr>
          <w:p>
            <w:pPr>
              <w:ind w:left="840"/>
              <w:spacing w:after="0"/>
              <w:rPr>
                <w:sz w:val="20"/>
                <w:szCs w:val="20"/>
                <w:color w:val="auto"/>
              </w:rPr>
            </w:pPr>
            <w:r>
              <w:rPr>
                <w:rFonts w:ascii="Arial" w:cs="Arial" w:eastAsia="Arial" w:hAnsi="Arial"/>
                <w:sz w:val="16"/>
                <w:szCs w:val="16"/>
                <w:color w:val="auto"/>
              </w:rPr>
              <w:t>Average interest rate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3.44%</w:t>
            </w:r>
          </w:p>
        </w:tc>
        <w:tc>
          <w:tcPr>
            <w:tcW w:w="300" w:type="dxa"/>
            <w:vAlign w:val="bottom"/>
          </w:tcPr>
          <w:p>
            <w:pPr>
              <w:spacing w:after="0"/>
              <w:rPr>
                <w:sz w:val="20"/>
                <w:szCs w:val="20"/>
                <w:color w:val="auto"/>
              </w:rPr>
            </w:pP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0"/>
        </w:trPr>
        <w:tc>
          <w:tcPr>
            <w:tcW w:w="3460" w:type="dxa"/>
            <w:vAlign w:val="bottom"/>
          </w:tcPr>
          <w:p>
            <w:pPr>
              <w:ind w:left="840"/>
              <w:spacing w:after="0"/>
              <w:rPr>
                <w:sz w:val="20"/>
                <w:szCs w:val="20"/>
                <w:color w:val="auto"/>
              </w:rPr>
            </w:pPr>
            <w:r>
              <w:rPr>
                <w:rFonts w:ascii="Arial" w:cs="Arial" w:eastAsia="Arial" w:hAnsi="Arial"/>
                <w:sz w:val="16"/>
                <w:szCs w:val="16"/>
                <w:color w:val="auto"/>
                <w:w w:val="98"/>
              </w:rPr>
              <w:t>Principal: Multicurrency revolving line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460" w:type="dxa"/>
            <w:vAlign w:val="bottom"/>
          </w:tcPr>
          <w:p>
            <w:pPr>
              <w:ind w:left="840"/>
              <w:spacing w:after="0"/>
              <w:rPr>
                <w:sz w:val="20"/>
                <w:szCs w:val="20"/>
                <w:color w:val="auto"/>
              </w:rPr>
            </w:pPr>
            <w:r>
              <w:rPr>
                <w:rFonts w:ascii="Arial" w:cs="Arial" w:eastAsia="Arial" w:hAnsi="Arial"/>
                <w:sz w:val="16"/>
                <w:szCs w:val="16"/>
                <w:color w:val="auto"/>
              </w:rPr>
              <w:t>of credit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125,414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125,414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124,100</w:t>
            </w:r>
          </w:p>
        </w:tc>
      </w:tr>
      <w:tr>
        <w:trPr>
          <w:trHeight w:val="33"/>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3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3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i w:val="1"/>
                <w:iCs w:val="1"/>
                <w:color w:val="auto"/>
              </w:rPr>
              <w:t>Interest rate swap on LIBOR based debt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3460" w:type="dxa"/>
            <w:vAlign w:val="bottom"/>
          </w:tcPr>
          <w:p>
            <w:pPr>
              <w:ind w:left="840"/>
              <w:spacing w:after="0"/>
              <w:rPr>
                <w:sz w:val="20"/>
                <w:szCs w:val="20"/>
                <w:color w:val="auto"/>
              </w:rPr>
            </w:pPr>
            <w:r>
              <w:rPr>
                <w:rFonts w:ascii="Arial" w:cs="Arial" w:eastAsia="Arial" w:hAnsi="Arial"/>
                <w:sz w:val="16"/>
                <w:szCs w:val="16"/>
                <w:color w:val="auto"/>
              </w:rPr>
              <w:t>Average interest rate (pay)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20"/>
                <w:szCs w:val="20"/>
                <w:color w:val="auto"/>
              </w:rPr>
            </w:pP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Average interest rate (receive)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3460" w:type="dxa"/>
            <w:vAlign w:val="bottom"/>
          </w:tcPr>
          <w:p>
            <w:pPr>
              <w:ind w:left="840"/>
              <w:spacing w:after="0"/>
              <w:rPr>
                <w:sz w:val="20"/>
                <w:szCs w:val="20"/>
                <w:color w:val="auto"/>
              </w:rPr>
            </w:pPr>
            <w:r>
              <w:rPr>
                <w:rFonts w:ascii="Arial" w:cs="Arial" w:eastAsia="Arial" w:hAnsi="Arial"/>
                <w:sz w:val="16"/>
                <w:szCs w:val="16"/>
                <w:color w:val="auto"/>
              </w:rPr>
              <w:t>Net/spread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0.35%</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0.71%</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0.77%</w:t>
            </w:r>
          </w:p>
        </w:tc>
        <w:tc>
          <w:tcPr>
            <w:tcW w:w="300" w:type="dxa"/>
            <w:vAlign w:val="bottom"/>
          </w:tcPr>
          <w:p>
            <w:pPr>
              <w:spacing w:after="0"/>
              <w:rPr>
                <w:sz w:val="20"/>
                <w:szCs w:val="20"/>
                <w:color w:val="auto"/>
              </w:rPr>
            </w:pP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880" w:type="dxa"/>
            <w:vAlign w:val="bottom"/>
          </w:tcPr>
          <w:p>
            <w:pPr>
              <w:ind w:left="5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 sensitivity analysis as of December 31, 2017, we estimate that, if market interest rates average one percentage point higher in 2018 than in the table above, our financial results in 2018 would not be materially impacted.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5, 2018, we entered into a $1.15 billion senior secured credit facility (the 2018 credit facility), which amended and restated the 2015 credit facility. The 2018 credit facility consists of a $650 million U.S. dollar term loan and a multicurrency revolving line of credit with a principal amount of up to $500 million. At January 5, 2018, the interest rate for both the term loan and the USD revolver was 3.56% (the LIBOR rate plus a margin of 2.00%), and the interest rate for the EUR revolver was 2.00% (the EURIBOR floor rate plus a margin of 2.00%). With this additional variable rate debt, our sensitivity to changes in interest rates has moderately increased, but would also not be materially impacted by a one percentage point increase in market interest rates.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47% of total revenues for the year ended December 31, 2017, compared with 47% and 51% for the years ended December 31, 2016 and 2015.</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December 31, 2017, a total of 54 contracts were offsetting our exposures from the euro, Canadian dollar, Indonesian Rupiah, Chinese Yuan, Saudi Riyal and various other currencies, with notional amounts ranging from $158,000 to $39.5 million. Based on a sensitivity analysis as of December 31, 2017, we estimate that, if foreign currency exchange rates average ten percentage points higher in 2018 for these financial instruments, our financial results in 2018 would not be materially impacted.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55" w:lineRule="exact"/>
        <w:rPr>
          <w:sz w:val="20"/>
          <w:szCs w:val="20"/>
          <w:color w:val="auto"/>
        </w:rPr>
      </w:pPr>
    </w:p>
    <w:p>
      <w:pPr>
        <w:ind w:right="5120"/>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Itron,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3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audited the accompanying consolidated balance sheets of Itron, Inc. and subsidiaries (the "Company") as of December 31, 2017 and 2016, the related consolidated statements of operations, comprehensive income (loss),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2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2018,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3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125"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statements of operations, comprehensive income (loss), equity and cash flows for the year ended December 31, 2015. These financial statements are the responsibility of the Company's management. Our responsibility is to express an opinion on these financial statements based on our audit.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results of operations and cash flows of Itron, Inc. for the year ended December 31, 2015, in conformity with U.S. generally accepted accounting principles.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40" w:type="dxa"/>
            <w:vAlign w:val="bottom"/>
            <w:gridSpan w:val="6"/>
          </w:tcPr>
          <w:p>
            <w:pPr>
              <w:jc w:val="center"/>
              <w:ind w:right="41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7"/>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2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1,813,925</w:t>
            </w:r>
          </w:p>
        </w:tc>
        <w:tc>
          <w:tcPr>
            <w:tcW w:w="5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1,830,070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1,699,534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204,272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183,116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183,999</w:t>
            </w: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2,018,197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2,013,186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1,883,533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 cost of revenues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1,205,548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1,239,152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1,216,709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 of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137,495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113,714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110,139</w:t>
            </w: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cost of revenues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1,343,043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1,352,866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1,326,848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675,154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660,320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556,685</w:t>
            </w:r>
          </w:p>
        </w:tc>
      </w:tr>
      <w:tr>
        <w:trPr>
          <w:trHeight w:val="230"/>
        </w:trPr>
        <w:tc>
          <w:tcPr>
            <w:tcW w:w="6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170,008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158,883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161,380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162,334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156,540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162,815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155,715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49,090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523,728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564,109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503,839</w:t>
            </w:r>
          </w:p>
        </w:tc>
      </w:tr>
      <w:tr>
        <w:trPr>
          <w:trHeight w:val="223"/>
        </w:trPr>
        <w:tc>
          <w:tcPr>
            <w:tcW w:w="60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(12,289)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(15,744)</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134,575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84,627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37,102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(74,326)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(22,099)</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60,249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35,053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15,003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Itron, Inc.</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57,298</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31,770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12,678</w:t>
            </w:r>
          </w:p>
        </w:tc>
      </w:tr>
      <w:tr>
        <w:trPr>
          <w:trHeight w:val="284"/>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common share - 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1.48</w:t>
            </w:r>
          </w:p>
        </w:tc>
        <w:tc>
          <w:tcPr>
            <w:tcW w:w="5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0.33</w:t>
            </w: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 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38,643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38,506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0" w:type="dxa"/>
            <w:vAlign w:val="bottom"/>
            <w:gridSpan w:val="6"/>
          </w:tcPr>
          <w:p>
            <w:pPr>
              <w:jc w:val="center"/>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60,249</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15,003</w:t>
            </w:r>
          </w:p>
        </w:tc>
      </w:tr>
      <w:tr>
        <w:trPr>
          <w:trHeight w:val="297"/>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(24,977)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(72,929)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Net unrealized gain (loss) on derivative instruments designated as cash flow</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6,296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58,849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(65,547)</w:t>
            </w:r>
          </w:p>
        </w:tc>
      </w:tr>
      <w:tr>
        <w:trPr>
          <w:trHeight w:val="291"/>
        </w:trPr>
        <w:tc>
          <w:tcPr>
            <w:tcW w:w="60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119,098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(50,544)</w:t>
            </w:r>
          </w:p>
        </w:tc>
      </w:tr>
      <w:tr>
        <w:trPr>
          <w:trHeight w:val="291"/>
        </w:trPr>
        <w:tc>
          <w:tcPr>
            <w:tcW w:w="60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Comprehensive income (loss) attributable to noncontrolling interest,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97"/>
        </w:trPr>
        <w:tc>
          <w:tcPr>
            <w:tcW w:w="60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116,147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(52,869)</w:t>
            </w:r>
          </w:p>
        </w:tc>
      </w:tr>
      <w:tr>
        <w:trPr>
          <w:trHeight w:val="20"/>
        </w:trPr>
        <w:tc>
          <w:tcPr>
            <w:tcW w:w="606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8"/>
          </w:tcPr>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6060" w:type="dxa"/>
            <w:vAlign w:val="bottom"/>
          </w:tcPr>
          <w:p>
            <w:pPr>
              <w:ind w:left="562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6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133,565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398,029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351,506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163,049</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81,604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84,346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849,742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732,466</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176,458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49,971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94,113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43,666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50,129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72,151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555,762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452,494</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1,577,811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172,711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56,736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43,625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82,346</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16,100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10,451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14,063</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24,874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64,976</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507,783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413,046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593,572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290,460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Pension benefit obligation</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95,717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84,498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88,206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117,953</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1,300,515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927,458</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Common stock, no par value, 75 million shares authorized, 38,771 and 38,317 shares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1,294,767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1,270,467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(170,478)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(229,327)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(409,536)</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786,416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631,604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18,749</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805,632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650,353</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1,577,811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98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08" w:right="239" w:bottom="987"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740" w:type="dxa"/>
            <w:vAlign w:val="bottom"/>
          </w:tcPr>
          <w:p>
            <w:pPr>
              <w:ind w:left="40"/>
              <w:spacing w:after="0"/>
              <w:rPr>
                <w:sz w:val="20"/>
                <w:szCs w:val="20"/>
                <w:color w:val="auto"/>
              </w:rPr>
            </w:pPr>
            <w:r>
              <w:rPr>
                <w:rFonts w:ascii="Arial" w:cs="Arial" w:eastAsia="Arial" w:hAnsi="Arial"/>
                <w:sz w:val="14"/>
                <w:szCs w:val="14"/>
                <w:color w:val="auto"/>
              </w:rPr>
              <w:t>Balances at January 1, 2015</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38,591</w:t>
            </w:r>
          </w:p>
        </w:tc>
        <w:tc>
          <w:tcPr>
            <w:tcW w:w="120" w:type="dxa"/>
            <w:vAlign w:val="bottom"/>
          </w:tcPr>
          <w:p>
            <w:pPr>
              <w:spacing w:after="0"/>
              <w:rPr>
                <w:sz w:val="15"/>
                <w:szCs w:val="15"/>
                <w:color w:val="auto"/>
              </w:rPr>
            </w:pPr>
          </w:p>
        </w:tc>
        <w:tc>
          <w:tcPr>
            <w:tcW w:w="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1,270,045</w:t>
            </w:r>
          </w:p>
        </w:tc>
        <w:tc>
          <w:tcPr>
            <w:tcW w:w="120" w:type="dxa"/>
            <w:vAlign w:val="bottom"/>
          </w:tcPr>
          <w:p>
            <w:pPr>
              <w:spacing w:after="0"/>
              <w:rPr>
                <w:sz w:val="15"/>
                <w:szCs w:val="15"/>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(135,060)</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(453,984)</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681,001</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17,541</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698,542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15,003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(65,547)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(65,547)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(65,547)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13,384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13,384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rPr>
              <w:t>Employee stock plans income tax</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(1,853)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(1,853)</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(38,283)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(38,283)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2015</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37,906</w:t>
            </w:r>
          </w:p>
        </w:tc>
        <w:tc>
          <w:tcPr>
            <w:tcW w:w="120" w:type="dxa"/>
            <w:vAlign w:val="bottom"/>
          </w:tcPr>
          <w:p>
            <w:pPr>
              <w:spacing w:after="0"/>
              <w:rPr>
                <w:sz w:val="14"/>
                <w:szCs w:val="14"/>
                <w:color w:val="auto"/>
              </w:rPr>
            </w:pP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1,246,671</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(200,607)</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(441,306)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604,758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17,945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622,703</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31,770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31,770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3,283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35,053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(28,720)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2,144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w w:val="96"/>
              </w:rPr>
              <w:t>Issuance of stock-based compensation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17,080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17,080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17,080</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plans income tax</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2016</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38,317</w:t>
            </w:r>
          </w:p>
        </w:tc>
        <w:tc>
          <w:tcPr>
            <w:tcW w:w="120" w:type="dxa"/>
            <w:vAlign w:val="bottom"/>
          </w:tcPr>
          <w:p>
            <w:pPr>
              <w:spacing w:after="0"/>
              <w:rPr>
                <w:sz w:val="14"/>
                <w:szCs w:val="14"/>
                <w:color w:val="auto"/>
              </w:rPr>
            </w:pP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1,270,467</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(229,327)</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(409,536)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631,604</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18,749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650,353</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57,298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2,951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60,249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accounting change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161"/>
        </w:trPr>
        <w:tc>
          <w:tcPr>
            <w:tcW w:w="27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58,849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58,849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58,849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20,433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20,433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Repurchase of noncontrolling interest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Registration fee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2017</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38,771</w:t>
            </w:r>
          </w:p>
        </w:tc>
        <w:tc>
          <w:tcPr>
            <w:tcW w:w="120" w:type="dxa"/>
            <w:vAlign w:val="bottom"/>
          </w:tcPr>
          <w:p>
            <w:pPr>
              <w:spacing w:after="0"/>
              <w:rPr>
                <w:sz w:val="14"/>
                <w:szCs w:val="14"/>
                <w:color w:val="auto"/>
              </w:rPr>
            </w:pP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1,294,767</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(170,478)</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(337,873)</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786,416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19,216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60,249</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15,003</w:t>
            </w:r>
          </w:p>
        </w:tc>
      </w:tr>
      <w:tr>
        <w:trPr>
          <w:trHeight w:val="229"/>
        </w:trPr>
        <w:tc>
          <w:tcPr>
            <w:tcW w:w="60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75,993</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18,035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14,089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non-cash</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(27,162)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(52,737)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20,705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12,512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78,463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(37,312)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(7,060)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(25,810)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11,943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73,350</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(49,495)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(43,543)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(43,918)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equivalents acquired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(48,951)</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15,877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113,467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(62,998)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(7,109)</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7,740</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Effect of foreign exchange rate changes on cash, cash equivalents, and restricted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353,770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18,647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133,565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112,371</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487,335</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133,565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131,018</w:t>
            </w:r>
          </w:p>
        </w:tc>
      </w:tr>
      <w:tr>
        <w:trPr>
          <w:trHeight w:val="257"/>
        </w:trPr>
        <w:tc>
          <w:tcPr>
            <w:tcW w:w="6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28,969</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24,287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29,189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10,198</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8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838"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incorporated in the state of Washington in 1977, and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 We operate under the Itron brand worldwide and manage and report under three operating segments: Electricity, Gas, and Water.</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consolidated financial statements presented in this Annual Report include the Consolidated Statements of Operations, Comprehensive Income (Loss), Equity, and Cash Flows for the years ended December 31, 2017, 2016, and 2015 and the Consolidated Balance Sheets as of December 31, 2017 and 2016 of Itron, Inc. and its subsidiaries, prepared in accordance with U.S. generally accepted accounting principles (GAAP).</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and cash equivalents that are contractually restricted from operating use are classified as restricted cash and cash equivalents. On December 22, 2017, we issued $300 million aggregate principal amount of 5.00% senior unsecured notes due in 2026 (Notes). The proceeds of the Notes plus payments for prepaid interest and a premium for a special mandatory redemption option were deposited into escrow, where the funds remained until all the escrow release conditions were satisfied, specifically the closing of the acquisition of Silver Spring Networks, Inc. (SSNI) on January 5, 2018. Had the acquisition agreement been terminated, the funds in escrow would have been returned to the investors of the Notes plus accrued and unpaid interest up to the date of release, with any remaining balance from prepaid interest returned to the Company. We have recognized the balance in escrow as restricted cash in our consolidated financial statements. See Note 6 - Debt and Note 19 - Subsequent Events for further details.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6"/>
        </w:trPr>
        <w:tc>
          <w:tcPr>
            <w:tcW w:w="60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7"/>
              <w:spacing w:after="0"/>
              <w:rPr>
                <w:sz w:val="20"/>
                <w:szCs w:val="20"/>
                <w:color w:val="auto"/>
              </w:rPr>
            </w:pPr>
            <w:r>
              <w:rPr>
                <w:rFonts w:ascii="Arial" w:cs="Arial" w:eastAsia="Arial" w:hAnsi="Arial"/>
                <w:sz w:val="18"/>
                <w:szCs w:val="18"/>
                <w:color w:val="auto"/>
                <w:w w:val="86"/>
              </w:rPr>
              <w:t>176,274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133,565</w:t>
            </w:r>
          </w:p>
        </w:tc>
        <w:tc>
          <w:tcPr>
            <w:tcW w:w="12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131,018</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restricted cash included in other 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Long-term restricted cash</w:t>
            </w:r>
          </w:p>
        </w:tc>
        <w:tc>
          <w:tcPr>
            <w:tcW w:w="1040" w:type="dxa"/>
            <w:vAlign w:val="bottom"/>
          </w:tcPr>
          <w:p>
            <w:pPr>
              <w:spacing w:after="0"/>
              <w:rPr>
                <w:sz w:val="20"/>
                <w:szCs w:val="20"/>
                <w:color w:val="auto"/>
              </w:rPr>
            </w:pPr>
          </w:p>
        </w:tc>
        <w:tc>
          <w:tcPr>
            <w:tcW w:w="700" w:type="dxa"/>
            <w:vAlign w:val="bottom"/>
          </w:tcPr>
          <w:p>
            <w:pPr>
              <w:jc w:val="right"/>
              <w:ind w:right="37"/>
              <w:spacing w:after="0"/>
              <w:rPr>
                <w:sz w:val="20"/>
                <w:szCs w:val="20"/>
                <w:color w:val="auto"/>
              </w:rPr>
            </w:pPr>
            <w:r>
              <w:rPr>
                <w:rFonts w:ascii="Arial" w:cs="Arial" w:eastAsia="Arial" w:hAnsi="Arial"/>
                <w:sz w:val="16"/>
                <w:szCs w:val="16"/>
                <w:color w:val="auto"/>
                <w:w w:val="96"/>
              </w:rPr>
              <w:t>311,010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restricted cash:</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w w:val="96"/>
              </w:rPr>
              <w:t>487,335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133,565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131,018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stated at the lower of cost or net realizable value using the first-in, first-out method. Cost includes raw materials and labor, plus applied direct and indirect costs. Net realizable value is the estimated selling price in the normal course of business, minus the cost of completion, disposal and transportation.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recognized on the Consolidated Balance Sheets at fair value as either assets or liabilities. The components and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recognized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credit worthy multinational commercial banks, with whom we have master netting agreements; however, our derivative positions are not recognized on a net basis in the Consolidated Balance Sheets. There are no credit-risk-related contingent features within our derivative instruments. Refer to Note 7 and Note 14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recognized as a direct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recognized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recognized value of the associated IPR&amp;D is immediately recognized.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estimate the preliminary fair value of acquired assets and liabilities as of the date of acquisition based on information available at that time utilizing either a cost or income approach. The determination of the fair value is judgmental in nature and involves the use of significant estimates and assumptions. Contingent consideration is recorded at fair value as of the date of the acquisition with adjustments occurring after the purchase price allocation period, which could be up to one year, recorded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ten years for core-developed technology and customer contracts and relationships.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the reporting unit's goodwill exceeds the fair value of the reporting unit, an impairment loss is recognized in an amount equal to the excess.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financial and nonfinancial targets. If management determines it is probable that the targets will be achieved, and the amounts can be reasonably estimated, a compensation accrual is recognized based on the proportional achievement of the financial and nonfinancial targets. Although we monitor and accrue expenses quarterly based on our progress toward the achievement of the targets, the actual results may result in awards that are significantly greater or less than the estimates made in earlier quarters.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 If actuarial gains and losses exceed ten percent of the greater of plan assets or plan liabilities, we amortize them over the employees' average future service period.</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Revenues and Service Revenues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Product revenues include sales from standard and smart meters, systems or software, and any associated implementation and installation revenue. Service revenues include sales from post-sale maintenance support, consulting, outsourcing, and managed services.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revenue arrangements involve multiple deliverables, which combine two or more of the following: hardware, meter reading system software, installation, and/or project management services. Separate contracts entered into with the same customer that meet certain criteria such as those that are entered into at or near the same time are evaluated as one single arrangement for purposes of applying multiple element arrangement revenue recognition. Revenue arrangements with multiple deliverables are divided into separate units of accounting at the inception of the arrangement and as each item in the arrangement is delivered.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are then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for implementation services, 4) upon receipt of customer acceptance, or 5) transfer of title and risk of loss. The majority of our revenue is recognized when products are shipped to or received by a customer or when services are provided.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revenues are generally recognized at the time of shipment, receipt by the customer, or, if applicable, upon completion of customer acceptance provisions.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contract accounting where revenue is recognized using percentage of completion, the cost to cost method is used to measure progress to completion. Revenue from OpenWay network software and services are recognized using the units-of-delivery method of contract accounting, as network design services and network software are essential to the functionality of the related hardware (network) for certain contracts. This methodology results in the deferral of costs and revenues as professional services and software implementation commence prior to deployment of hardware.</w:t>
      </w:r>
    </w:p>
    <w:p>
      <w:pPr>
        <w:spacing w:after="0" w:line="15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Change orders and contract modifications entered into after inception of the original contract are analyzed to determine if change orders or modifications are extensions of an existing agreement or are accounted for as a separate arrangement for purposes of applying contract accounting.</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few of our larger customer arrangements contain clauses for liquidated damages, related to delays in delivery or milestone accomplishments, which could become material in an event of failure to meet the contractual deadlines. At the inception of the arrangement and on an ongoing basis, we evaluate if the liquidated damages represent contingent revenue and, if so, we reduce the amount of consideration allocated to the delivered products and services and recognize it as a reduction in revenue in the period of default. If the arrangement is subject to contract accounting, liquidated damages resulting from failure or expected failure to meet milestones are estimated and are accounted for as a reduction of revenue in the period in which the liquidated damages are deemed probable of occurrence and are reasonably estimable.</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software customers often purchase a combination of software, software-related services, and post contract customer support (PCS). PCS includes telephone support services and updates or upgrades for software as part of a maintenance program. For these types of arrangements, revenue recognition is dependent upon the availability of vendor specific objective evidence (VSOE) of fair value for any undelivered element. We determine VSOE by reference to the range of comparable standalone sales or stated renewals. We review these standalone sales or renewals on at least an annual basis. If VSOE is established for all undelivered elements in the contract, revenue is recognized for delivered elements when all other revenue recognition criteria are met. Arrangements in which VSOE for all undelivered elements is not established, we recognize revenue under the combined services approach where revenue for software and software related elements is deferred until all software products have been delivered, all software related services have commenced, and undelivered services do not include significant production, customization or modification. This will also result in the deferral of costs for software and software implementation services until the undelivered element commence. Revenue would be recognized over the longest period that services would be provided, which is typically the PCS period.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Cloud services and software as a service (SaaS) arrangements where customers have access to certain of our software within a cloud-based IT environment that we manage, host and support are offered to customers on a subscription basis. Revenue for the cloud services and SaaS offerings are generally recognized ratably over the contact term commencing with the date the services is made available to customers and all other revenue recognition criteria have been satisfied. For arrangements where cloud services and SaaS is provided on a per meter basis, revenue is recognized based on actual meters read during the period.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historical contractual sales, market conditions and entity specific factors, the cost to produce the deliverable, the anticipated margin on that deliverable, our ongoing pricing strategy and policies, and the characteristics of the varying markets in which the deliverable is sold.</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Unearned revenue is recognized when a customer pays for products or services, but the criteria for revenue recognition have not been met as of the balance sheet date. Unearned revenue of $77.0 million and $114.3 million at December 31, 2017 and 2016 related primarily to professional services and software associated with our smart metering contracts, extended or noncustomary warranty, and prepaid post-contract support. Deferred costs are recognized for products or services for which ownership (typically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defined as title and risk of loss) has transferred to the customer, but the criteria for revenue recognition have not been met as of the balance sheet date. Deferred costs were $14.4 million and $34.4 million at December 31, 2017 and 2016 and are recognized within other assets in the Consolidated Balance Sheets.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such as post contract support or extended warranty are recognized ratably over the life of the related service contract. Shipping and handling costs and incidental expenses billed to customers are recognized as revenue, with the associated cost charged to cost of revenues. We recognize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Product and software development costs primarily include employee compensation and third party contracting fees. We do not capitalize product development costs, and we do not generally capitalize development expenses for computer software to be sold, leased, or otherwise marketed as the costs incurred are immaterial for the relatively short period of time between technological feasibility and the completion of software development.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grant various stock-based compensation awards to our officers, employees and Board of Directors with service, performance, and market vesting conditions, including stock options, restricted stock units, phantom stock units, and unrestricted stock units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 of stock options is estimated at the date of grant using the Black-Scholes option-pricing model. Options to purchase our common stock are granted with an exercise price equal to the market close price of the stock on the date the Board of Directors approves the grant. Options generally become exercisable in three equal annual installments beginning one year from the date of grant and expire 10 years from the date of grant. 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weighted average expected term of an award based on the period of time between the date the award is granted and the estimated date the award will be fully exercised. Factors considered in estimating the expected term include historical experience of similar awards, contractual terms, vesting schedules, and expectations of future employee behavior. We have not paid dividends in the past and do not plan to pay dividends in the foreseeable future.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 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fair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unrestricted stock awards is the market close price of our common stock on the date of grant, and awards are fully vested. We expense stock-based compensation at the date of grant for unrestricted stock awards.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tax benefits and deficiencies resulting from employee share-based payment are recognized as income tax provision or benefit in the Consolidated Statement of Operations, and as an operating activity on the Consolidated Statement of Cash Flows.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maintain an Employee Stock Purchase Plan (ESPP) for our employees. 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of $5.1 million, $0.3 million, and $3.0 million were included in other expenses, net, for the years ended December 31, 2017, 2016 and 2015, respectively.</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to supersede nearly all existing revenue recognition guidance under U.S. GAAP. The core principle of ASU 2014-09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recognize revenues when promised goods or services are transferred to customers in an amount that reflects the consideration that is expected to be received for those goods or services. In August 2015, the FASB issued ASU 2015-14, </w:t>
      </w:r>
      <w:r>
        <w:rPr>
          <w:rFonts w:ascii="Arial" w:cs="Arial" w:eastAsia="Arial" w:hAnsi="Arial"/>
          <w:sz w:val="17"/>
          <w:szCs w:val="17"/>
          <w:i w:val="1"/>
          <w:iCs w:val="1"/>
          <w:color w:val="auto"/>
        </w:rPr>
        <w:t>Revenue from Contracts with Customers: Deferral of the Effective</w:t>
      </w:r>
      <w:r>
        <w:rPr>
          <w:rFonts w:ascii="Arial" w:cs="Arial" w:eastAsia="Arial" w:hAnsi="Arial"/>
          <w:sz w:val="17"/>
          <w:szCs w:val="17"/>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 which deferred the effective date for implementation of ASU 2014-09 by one year and is now effective for annual reporting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15, 2017, with early adoption permitted but not earlier than the original effective date. In March 2016, the FASB issued ASU 2016-08, </w:t>
      </w:r>
      <w:r>
        <w:rPr>
          <w:rFonts w:ascii="Arial" w:cs="Arial" w:eastAsia="Arial" w:hAnsi="Arial"/>
          <w:sz w:val="17"/>
          <w:szCs w:val="17"/>
          <w:i w:val="1"/>
          <w:iCs w:val="1"/>
          <w:color w:val="auto"/>
        </w:rPr>
        <w:t>Principal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versus Agent Considerations (Reporting Revenue Gross versus Net) </w:t>
      </w:r>
      <w:r>
        <w:rPr>
          <w:rFonts w:ascii="Arial" w:cs="Arial" w:eastAsia="Arial" w:hAnsi="Arial"/>
          <w:sz w:val="17"/>
          <w:szCs w:val="17"/>
          <w:color w:val="auto"/>
        </w:rPr>
        <w:t>(ASU 2016-08), which clarifies the implementation guidance of principal versus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considerations. In April 2016, the FASB issued ASU 2016-10, </w:t>
      </w: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xml:space="preserve"> (ASU 2016-10), which clarifies the identification of performance obligations and licensing implementation guidance. In May 2016, the FASB issued ASU 2016-12, </w:t>
      </w:r>
      <w:r>
        <w:rPr>
          <w:rFonts w:ascii="Arial" w:cs="Arial" w:eastAsia="Arial" w:hAnsi="Arial"/>
          <w:sz w:val="17"/>
          <w:szCs w:val="17"/>
          <w:i w:val="1"/>
          <w:iCs w:val="1"/>
          <w:color w:val="auto"/>
        </w:rPr>
        <w:t>Narrow-Scope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Practical Expedients </w:t>
      </w:r>
      <w:r>
        <w:rPr>
          <w:rFonts w:ascii="Arial" w:cs="Arial" w:eastAsia="Arial" w:hAnsi="Arial"/>
          <w:sz w:val="17"/>
          <w:szCs w:val="17"/>
          <w:color w:val="auto"/>
        </w:rPr>
        <w:t>(ASU 2016-12), to improve guidance on assessing collectability, presentation of sales taxes, noncash consideration, and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and contract modifications at transition. The effective date and transition requirements in ASU 2016-08, ASU 2016-10, and ASU 2016-12 are the same as the effective date and transition requirements of ASU 2015-14.</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revenue guidance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We adopted this standard effective January 1, 2018 using the cumulative catch-up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transition method. While we are finalizing the assessment of the impact of adoption, which includes additional disclosures, we currently anticipate the cumulative effect of adoption to amount to a $5 million to $15 million reduction in accumulated deficit as a result of adjustments to deferred revenue and deferred costs of revenue and the related income tax effects. The impact from adoption primarily relates to multiple element arrangements that contain software and software related elements. As we have not established VSOE of fair value for certain of our software and software related elements, we combined them as one unit of account and recognized the combined unit of account using the combined services approach. Under ASU 2014-09, these software and software related elements are generally determined to be distinct performance obligations. As such we are able to recognize revenue as we satisfy the performance obligations, either at a point in time, or over time. This impact, which may vary materially from the cumulative effect upon adoption, and the increased financial statement disclosures, are the most significant impacts the updated standard will have on our consolidated results of operations, financial position, cash flows, and related financial statement disclosures.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 Simplifying the Measurement of Inventory</w:t>
      </w:r>
      <w:r>
        <w:rPr>
          <w:rFonts w:ascii="Arial" w:cs="Arial" w:eastAsia="Arial" w:hAnsi="Arial"/>
          <w:sz w:val="16"/>
          <w:szCs w:val="16"/>
          <w:color w:val="auto"/>
        </w:rPr>
        <w:t xml:space="preserve"> (ASU 2015-11). The amendments in ASU 2015-11 apply to inventory measured using first-in, first-out (FIFO) or average cost and will require entities to measure inventory at the lower of cost and net realizable value. Net realizable value is the estimated selling price in the normal course of business, minus the cost of completion, disposal and transportation. Replacement cost and net realizable value less a normal profit margin are no longer considered. We adopted this standard on January 1, 2017 and it did not materially impact our consolidated results of operations, financial position, cash flows, or related financial statement disclosures.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are currently assessing the impact of adoption on our consolidated results of operations, financial position, cash flows, and related financial statement disclosures.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(ASU 2016-09), which simplifies several areas within Topic 718. These include income tax consequences, classification of awards as either equity or liabilities, forfeitures, and classification on the statement of cash flows. The amendments in this ASU becomes effective on a modified retrospective basis for accounting for income tax benefits recognized and forfeitures, retrospectively for accounting related to the presentation of employee taxes paid, prospectively for accounting related to recognition of excess tax benefits, and either prospectively or retrospectively for accounting related to presentation of excess employee tax benefits for annual periods, and interim periods within those annual periods, beginning after December 15, 2016.</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this standard effective January 1, 2017 using a modified retrospective transition method. We recognized a $14.6 million one-time reduction in accumulated deficit and increase in deferred tax assets related to cumulative unrecognized excess tax benefits. All future excess tax benefits and tax deficiencies will be recognized prospectively as income tax provision or benefit in the Consolidated Statement of Operations, and as an operating activity on the Consolidated Statement of Cash Flows. We also recognized a $0.2 million one-time increase in accumulated deficit and common stock related to our policy election to prospectively recognize forfeitures as they occur.</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xml:space="preserve"> (ASU 2016-18), which clarifies the presentation requirements of restricted cash within the statement of cash flows. The changes in restricted cash and restricted cash equivalents during the period should be included in the beginning and ending cash and cash equivalents balance reconciliation on the statement of cash flows. When cash, cash equivalents, restricted cash or restricted cash equivalents are presented in more than one line item within the statement of financial position, an entity shall calculate a total cash amount in a narrative or tabular format that agrees to the amount shown on the statement of cash flows. ASU 2016-18 is effective for fiscal years, and interim periods within those fiscal years, beginning after December 15, 2017. Early adoption is permitted, including adoption in an interim period. If adopted during an interim period, any adjustments are reflected as of the beginning of the fiscal year that includes the interim period. The amendments are applied using a retrospective transition method to each period presented.</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adopted this standard effective January 1, 2017 as a result of the private offering of the Notes, for which $310.3 million was deposited into escrow and recognized as restricted cash until the closing of the acquisition of SSNI. Given the size of the increase and length of restriction relative to period end and historical activity, management believes early adopting enhanced the consistency and comparability of financial information included in the consolidated financial statements. The impact of adoption is shown in the reconciliation of cash, cash equivalents, and restricted cash above. The impact of retrospective application of ASU 2016-18 is immaterial, as restricted cash activity for the years ended December 31, 2016 and 2015 was not significant.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(ASU 2017-01), which narrows the definition of a business and provides a framework that gives entities a basis for making reasonable judgments about whether a transaction involves an asset or a business. ASU 2017-01 states that when substantially all of the fair value of the gross assets acquired (or disposed of) is concentrated in a single identifiable asset or group of similar identifiable assets, the set is not a business. If this initial test is not met, a set cannot be considered a business unless it includes an input and a substantive process that together significantly contribute to the ability to create output. ASU 2017-01 is effective for fiscal years beginning after December 15, 2019 with early adoption permitted. We adopted this standard on January 1, 2017, and it did not materially impact our consolidated results of operations, financial position, cash flows, and related financial statement disclosures.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(ASU 2017-04), which simplifies the measurement of goodwill impairment by removing step two of the goodwill impairment test that requires the determination of the fair value of individual assets and liabilities of a reporting unit. ASU 2017-04 requires goodwill impairment to be measured as the amount by which a reporting unit’s carrying value exceeds its fair value; however, the loss recognized should not exceed the total amount of goodwill allocated to that reporting unit. ASU 2017-04 is effective for fiscal years beginning after December 15, 2019 with early adoption permitted for interim or annual goodwill impairment tests performed after January 1, 2017. We adopted this standard on January 1, 2017, and it did not materially impact our consolidated results of operations, financial position, cash flows, and related financial statement disclosures.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xml:space="preserve"> (ASU 2017-07), which provides additional guidance on the presentation of net benefit costs in the income statement. ASU 2017-07 requires an employer disaggregate the service cost component from the other components of net benefit cost and to disclose other components outside of a subtotal of income from operations. It also allows only the service cost component of net benefit costs to be eligible for capitalization. ASU 2017-07 is effective for fiscal years beginning after December 15, 2017 with early adoption permitted.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this standard on January 1, 2018 retrospectively for the presentation of the service cost component of net periodic pension cost in the statement of operations and prospectively, on and after the effective date, for the capitalization of the service cost component of net periodic pension cost in assets. This will result in a reclassification of an immaterial amount of net periodic pension benefit costs from operating income to interest expense for all years presented on the Consolidated Statements of Operations.</w:t>
      </w:r>
    </w:p>
    <w:p>
      <w:pPr>
        <w:spacing w:after="0" w:line="18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center"/>
              <w:ind w:right="3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60" w:type="dxa"/>
            <w:vAlign w:val="bottom"/>
            <w:gridSpan w:val="6"/>
          </w:tcPr>
          <w:p>
            <w:pPr>
              <w:jc w:val="center"/>
              <w:ind w:left="39"/>
              <w:spacing w:after="0"/>
              <w:rPr>
                <w:sz w:val="20"/>
                <w:szCs w:val="20"/>
                <w:color w:val="auto"/>
              </w:rPr>
            </w:pPr>
            <w:r>
              <w:rPr>
                <w:rFonts w:ascii="Arial" w:cs="Arial" w:eastAsia="Arial" w:hAnsi="Arial"/>
                <w:sz w:val="16"/>
                <w:szCs w:val="16"/>
                <w:b w:val="1"/>
                <w:bCs w:val="1"/>
                <w:color w:val="auto"/>
                <w:w w:val="89"/>
              </w:rPr>
              <w:t>(in thousands, except per share data)</w:t>
            </w: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57,298</w:t>
            </w:r>
          </w:p>
        </w:tc>
        <w:tc>
          <w:tcPr>
            <w:tcW w:w="5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12,678</w:t>
            </w:r>
          </w:p>
        </w:tc>
      </w:tr>
      <w:tr>
        <w:trPr>
          <w:trHeight w:val="270"/>
        </w:trPr>
        <w:tc>
          <w:tcPr>
            <w:tcW w:w="6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38,655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38,224</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39,387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38,506</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common share - Basic</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0.33</w:t>
            </w: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common share - Diluted</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and future compensation cost associated with the stock award. Approximately 0.2 million, 0.7 million, and 1.2 million stock-based awards were excluded from the calculation of diluted EPS for the years ended December 31, 2017, 2016, and 2015, respectively, because they were anti-dilutive. These stock-based awards could be dilutive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$3,957 and $3,320)</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369,047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299,870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28,982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51,636</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398,029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351,506</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Provision for doubtful accounts, net</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1,025</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written-off</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Effects of change in exchange rates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103,274</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9,863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7,925</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57,316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51,850</w:t>
            </w:r>
          </w:p>
        </w:tc>
      </w:tr>
      <w:tr>
        <w:trPr>
          <w:trHeight w:val="244"/>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193,835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163,049</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310,753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279,746</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104,384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98,125</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122,680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18,433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17,179</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29,358</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609,082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547,088</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(370,630)</w:t>
            </w:r>
          </w:p>
        </w:tc>
      </w:tr>
      <w:tr>
        <w:trPr>
          <w:trHeight w:val="244"/>
        </w:trPr>
        <w:tc>
          <w:tcPr>
            <w:tcW w:w="6740" w:type="dxa"/>
            <w:vAlign w:val="bottom"/>
          </w:tcPr>
          <w:p>
            <w:pPr>
              <w:ind w:left="11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200,768</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176,458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42,430</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43,206</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44,320</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4"/>
          </w:tcPr>
          <w:p>
            <w:pPr>
              <w:ind w:left="120"/>
              <w:spacing w:after="0"/>
              <w:rPr>
                <w:sz w:val="20"/>
                <w:szCs w:val="20"/>
                <w:color w:val="auto"/>
              </w:rPr>
            </w:pPr>
            <w:r>
              <w:rPr>
                <w:rFonts w:ascii="Arial" w:cs="Arial" w:eastAsia="Arial" w:hAnsi="Arial"/>
                <w:sz w:val="16"/>
                <w:szCs w:val="16"/>
                <w:b w:val="1"/>
                <w:bCs w:val="1"/>
                <w:color w:val="auto"/>
              </w:rPr>
              <w:t>December 31, 2017</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Gross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87"/>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429,548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372,568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(354,878)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17,690</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258,586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(197,582)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61,004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224,467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(170,056)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54,411</w:t>
            </w: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11,661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769,851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95,228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669,896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72,151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9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595"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669,896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702,507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36,500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63,455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(32,611)</w:t>
            </w:r>
          </w:p>
        </w:tc>
        <w:tc>
          <w:tcPr>
            <w:tcW w:w="0" w:type="dxa"/>
            <w:vAlign w:val="bottom"/>
          </w:tcPr>
          <w:p>
            <w:pPr>
              <w:spacing w:after="0"/>
              <w:rPr>
                <w:sz w:val="1"/>
                <w:szCs w:val="1"/>
                <w:color w:val="auto"/>
              </w:rPr>
            </w:pP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769,851</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669,896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A summary of intangible asset amortization expense is as follows:</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88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2016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expense</w:t>
            </w: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20,785</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25,112</w:t>
            </w:r>
          </w:p>
        </w:tc>
        <w:tc>
          <w:tcPr>
            <w:tcW w:w="11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31,673</w:t>
            </w: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Estimated Annual Amortization</w:t>
            </w:r>
          </w:p>
        </w:tc>
        <w:tc>
          <w:tcPr>
            <w:tcW w:w="0" w:type="dxa"/>
            <w:vAlign w:val="bottom"/>
          </w:tcPr>
          <w:p>
            <w:pPr>
              <w:spacing w:after="0"/>
              <w:rPr>
                <w:sz w:val="1"/>
                <w:szCs w:val="1"/>
                <w:color w:val="auto"/>
              </w:rPr>
            </w:pPr>
          </w:p>
        </w:tc>
      </w:tr>
      <w:tr>
        <w:trPr>
          <w:trHeight w:val="33"/>
        </w:trPr>
        <w:tc>
          <w:tcPr>
            <w:tcW w:w="4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96"/>
              </w:rPr>
              <w:t>(in thousands)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19,380</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2019</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16,553</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14,208</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2021</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12,162</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9,961</w:t>
            </w:r>
          </w:p>
        </w:tc>
        <w:tc>
          <w:tcPr>
            <w:tcW w:w="0" w:type="dxa"/>
            <w:vAlign w:val="bottom"/>
          </w:tcPr>
          <w:p>
            <w:pPr>
              <w:spacing w:after="0"/>
              <w:rPr>
                <w:sz w:val="1"/>
                <w:szCs w:val="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Beyond 2022</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22,964</w:t>
            </w:r>
          </w:p>
        </w:tc>
        <w:tc>
          <w:tcPr>
            <w:tcW w:w="0" w:type="dxa"/>
            <w:vAlign w:val="bottom"/>
          </w:tcPr>
          <w:p>
            <w:pPr>
              <w:spacing w:after="0"/>
              <w:rPr>
                <w:sz w:val="1"/>
                <w:szCs w:val="1"/>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95,228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ind w:right="174"/>
              <w:spacing w:after="0"/>
              <w:rPr>
                <w:sz w:val="20"/>
                <w:szCs w:val="20"/>
                <w:color w:val="auto"/>
              </w:rPr>
            </w:pPr>
            <w:r>
              <w:rPr>
                <w:rFonts w:ascii="Arial" w:cs="Arial" w:eastAsia="Arial" w:hAnsi="Arial"/>
                <w:sz w:val="18"/>
                <w:szCs w:val="18"/>
                <w:color w:val="auto"/>
              </w:rPr>
              <w:t>62</w:t>
            </w: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2017 and 2016:</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Electricity</w:t>
            </w:r>
          </w:p>
        </w:tc>
        <w:tc>
          <w:tcPr>
            <w:tcW w:w="42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Gas</w:t>
            </w:r>
          </w:p>
        </w:tc>
        <w:tc>
          <w:tcPr>
            <w:tcW w:w="5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Water</w:t>
            </w:r>
          </w:p>
        </w:tc>
        <w:tc>
          <w:tcPr>
            <w:tcW w:w="2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Goodwill balance at January 1, 2016</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414,910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1,096,660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(362,177)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(266,361)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(628,538)</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52,733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468,122</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(15,628)</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December 31, 2016</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400,299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319,913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334,505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1,054,717</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(348,926)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(253,297)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(602,223)</w:t>
            </w:r>
          </w:p>
        </w:tc>
      </w:tr>
      <w:tr>
        <w:trPr>
          <w:trHeight w:val="217"/>
        </w:trPr>
        <w:tc>
          <w:tcPr>
            <w:tcW w:w="424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51,373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319,913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452,494</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Goodwill acquired</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59,675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59,675</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43,593</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500,625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352,703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378,901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1,232,229</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(386,384)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(676,467)</w:t>
            </w:r>
          </w:p>
        </w:tc>
      </w:tr>
      <w:tr>
        <w:trPr>
          <w:trHeight w:val="244"/>
        </w:trPr>
        <w:tc>
          <w:tcPr>
            <w:tcW w:w="424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114,241</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352,703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88,818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555,762</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our 2017 annual goodwill impairment test, performed as of October 1, 2017, we performed a qualitative assessment and determined it is not more likely than not that the fair value of our reporting units is less than their carrying amounts.</w:t>
      </w:r>
    </w:p>
    <w:p>
      <w:pPr>
        <w:sectPr>
          <w:pgSz w:w="11900" w:h="16838" w:orient="portrait"/>
          <w:cols w:equalWidth="0" w:num="1">
            <w:col w:w="11420"/>
          </w:cols>
          <w:pgMar w:left="240" w:top="125" w:right="239" w:bottom="622" w:gutter="0" w:footer="0" w:header="0"/>
        </w:sectPr>
      </w:pPr>
    </w:p>
    <w:p>
      <w:pPr>
        <w:spacing w:after="0" w:line="1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our borrowings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Less: unamortized prepaid debt fees - term loan</w:t>
      </w:r>
    </w:p>
    <w:p>
      <w:pPr>
        <w:spacing w:after="0" w:line="98" w:lineRule="exact"/>
        <w:rPr>
          <w:sz w:val="20"/>
          <w:szCs w:val="20"/>
          <w:color w:val="auto"/>
        </w:rPr>
      </w:pPr>
    </w:p>
    <w:p>
      <w:pPr>
        <w:jc w:val="right"/>
        <w:ind w:right="2400"/>
        <w:spacing w:after="0"/>
        <w:rPr>
          <w:sz w:val="20"/>
          <w:szCs w:val="20"/>
          <w:color w:val="auto"/>
        </w:rPr>
      </w:pPr>
      <w:r>
        <w:rPr>
          <w:rFonts w:ascii="Arial" w:cs="Arial" w:eastAsia="Arial" w:hAnsi="Arial"/>
          <w:sz w:val="16"/>
          <w:szCs w:val="16"/>
          <w:color w:val="auto"/>
        </w:rPr>
        <w:t>Less: unamortized prepaid debt fees - senior notes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2016</w:t>
            </w:r>
          </w:p>
        </w:tc>
      </w:tr>
      <w:tr>
        <w:trPr>
          <w:trHeight w:val="33"/>
        </w:trPr>
        <w:tc>
          <w:tcPr>
            <w:tcW w:w="2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gridSpan w:val="4"/>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416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540"/>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8"/>
              <w:spacing w:after="0"/>
              <w:rPr>
                <w:sz w:val="20"/>
                <w:szCs w:val="20"/>
                <w:color w:val="auto"/>
              </w:rPr>
            </w:pPr>
            <w:r>
              <w:rPr>
                <w:rFonts w:ascii="Arial" w:cs="Arial" w:eastAsia="Arial" w:hAnsi="Arial"/>
                <w:sz w:val="16"/>
                <w:szCs w:val="16"/>
                <w:color w:val="auto"/>
              </w:rPr>
              <w:t>194,063</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208,125</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8"/>
              <w:spacing w:after="0"/>
              <w:rPr>
                <w:sz w:val="20"/>
                <w:szCs w:val="20"/>
                <w:color w:val="auto"/>
              </w:rPr>
            </w:pPr>
            <w:r>
              <w:rPr>
                <w:rFonts w:ascii="Arial" w:cs="Arial" w:eastAsia="Arial" w:hAnsi="Arial"/>
                <w:sz w:val="16"/>
                <w:szCs w:val="16"/>
                <w:color w:val="auto"/>
              </w:rPr>
              <w:t>125,414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97,167</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8"/>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900" w:type="dxa"/>
            <w:vAlign w:val="bottom"/>
          </w:tcPr>
          <w:p>
            <w:pPr>
              <w:jc w:val="right"/>
              <w:ind w:right="38"/>
              <w:spacing w:after="0"/>
              <w:rPr>
                <w:sz w:val="20"/>
                <w:szCs w:val="20"/>
                <w:color w:val="auto"/>
              </w:rPr>
            </w:pPr>
            <w:r>
              <w:rPr>
                <w:rFonts w:ascii="Arial" w:cs="Arial" w:eastAsia="Arial" w:hAnsi="Arial"/>
                <w:sz w:val="16"/>
                <w:szCs w:val="16"/>
                <w:color w:val="auto"/>
              </w:rPr>
              <w:t>619,477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305,292</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8"/>
              <w:spacing w:after="0"/>
              <w:rPr>
                <w:sz w:val="20"/>
                <w:szCs w:val="20"/>
                <w:color w:val="auto"/>
              </w:rPr>
            </w:pPr>
            <w:r>
              <w:rPr>
                <w:rFonts w:ascii="Arial" w:cs="Arial" w:eastAsia="Arial" w:hAnsi="Arial"/>
                <w:sz w:val="16"/>
                <w:szCs w:val="16"/>
                <w:color w:val="auto"/>
              </w:rPr>
              <w:t>19,688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14,063</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8"/>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769</w:t>
            </w:r>
          </w:p>
        </w:tc>
      </w:tr>
      <w:tr>
        <w:trPr>
          <w:trHeight w:val="465"/>
        </w:trPr>
        <w:tc>
          <w:tcPr>
            <w:tcW w:w="280" w:type="dxa"/>
            <w:vAlign w:val="bottom"/>
          </w:tcPr>
          <w:p>
            <w:pPr>
              <w:spacing w:after="0"/>
              <w:rPr>
                <w:sz w:val="24"/>
                <w:szCs w:val="24"/>
                <w:color w:val="auto"/>
              </w:rPr>
            </w:pPr>
          </w:p>
        </w:tc>
        <w:tc>
          <w:tcPr>
            <w:tcW w:w="1900" w:type="dxa"/>
            <w:vAlign w:val="bottom"/>
          </w:tcPr>
          <w:p>
            <w:pPr>
              <w:jc w:val="right"/>
              <w:ind w:right="38"/>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8"/>
              <w:spacing w:after="0"/>
              <w:rPr>
                <w:sz w:val="20"/>
                <w:szCs w:val="20"/>
                <w:color w:val="auto"/>
              </w:rPr>
            </w:pPr>
            <w:r>
              <w:rPr>
                <w:rFonts w:ascii="Arial" w:cs="Arial" w:eastAsia="Arial" w:hAnsi="Arial"/>
                <w:sz w:val="16"/>
                <w:szCs w:val="16"/>
                <w:color w:val="auto"/>
              </w:rPr>
              <w:t>593,572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290,460</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-1517015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-1174115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-831215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-488315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440"/>
          </w:cols>
          <w:pgMar w:left="240" w:top="125" w:right="239" w:bottom="622"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$250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0.18%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w:t>
      </w:r>
    </w:p>
    <w:p>
      <w:pPr>
        <w:sectPr>
          <w:pgSz w:w="11900" w:h="16838" w:orient="portrait"/>
          <w:cols w:equalWidth="0" w:num="1">
            <w:col w:w="11420"/>
          </w:cols>
          <w:pgMar w:left="240" w:top="125" w:right="239" w:bottom="622"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622"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 The 2015 credit facility includes debt covenants, which contain certain financial thresholds and place certain restrictions on the incurrence of debt, investments, and the issuance of dividends. We were in compliance with the debt covenants under the 2015 credit facility at December 31, 2017.</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13, 2016, we entered into an amendment to the 2015 credit facility, which reduced our $300 million standby letter of credit sub-facility to $250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 of $4.2 million through June 2018, $5.6 million from September 2018 through March 2020, and the remainder due at maturity on June 23, 2020. The term loan may be repaid early in whole or in part, subject to certain minimum thresholds, without penalty.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Required minimum principal payments on our outstanding credit facilities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19,688</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22,500</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277,289</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9360" w:type="dxa"/>
            <w:vAlign w:val="bottom"/>
          </w:tcPr>
          <w:p>
            <w:pPr>
              <w:ind w:left="180"/>
              <w:spacing w:after="0"/>
              <w:rPr>
                <w:sz w:val="20"/>
                <w:szCs w:val="20"/>
                <w:color w:val="auto"/>
              </w:rPr>
            </w:pPr>
            <w:r>
              <w:rPr>
                <w:rFonts w:ascii="Arial" w:cs="Arial" w:eastAsia="Arial" w:hAnsi="Arial"/>
                <w:sz w:val="16"/>
                <w:szCs w:val="16"/>
                <w:color w:val="auto"/>
              </w:rPr>
              <w:t>Total minimum payments on debt</w:t>
            </w:r>
          </w:p>
        </w:tc>
        <w:tc>
          <w:tcPr>
            <w:tcW w:w="3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319,477</w:t>
            </w:r>
          </w:p>
        </w:tc>
      </w:tr>
      <w:tr>
        <w:trPr>
          <w:trHeight w:val="20"/>
        </w:trPr>
        <w:tc>
          <w:tcPr>
            <w:tcW w:w="9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December 31, 2017 and 2016,</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rates for both the term loan and the USD revolver was 2.82% and 2.02%, which includes the LIBOR rate plus a margin of 1.25% and 1.25%, respectively. At December 31, 2017 and 2016, the interest rates for the EUR revolver was 1.25% and 1.25%, which includes the EURIBOR floor rate plus a margin of 1.25% and 1.25%,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14,063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67,869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49,873</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29,063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79,119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62,998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2017, $125.4 million was outstanding under the 2015 credit facility revolver, and $31.9 million was utilized by outstanding standby letters of credit, resulting in $342.7 million available for additional borrowings or standby letters of credit. At December 31, 2017, $218.1 million was available for additional standby letters of credit under the letter of credit sub-facility and no amounts were outstanding under the swingline sub-facility.</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Refinancing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5, 2018, we entered into a credit agreement (the 2018 credit facility) which amended and restated the 2015 credit facility in its entirety. The 2018 credit facility provides for a $650 million term loan and a $500 million revolving credit facility, including a $300 million letter of credit sub-facility and $50 million swingline loan sub-facility. Both the term loan and the revolver mature on January 5, 2023, and amounts borrowed under the revolver may be repaid and reborrowed until the revolver's maturity, at which time the revolver will terminate, and all outstanding loans, together with all accrued and unpaid interest, must be repaid. For additional details see Note 19: Subsequent Events.</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22, 2017, we issued $300 million aggregate principal amount of 5.00% senior notes due 2026 (Notes). The December Notes were issued pursuant to an indenture, dated as of December 22, 2017 (Indenture), among Itron, the guarantors from time to time party thereto and U.S. Bank National Association, as trustee. Interest on the Notes will accrue at 5% per annum and will be payable semi-annually in arrears on January 15 and July 15 commencing on July 15, 2018. The Notes will be jointly and severally guaranteed by each of our subsidiaries that guarantees obligations under our senior credit facilities. The Notes were not guaranteed until the release of the escrow, but once released, the Notes were fully and unconditionally guaranteed, jointly and severally, on a senior unsecured basis by each of our subsidiaries that guarantee the senior credit facilities.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Notes will mature on January 15, 2026. However, prior to January 15, 2021, we may redeem some or all of the Notes at a redemption price equal to 100% of the principal amount of the Notes, together with accrued and unpaid interest, if any, plus a “make- whole” premium. On or after January 15, 2021, we may redeem some or all of the Notes at any time at declining redemption prices equal to 102.50% beginning on January 15, 2021, 101.25% beginning on January 15, 2022 and 100.00% beginning on January 15, 2023 and thereafter, plus, in each case, accrued and unpaid interest, if any, to the applicable redemption date. In addition, before January 15, 2021, and subject to certain conditions, we may redeem up to 35% of the aggregate principal amount of Notes with the net proceeds of certain equity offerings at 105.00% of the principal amount thereof, plus accrued and unpaid interest, if any, to the date of redemption; provided that (i) at least 65% of the aggregate principal amount of Notes remains outstanding after such redemption and (ii) the redemption occurs within 60 days of the closing of any such equity offering.</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14, and Note 15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3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18"/>
              <w:spacing w:after="0"/>
              <w:rPr>
                <w:sz w:val="20"/>
                <w:szCs w:val="20"/>
                <w:color w:val="auto"/>
              </w:rPr>
            </w:pPr>
            <w:r>
              <w:rPr>
                <w:rFonts w:ascii="Arial" w:cs="Arial" w:eastAsia="Arial" w:hAnsi="Arial"/>
                <w:sz w:val="16"/>
                <w:szCs w:val="16"/>
                <w:b w:val="1"/>
                <w:bCs w:val="1"/>
                <w:color w:val="auto"/>
              </w:rPr>
              <w:t>December 31,</w:t>
            </w:r>
          </w:p>
        </w:tc>
        <w:tc>
          <w:tcPr>
            <w:tcW w:w="440" w:type="dxa"/>
            <w:vAlign w:val="bottom"/>
          </w:tcPr>
          <w:p>
            <w:pPr>
              <w:spacing w:after="0"/>
              <w:rPr>
                <w:sz w:val="18"/>
                <w:szCs w:val="18"/>
                <w:color w:val="auto"/>
              </w:rPr>
            </w:pPr>
          </w:p>
        </w:tc>
        <w:tc>
          <w:tcPr>
            <w:tcW w:w="1360" w:type="dxa"/>
            <w:vAlign w:val="bottom"/>
          </w:tcPr>
          <w:p>
            <w:pPr>
              <w:jc w:val="right"/>
              <w:ind w:right="317"/>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36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8"/>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360" w:type="dxa"/>
            <w:vAlign w:val="bottom"/>
          </w:tcPr>
          <w:p>
            <w:pPr>
              <w:jc w:val="right"/>
              <w:ind w:right="597"/>
              <w:spacing w:after="0"/>
              <w:rPr>
                <w:sz w:val="20"/>
                <w:szCs w:val="20"/>
                <w:color w:val="auto"/>
              </w:rPr>
            </w:pPr>
            <w:r>
              <w:rPr>
                <w:rFonts w:ascii="Arial" w:cs="Arial" w:eastAsia="Arial" w:hAnsi="Arial"/>
                <w:sz w:val="16"/>
                <w:szCs w:val="16"/>
                <w:b w:val="1"/>
                <w:bCs w:val="1"/>
                <w:color w:val="auto"/>
              </w:rPr>
              <w:t>2016</w:t>
            </w:r>
          </w:p>
        </w:tc>
      </w:tr>
      <w:tr>
        <w:trPr>
          <w:trHeight w:val="33"/>
        </w:trPr>
        <w:tc>
          <w:tcPr>
            <w:tcW w:w="436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3"/>
          </w:tcPr>
          <w:p>
            <w:pPr>
              <w:jc w:val="right"/>
              <w:ind w:right="1157"/>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3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3"/>
        </w:trPr>
        <w:tc>
          <w:tcPr>
            <w:tcW w:w="7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778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342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17</w:t>
            </w:r>
          </w:p>
        </w:tc>
        <w:tc>
          <w:tcPr>
            <w:tcW w:w="440" w:type="dxa"/>
            <w:vAlign w:val="bottom"/>
          </w:tcPr>
          <w:p>
            <w:pPr>
              <w:spacing w:after="0"/>
              <w:rPr>
                <w:sz w:val="20"/>
                <w:szCs w:val="20"/>
                <w:color w:val="auto"/>
              </w:rPr>
            </w:pPr>
          </w:p>
        </w:tc>
        <w:tc>
          <w:tcPr>
            <w:tcW w:w="1360" w:type="dxa"/>
            <w:vAlign w:val="bottom"/>
          </w:tcPr>
          <w:p>
            <w:pPr>
              <w:jc w:val="right"/>
              <w:ind w:right="17"/>
              <w:spacing w:after="0"/>
              <w:rPr>
                <w:sz w:val="20"/>
                <w:szCs w:val="20"/>
                <w:color w:val="auto"/>
              </w:rPr>
            </w:pPr>
            <w:r>
              <w:rPr>
                <w:rFonts w:ascii="Arial" w:cs="Arial" w:eastAsia="Arial" w:hAnsi="Arial"/>
                <w:sz w:val="16"/>
                <w:szCs w:val="16"/>
                <w:color w:val="auto"/>
              </w:rPr>
              <w:t>3</w:t>
            </w: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1,712</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1,830</w:t>
            </w:r>
          </w:p>
        </w:tc>
      </w:tr>
      <w:tr>
        <w:trPr>
          <w:trHeight w:val="224"/>
        </w:trPr>
        <w:tc>
          <w:tcPr>
            <w:tcW w:w="4360" w:type="dxa"/>
            <w:vAlign w:val="bottom"/>
          </w:tcPr>
          <w:p>
            <w:pPr>
              <w:ind w:left="180"/>
              <w:spacing w:after="0"/>
              <w:rPr>
                <w:sz w:val="20"/>
                <w:szCs w:val="20"/>
                <w:color w:val="auto"/>
              </w:rPr>
            </w:pPr>
            <w:r>
              <w:rPr>
                <w:rFonts w:ascii="Arial" w:cs="Arial" w:eastAsia="Arial" w:hAnsi="Arial"/>
                <w:sz w:val="16"/>
                <w:szCs w:val="16"/>
                <w:color w:val="auto"/>
              </w:rPr>
              <w:t>Interest rate cap contracts</w:t>
            </w:r>
          </w:p>
        </w:tc>
        <w:tc>
          <w:tcPr>
            <w:tcW w:w="342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38"/>
              <w:spacing w:after="0"/>
              <w:rPr>
                <w:sz w:val="20"/>
                <w:szCs w:val="20"/>
                <w:color w:val="auto"/>
              </w:rPr>
            </w:pPr>
            <w:r>
              <w:rPr>
                <w:rFonts w:ascii="Arial" w:cs="Arial" w:eastAsia="Arial" w:hAnsi="Arial"/>
                <w:sz w:val="16"/>
                <w:szCs w:val="16"/>
                <w:color w:val="auto"/>
              </w:rPr>
              <w:t>179</w:t>
            </w:r>
          </w:p>
        </w:tc>
        <w:tc>
          <w:tcPr>
            <w:tcW w:w="440" w:type="dxa"/>
            <w:vAlign w:val="bottom"/>
          </w:tcPr>
          <w:p>
            <w:pPr>
              <w:spacing w:after="0"/>
              <w:rPr>
                <w:sz w:val="19"/>
                <w:szCs w:val="19"/>
                <w:color w:val="auto"/>
              </w:rPr>
            </w:pPr>
          </w:p>
        </w:tc>
        <w:tc>
          <w:tcPr>
            <w:tcW w:w="1360" w:type="dxa"/>
            <w:vAlign w:val="bottom"/>
          </w:tcPr>
          <w:p>
            <w:pPr>
              <w:jc w:val="right"/>
              <w:ind w:right="17"/>
              <w:spacing w:after="0"/>
              <w:rPr>
                <w:sz w:val="20"/>
                <w:szCs w:val="20"/>
                <w:color w:val="auto"/>
              </w:rPr>
            </w:pPr>
            <w:r>
              <w:rPr>
                <w:rFonts w:ascii="Arial" w:cs="Arial" w:eastAsia="Arial" w:hAnsi="Arial"/>
                <w:sz w:val="16"/>
                <w:szCs w:val="16"/>
                <w:color w:val="auto"/>
              </w:rPr>
              <w:t>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exchange forward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Total asset derivatives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563</w:t>
            </w:r>
          </w:p>
        </w:tc>
      </w:tr>
      <w:tr>
        <w:trPr>
          <w:trHeight w:val="47"/>
        </w:trPr>
        <w:tc>
          <w:tcPr>
            <w:tcW w:w="35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4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2,945</w:t>
            </w:r>
          </w:p>
        </w:tc>
      </w:tr>
      <w:tr>
        <w:trPr>
          <w:trHeight w:val="33"/>
        </w:trPr>
        <w:tc>
          <w:tcPr>
            <w:tcW w:w="35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-539750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-196850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171450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720"/>
            <w:col w:w="7040"/>
          </w:cols>
          <w:pgMar w:left="240" w:top="125" w:right="239" w:bottom="1440" w:gutter="0" w:footer="0" w:header="0"/>
          <w:type w:val="continuous"/>
        </w:sectPr>
      </w:pP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4939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swap contracts</w:t>
            </w:r>
          </w:p>
        </w:tc>
        <w:tc>
          <w:tcPr>
            <w:tcW w:w="44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current liabilities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w:t>
            </w: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3440" w:type="dxa"/>
            <w:vAlign w:val="bottom"/>
          </w:tcPr>
          <w:p>
            <w:pPr>
              <w:spacing w:after="0"/>
              <w:rPr>
                <w:sz w:val="4"/>
                <w:szCs w:val="4"/>
                <w:color w:val="auto"/>
              </w:rPr>
            </w:pPr>
          </w:p>
        </w:tc>
        <w:tc>
          <w:tcPr>
            <w:tcW w:w="4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44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current liabilities</w:t>
            </w:r>
          </w:p>
        </w:tc>
        <w:tc>
          <w:tcPr>
            <w:tcW w:w="7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217"/>
        </w:trPr>
        <w:tc>
          <w:tcPr>
            <w:tcW w:w="3440" w:type="dxa"/>
            <w:vAlign w:val="bottom"/>
          </w:tcPr>
          <w:p>
            <w:pPr>
              <w:ind w:left="380"/>
              <w:spacing w:after="0"/>
              <w:rPr>
                <w:sz w:val="20"/>
                <w:szCs w:val="20"/>
                <w:color w:val="auto"/>
              </w:rPr>
            </w:pPr>
            <w:r>
              <w:rPr>
                <w:rFonts w:ascii="Arial" w:cs="Arial" w:eastAsia="Arial" w:hAnsi="Arial"/>
                <w:sz w:val="16"/>
                <w:szCs w:val="16"/>
                <w:b w:val="1"/>
                <w:bCs w:val="1"/>
                <w:color w:val="auto"/>
              </w:rPr>
              <w:t>Total liability derivatives</w:t>
            </w:r>
          </w:p>
        </w:tc>
        <w:tc>
          <w:tcPr>
            <w:tcW w:w="4460" w:type="dxa"/>
            <w:vAlign w:val="bottom"/>
          </w:tcPr>
          <w:p>
            <w:pPr>
              <w:spacing w:after="0"/>
              <w:rPr>
                <w:sz w:val="18"/>
                <w:szCs w:val="18"/>
                <w:color w:val="auto"/>
              </w:rPr>
            </w:pPr>
          </w:p>
        </w:tc>
        <w:tc>
          <w:tcPr>
            <w:tcW w:w="7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1,383</w:t>
            </w:r>
          </w:p>
        </w:tc>
      </w:tr>
      <w:tr>
        <w:trPr>
          <w:trHeight w:val="33"/>
        </w:trPr>
        <w:tc>
          <w:tcPr>
            <w:tcW w:w="3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net of tax,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w w:val="97"/>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(14,337)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(14,062)</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(15,148)</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Unrealized gain (loss) on derivative instruments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(1,087)</w:t>
            </w:r>
          </w:p>
        </w:tc>
        <w:tc>
          <w:tcPr>
            <w:tcW w:w="4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(gains) losses reclassified into net income (loss)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812</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Net unrealized gain (loss) on hedging instruments at December 31,</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(13,414)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(14,337)</w:t>
            </w:r>
          </w:p>
        </w:tc>
        <w:tc>
          <w:tcPr>
            <w:tcW w:w="4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(14,062)</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Included in the net unrealized loss on hedging instruments at December 31, 2017 and 2016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3"/>
          </w:tcPr>
          <w:p>
            <w:pPr>
              <w:ind w:left="40"/>
              <w:spacing w:after="0"/>
              <w:rPr>
                <w:sz w:val="20"/>
                <w:szCs w:val="20"/>
                <w:color w:val="auto"/>
              </w:rPr>
            </w:pPr>
            <w:r>
              <w:rPr>
                <w:rFonts w:ascii="Arial" w:cs="Arial" w:eastAsia="Arial" w:hAnsi="Arial"/>
                <w:sz w:val="16"/>
                <w:szCs w:val="16"/>
                <w:b w:val="1"/>
                <w:bCs w:val="1"/>
                <w:color w:val="auto"/>
                <w:w w:val="94"/>
              </w:rPr>
              <w:t>Gross Amounts Not Offset in the Consolidated</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40"/>
              <w:spacing w:after="0"/>
              <w:rPr>
                <w:sz w:val="20"/>
                <w:szCs w:val="20"/>
                <w:color w:val="auto"/>
              </w:rPr>
            </w:pPr>
            <w:r>
              <w:rPr>
                <w:rFonts w:ascii="Arial" w:cs="Arial" w:eastAsia="Arial" w:hAnsi="Arial"/>
                <w:sz w:val="16"/>
                <w:szCs w:val="16"/>
                <w:b w:val="1"/>
                <w:bCs w:val="1"/>
                <w:color w:val="auto"/>
              </w:rPr>
              <w:t>Balance Sheets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7"/>
              </w:rPr>
              <w:t>Recognized Assets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Consolidated Balance</w:t>
            </w:r>
          </w:p>
        </w:tc>
        <w:tc>
          <w:tcPr>
            <w:tcW w:w="14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Derivative Financial</w:t>
            </w:r>
          </w:p>
        </w:tc>
        <w:tc>
          <w:tcPr>
            <w:tcW w:w="28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Cash Collateral</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3"/>
              </w:rPr>
              <w:t>Sheets</w:t>
            </w:r>
          </w:p>
        </w:tc>
        <w:tc>
          <w:tcPr>
            <w:tcW w:w="14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Instruments</w:t>
            </w:r>
          </w:p>
        </w:tc>
        <w:tc>
          <w:tcPr>
            <w:tcW w:w="28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Received</w:t>
            </w:r>
          </w:p>
        </w:tc>
        <w:tc>
          <w:tcPr>
            <w:tcW w:w="3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2,900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2,945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3"/>
          </w:tcPr>
          <w:p>
            <w:pPr>
              <w:ind w:left="40"/>
              <w:spacing w:after="0"/>
              <w:rPr>
                <w:sz w:val="20"/>
                <w:szCs w:val="20"/>
                <w:color w:val="auto"/>
              </w:rPr>
            </w:pPr>
            <w:r>
              <w:rPr>
                <w:rFonts w:ascii="Arial" w:cs="Arial" w:eastAsia="Arial" w:hAnsi="Arial"/>
                <w:sz w:val="16"/>
                <w:szCs w:val="16"/>
                <w:b w:val="1"/>
                <w:bCs w:val="1"/>
                <w:color w:val="auto"/>
                <w:w w:val="94"/>
              </w:rPr>
              <w:t>Gross Amounts Not Offset in the Consolidated</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40"/>
              <w:spacing w:after="0"/>
              <w:rPr>
                <w:sz w:val="20"/>
                <w:szCs w:val="20"/>
                <w:color w:val="auto"/>
              </w:rPr>
            </w:pPr>
            <w:r>
              <w:rPr>
                <w:rFonts w:ascii="Arial" w:cs="Arial" w:eastAsia="Arial" w:hAnsi="Arial"/>
                <w:sz w:val="16"/>
                <w:szCs w:val="16"/>
                <w:b w:val="1"/>
                <w:bCs w:val="1"/>
                <w:color w:val="auto"/>
              </w:rPr>
              <w:t>Balance Sheets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8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Recognized Liabilities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Consolidated Balance</w:t>
            </w:r>
          </w:p>
        </w:tc>
        <w:tc>
          <w:tcPr>
            <w:tcW w:w="14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Derivative Financial</w:t>
            </w:r>
          </w:p>
        </w:tc>
        <w:tc>
          <w:tcPr>
            <w:tcW w:w="28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Cash Collateral</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3"/>
              </w:rPr>
              <w:t>Sheets</w:t>
            </w:r>
          </w:p>
        </w:tc>
        <w:tc>
          <w:tcPr>
            <w:tcW w:w="14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Instruments</w:t>
            </w:r>
          </w:p>
        </w:tc>
        <w:tc>
          <w:tcPr>
            <w:tcW w:w="28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Pledged</w:t>
            </w:r>
          </w:p>
        </w:tc>
        <w:tc>
          <w:tcPr>
            <w:tcW w:w="3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289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1,383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derivative assets and liabilities subject to netting arrangements consist of foreign exchange forward and interest rate contracts with three counterparties at December 31, 2017 and three counterparties at December 31, 2016. No derivative asset or liability balance with any of our counterparties was individually significant at December 31, 2017 or 2016.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decrease this variability in our cash flows. The objective of these swaps is to reduce the variability of cash flows from increases in the LIBOR-based borrowing rates on our floating rate credit facility. The swaps do not protect us from changes to the applicable margin under our credit facility.</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2012, we entered into six interest rate swaps, which were effective July 31, 2013 and expired on August 8, 2016, to convert $200 million of our LIBOR based debt from a floating LIBOR interest rate to a fixed interest rate of 1.00% (excluding the applicable margin on the debt). The cash flow hedges were expected to be highly effective in achieving offsetting cash flows attributable to the hedged risk through the term of the hedge. Consequently, effective changes in the fair value of the interest rate swaps were recognized as a component of OCI and recognized in earnings when the hedged item affected earnings. The amounts paid on the hedges were recognized as adjustments to interest expense.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recognized as a component of OCI and will be recognized in earnings when the hedged item affects earnings. The amounts paid or received on the hedge are recognized as an adjustment to interest expense. The amount of net losses expected to be reclassified into earnings in the next 12 months is $0.7 million. At December 31, 2017, our LIBOR-based debt balance was $254.1 million.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 As of December 31, 2016, due to the accelerated revolver payments from surplus cash, we have elected to de-designate two of the interest rate cap contracts as cash flow hedges and discontinue the use of cash flow hedge accounting. The amounts recognized in AOCI from de-designated interest rate cap contracts will continue to be reported in AOCI unless it is not probable that the forecasted transactions will occur. As a result of the discontinuance of cash flow hedge accounting, all subsequent changes in fair value of the de-designated derivative instruments are recognized within interest expense instead of OCI. The amount of net losses expected to be reclassified into earnings for all interest rate cap contracts in the next 12 months is $0.3 million.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derivative instruments designated as hedges on the Consolidated Balance Sheets and the Consolidated Statements of Operations were as follows: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Derivatives in</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ASC 815-20</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Cash Flow</w:t>
            </w:r>
          </w:p>
        </w:tc>
        <w:tc>
          <w:tcPr>
            <w:tcW w:w="2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Amount of Gain (Loss) Recognized</w:t>
            </w:r>
          </w:p>
        </w:tc>
      </w:tr>
      <w:tr>
        <w:trPr>
          <w:trHeight w:val="203"/>
        </w:trPr>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Hedging</w:t>
            </w:r>
          </w:p>
        </w:tc>
        <w:tc>
          <w:tcPr>
            <w:tcW w:w="26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in OCI on Derivative (Effective</w:t>
            </w:r>
          </w:p>
        </w:tc>
      </w:tr>
      <w:tr>
        <w:trPr>
          <w:trHeight w:val="210"/>
        </w:trPr>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Relationships</w:t>
            </w:r>
          </w:p>
        </w:tc>
        <w:tc>
          <w:tcPr>
            <w:tcW w:w="7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Portion)</w:t>
            </w:r>
          </w:p>
        </w:tc>
        <w:tc>
          <w:tcPr>
            <w:tcW w:w="680" w:type="dxa"/>
            <w:vAlign w:val="bottom"/>
          </w:tcPr>
          <w:p>
            <w:pPr>
              <w:spacing w:after="0"/>
              <w:rPr>
                <w:sz w:val="18"/>
                <w:szCs w:val="18"/>
                <w:color w:val="auto"/>
              </w:rPr>
            </w:pPr>
          </w:p>
        </w:tc>
      </w:tr>
      <w:tr>
        <w:trPr>
          <w:trHeight w:val="33"/>
        </w:trPr>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r>
      <w:tr>
        <w:trPr>
          <w:trHeight w:val="33"/>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200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89"/>
              </w:rPr>
              <w:t>Loss Reclassified from</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gridSpan w:val="4"/>
          </w:tcPr>
          <w:p>
            <w:pPr>
              <w:jc w:val="center"/>
              <w:ind w:left="579"/>
              <w:spacing w:after="0"/>
              <w:rPr>
                <w:sz w:val="20"/>
                <w:szCs w:val="20"/>
                <w:color w:val="auto"/>
              </w:rPr>
            </w:pPr>
            <w:r>
              <w:rPr>
                <w:rFonts w:ascii="Arial" w:cs="Arial" w:eastAsia="Arial" w:hAnsi="Arial"/>
                <w:sz w:val="16"/>
                <w:szCs w:val="16"/>
                <w:b w:val="1"/>
                <w:bCs w:val="1"/>
                <w:color w:val="auto"/>
                <w:w w:val="89"/>
              </w:rPr>
              <w:t>Loss Recognized in Income on</w:t>
            </w:r>
          </w:p>
        </w:tc>
        <w:tc>
          <w:tcPr>
            <w:tcW w:w="660" w:type="dxa"/>
            <w:vAlign w:val="bottom"/>
          </w:tcPr>
          <w:p>
            <w:pPr>
              <w:spacing w:after="0"/>
              <w:rPr>
                <w:sz w:val="17"/>
                <w:szCs w:val="17"/>
                <w:color w:val="auto"/>
              </w:rPr>
            </w:pPr>
          </w:p>
        </w:tc>
      </w:tr>
      <w:tr>
        <w:trPr>
          <w:trHeight w:val="210"/>
        </w:trPr>
        <w:tc>
          <w:tcPr>
            <w:tcW w:w="37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4"/>
              </w:rPr>
              <w:t>AOCI into Income (Effective Portion)</w:t>
            </w:r>
          </w:p>
        </w:tc>
        <w:tc>
          <w:tcPr>
            <w:tcW w:w="100" w:type="dxa"/>
            <w:vAlign w:val="bottom"/>
          </w:tcPr>
          <w:p>
            <w:pPr>
              <w:spacing w:after="0"/>
              <w:rPr>
                <w:sz w:val="18"/>
                <w:szCs w:val="18"/>
                <w:color w:val="auto"/>
              </w:rPr>
            </w:pPr>
          </w:p>
        </w:tc>
        <w:tc>
          <w:tcPr>
            <w:tcW w:w="30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auto"/>
                <w:w w:val="93"/>
              </w:rPr>
              <w:t>Derivative (Ineffective Portion)</w:t>
            </w:r>
          </w:p>
        </w:tc>
        <w:tc>
          <w:tcPr>
            <w:tcW w:w="660" w:type="dxa"/>
            <w:vAlign w:val="bottom"/>
          </w:tcPr>
          <w:p>
            <w:pPr>
              <w:spacing w:after="0"/>
              <w:rPr>
                <w:sz w:val="18"/>
                <w:szCs w:val="18"/>
                <w:color w:val="auto"/>
              </w:rPr>
            </w:pPr>
          </w:p>
        </w:tc>
      </w:tr>
      <w:tr>
        <w:trPr>
          <w:trHeight w:val="33"/>
        </w:trPr>
        <w:tc>
          <w:tcPr>
            <w:tcW w:w="18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5"/>
        </w:trPr>
        <w:tc>
          <w:tcPr>
            <w:tcW w:w="1800" w:type="dxa"/>
            <w:vAlign w:val="bottom"/>
            <w:gridSpan w:val="3"/>
          </w:tcPr>
          <w:p>
            <w:pPr>
              <w:jc w:val="right"/>
              <w:ind w:right="980"/>
              <w:spacing w:after="0"/>
              <w:rPr>
                <w:sz w:val="20"/>
                <w:szCs w:val="20"/>
                <w:color w:val="auto"/>
              </w:rPr>
            </w:pPr>
            <w:r>
              <w:rPr>
                <w:rFonts w:ascii="Arial" w:cs="Arial" w:eastAsia="Arial" w:hAnsi="Arial"/>
                <w:sz w:val="16"/>
                <w:szCs w:val="16"/>
                <w:b w:val="1"/>
                <w:bCs w:val="1"/>
                <w:color w:val="auto"/>
              </w:rPr>
              <w:t>Location</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Location</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Amount</w:t>
            </w:r>
          </w:p>
        </w:tc>
        <w:tc>
          <w:tcPr>
            <w:tcW w:w="660" w:type="dxa"/>
            <w:vAlign w:val="bottom"/>
          </w:tcPr>
          <w:p>
            <w:pPr>
              <w:spacing w:after="0"/>
              <w:rPr>
                <w:sz w:val="24"/>
                <w:szCs w:val="24"/>
                <w:color w:val="auto"/>
              </w:rPr>
            </w:pPr>
          </w:p>
        </w:tc>
      </w:tr>
      <w:tr>
        <w:trPr>
          <w:trHeight w:val="114"/>
        </w:trPr>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231"/>
        </w:trPr>
        <w:tc>
          <w:tcPr>
            <w:tcW w:w="18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2017</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2016</w:t>
            </w: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192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2015</w:t>
            </w: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660" w:type="dxa"/>
            <w:vAlign w:val="bottom"/>
          </w:tcPr>
          <w:p>
            <w:pPr>
              <w:spacing w:after="0"/>
              <w:rPr>
                <w:sz w:val="18"/>
                <w:szCs w:val="18"/>
                <w:color w:val="auto"/>
              </w:rPr>
            </w:pPr>
          </w:p>
        </w:tc>
      </w:tr>
    </w:tbl>
    <w:p>
      <w:pPr>
        <w:spacing w:after="0" w:line="33" w:lineRule="exact"/>
        <w:rPr>
          <w:sz w:val="20"/>
          <w:szCs w:val="20"/>
          <w:color w:val="auto"/>
        </w:rPr>
      </w:pPr>
    </w:p>
    <w:p>
      <w:pPr>
        <w:sectPr>
          <w:pgSz w:w="11900" w:h="16838" w:orient="portrait"/>
          <w:cols w:equalWidth="0" w:num="2">
            <w:col w:w="3800" w:space="120"/>
            <w:col w:w="75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swap contracts</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w:t>
            </w:r>
          </w:p>
        </w:tc>
        <w:tc>
          <w:tcPr>
            <w:tcW w:w="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expense</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expense</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t>
            </w:r>
          </w:p>
        </w:tc>
      </w:tr>
      <w:tr>
        <w:trPr>
          <w:trHeight w:val="220"/>
        </w:trPr>
        <w:tc>
          <w:tcPr>
            <w:tcW w:w="108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Arial" w:cs="Arial" w:eastAsia="Arial" w:hAnsi="Arial"/>
                <w:sz w:val="16"/>
                <w:szCs w:val="16"/>
                <w:color w:val="auto"/>
              </w:rPr>
              <w:t>Interest</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6"/>
                <w:szCs w:val="16"/>
                <w:color w:val="auto"/>
              </w:rPr>
              <w:t>Interest</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6"/>
        </w:trPr>
        <w:tc>
          <w:tcPr>
            <w:tcW w:w="1080" w:type="dxa"/>
            <w:vAlign w:val="bottom"/>
          </w:tcPr>
          <w:p>
            <w:pPr>
              <w:ind w:left="40"/>
              <w:spacing w:after="0"/>
              <w:rPr>
                <w:sz w:val="20"/>
                <w:szCs w:val="20"/>
                <w:color w:val="auto"/>
              </w:rPr>
            </w:pPr>
            <w:r>
              <w:rPr>
                <w:rFonts w:ascii="Arial" w:cs="Arial" w:eastAsia="Arial" w:hAnsi="Arial"/>
                <w:sz w:val="16"/>
                <w:szCs w:val="16"/>
                <w:color w:val="auto"/>
              </w:rPr>
              <w:t>cap contracts</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920" w:type="dxa"/>
            <w:vAlign w:val="bottom"/>
          </w:tcPr>
          <w:p>
            <w:pPr>
              <w:ind w:left="100"/>
              <w:spacing w:after="0"/>
              <w:rPr>
                <w:sz w:val="20"/>
                <w:szCs w:val="20"/>
                <w:color w:val="auto"/>
              </w:rPr>
            </w:pPr>
            <w:r>
              <w:rPr>
                <w:rFonts w:ascii="Arial" w:cs="Arial" w:eastAsia="Arial" w:hAnsi="Arial"/>
                <w:sz w:val="16"/>
                <w:szCs w:val="16"/>
                <w:color w:val="auto"/>
              </w:rPr>
              <w:t>expense</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ind w:left="80"/>
              <w:spacing w:after="0"/>
              <w:rPr>
                <w:sz w:val="20"/>
                <w:szCs w:val="20"/>
                <w:color w:val="auto"/>
              </w:rPr>
            </w:pPr>
            <w:r>
              <w:rPr>
                <w:rFonts w:ascii="Arial" w:cs="Arial" w:eastAsia="Arial" w:hAnsi="Arial"/>
                <w:sz w:val="16"/>
                <w:szCs w:val="16"/>
                <w:color w:val="auto"/>
              </w:rPr>
              <w:t>expense</w:t>
            </w:r>
          </w:p>
        </w:tc>
        <w:tc>
          <w:tcPr>
            <w:tcW w:w="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Pr>
          <w:p>
            <w:pPr>
              <w:ind w:left="20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December 31, 2017, a total of 54 contracts were offsetting our exposures from the euro, Canadian dollar, Indonesian Rupiah, Chinese Yuan, Saudi Riyal and various other currencies, with notional amounts ranging from $158,000 to $39.5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Derivatives Not Designated as Hedging</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3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Instrument under ASC 815-20</w:t>
            </w:r>
          </w:p>
        </w:tc>
        <w:tc>
          <w:tcPr>
            <w:tcW w:w="2520" w:type="dxa"/>
            <w:vAlign w:val="bottom"/>
            <w:gridSpan w:val="2"/>
          </w:tcPr>
          <w:p>
            <w:pPr>
              <w:ind w:left="900"/>
              <w:spacing w:after="0"/>
              <w:rPr>
                <w:sz w:val="20"/>
                <w:szCs w:val="20"/>
                <w:color w:val="auto"/>
              </w:rPr>
            </w:pPr>
            <w:r>
              <w:rPr>
                <w:rFonts w:ascii="Arial" w:cs="Arial" w:eastAsia="Arial" w:hAnsi="Arial"/>
                <w:sz w:val="16"/>
                <w:szCs w:val="16"/>
                <w:b w:val="1"/>
                <w:bCs w:val="1"/>
                <w:color w:val="auto"/>
              </w:rPr>
              <w:t>Location</w:t>
            </w:r>
          </w:p>
        </w:tc>
        <w:tc>
          <w:tcPr>
            <w:tcW w:w="420" w:type="dxa"/>
            <w:vAlign w:val="bottom"/>
          </w:tcPr>
          <w:p>
            <w:pPr>
              <w:spacing w:after="0"/>
              <w:rPr>
                <w:sz w:val="18"/>
                <w:szCs w:val="18"/>
                <w:color w:val="auto"/>
              </w:rPr>
            </w:pPr>
          </w:p>
        </w:tc>
        <w:tc>
          <w:tcPr>
            <w:tcW w:w="4920" w:type="dxa"/>
            <w:vAlign w:val="bottom"/>
            <w:gridSpan w:val="5"/>
          </w:tcPr>
          <w:p>
            <w:pPr>
              <w:jc w:val="center"/>
              <w:ind w:right="299"/>
              <w:spacing w:after="0"/>
              <w:rPr>
                <w:sz w:val="20"/>
                <w:szCs w:val="20"/>
                <w:color w:val="auto"/>
              </w:rPr>
            </w:pPr>
            <w:r>
              <w:rPr>
                <w:rFonts w:ascii="Arial" w:cs="Arial" w:eastAsia="Arial" w:hAnsi="Arial"/>
                <w:sz w:val="16"/>
                <w:szCs w:val="16"/>
                <w:b w:val="1"/>
                <w:bCs w:val="1"/>
                <w:color w:val="auto"/>
                <w:w w:val="91"/>
              </w:rPr>
              <w:t>Gain (Loss) Recognized in Income on Derivative</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(in thousands)</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(3,145)</w:t>
            </w: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Interest rate cap contracts</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22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our international employees, primarily in Germany, France, Italy, Indonesia, Brazil, and Spain. The defined benefit obligation is calculated annually by using the projected unit credit method. The measurement date for the pension plans was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components of the changes in benefit obligations and fair value of plan assets</w:t>
      </w:r>
      <w:r>
        <w:rPr>
          <w:rFonts w:ascii="Arial" w:cs="Arial" w:eastAsia="Arial" w:hAnsi="Arial"/>
          <w:sz w:val="16"/>
          <w:szCs w:val="16"/>
          <w:color w:val="auto"/>
        </w:rPr>
        <w: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4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97,261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98,767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3,968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3,472</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Actuarial (gain) loss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13,014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(4,386)</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Curtailment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Settlement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(1,431)</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Benefit obligation at December 31,</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110,820</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97,261</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Actual return on plan assets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604</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Company contributions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Benefits paid</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December 31,</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10,215</w:t>
            </w: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Net pension benefit obligation at fair value</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97,986</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87,046</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on the Consolidated Balance Sheets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Plan assets 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Current portion of pension benefit obligation in wages and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Long-term portion of pension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benefit obligation,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(in thousands)</w:t>
      </w:r>
    </w:p>
    <w:p>
      <w:pPr>
        <w:spacing w:after="0" w:line="360" w:lineRule="exact"/>
        <w:rPr>
          <w:sz w:val="20"/>
          <w:szCs w:val="20"/>
          <w:color w:val="auto"/>
        </w:rPr>
      </w:pPr>
    </w:p>
    <w:p>
      <w:pPr>
        <w:spacing w:after="0"/>
        <w:tabs>
          <w:tab w:leader="none" w:pos="1320" w:val="left"/>
          <w:tab w:leader="none" w:pos="1820" w:val="left"/>
          <w:tab w:leader="none" w:pos="3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654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220"/>
        <w:spacing w:after="0"/>
        <w:tabs>
          <w:tab w:leader="none" w:pos="3000" w:val="left"/>
        </w:tabs>
        <w:rPr>
          <w:sz w:val="20"/>
          <w:szCs w:val="20"/>
          <w:color w:val="auto"/>
        </w:rPr>
      </w:pPr>
      <w:r>
        <w:rPr>
          <w:rFonts w:ascii="Arial" w:cs="Arial" w:eastAsia="Arial" w:hAnsi="Arial"/>
          <w:sz w:val="16"/>
          <w:szCs w:val="16"/>
          <w:color w:val="auto"/>
        </w:rPr>
        <w:t>3,260</w:t>
      </w:r>
      <w:r>
        <w:rPr>
          <w:sz w:val="20"/>
          <w:szCs w:val="20"/>
          <w:color w:val="auto"/>
        </w:rPr>
        <w:tab/>
      </w:r>
      <w:r>
        <w:rPr>
          <w:rFonts w:ascii="Arial" w:cs="Arial" w:eastAsia="Arial" w:hAnsi="Arial"/>
          <w:sz w:val="16"/>
          <w:szCs w:val="16"/>
          <w:color w:val="auto"/>
        </w:rPr>
        <w:t>3,202</w:t>
      </w:r>
    </w:p>
    <w:p>
      <w:pPr>
        <w:spacing w:after="0" w:line="86" w:lineRule="exact"/>
        <w:rPr>
          <w:sz w:val="20"/>
          <w:szCs w:val="20"/>
          <w:color w:val="auto"/>
        </w:rPr>
      </w:pPr>
    </w:p>
    <w:p>
      <w:pPr>
        <w:jc w:val="both"/>
        <w:ind w:left="1140"/>
        <w:spacing w:after="0"/>
        <w:tabs>
          <w:tab w:leader="none" w:pos="2920" w:val="left"/>
        </w:tabs>
        <w:rPr>
          <w:sz w:val="20"/>
          <w:szCs w:val="20"/>
          <w:color w:val="auto"/>
        </w:rPr>
      </w:pPr>
      <w:r>
        <w:rPr>
          <w:rFonts w:ascii="Arial" w:cs="Arial" w:eastAsia="Arial" w:hAnsi="Arial"/>
          <w:sz w:val="16"/>
          <w:szCs w:val="16"/>
          <w:color w:val="auto"/>
        </w:rPr>
        <w:t>95,717</w:t>
      </w:r>
      <w:r>
        <w:rPr>
          <w:sz w:val="20"/>
          <w:szCs w:val="20"/>
          <w:color w:val="auto"/>
        </w:rPr>
        <w:tab/>
      </w:r>
      <w:r>
        <w:rPr>
          <w:rFonts w:ascii="Arial" w:cs="Arial" w:eastAsia="Arial" w:hAnsi="Arial"/>
          <w:sz w:val="16"/>
          <w:szCs w:val="16"/>
          <w:color w:val="auto"/>
        </w:rPr>
        <w:t>84,498</w:t>
      </w:r>
    </w:p>
    <w:p>
      <w:pPr>
        <w:spacing w:after="0" w:line="356"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97,986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87,046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52070</wp:posOffset>
            </wp:positionV>
            <wp:extent cx="2238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5" w:right="239" w:bottom="703"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Amounts in AOCI (pre-tax) that have not yet been recognized as components of net periodic benefit costs consist of:</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8"/>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loss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prior service cost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Amount included in AOCI</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Amounts recognized in OCI (pre-tax) are as follows: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(gain) loss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(3,209)</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Settlement (gain) loss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 (gain) loss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Plan asset (gain) loss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343</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net actuarial loss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(8,971)</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actuarial gains and losses exceed ten percent of the greater of plan assets or plan liabilities, we amortize them over the employees' average future service period. The estimated net actuarial loss and prior service cost that will be amortized from AOCI into net periodic benefit cost during 2018 is $1.6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2,573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2,380</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prior service costs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pension benefit costs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03"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703"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Actuarial assumptions used to determine benefit obligations at end of period:</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Expected annual rate of compensation increase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Actuarial assumptions used to determine net periodic benefit cost for the period: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380" w:right="1820"/>
        <w:spacing w:after="0" w:line="470" w:lineRule="auto"/>
        <w:rPr>
          <w:sz w:val="20"/>
          <w:szCs w:val="20"/>
          <w:color w:val="auto"/>
        </w:rPr>
      </w:pPr>
      <w:r>
        <w:rPr>
          <w:rFonts w:ascii="Arial" w:cs="Arial" w:eastAsia="Arial" w:hAnsi="Arial"/>
          <w:sz w:val="14"/>
          <w:szCs w:val="14"/>
          <w:color w:val="auto"/>
        </w:rPr>
        <w:t>Expected rate of return on plan assets Expected annual rate of compensation increase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At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3456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1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r>
      <w:tr>
        <w:trPr>
          <w:trHeight w:val="33"/>
        </w:trPr>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01"/>
        </w:trPr>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540"/>
        </w:trPr>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-1007745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-664210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-321310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5260" w:space="720"/>
            <w:col w:w="5440"/>
          </w:cols>
          <w:pgMar w:left="240" w:top="125"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color w:val="auto"/>
        </w:rPr>
        <w:t>We determine a discount rate for our plans based on the estimated duration of each plan’s liabilities. For our euro denominated defined benefit pension plans, which represent 93% of our benefit obligation, we use two discount rates with consideration of the duration of the plans, using a hypothetical yield curve developed from euro-denominated AA-rated corporate bond issues. These bond issues are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1.00% and 1.75%.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$101.4 million and $87.2 million at December 31, 2017 and 2016,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obligations and fair value of plan assets for plans with projected benefit obligations and accumulated benefit obligations exceeding the fair value of plan assets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At December 31,</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106,486</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94,110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Accumulated benefit obligation</w:t>
            </w:r>
          </w:p>
        </w:tc>
        <w:tc>
          <w:tcPr>
            <w:tcW w:w="10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97,546</w:t>
            </w:r>
          </w:p>
        </w:tc>
        <w:tc>
          <w:tcPr>
            <w:tcW w:w="7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84,448</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plan assets</w:t>
            </w: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7,509</w:t>
            </w:r>
          </w:p>
        </w:tc>
        <w:tc>
          <w:tcPr>
            <w:tcW w:w="7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6,410</w:t>
            </w:r>
          </w:p>
        </w:tc>
      </w:tr>
      <w:tr>
        <w:trPr>
          <w:trHeight w:val="33"/>
        </w:trPr>
        <w:tc>
          <w:tcPr>
            <w:tcW w:w="79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Quoted Prices in Active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0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7"/>
                <w:szCs w:val="17"/>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Unobservable Inputs</w:t>
            </w:r>
          </w:p>
        </w:tc>
      </w:tr>
      <w:tr>
        <w:trPr>
          <w:trHeight w:val="210"/>
        </w:trPr>
        <w:tc>
          <w:tcPr>
            <w:tcW w:w="6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Pr>
          <w:p>
            <w:pPr>
              <w:spacing w:after="0"/>
              <w:rPr>
                <w:sz w:val="18"/>
                <w:szCs w:val="18"/>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6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2017</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8,384</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securities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3,661</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12,834</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12,045</w:t>
            </w:r>
          </w:p>
        </w:tc>
      </w:tr>
      <w:tr>
        <w:trPr>
          <w:trHeight w:val="73"/>
        </w:trPr>
        <w:tc>
          <w:tcPr>
            <w:tcW w:w="606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7"/>
        </w:trPr>
        <w:tc>
          <w:tcPr>
            <w:tcW w:w="6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2016</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7,011</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securities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2,421</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10,215</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9,432</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2017 and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Issuances,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Settlements, and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Net Transfers Into</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Effect of Foreign</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1, 2017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Gains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20" w:type="dxa"/>
            <w:vAlign w:val="bottom"/>
          </w:tcPr>
          <w:p>
            <w:pPr>
              <w:spacing w:after="0"/>
              <w:rPr>
                <w:sz w:val="18"/>
                <w:szCs w:val="18"/>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funds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8,384</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3,661</w:t>
            </w:r>
          </w:p>
        </w:tc>
      </w:tr>
      <w:tr>
        <w:trPr>
          <w:trHeight w:val="33"/>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12,045</w:t>
            </w:r>
          </w:p>
        </w:tc>
      </w:tr>
      <w:tr>
        <w:trPr>
          <w:trHeight w:val="20"/>
        </w:trPr>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54"/>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Issuances,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Settlements, and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Net Transfers Into</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Effect of Foreign</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Gains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20" w:type="dxa"/>
            <w:vAlign w:val="bottom"/>
          </w:tcPr>
          <w:p>
            <w:pPr>
              <w:spacing w:after="0"/>
              <w:rPr>
                <w:sz w:val="18"/>
                <w:szCs w:val="18"/>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funds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2,421</w:t>
            </w:r>
          </w:p>
        </w:tc>
      </w:tr>
      <w:tr>
        <w:trPr>
          <w:trHeight w:val="33"/>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9,432</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and contributions are not significant to our total company assets, no further disclosures are considered material.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benefit payments for the next 10 years, including amounts to be paid from our assets for unfunded plans and reflecting expected future service, as appropriate, are expected to be paid as follows:</w:t>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Annual Benefit</w:t>
            </w:r>
          </w:p>
        </w:tc>
      </w:tr>
      <w:tr>
        <w:trPr>
          <w:trHeight w:val="210"/>
        </w:trPr>
        <w:tc>
          <w:tcPr>
            <w:tcW w:w="99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Payments</w:t>
            </w:r>
          </w:p>
        </w:tc>
      </w:tr>
      <w:tr>
        <w:trPr>
          <w:trHeight w:val="33"/>
        </w:trPr>
        <w:tc>
          <w:tcPr>
            <w:tcW w:w="9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3,801</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3,124</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3,744</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4,329</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4,511</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2023-2027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28,121</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the Second Amended and Restated 2010 Stock Incentive Plan (Stock Incentive Plan), which allows us to grant stock-based compensation awards, including stock options, restricted stock units, phantom stock, and unrestricted stock units. Under the Stock Incentive Plan, we have 10,473,956 shares of common stock reserved and authorized for issuance subject to stock splits, dividends, and other similar events. At December 31, 2017, 4,656,327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maintain the ESPP, for which approximately 340,000 shares of common stock were available for future issuance at December 31,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years ended December 31, 2017, 2016, and 2015 was not significant.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r>
        <w:rPr>
          <w:rFonts w:ascii="Arial" w:cs="Arial" w:eastAsia="Arial" w:hAnsi="Arial"/>
          <w:sz w:val="16"/>
          <w:szCs w:val="16"/>
          <w:color w:val="auto"/>
        </w:rPr>
        <w: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17,738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14,723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10,735</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1,747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23,154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 Exercise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8"/>
              </w:rPr>
              <w:t>Aggregate</w:t>
            </w: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Average Grant</w:t>
            </w:r>
          </w:p>
        </w:tc>
      </w:tr>
      <w:tr>
        <w:trPr>
          <w:trHeight w:val="210"/>
        </w:trPr>
        <w:tc>
          <w:tcPr>
            <w:tcW w:w="30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 per Share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3"/>
              </w:rPr>
              <w:t>Intrinsic Value</w:t>
            </w: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3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308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(years)</w:t>
            </w:r>
          </w:p>
        </w:tc>
        <w:tc>
          <w:tcPr>
            <w:tcW w:w="200" w:type="dxa"/>
            <w:vAlign w:val="bottom"/>
          </w:tcPr>
          <w:p>
            <w:pPr>
              <w:spacing w:after="0"/>
              <w:rPr>
                <w:sz w:val="20"/>
                <w:szCs w:val="20"/>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8"/>
              </w:rPr>
              <w:t>(in thousands)</w:t>
            </w: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1"/>
        </w:trPr>
        <w:tc>
          <w:tcPr>
            <w:tcW w:w="30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35.25</w:t>
            </w:r>
          </w:p>
        </w:tc>
        <w:tc>
          <w:tcPr>
            <w:tcW w:w="1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12.09</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080" w:type="dxa"/>
            <w:vAlign w:val="bottom"/>
          </w:tcPr>
          <w:p>
            <w:pPr>
              <w:ind w:left="40"/>
              <w:spacing w:after="0"/>
              <w:rPr>
                <w:sz w:val="20"/>
                <w:szCs w:val="20"/>
                <w:color w:val="auto"/>
              </w:rPr>
            </w:pPr>
            <w:r>
              <w:rPr>
                <w:rFonts w:ascii="Arial" w:cs="Arial" w:eastAsia="Arial" w:hAnsi="Arial"/>
                <w:sz w:val="16"/>
                <w:szCs w:val="16"/>
                <w:color w:val="auto"/>
              </w:rPr>
              <w:t>Outstanding, December 31, 2015</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48.31</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4"/>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40.40</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13.27</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55.13</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080" w:type="dxa"/>
            <w:vAlign w:val="bottom"/>
          </w:tcPr>
          <w:p>
            <w:pPr>
              <w:ind w:left="40"/>
              <w:spacing w:after="0"/>
              <w:rPr>
                <w:sz w:val="20"/>
                <w:szCs w:val="20"/>
                <w:color w:val="auto"/>
              </w:rPr>
            </w:pPr>
            <w:r>
              <w:rPr>
                <w:rFonts w:ascii="Arial" w:cs="Arial" w:eastAsia="Arial" w:hAnsi="Arial"/>
                <w:sz w:val="16"/>
                <w:szCs w:val="16"/>
                <w:color w:val="auto"/>
              </w:rPr>
              <w:t>Outstanding, December 31, 2016</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45.64</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4"/>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65.94</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21.99</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47.38</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70.12</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8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December 31, 2017</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47.10</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21,965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57"/>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90"/>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December 31, 2017</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46.08</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15,934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57"/>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3080" w:type="dxa"/>
            <w:vAlign w:val="bottom"/>
          </w:tcPr>
          <w:p>
            <w:pPr>
              <w:ind w:left="40"/>
              <w:spacing w:after="0"/>
              <w:rPr>
                <w:sz w:val="20"/>
                <w:szCs w:val="20"/>
                <w:color w:val="auto"/>
              </w:rPr>
            </w:pPr>
            <w:r>
              <w:rPr>
                <w:rFonts w:ascii="Arial" w:cs="Arial" w:eastAsia="Arial" w:hAnsi="Arial"/>
                <w:sz w:val="16"/>
                <w:szCs w:val="16"/>
                <w:color w:val="auto"/>
              </w:rPr>
              <w:t>Expected to vest, December 31, 2017</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49.17</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total unrecognized stock-based compensation expense related to nonvested stock options was $2.9 million, which is expected to be recognized over a weighted average period of approximately 1.5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208"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37465</wp:posOffset>
            </wp:positionV>
            <wp:extent cx="34563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2017</w:t>
            </w:r>
          </w:p>
        </w:tc>
        <w:tc>
          <w:tcPr>
            <w:tcW w:w="1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r>
      <w:tr>
        <w:trPr>
          <w:trHeight w:val="33"/>
        </w:trPr>
        <w:tc>
          <w:tcPr>
            <w:tcW w:w="5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5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33"/>
        </w:trPr>
        <w:tc>
          <w:tcPr>
            <w:tcW w:w="59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80" w:type="dxa"/>
            <w:vAlign w:val="bottom"/>
          </w:tcPr>
          <w:p>
            <w:pPr>
              <w:jc w:val="center"/>
              <w:ind w:left="359"/>
              <w:spacing w:after="0"/>
              <w:rPr>
                <w:sz w:val="20"/>
                <w:szCs w:val="20"/>
                <w:color w:val="auto"/>
              </w:rPr>
            </w:pPr>
            <w:r>
              <w:rPr>
                <w:rFonts w:ascii="Arial" w:cs="Arial" w:eastAsia="Arial" w:hAnsi="Arial"/>
                <w:sz w:val="16"/>
                <w:szCs w:val="16"/>
                <w:b w:val="1"/>
                <w:bCs w:val="1"/>
                <w:color w:val="auto"/>
                <w:w w:val="94"/>
              </w:rPr>
              <w:t>Number of</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Average Grant</w:t>
            </w:r>
          </w:p>
        </w:tc>
        <w:tc>
          <w:tcPr>
            <w:tcW w:w="22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Restricted Stock Units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Date Fair Value</w:t>
            </w:r>
          </w:p>
        </w:tc>
        <w:tc>
          <w:tcPr>
            <w:tcW w:w="220" w:type="dxa"/>
            <w:vAlign w:val="bottom"/>
          </w:tcPr>
          <w:p>
            <w:pPr>
              <w:spacing w:after="0"/>
              <w:rPr>
                <w:sz w:val="18"/>
                <w:szCs w:val="18"/>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12,204</w:t>
            </w:r>
          </w:p>
        </w:tc>
        <w:tc>
          <w:tcPr>
            <w:tcW w:w="0" w:type="dxa"/>
            <w:vAlign w:val="bottom"/>
          </w:tcPr>
          <w:p>
            <w:pPr>
              <w:spacing w:after="0"/>
              <w:rPr>
                <w:sz w:val="1"/>
                <w:szCs w:val="1"/>
                <w:color w:val="auto"/>
              </w:rPr>
            </w:pPr>
          </w:p>
        </w:tc>
      </w:tr>
      <w:tr>
        <w:trPr>
          <w:trHeight w:val="237"/>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Pr>
          <w:p>
            <w:pPr>
              <w:jc w:val="right"/>
              <w:spacing w:after="0"/>
              <w:rPr>
                <w:sz w:val="20"/>
                <w:szCs w:val="20"/>
                <w:color w:val="auto"/>
              </w:rPr>
            </w:pPr>
            <w:r>
              <w:rPr>
                <w:rFonts w:ascii="Arial" w:cs="Arial" w:eastAsia="Arial" w:hAnsi="Arial"/>
                <w:sz w:val="16"/>
                <w:szCs w:val="16"/>
                <w:color w:val="auto"/>
                <w:w w:val="96"/>
              </w:rPr>
              <w:t>(312)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11,944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Outstanding, December 31, 2016</w:t>
            </w:r>
          </w:p>
        </w:tc>
        <w:tc>
          <w:tcPr>
            <w:tcW w:w="1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38.04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340" w:type="dxa"/>
            <w:vAlign w:val="bottom"/>
            <w:gridSpan w:val="2"/>
            <w:vMerge w:val="restart"/>
          </w:tcPr>
          <w:p>
            <w:pPr>
              <w:ind w:left="380"/>
              <w:spacing w:after="0"/>
              <w:rPr>
                <w:sz w:val="20"/>
                <w:szCs w:val="20"/>
                <w:color w:val="auto"/>
              </w:rPr>
            </w:pPr>
            <w:r>
              <w:rPr>
                <w:rFonts w:ascii="Arial" w:cs="Arial" w:eastAsia="Arial" w:hAnsi="Arial"/>
                <w:sz w:val="16"/>
                <w:szCs w:val="16"/>
                <w:color w:val="auto"/>
              </w:rPr>
              <w:t>Granted</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50.95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73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14,219</w:t>
            </w:r>
          </w:p>
        </w:tc>
        <w:tc>
          <w:tcPr>
            <w:tcW w:w="0" w:type="dxa"/>
            <w:vAlign w:val="bottom"/>
          </w:tcPr>
          <w:p>
            <w:pPr>
              <w:spacing w:after="0"/>
              <w:rPr>
                <w:sz w:val="1"/>
                <w:szCs w:val="1"/>
                <w:color w:val="auto"/>
              </w:rPr>
            </w:pPr>
          </w:p>
        </w:tc>
      </w:tr>
      <w:tr>
        <w:trPr>
          <w:trHeight w:val="224"/>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2017</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December 31, 2017</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2017</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23,877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total unrecognized compensation expense on restricted stock units was $21.7 million, which is expected to be recognized over a weighted average period of approximately 1.6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and the resulting weighted average fair value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r>
      <w:tr>
        <w:trPr>
          <w:trHeight w:val="33"/>
        </w:trPr>
        <w:tc>
          <w:tcPr>
            <w:tcW w:w="5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70"/>
        </w:trPr>
        <w:tc>
          <w:tcPr>
            <w:tcW w:w="59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7"/>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77.75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44.92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33.48</w:t>
            </w:r>
          </w:p>
        </w:tc>
      </w:tr>
      <w:tr>
        <w:trPr>
          <w:trHeight w:val="33"/>
        </w:trPr>
        <w:tc>
          <w:tcPr>
            <w:tcW w:w="59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2016</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December 31, 2016</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December 31, 2016</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2017</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December 31, 2017</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94"/>
              </w:rPr>
              <w:t>Average Grant</w:t>
            </w:r>
          </w:p>
        </w:tc>
        <w:tc>
          <w:tcPr>
            <w:tcW w:w="0" w:type="dxa"/>
            <w:vAlign w:val="bottom"/>
          </w:tcPr>
          <w:p>
            <w:pPr>
              <w:spacing w:after="0"/>
              <w:rPr>
                <w:sz w:val="1"/>
                <w:szCs w:val="1"/>
                <w:color w:val="auto"/>
              </w:rPr>
            </w:pPr>
          </w:p>
        </w:tc>
      </w:t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25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47.02</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47"/>
        </w:trPr>
        <w:tc>
          <w:tcPr>
            <w:tcW w:w="2300" w:type="dxa"/>
            <w:vAlign w:val="bottom"/>
            <w:tcBorders>
              <w:bottom w:val="single" w:sz="8" w:color="auto"/>
            </w:tcBorders>
          </w:tcPr>
          <w:p>
            <w:pPr>
              <w:spacing w:after="0"/>
              <w:rPr>
                <w:sz w:val="4"/>
                <w:szCs w:val="4"/>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vMerge w:val="restart"/>
          </w:tcPr>
          <w:p>
            <w:pPr>
              <w:jc w:val="right"/>
              <w:ind w:right="19"/>
              <w:spacing w:after="0"/>
              <w:rPr>
                <w:sz w:val="20"/>
                <w:szCs w:val="20"/>
                <w:color w:val="auto"/>
              </w:rPr>
            </w:pPr>
            <w:r>
              <w:rPr>
                <w:rFonts w:ascii="Arial" w:cs="Arial" w:eastAsia="Arial" w:hAnsi="Arial"/>
                <w:sz w:val="16"/>
                <w:szCs w:val="16"/>
                <w:color w:val="auto"/>
              </w:rPr>
              <w:t>47.28</w:t>
            </w: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-2469515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-2125980</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-1774825</wp:posOffset>
            </wp:positionV>
            <wp:extent cx="722947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-1414145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-1071245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-728345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-376555</wp:posOffset>
            </wp:positionV>
            <wp:extent cx="722947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2017, total unrecognized compensation expense on phantom stock units was $2.8 million, which is expected to be recognized over a weighted average period of approximately 1.7 years. As of December 31, 2017 and 2016, we have recognized a phantom stock liability of $1.7 million and $1.0 million, respectively, within wages and benefits payable in the Consolidated Balance Sheets.</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United Kingdom,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Defined contribution plans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11,709</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7,941</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6,579</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 Plans and Awards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performance and financial targets.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Bonus and profit sharing plans and award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40,005</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43,377</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14,192</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H.R.1, commonly referred to as the Tax Cuts and Jobs Act (Tax Act) was enacted into law in the United States. This new tax legislation represents one of the most significant overhauls to the U.S. federal tax code since 1986. The Tax Act lowered the U.S. corporate income tax rate from 35% to 21% effective January 1, 2018. It also includes numerous provisions that accelerate tax recovery for fixed assets and impacts business-related exclusions, deductions, and credits.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December 22, 2017, the Securities and Exchange Commission (SEC)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accordance with SAB 118, a company must reflect the income tax effects of those aspects of the Tax Act for which the accounting under ASC 740 is complete. To the extent that a company's accounting for certain income tax effects of the Tax Act is incomplete but is able to determine a reasonable estimate, it must recognize a provisional estimate in the financial statements. Pursuant to SAB 118, we have recognized provisional estimates for the impact of the Tax Act in 2017. This includes a one-time tax charge of $30.4 million to remeasure our deferred tax assets as a result of these legislative changes. We do not anticipate that the one time transition tax on the deemed repatriation of deferred foreign income will be significant, and have provisionally included no charge in 2017 for this tax. We will update our provisional estimate amounts throughout the measurement period as additional guidance is released.</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30, 2017, France enacted “The Finance Law for 2018” that reduces the French corporate tax rate to 25% by 2022. This lower rate resulted in an approximately $10 million reduction in our deferred tax assets, offset fully by a change in the valuation allowance.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Current:</w:t>
            </w: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5,033</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State and local</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3,841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1,633</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12,139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13,945</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current</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23,659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35,784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20,611</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Deferred:</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40,340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3,951</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State and local</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(972)</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(41,893)</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deferred</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42,676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(12,850)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(38,914)</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7,991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26,640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40,402</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provision for income taxes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74,326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valuation allowance does not include the impacts of currency translation adjustments or significant intercompany transactions.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provision as a percentage of income before tax was 55.2%, 58.6%, and 59.6% for 2017, 2016, and 2015, respectively. Our actual tax rate differed from the 35% U.S. federal statutory tax rate due to various items. A reconciliation of income taxes at the U.S. federal statutory rate of 35% to the consolidated actual tax rate is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Domestic</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220,342</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115,526</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Foreign</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(85,767)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(112,123)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(78,424)</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income before income taxes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134,575</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federal income tax provision</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47,101</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7,991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26,640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40,402</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Foreign earnings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(22,045)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(33,364)</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credits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Uncertain tax positions, including interest and penalties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4,274</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tax rates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State income tax provision (benefit), net of federal effect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4,986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tax provision on foreign earnings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Local foreign taxes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Transaction costs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provision for income taxes</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74,326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49,574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22,099</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 in tax rates line above includes the deferred tax impact of material rate changes in the U.S., France, and Luxembourg, among others.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and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334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carryforwards</w:t>
      </w:r>
      <w:r>
        <w:rPr>
          <w:rFonts w:ascii="Arial" w:cs="Arial" w:eastAsia="Arial" w:hAnsi="Arial"/>
          <w:sz w:val="21"/>
          <w:szCs w:val="21"/>
          <w:color w:val="auto"/>
          <w:vertAlign w:val="superscript"/>
        </w:rPr>
        <w:t>(1)</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Pension plan benefits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Warranty reserves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Equity compensation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deferred tax assets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Total 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liabilities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Tax effect of accumulated translation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deferred tax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040" w:val="left"/>
          <w:tab w:leader="none" w:pos="1820" w:val="left"/>
          <w:tab w:leader="none" w:pos="2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218,420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194,381</w:t>
      </w:r>
    </w:p>
    <w:p>
      <w:pPr>
        <w:spacing w:after="0" w:line="73"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58,616</w:t>
      </w:r>
      <w:r>
        <w:rPr>
          <w:sz w:val="20"/>
          <w:szCs w:val="20"/>
          <w:color w:val="auto"/>
        </w:rPr>
        <w:tab/>
      </w:r>
      <w:r>
        <w:rPr>
          <w:rFonts w:ascii="Arial" w:cs="Arial" w:eastAsia="Arial" w:hAnsi="Arial"/>
          <w:sz w:val="16"/>
          <w:szCs w:val="16"/>
          <w:color w:val="auto"/>
        </w:rPr>
        <w:t>53,323</w:t>
      </w:r>
    </w:p>
    <w:p>
      <w:pPr>
        <w:spacing w:after="0" w:line="35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23,752</w:t>
      </w:r>
      <w:r>
        <w:rPr>
          <w:sz w:val="20"/>
          <w:szCs w:val="20"/>
          <w:color w:val="auto"/>
        </w:rPr>
        <w:tab/>
      </w:r>
      <w:r>
        <w:rPr>
          <w:rFonts w:ascii="Arial" w:cs="Arial" w:eastAsia="Arial" w:hAnsi="Arial"/>
          <w:sz w:val="16"/>
          <w:szCs w:val="16"/>
          <w:color w:val="auto"/>
        </w:rPr>
        <w:t>36,336</w:t>
      </w:r>
    </w:p>
    <w:p>
      <w:pPr>
        <w:spacing w:after="0" w:line="73"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18,262</w:t>
      </w:r>
      <w:r>
        <w:rPr>
          <w:sz w:val="20"/>
          <w:szCs w:val="20"/>
          <w:color w:val="auto"/>
        </w:rPr>
        <w:tab/>
      </w:r>
      <w:r>
        <w:rPr>
          <w:rFonts w:ascii="Arial" w:cs="Arial" w:eastAsia="Arial" w:hAnsi="Arial"/>
          <w:sz w:val="16"/>
          <w:szCs w:val="16"/>
          <w:color w:val="auto"/>
        </w:rPr>
        <w:t>16,822</w:t>
      </w:r>
    </w:p>
    <w:p>
      <w:pPr>
        <w:spacing w:after="0" w:line="8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11,170</w:t>
      </w:r>
      <w:r>
        <w:rPr>
          <w:sz w:val="20"/>
          <w:szCs w:val="20"/>
          <w:color w:val="auto"/>
        </w:rPr>
        <w:tab/>
      </w:r>
      <w:r>
        <w:rPr>
          <w:rFonts w:ascii="Arial" w:cs="Arial" w:eastAsia="Arial" w:hAnsi="Arial"/>
          <w:sz w:val="16"/>
          <w:szCs w:val="16"/>
          <w:color w:val="auto"/>
        </w:rPr>
        <w:t>21,306</w:t>
      </w:r>
    </w:p>
    <w:p>
      <w:pPr>
        <w:spacing w:after="0" w:line="100" w:lineRule="exact"/>
        <w:rPr>
          <w:sz w:val="20"/>
          <w:szCs w:val="20"/>
          <w:color w:val="auto"/>
        </w:rPr>
      </w:pPr>
    </w:p>
    <w:p>
      <w:pPr>
        <w:ind w:left="1220"/>
        <w:spacing w:after="0"/>
        <w:tabs>
          <w:tab w:leader="none" w:pos="2920" w:val="left"/>
        </w:tabs>
        <w:rPr>
          <w:sz w:val="20"/>
          <w:szCs w:val="20"/>
          <w:color w:val="auto"/>
        </w:rPr>
      </w:pPr>
      <w:r>
        <w:rPr>
          <w:rFonts w:ascii="Arial" w:cs="Arial" w:eastAsia="Arial" w:hAnsi="Arial"/>
          <w:sz w:val="16"/>
          <w:szCs w:val="16"/>
          <w:color w:val="auto"/>
        </w:rPr>
        <w:t>5,736</w:t>
      </w:r>
      <w:r>
        <w:rPr>
          <w:sz w:val="20"/>
          <w:szCs w:val="20"/>
          <w:color w:val="auto"/>
        </w:rPr>
        <w:tab/>
      </w:r>
      <w:r>
        <w:rPr>
          <w:rFonts w:ascii="Arial" w:cs="Arial" w:eastAsia="Arial" w:hAnsi="Arial"/>
          <w:sz w:val="16"/>
          <w:szCs w:val="16"/>
          <w:color w:val="auto"/>
        </w:rPr>
        <w:t>15,698</w:t>
      </w:r>
    </w:p>
    <w:p>
      <w:pPr>
        <w:spacing w:after="0" w:line="86" w:lineRule="exact"/>
        <w:rPr>
          <w:sz w:val="20"/>
          <w:szCs w:val="20"/>
          <w:color w:val="auto"/>
        </w:rPr>
      </w:pPr>
    </w:p>
    <w:p>
      <w:pPr>
        <w:ind w:left="1220"/>
        <w:spacing w:after="0"/>
        <w:tabs>
          <w:tab w:leader="none" w:pos="3000" w:val="left"/>
        </w:tabs>
        <w:rPr>
          <w:sz w:val="20"/>
          <w:szCs w:val="20"/>
          <w:color w:val="auto"/>
        </w:rPr>
      </w:pPr>
      <w:r>
        <w:rPr>
          <w:rFonts w:ascii="Arial" w:cs="Arial" w:eastAsia="Arial" w:hAnsi="Arial"/>
          <w:sz w:val="16"/>
          <w:szCs w:val="16"/>
          <w:color w:val="auto"/>
        </w:rPr>
        <w:t>5,352</w:t>
      </w:r>
      <w:r>
        <w:rPr>
          <w:sz w:val="20"/>
          <w:szCs w:val="20"/>
          <w:color w:val="auto"/>
        </w:rPr>
        <w:tab/>
      </w:r>
      <w:r>
        <w:rPr>
          <w:rFonts w:ascii="Arial" w:cs="Arial" w:eastAsia="Arial" w:hAnsi="Arial"/>
          <w:sz w:val="16"/>
          <w:szCs w:val="16"/>
          <w:color w:val="auto"/>
        </w:rPr>
        <w:t>6,924</w:t>
      </w:r>
    </w:p>
    <w:p>
      <w:pPr>
        <w:spacing w:after="0" w:line="86" w:lineRule="exact"/>
        <w:rPr>
          <w:sz w:val="20"/>
          <w:szCs w:val="20"/>
          <w:color w:val="auto"/>
        </w:rPr>
      </w:pPr>
    </w:p>
    <w:p>
      <w:pPr>
        <w:ind w:left="1220"/>
        <w:spacing w:after="0"/>
        <w:tabs>
          <w:tab w:leader="none" w:pos="3000" w:val="left"/>
        </w:tabs>
        <w:rPr>
          <w:sz w:val="20"/>
          <w:szCs w:val="20"/>
          <w:color w:val="auto"/>
        </w:rPr>
      </w:pPr>
      <w:r>
        <w:rPr>
          <w:rFonts w:ascii="Arial" w:cs="Arial" w:eastAsia="Arial" w:hAnsi="Arial"/>
          <w:sz w:val="16"/>
          <w:szCs w:val="16"/>
          <w:color w:val="auto"/>
        </w:rPr>
        <w:t>2,554</w:t>
      </w:r>
      <w:r>
        <w:rPr>
          <w:sz w:val="20"/>
          <w:szCs w:val="20"/>
          <w:color w:val="auto"/>
        </w:rPr>
        <w:tab/>
      </w:r>
      <w:r>
        <w:rPr>
          <w:rFonts w:ascii="Arial" w:cs="Arial" w:eastAsia="Arial" w:hAnsi="Arial"/>
          <w:sz w:val="16"/>
          <w:szCs w:val="16"/>
          <w:color w:val="auto"/>
        </w:rPr>
        <w:t>3,086</w:t>
      </w:r>
    </w:p>
    <w:p>
      <w:pPr>
        <w:spacing w:after="0" w:line="86" w:lineRule="exact"/>
        <w:rPr>
          <w:sz w:val="20"/>
          <w:szCs w:val="20"/>
          <w:color w:val="auto"/>
        </w:rPr>
      </w:pPr>
    </w:p>
    <w:p>
      <w:pPr>
        <w:ind w:left="1220"/>
        <w:spacing w:after="0"/>
        <w:tabs>
          <w:tab w:leader="none" w:pos="3000" w:val="left"/>
        </w:tabs>
        <w:rPr>
          <w:sz w:val="20"/>
          <w:szCs w:val="20"/>
          <w:color w:val="auto"/>
        </w:rPr>
      </w:pPr>
      <w:r>
        <w:rPr>
          <w:rFonts w:ascii="Arial" w:cs="Arial" w:eastAsia="Arial" w:hAnsi="Arial"/>
          <w:sz w:val="16"/>
          <w:szCs w:val="16"/>
          <w:color w:val="auto"/>
        </w:rPr>
        <w:t>2,431</w:t>
      </w:r>
      <w:r>
        <w:rPr>
          <w:sz w:val="20"/>
          <w:szCs w:val="20"/>
          <w:color w:val="auto"/>
        </w:rPr>
        <w:tab/>
      </w:r>
      <w:r>
        <w:rPr>
          <w:rFonts w:ascii="Arial" w:cs="Arial" w:eastAsia="Arial" w:hAnsi="Arial"/>
          <w:sz w:val="16"/>
          <w:szCs w:val="16"/>
          <w:color w:val="auto"/>
        </w:rPr>
        <w:t>4,896</w:t>
      </w:r>
    </w:p>
    <w:p>
      <w:pPr>
        <w:spacing w:after="0" w:line="8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16,606</w:t>
      </w:r>
      <w:r>
        <w:rPr>
          <w:sz w:val="20"/>
          <w:szCs w:val="20"/>
          <w:color w:val="auto"/>
        </w:rPr>
        <w:tab/>
      </w:r>
      <w:r>
        <w:rPr>
          <w:rFonts w:ascii="Arial" w:cs="Arial" w:eastAsia="Arial" w:hAnsi="Arial"/>
          <w:sz w:val="16"/>
          <w:szCs w:val="16"/>
          <w:color w:val="auto"/>
        </w:rPr>
        <w:t>13,621</w:t>
      </w:r>
    </w:p>
    <w:p>
      <w:pPr>
        <w:spacing w:after="0" w:line="86" w:lineRule="exact"/>
        <w:rPr>
          <w:sz w:val="20"/>
          <w:szCs w:val="20"/>
          <w:color w:val="auto"/>
        </w:rPr>
      </w:pPr>
    </w:p>
    <w:p>
      <w:pPr>
        <w:ind w:left="1060"/>
        <w:spacing w:after="0"/>
        <w:tabs>
          <w:tab w:leader="none" w:pos="2840" w:val="left"/>
        </w:tabs>
        <w:rPr>
          <w:sz w:val="20"/>
          <w:szCs w:val="20"/>
          <w:color w:val="auto"/>
        </w:rPr>
      </w:pPr>
      <w:r>
        <w:rPr>
          <w:rFonts w:ascii="Arial" w:cs="Arial" w:eastAsia="Arial" w:hAnsi="Arial"/>
          <w:sz w:val="16"/>
          <w:szCs w:val="16"/>
          <w:color w:val="auto"/>
        </w:rPr>
        <w:t>362,899</w:t>
      </w:r>
      <w:r>
        <w:rPr>
          <w:sz w:val="20"/>
          <w:szCs w:val="20"/>
          <w:color w:val="auto"/>
        </w:rPr>
        <w:tab/>
      </w:r>
      <w:r>
        <w:rPr>
          <w:rFonts w:ascii="Arial" w:cs="Arial" w:eastAsia="Arial" w:hAnsi="Arial"/>
          <w:sz w:val="16"/>
          <w:szCs w:val="16"/>
          <w:color w:val="auto"/>
        </w:rPr>
        <w:t>366,393</w:t>
      </w:r>
    </w:p>
    <w:p>
      <w:pPr>
        <w:spacing w:after="0" w:line="86" w:lineRule="exact"/>
        <w:rPr>
          <w:sz w:val="20"/>
          <w:szCs w:val="20"/>
          <w:color w:val="auto"/>
        </w:rPr>
      </w:pPr>
    </w:p>
    <w:p>
      <w:pPr>
        <w:jc w:val="both"/>
        <w:ind w:left="1000"/>
        <w:spacing w:after="0"/>
        <w:tabs>
          <w:tab w:leader="none" w:pos="2800" w:val="left"/>
        </w:tabs>
        <w:rPr>
          <w:sz w:val="20"/>
          <w:szCs w:val="20"/>
          <w:color w:val="auto"/>
        </w:rPr>
      </w:pPr>
      <w:r>
        <w:rPr>
          <w:rFonts w:ascii="Arial" w:cs="Arial" w:eastAsia="Arial" w:hAnsi="Arial"/>
          <w:sz w:val="16"/>
          <w:szCs w:val="16"/>
          <w:color w:val="auto"/>
        </w:rPr>
        <w:t>(285,784)</w:t>
      </w:r>
      <w:r>
        <w:rPr>
          <w:sz w:val="20"/>
          <w:szCs w:val="20"/>
          <w:color w:val="auto"/>
        </w:rPr>
        <w:tab/>
      </w:r>
      <w:r>
        <w:rPr>
          <w:rFonts w:ascii="Arial" w:cs="Arial" w:eastAsia="Arial" w:hAnsi="Arial"/>
          <w:sz w:val="16"/>
          <w:szCs w:val="16"/>
          <w:color w:val="auto"/>
        </w:rPr>
        <w:t>(249,560)</w:t>
      </w:r>
    </w:p>
    <w:p>
      <w:pPr>
        <w:spacing w:after="0" w:line="86" w:lineRule="exact"/>
        <w:rPr>
          <w:sz w:val="20"/>
          <w:szCs w:val="20"/>
          <w:color w:val="auto"/>
        </w:rPr>
      </w:pPr>
    </w:p>
    <w:p>
      <w:pPr>
        <w:ind w:left="1140"/>
        <w:spacing w:after="0"/>
        <w:tabs>
          <w:tab w:leader="none" w:pos="2860" w:val="left"/>
        </w:tabs>
        <w:rPr>
          <w:sz w:val="20"/>
          <w:szCs w:val="20"/>
          <w:color w:val="auto"/>
        </w:rPr>
      </w:pPr>
      <w:r>
        <w:rPr>
          <w:rFonts w:ascii="Arial" w:cs="Arial" w:eastAsia="Arial" w:hAnsi="Arial"/>
          <w:sz w:val="15"/>
          <w:szCs w:val="15"/>
          <w:color w:val="auto"/>
        </w:rPr>
        <w:t>77,115</w:t>
      </w:r>
      <w:r>
        <w:rPr>
          <w:sz w:val="20"/>
          <w:szCs w:val="20"/>
          <w:color w:val="auto"/>
        </w:rPr>
        <w:tab/>
      </w:r>
      <w:r>
        <w:rPr>
          <w:rFonts w:ascii="Arial" w:cs="Arial" w:eastAsia="Arial" w:hAnsi="Arial"/>
          <w:sz w:val="15"/>
          <w:szCs w:val="15"/>
          <w:color w:val="auto"/>
        </w:rPr>
        <w:t>116,833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080"/>
        <w:spacing w:after="0"/>
        <w:tabs>
          <w:tab w:leader="none" w:pos="2880" w:val="left"/>
        </w:tabs>
        <w:rPr>
          <w:sz w:val="20"/>
          <w:szCs w:val="20"/>
          <w:color w:val="auto"/>
        </w:rPr>
      </w:pPr>
      <w:r>
        <w:rPr>
          <w:rFonts w:ascii="Arial" w:cs="Arial" w:eastAsia="Arial" w:hAnsi="Arial"/>
          <w:sz w:val="16"/>
          <w:szCs w:val="16"/>
          <w:color w:val="auto"/>
        </w:rPr>
        <w:t>(23,135)</w:t>
      </w:r>
      <w:r>
        <w:rPr>
          <w:sz w:val="20"/>
          <w:szCs w:val="20"/>
          <w:color w:val="auto"/>
        </w:rPr>
        <w:tab/>
      </w:r>
      <w:r>
        <w:rPr>
          <w:rFonts w:ascii="Arial" w:cs="Arial" w:eastAsia="Arial" w:hAnsi="Arial"/>
          <w:sz w:val="16"/>
          <w:szCs w:val="16"/>
          <w:color w:val="auto"/>
        </w:rPr>
        <w:t>(19,995)</w:t>
      </w:r>
    </w:p>
    <w:p>
      <w:pPr>
        <w:spacing w:after="0" w:line="86" w:lineRule="exact"/>
        <w:rPr>
          <w:sz w:val="20"/>
          <w:szCs w:val="20"/>
          <w:color w:val="auto"/>
        </w:rPr>
      </w:pPr>
    </w:p>
    <w:p>
      <w:pPr>
        <w:jc w:val="both"/>
        <w:ind w:left="1280"/>
        <w:spacing w:after="0"/>
        <w:tabs>
          <w:tab w:leader="none" w:pos="3080" w:val="left"/>
        </w:tabs>
        <w:rPr>
          <w:sz w:val="20"/>
          <w:szCs w:val="20"/>
          <w:color w:val="auto"/>
        </w:rPr>
      </w:pPr>
      <w:r>
        <w:rPr>
          <w:rFonts w:ascii="Arial" w:cs="Arial" w:eastAsia="Arial" w:hAnsi="Arial"/>
          <w:sz w:val="16"/>
          <w:szCs w:val="16"/>
          <w:color w:val="auto"/>
        </w:rPr>
        <w:t>(303)</w:t>
      </w:r>
      <w:r>
        <w:rPr>
          <w:sz w:val="20"/>
          <w:szCs w:val="20"/>
          <w:color w:val="auto"/>
        </w:rPr>
        <w:tab/>
      </w:r>
      <w:r>
        <w:rPr>
          <w:rFonts w:ascii="Arial" w:cs="Arial" w:eastAsia="Arial" w:hAnsi="Arial"/>
          <w:sz w:val="16"/>
          <w:szCs w:val="16"/>
          <w:color w:val="auto"/>
        </w:rPr>
        <w:t>(100)</w:t>
      </w:r>
    </w:p>
    <w:p>
      <w:pPr>
        <w:spacing w:after="0" w:line="86" w:lineRule="exact"/>
        <w:rPr>
          <w:sz w:val="20"/>
          <w:szCs w:val="20"/>
          <w:color w:val="auto"/>
        </w:rPr>
      </w:pPr>
    </w:p>
    <w:p>
      <w:pPr>
        <w:jc w:val="both"/>
        <w:ind w:left="1160"/>
        <w:spacing w:after="0"/>
        <w:tabs>
          <w:tab w:leader="none" w:pos="2960" w:val="left"/>
        </w:tabs>
        <w:rPr>
          <w:sz w:val="20"/>
          <w:szCs w:val="20"/>
          <w:color w:val="auto"/>
        </w:rPr>
      </w:pPr>
      <w:r>
        <w:rPr>
          <w:rFonts w:ascii="Arial" w:cs="Arial" w:eastAsia="Arial" w:hAnsi="Arial"/>
          <w:sz w:val="16"/>
          <w:szCs w:val="16"/>
          <w:color w:val="auto"/>
        </w:rPr>
        <w:t>(5,231)</w:t>
      </w:r>
      <w:r>
        <w:rPr>
          <w:sz w:val="20"/>
          <w:szCs w:val="20"/>
          <w:color w:val="auto"/>
        </w:rPr>
        <w:tab/>
      </w:r>
      <w:r>
        <w:rPr>
          <w:rFonts w:ascii="Arial" w:cs="Arial" w:eastAsia="Arial" w:hAnsi="Arial"/>
          <w:sz w:val="16"/>
          <w:szCs w:val="16"/>
          <w:color w:val="auto"/>
        </w:rPr>
        <w:t>(5,698)</w:t>
      </w:r>
    </w:p>
    <w:p>
      <w:pPr>
        <w:spacing w:after="0" w:line="86" w:lineRule="exact"/>
        <w:rPr>
          <w:sz w:val="20"/>
          <w:szCs w:val="20"/>
          <w:color w:val="auto"/>
        </w:rPr>
      </w:pPr>
    </w:p>
    <w:p>
      <w:pPr>
        <w:jc w:val="both"/>
        <w:ind w:left="1080"/>
        <w:spacing w:after="0"/>
        <w:tabs>
          <w:tab w:leader="none" w:pos="2880" w:val="left"/>
        </w:tabs>
        <w:rPr>
          <w:sz w:val="20"/>
          <w:szCs w:val="20"/>
          <w:color w:val="auto"/>
        </w:rPr>
      </w:pPr>
      <w:r>
        <w:rPr>
          <w:rFonts w:ascii="Arial" w:cs="Arial" w:eastAsia="Arial" w:hAnsi="Arial"/>
          <w:sz w:val="16"/>
          <w:szCs w:val="16"/>
          <w:color w:val="auto"/>
        </w:rPr>
        <w:t>(28,669)</w:t>
      </w:r>
      <w:r>
        <w:rPr>
          <w:sz w:val="20"/>
          <w:szCs w:val="20"/>
          <w:color w:val="auto"/>
        </w:rPr>
        <w:tab/>
      </w:r>
      <w:r>
        <w:rPr>
          <w:rFonts w:ascii="Arial" w:cs="Arial" w:eastAsia="Arial" w:hAnsi="Arial"/>
          <w:sz w:val="16"/>
          <w:szCs w:val="16"/>
          <w:color w:val="auto"/>
        </w:rPr>
        <w:t>(25,793)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48,446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91,040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5" w:right="239" w:bottom="69" w:gutter="0" w:footer="0" w:header="0"/>
        </w:sectPr>
      </w:pPr>
    </w:p>
    <w:p>
      <w:pPr>
        <w:spacing w:after="0" w:line="116" w:lineRule="exact"/>
        <w:rPr>
          <w:sz w:val="20"/>
          <w:szCs w:val="20"/>
          <w:color w:val="auto"/>
        </w:rPr>
      </w:pPr>
    </w:p>
    <w:p>
      <w:pPr>
        <w:jc w:val="both"/>
        <w:ind w:left="340" w:hanging="332"/>
        <w:spacing w:after="0" w:line="253"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2017, we had U.S. federal loss carryforwards of $30.9 million which begin to expire in the year 2021. At December 31, 2017, we have net operating loss carryforwards in Luxembourg of $592.6 million,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2017, there was a valuation allowance of $285.8 million primarily associated with foreign loss carryforwards and foreign tax credit carryforwards (discussed below).</w:t>
      </w:r>
    </w:p>
    <w:p>
      <w:pPr>
        <w:spacing w:after="0" w:line="217" w:lineRule="exact"/>
        <w:rPr>
          <w:rFonts w:ascii="Arial" w:cs="Arial" w:eastAsia="Arial" w:hAnsi="Arial"/>
          <w:sz w:val="25"/>
          <w:szCs w:val="25"/>
          <w:color w:val="auto"/>
          <w:vertAlign w:val="superscript"/>
        </w:rPr>
      </w:pPr>
    </w:p>
    <w:p>
      <w:pPr>
        <w:jc w:val="both"/>
        <w:ind w:left="340" w:hanging="332"/>
        <w:spacing w:after="0" w:line="233"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2017, we had: (1) U.S. general business credits of $3.7 million, which begin to expire in 2022; (2) U.S. alternative minimum tax credits of $3.3 million that can be carried forward indefinitely; (3) U.S. foreign tax credits of $49.3 million, which begin to expire in 2024; and (4) state tax credits of $10.7 million, which begin to expire in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valuation allowance for deferred tax assets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Balance at Beginning of</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Additions Charged to</w:t>
            </w:r>
          </w:p>
        </w:tc>
        <w:tc>
          <w:tcPr>
            <w:tcW w:w="3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End of Period,</w:t>
            </w:r>
          </w:p>
        </w:tc>
      </w:tr>
      <w:tr>
        <w:trPr>
          <w:trHeight w:val="210"/>
        </w:trPr>
        <w:tc>
          <w:tcPr>
            <w:tcW w:w="42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380" w:type="dxa"/>
            <w:vAlign w:val="bottom"/>
          </w:tcPr>
          <w:p>
            <w:pPr>
              <w:spacing w:after="0"/>
              <w:rPr>
                <w:sz w:val="18"/>
                <w:szCs w:val="18"/>
                <w:color w:val="auto"/>
              </w:rPr>
            </w:pPr>
          </w:p>
        </w:tc>
        <w:tc>
          <w:tcPr>
            <w:tcW w:w="1400" w:type="dxa"/>
            <w:vAlign w:val="bottom"/>
          </w:tcPr>
          <w:p>
            <w:pPr>
              <w:jc w:val="right"/>
              <w:ind w:right="599"/>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Other Adjustments</w:t>
            </w:r>
          </w:p>
        </w:tc>
        <w:tc>
          <w:tcPr>
            <w:tcW w:w="20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b w:val="1"/>
                <w:bCs w:val="1"/>
                <w:color w:val="auto"/>
                <w:w w:val="86"/>
              </w:rPr>
              <w:t>Costs and Expenses</w:t>
            </w:r>
          </w:p>
        </w:tc>
        <w:tc>
          <w:tcPr>
            <w:tcW w:w="320" w:type="dxa"/>
            <w:vAlign w:val="bottom"/>
          </w:tcPr>
          <w:p>
            <w:pPr>
              <w:spacing w:after="0"/>
              <w:rPr>
                <w:sz w:val="18"/>
                <w:szCs w:val="18"/>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Noncurrent</w:t>
            </w:r>
          </w:p>
        </w:tc>
      </w:tr>
      <w:tr>
        <w:trPr>
          <w:trHeight w:val="33"/>
        </w:trPr>
        <w:tc>
          <w:tcPr>
            <w:tcW w:w="4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3"/>
          </w:tcPr>
          <w:p>
            <w:pPr>
              <w:jc w:val="right"/>
              <w:ind w:right="1199"/>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92"/>
        </w:trPr>
        <w:tc>
          <w:tcPr>
            <w:tcW w:w="4220" w:type="dxa"/>
            <w:vAlign w:val="bottom"/>
            <w:gridSpan w:val="2"/>
          </w:tcPr>
          <w:p>
            <w:pPr>
              <w:ind w:left="60"/>
              <w:spacing w:after="0"/>
              <w:rPr>
                <w:sz w:val="20"/>
                <w:szCs w:val="20"/>
                <w:color w:val="auto"/>
              </w:rPr>
            </w:pPr>
            <w:r>
              <w:rPr>
                <w:rFonts w:ascii="Arial" w:cs="Arial" w:eastAsia="Arial" w:hAnsi="Arial"/>
                <w:sz w:val="16"/>
                <w:szCs w:val="16"/>
                <w:color w:val="auto"/>
              </w:rPr>
              <w:t>Year ended December 31, 2017:</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50"/>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249,560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285,784</w:t>
            </w:r>
          </w:p>
        </w:tc>
      </w:tr>
      <w:tr>
        <w:trPr>
          <w:trHeight w:val="359"/>
        </w:trPr>
        <w:tc>
          <w:tcPr>
            <w:tcW w:w="4220" w:type="dxa"/>
            <w:vAlign w:val="bottom"/>
            <w:gridSpan w:val="2"/>
          </w:tcPr>
          <w:p>
            <w:pPr>
              <w:ind w:left="60"/>
              <w:spacing w:after="0"/>
              <w:rPr>
                <w:sz w:val="20"/>
                <w:szCs w:val="20"/>
                <w:color w:val="auto"/>
              </w:rPr>
            </w:pPr>
            <w:r>
              <w:rPr>
                <w:rFonts w:ascii="Arial" w:cs="Arial" w:eastAsia="Arial" w:hAnsi="Arial"/>
                <w:sz w:val="16"/>
                <w:szCs w:val="16"/>
                <w:color w:val="auto"/>
              </w:rPr>
              <w:t>Year ended December 31, 2016:</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50"/>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235,339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26,640</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249,560</w:t>
            </w:r>
          </w:p>
        </w:tc>
      </w:tr>
      <w:tr>
        <w:trPr>
          <w:trHeight w:val="359"/>
        </w:trPr>
        <w:tc>
          <w:tcPr>
            <w:tcW w:w="4220" w:type="dxa"/>
            <w:vAlign w:val="bottom"/>
            <w:gridSpan w:val="2"/>
          </w:tcPr>
          <w:p>
            <w:pPr>
              <w:ind w:left="60"/>
              <w:spacing w:after="0"/>
              <w:rPr>
                <w:sz w:val="20"/>
                <w:szCs w:val="20"/>
                <w:color w:val="auto"/>
              </w:rPr>
            </w:pPr>
            <w:r>
              <w:rPr>
                <w:rFonts w:ascii="Arial" w:cs="Arial" w:eastAsia="Arial" w:hAnsi="Arial"/>
                <w:sz w:val="16"/>
                <w:szCs w:val="16"/>
                <w:color w:val="auto"/>
              </w:rPr>
              <w:t>Year ended December 31, 2015:</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7"/>
        </w:trPr>
        <w:tc>
          <w:tcPr>
            <w:tcW w:w="42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Deferred tax assets valuation allowance</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257,728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(62,791)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40,402</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235,339</w:t>
            </w:r>
          </w:p>
        </w:tc>
      </w:tr>
      <w:tr>
        <w:trPr>
          <w:trHeight w:val="33"/>
        </w:trPr>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w:t>
      </w:r>
    </w:p>
    <w:p>
      <w:pPr>
        <w:sectPr>
          <w:pgSz w:w="11900" w:h="16838" w:orient="portrait"/>
          <w:cols w:equalWidth="0" w:num="1">
            <w:col w:w="11420"/>
          </w:cols>
          <w:pgMar w:left="240" w:top="125" w:right="239" w:bottom="69"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69"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estimates of future taxable income during the carryforward periods are reduced or current tax planning strategies are not implemented.</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do not provide U.S. deferred taxes on temporary differences related to our foreign investments that are considered permanent in duration. These temporary differences consist primarily of undistributed foreign earnings of $5.2 million and $4.9 million at December 31, 2017 and 2016, respectively. Foreign taxes have been provided on these undistributed foreign earnings. We have not computed the unrecognized deferred income tax liability on these temporary differences. There are many assumptions that must be considered to calculate the liability, thereby making it impractical to compute at this time.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9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(in thousands)</w:t>
            </w:r>
          </w:p>
        </w:tc>
      </w:tr>
      <w:tr>
        <w:trPr>
          <w:trHeight w:val="257"/>
        </w:trPr>
        <w:tc>
          <w:tcPr>
            <w:tcW w:w="9940" w:type="dxa"/>
            <w:vAlign w:val="bottom"/>
          </w:tcPr>
          <w:p>
            <w:pPr>
              <w:ind w:left="40"/>
              <w:spacing w:after="0"/>
              <w:rPr>
                <w:sz w:val="20"/>
                <w:szCs w:val="20"/>
                <w:color w:val="auto"/>
              </w:rPr>
            </w:pPr>
            <w:r>
              <w:rPr>
                <w:rFonts w:ascii="Arial" w:cs="Arial" w:eastAsia="Arial" w:hAnsi="Arial"/>
                <w:sz w:val="16"/>
                <w:szCs w:val="16"/>
                <w:color w:val="auto"/>
              </w:rPr>
              <w:t>Unrecognized tax benefits at January 1, 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28,146</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6,461</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(2,512)</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25,741</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Audit settlements</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33"/>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54,880</w:t>
            </w:r>
          </w:p>
        </w:tc>
      </w:tr>
      <w:tr>
        <w:trPr>
          <w:trHeight w:val="270"/>
        </w:trPr>
        <w:tc>
          <w:tcPr>
            <w:tcW w:w="9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5,071</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Audit settlements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(1,116)</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33"/>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57,626</w:t>
            </w:r>
          </w:p>
        </w:tc>
      </w:tr>
      <w:tr>
        <w:trPr>
          <w:trHeight w:val="270"/>
        </w:trPr>
        <w:tc>
          <w:tcPr>
            <w:tcW w:w="9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(5,559)</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6,453</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Audit settlements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(5,169)</w:t>
            </w:r>
          </w:p>
        </w:tc>
      </w:tr>
      <w:tr>
        <w:trPr>
          <w:trHeight w:val="33"/>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(3,445)</w:t>
            </w: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3,429</w:t>
            </w:r>
          </w:p>
        </w:tc>
      </w:tr>
      <w:tr>
        <w:trPr>
          <w:trHeight w:val="33"/>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56,702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At December 31,</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20"/>
                <w:szCs w:val="20"/>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The amount of unrecognized tax benefits that, if recognized, would affect our effective tax</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55,312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56,411</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53,602</w:t>
            </w:r>
          </w:p>
        </w:tc>
      </w:tr>
      <w:tr>
        <w:trPr>
          <w:trHeight w:val="33"/>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certain unrecognized tax benefits are recognized they would create additional deferred tax assets. These assets would require a full valuation in certain locations based upon present circumstances.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recognized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64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 (benefit)</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193</w:t>
            </w:r>
          </w:p>
        </w:tc>
        <w:tc>
          <w:tcPr>
            <w:tcW w:w="6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r>
      <w:tr>
        <w:trPr>
          <w:trHeight w:val="588"/>
        </w:trPr>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2017</w:t>
            </w:r>
          </w:p>
        </w:tc>
        <w:tc>
          <w:tcPr>
            <w:tcW w:w="64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2,706</w:t>
            </w:r>
          </w:p>
        </w:tc>
        <w:tc>
          <w:tcPr>
            <w:tcW w:w="6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2,426</w:t>
            </w:r>
          </w:p>
        </w:tc>
        <w:tc>
          <w:tcPr>
            <w:tcW w:w="6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2,329</w:t>
            </w:r>
          </w:p>
        </w:tc>
      </w:tr>
    </w:tbl>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2017, we are under examination by certain tax authorities for the 2010 to 2015 tax years. The material jurisdictions where we are subject to examination for the 2010 to 2015 tax years include, among others, the U.S., France, Germany, Italy, Brazil and the United Kingdom. During December 2017 we settled our tax audit with the Internal Revenue Service related to research and development tax credits for the 2011-2013 years.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gridSpan w:val="2"/>
          </w:tcPr>
          <w:p>
            <w:pPr>
              <w:ind w:left="40"/>
              <w:spacing w:after="0"/>
              <w:rPr>
                <w:sz w:val="20"/>
                <w:szCs w:val="20"/>
                <w:color w:val="auto"/>
              </w:rPr>
            </w:pPr>
            <w:r>
              <w:rPr>
                <w:rFonts w:ascii="Arial" w:cs="Arial" w:eastAsia="Arial" w:hAnsi="Arial"/>
                <w:sz w:val="16"/>
                <w:szCs w:val="16"/>
                <w:b w:val="1"/>
                <w:bCs w:val="1"/>
                <w:color w:val="auto"/>
              </w:rPr>
              <w:t>Tax Jurisdiction</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Years Subject to Audit</w:t>
            </w:r>
          </w:p>
        </w:tc>
      </w:tr>
      <w:tr>
        <w:trPr>
          <w:trHeight w:val="33"/>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2013</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2012</w:t>
            </w:r>
          </w:p>
        </w:tc>
      </w:tr>
      <w:tr>
        <w:trPr>
          <w:trHeight w:val="33"/>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2010</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2011</w:t>
            </w:r>
          </w:p>
        </w:tc>
      </w:tr>
      <w:tr>
        <w:trPr>
          <w:trHeight w:val="33"/>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2012</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2011</w:t>
            </w:r>
          </w:p>
        </w:tc>
      </w:tr>
    </w:tbl>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rental expense for factories, service and distribution locations, offices, and equipment was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Rental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14,824</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14,232</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15,524</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minimum lease payments at December 31, 2017, under noncancelable operating leases with initial or remaining terms in excess of one year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Minimum Payments</w:t>
            </w:r>
          </w:p>
        </w:tc>
      </w:tr>
      <w:tr>
        <w:trPr>
          <w:trHeight w:val="33"/>
        </w:trPr>
        <w:tc>
          <w:tcPr>
            <w:tcW w:w="9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9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4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15,353</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10,274</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6,556</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3,732</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2,888</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Beyond 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9,799</w:t>
            </w:r>
          </w:p>
        </w:tc>
      </w:tr>
      <w:tr>
        <w:trPr>
          <w:trHeight w:val="33"/>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Future minimum lease payments</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48,602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straight-line over the lease term, including renewal periods if reasonably assured. We lease most of our sales and distribution locations and administrative offices. Our leases typically contain renewal options similar to the original terms with lease payments that increase based on an index.</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79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(125,414)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(97,167)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(46,103)</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342,705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356,730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218,119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203,897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110,477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91,809</w:t>
            </w: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(21,030)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(21,734)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9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79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90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88,531</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70,006</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51,344</w:t>
            </w:r>
          </w:p>
        </w:tc>
        <w:tc>
          <w:tcPr>
            <w:tcW w:w="12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48,221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Refer to Note 6 and Note 19 for details regarding our secured credit facilities, including the refinancing of the 2015 credit facility.</w:t>
      </w:r>
    </w:p>
    <w:p>
      <w:pPr>
        <w:ind w:left="340" w:hanging="332"/>
        <w:spacing w:after="0" w:line="182"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ectPr>
          <w:pgSz w:w="11900" w:h="16838" w:orient="portrait"/>
          <w:cols w:equalWidth="0" w:num="1">
            <w:col w:w="11420"/>
          </w:cols>
          <w:pgMar w:left="240" w:top="125" w:right="239" w:bottom="879"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879"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disclose contingencies for which a material loss is reasonably possible, but not probable.</w:t>
      </w:r>
    </w:p>
    <w:p>
      <w:pPr>
        <w:sectPr>
          <w:pgSz w:w="11900" w:h="16838" w:orient="portrait"/>
          <w:cols w:equalWidth="0" w:num="1">
            <w:col w:w="11420"/>
          </w:cols>
          <w:pgMar w:left="240" w:top="125" w:right="239" w:bottom="1440" w:gutter="0" w:footer="0" w:header="0"/>
        </w:sectPr>
      </w:pP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warranty accrual account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New product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adjustments and expirations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Claims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 of change in exchange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current portion of warranty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warranty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43,302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54,512</w:t>
      </w:r>
    </w:p>
    <w:p>
      <w:pPr>
        <w:spacing w:after="0" w:line="86" w:lineRule="exact"/>
        <w:rPr>
          <w:sz w:val="20"/>
          <w:szCs w:val="20"/>
          <w:color w:val="auto"/>
        </w:rPr>
      </w:pPr>
    </w:p>
    <w:p>
      <w:pPr>
        <w:ind w:left="1220"/>
        <w:spacing w:after="0"/>
        <w:tabs>
          <w:tab w:leader="none" w:pos="3000" w:val="left"/>
        </w:tabs>
        <w:rPr>
          <w:sz w:val="20"/>
          <w:szCs w:val="20"/>
          <w:color w:val="auto"/>
        </w:rPr>
      </w:pPr>
      <w:r>
        <w:rPr>
          <w:rFonts w:ascii="Arial" w:cs="Arial" w:eastAsia="Arial" w:hAnsi="Arial"/>
          <w:sz w:val="16"/>
          <w:szCs w:val="16"/>
          <w:color w:val="auto"/>
        </w:rPr>
        <w:t>7,849</w:t>
      </w:r>
      <w:r>
        <w:rPr>
          <w:sz w:val="20"/>
          <w:szCs w:val="20"/>
          <w:color w:val="auto"/>
        </w:rPr>
        <w:tab/>
      </w:r>
      <w:r>
        <w:rPr>
          <w:rFonts w:ascii="Arial" w:cs="Arial" w:eastAsia="Arial" w:hAnsi="Arial"/>
          <w:sz w:val="16"/>
          <w:szCs w:val="16"/>
          <w:color w:val="auto"/>
        </w:rPr>
        <w:t>7,987</w:t>
      </w:r>
    </w:p>
    <w:p>
      <w:pPr>
        <w:spacing w:after="0" w:line="86" w:lineRule="exact"/>
        <w:rPr>
          <w:sz w:val="20"/>
          <w:szCs w:val="20"/>
          <w:color w:val="auto"/>
        </w:rPr>
      </w:pPr>
    </w:p>
    <w:p>
      <w:pPr>
        <w:ind w:left="1280"/>
        <w:spacing w:after="0"/>
        <w:tabs>
          <w:tab w:leader="none" w:pos="3000" w:val="left"/>
        </w:tabs>
        <w:rPr>
          <w:sz w:val="20"/>
          <w:szCs w:val="20"/>
          <w:color w:val="auto"/>
        </w:rPr>
      </w:pPr>
      <w:r>
        <w:rPr>
          <w:rFonts w:ascii="Arial" w:cs="Arial" w:eastAsia="Arial" w:hAnsi="Arial"/>
          <w:sz w:val="16"/>
          <w:szCs w:val="16"/>
          <w:color w:val="auto"/>
        </w:rPr>
        <w:t>(393)</w:t>
      </w:r>
      <w:r>
        <w:rPr>
          <w:sz w:val="20"/>
          <w:szCs w:val="20"/>
          <w:color w:val="auto"/>
        </w:rPr>
        <w:tab/>
      </w:r>
      <w:r>
        <w:rPr>
          <w:rFonts w:ascii="Arial" w:cs="Arial" w:eastAsia="Arial" w:hAnsi="Arial"/>
          <w:sz w:val="16"/>
          <w:szCs w:val="16"/>
          <w:color w:val="auto"/>
        </w:rPr>
        <w:t>5,933</w:t>
      </w:r>
    </w:p>
    <w:p>
      <w:pPr>
        <w:spacing w:after="0" w:line="86" w:lineRule="exact"/>
        <w:rPr>
          <w:sz w:val="20"/>
          <w:szCs w:val="20"/>
          <w:color w:val="auto"/>
        </w:rPr>
      </w:pPr>
    </w:p>
    <w:p>
      <w:pPr>
        <w:jc w:val="both"/>
        <w:ind w:left="1080"/>
        <w:spacing w:after="0"/>
        <w:tabs>
          <w:tab w:leader="none" w:pos="2880" w:val="left"/>
        </w:tabs>
        <w:rPr>
          <w:sz w:val="20"/>
          <w:szCs w:val="20"/>
          <w:color w:val="auto"/>
        </w:rPr>
      </w:pPr>
      <w:r>
        <w:rPr>
          <w:rFonts w:ascii="Arial" w:cs="Arial" w:eastAsia="Arial" w:hAnsi="Arial"/>
          <w:sz w:val="16"/>
          <w:szCs w:val="16"/>
          <w:color w:val="auto"/>
        </w:rPr>
        <w:t>(18,094)</w:t>
      </w:r>
      <w:r>
        <w:rPr>
          <w:sz w:val="20"/>
          <w:szCs w:val="20"/>
          <w:color w:val="auto"/>
        </w:rPr>
        <w:tab/>
      </w:r>
      <w:r>
        <w:rPr>
          <w:rFonts w:ascii="Arial" w:cs="Arial" w:eastAsia="Arial" w:hAnsi="Arial"/>
          <w:sz w:val="16"/>
          <w:szCs w:val="16"/>
          <w:color w:val="auto"/>
        </w:rPr>
        <w:t>(24,364)</w:t>
      </w:r>
    </w:p>
    <w:p>
      <w:pPr>
        <w:spacing w:after="0" w:line="86" w:lineRule="exact"/>
        <w:rPr>
          <w:sz w:val="20"/>
          <w:szCs w:val="20"/>
          <w:color w:val="auto"/>
        </w:rPr>
      </w:pPr>
    </w:p>
    <w:p>
      <w:pPr>
        <w:jc w:val="both"/>
        <w:ind w:left="1220"/>
        <w:spacing w:after="0"/>
        <w:tabs>
          <w:tab w:leader="none" w:pos="3080" w:val="left"/>
        </w:tabs>
        <w:rPr>
          <w:sz w:val="20"/>
          <w:szCs w:val="20"/>
          <w:color w:val="auto"/>
        </w:rPr>
      </w:pPr>
      <w:r>
        <w:rPr>
          <w:rFonts w:ascii="Arial" w:cs="Arial" w:eastAsia="Arial" w:hAnsi="Arial"/>
          <w:sz w:val="16"/>
          <w:szCs w:val="16"/>
          <w:color w:val="auto"/>
        </w:rPr>
        <w:t>2,198</w:t>
      </w:r>
      <w:r>
        <w:rPr>
          <w:sz w:val="20"/>
          <w:szCs w:val="20"/>
          <w:color w:val="auto"/>
        </w:rPr>
        <w:tab/>
      </w:r>
      <w:r>
        <w:rPr>
          <w:rFonts w:ascii="Arial" w:cs="Arial" w:eastAsia="Arial" w:hAnsi="Arial"/>
          <w:sz w:val="16"/>
          <w:szCs w:val="16"/>
          <w:color w:val="auto"/>
        </w:rPr>
        <w:t>(766)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34,862</w:t>
      </w:r>
      <w:r>
        <w:rPr>
          <w:sz w:val="20"/>
          <w:szCs w:val="20"/>
          <w:color w:val="auto"/>
        </w:rPr>
        <w:tab/>
      </w:r>
      <w:r>
        <w:rPr>
          <w:rFonts w:ascii="Arial" w:cs="Arial" w:eastAsia="Arial" w:hAnsi="Arial"/>
          <w:sz w:val="16"/>
          <w:szCs w:val="16"/>
          <w:color w:val="auto"/>
        </w:rPr>
        <w:t>43,302</w:t>
      </w:r>
    </w:p>
    <w:p>
      <w:pPr>
        <w:spacing w:after="0" w:line="8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21,150</w:t>
      </w:r>
      <w:r>
        <w:rPr>
          <w:sz w:val="20"/>
          <w:szCs w:val="20"/>
          <w:color w:val="auto"/>
        </w:rPr>
        <w:tab/>
      </w:r>
      <w:r>
        <w:rPr>
          <w:rFonts w:ascii="Arial" w:cs="Arial" w:eastAsia="Arial" w:hAnsi="Arial"/>
          <w:sz w:val="16"/>
          <w:szCs w:val="16"/>
          <w:color w:val="auto"/>
        </w:rPr>
        <w:t>24,874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13,712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18,428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200" w:space="720"/>
            <w:col w:w="3500"/>
          </w:cols>
          <w:pgMar w:left="240" w:top="125" w:right="239" w:bottom="1440" w:gutter="0" w:footer="0" w:header="0"/>
          <w:type w:val="continuous"/>
        </w:sectPr>
      </w:pP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insurance and supplier recoveries, and other changes and adjustments to warranties. Warranty expense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13,920</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45,984</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Warranty expense during the year ended December 31, 2015 included a $29.4 million special warranty provision. During the second quarter of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Warranty expense decreased during the year ended December 31, 2017 compared with the same period in 2016 primarily due to an insurance recovery of $8.0 million associated with our 2015 product replacement provision.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31,549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1,186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1,437</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28,642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31,549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4,220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4,226</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27,323</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are self insured for a substantial portion of the cost of our U.S. employee group health insurance. We purchase insurance from a third party, which provides individual and aggregate stop loss protection for these costs. Each reporting period, we expense the</w:t>
      </w:r>
    </w:p>
    <w:p>
      <w:pPr>
        <w:sectPr>
          <w:pgSz w:w="11900" w:h="16838" w:orient="portrait"/>
          <w:cols w:equalWidth="0" w:num="1">
            <w:col w:w="11420"/>
          </w:cols>
          <w:pgMar w:left="240" w:top="125" w:right="23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of our health insurance plan including paid claims, the change in the estimate of incurred but not reported (IBNR) claims, taxes, and administrative fees (collectively, the plan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30,521</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27,276</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25,355</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8600"/>
        <w:spacing w:after="0"/>
        <w:tabs>
          <w:tab w:leader="none" w:pos="1040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7900" w:val="left"/>
          <w:tab w:leader="none" w:pos="9120" w:val="left"/>
          <w:tab w:leader="none" w:pos="9740" w:val="left"/>
          <w:tab w:leader="none" w:pos="10920" w:val="left"/>
        </w:tabs>
        <w:rPr>
          <w:sz w:val="20"/>
          <w:szCs w:val="20"/>
          <w:color w:val="auto"/>
        </w:rPr>
      </w:pPr>
      <w:r>
        <w:rPr>
          <w:rFonts w:ascii="Arial" w:cs="Arial" w:eastAsia="Arial" w:hAnsi="Arial"/>
          <w:sz w:val="16"/>
          <w:szCs w:val="16"/>
          <w:color w:val="auto"/>
        </w:rPr>
        <w:t>IBNR accrual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2,664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2,441</w:t>
      </w: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Projects began during the three months ended September 30, 2016, and we expect to substantially complete the 2016 Projects by the fourth quarter of 2018.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costs recognized in prior periods, costs recognized during the year ended December 31, 2017, and the remaining expected costs as of December 31, 2017 related to the 2016 Projects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Costs Recognized During</w:t>
            </w:r>
          </w:p>
        </w:tc>
        <w:tc>
          <w:tcPr>
            <w:tcW w:w="180" w:type="dxa"/>
            <w:vAlign w:val="bottom"/>
          </w:tcPr>
          <w:p>
            <w:pPr>
              <w:spacing w:after="0"/>
              <w:rPr>
                <w:sz w:val="17"/>
                <w:szCs w:val="17"/>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Remaining Costs to be</w:t>
            </w:r>
          </w:p>
        </w:tc>
      </w:tr>
      <w:tr>
        <w:trPr>
          <w:trHeight w:val="203"/>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Total Expected Costs at</w:t>
            </w:r>
          </w:p>
        </w:tc>
        <w:tc>
          <w:tcPr>
            <w:tcW w:w="2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Costs Recognized in Prior</w:t>
            </w: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 Ended December</w:t>
            </w:r>
          </w:p>
        </w:tc>
        <w:tc>
          <w:tcPr>
            <w:tcW w:w="20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Recognized at December 31,</w:t>
            </w:r>
          </w:p>
        </w:tc>
      </w:tr>
      <w:tr>
        <w:trPr>
          <w:trHeight w:val="210"/>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31, 2017</w:t>
            </w:r>
          </w:p>
        </w:tc>
        <w:tc>
          <w:tcPr>
            <w:tcW w:w="420" w:type="dxa"/>
            <w:vAlign w:val="bottom"/>
          </w:tcPr>
          <w:p>
            <w:pPr>
              <w:spacing w:after="0"/>
              <w:rPr>
                <w:sz w:val="18"/>
                <w:szCs w:val="18"/>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00" w:type="dxa"/>
            <w:vAlign w:val="bottom"/>
          </w:tcPr>
          <w:p>
            <w:pPr>
              <w:spacing w:after="0"/>
              <w:rPr>
                <w:sz w:val="18"/>
                <w:szCs w:val="18"/>
                <w:color w:val="auto"/>
              </w:rPr>
            </w:pPr>
          </w:p>
        </w:tc>
        <w:tc>
          <w:tcPr>
            <w:tcW w:w="19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31, 2017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2017</w:t>
            </w:r>
          </w:p>
        </w:tc>
      </w:tr>
      <w:tr>
        <w:trPr>
          <w:trHeight w:val="33"/>
        </w:trPr>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gridSpan w:val="5"/>
          </w:tcPr>
          <w:p>
            <w:pPr>
              <w:ind w:left="11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Asset impairments &amp; net gain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4,922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7,219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97"/>
        </w:trPr>
        <w:tc>
          <w:tcPr>
            <w:tcW w:w="29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60,212</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47,794</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6,000</w:t>
            </w:r>
          </w:p>
        </w:tc>
      </w:tr>
      <w:tr>
        <w:trPr>
          <w:trHeight w:val="257"/>
        </w:trPr>
        <w:tc>
          <w:tcPr>
            <w:tcW w:w="2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298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31,181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23,968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37"/>
        </w:trPr>
        <w:tc>
          <w:tcPr>
            <w:tcW w:w="29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2,745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60,212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47,794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reduce expenses. We began implementing these projects in the fourth quarter of 2014, and substantially completed them in the third quarter of 2016. Project activities were completed during the fourth quarter of 2017, and no further costs are expected to be recognized. The 2014 Projects resulted in $48.5 million of restructuring expense, which was recognized from the fourth quarter of 2014 through the third quarter of 2016.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within the restructuring related balance sheet accounts for the 2016 and 2014 Projects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Gain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2017</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47,970</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incurred and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8,546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6,418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receipts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(17,402)</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Net assets disposed and impaired</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(1,407)</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4,546</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December 31, 2017</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37,654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2,471</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40,125</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restructuring liabilities were $32.5 million and $26.2 million as of December 31, 2017 and 2016, respectively. The current restructuring liabilities are classified within other current liabilities on the Consolidated Balance Sheets. The long-term restructuring liabilities balances were $7.6 million and $21.8 million as of December 31, 2017 and 2016, respectively. The long-term restructuring liabilities are classified within other long-term obligations on the Consolidated Balance Sheets, and include facility exit costs and severance accruals.</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our Board of Directors prior to any payment to holders of common stock. There was no preferred stock issued or outstanding at December 31, 2017, 2016, and 2015.</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February 23, 2017, our Board of Directors authorized the Company to repurchase up to $50 million of our common stock over a 12-month period, beginning February 23, 2017. There were no repurchases of common stock made prior to plan termination on February 23,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Net Unrealized Gain</w:t>
            </w: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 Gain</w:t>
            </w:r>
          </w:p>
        </w:tc>
        <w:tc>
          <w:tcPr>
            <w:tcW w:w="20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Pension Benefit</w:t>
            </w:r>
          </w:p>
        </w:tc>
        <w:tc>
          <w:tcPr>
            <w:tcW w:w="120" w:type="dxa"/>
            <w:vAlign w:val="bottom"/>
          </w:tcPr>
          <w:p>
            <w:pPr>
              <w:spacing w:after="0"/>
              <w:rPr>
                <w:sz w:val="17"/>
                <w:szCs w:val="17"/>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(Loss) on Derivative</w:t>
            </w: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(Loss) on Nonderivative</w:t>
            </w:r>
          </w:p>
        </w:tc>
        <w:tc>
          <w:tcPr>
            <w:tcW w:w="20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Obligation</w:t>
            </w: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Comprehensive Income</w:t>
            </w:r>
          </w:p>
        </w:tc>
      </w:tr>
      <w:tr>
        <w:trPr>
          <w:trHeight w:val="210"/>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60" w:type="dxa"/>
            <w:vAlign w:val="bottom"/>
          </w:tcPr>
          <w:p>
            <w:pPr>
              <w:jc w:val="right"/>
              <w:ind w:right="559"/>
              <w:spacing w:after="0"/>
              <w:rPr>
                <w:sz w:val="20"/>
                <w:szCs w:val="20"/>
                <w:color w:val="auto"/>
              </w:rPr>
            </w:pPr>
            <w:r>
              <w:rPr>
                <w:rFonts w:ascii="Arial" w:cs="Arial" w:eastAsia="Arial" w:hAnsi="Arial"/>
                <w:sz w:val="16"/>
                <w:szCs w:val="16"/>
                <w:b w:val="1"/>
                <w:bCs w:val="1"/>
                <w:color w:val="auto"/>
              </w:rPr>
              <w:t>(Loss)</w:t>
            </w:r>
          </w:p>
        </w:tc>
      </w:tr>
      <w:tr>
        <w:trPr>
          <w:trHeight w:val="33"/>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(135,060)</w:t>
            </w:r>
          </w:p>
        </w:tc>
      </w:tr>
      <w:tr>
        <w:trPr>
          <w:trHeight w:val="23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(73,891)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4,570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(69,245)</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3,698</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(72,929)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6,296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(65,547)</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(30,848)</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(24,977)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(28,720)</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(229,327)</w:t>
            </w: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53,854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56,568</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2,281</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54,338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58,849</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(170,478)</w:t>
            </w: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before-tax, income tax (provision) benefit, and net-of-tax amounts related to each component of OCI during the reporting periods were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54,218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(74,219)</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962</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to net income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1,639</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6,512</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2,459</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61,386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(62,524)</w:t>
            </w:r>
          </w:p>
        </w:tc>
      </w:tr>
      <w:tr>
        <w:trPr>
          <w:trHeight w:val="264"/>
        </w:trPr>
        <w:tc>
          <w:tcPr>
            <w:tcW w:w="606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(1,942)</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(3,023)</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53,854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(73,891)</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962</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1,010</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defined benefit plans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4,570</w:t>
            </w: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defined benefit plan loss reclassified to net income</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1,726</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58,849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(65,547)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at December 31, 2017 and 2016 do not reflect subsequent changes in the economy, interest rates, tax rates, and other variables that may affect the determination of fair value.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5"/>
          </w:tcPr>
          <w:p>
            <w:pPr>
              <w:ind w:left="88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Pr>
          <w:p>
            <w:pPr>
              <w:spacing w:after="0"/>
              <w:rPr>
                <w:sz w:val="18"/>
                <w:szCs w:val="18"/>
                <w:color w:val="auto"/>
              </w:rPr>
            </w:pPr>
          </w:p>
        </w:tc>
        <w:tc>
          <w:tcPr>
            <w:tcW w:w="310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20"/>
                <w:szCs w:val="20"/>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5"/>
          </w:tcPr>
          <w:p>
            <w:pPr>
              <w:ind w:left="88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133,565</w:t>
            </w:r>
          </w:p>
        </w:tc>
      </w:tr>
      <w:tr>
        <w:trPr>
          <w:trHeight w:val="237"/>
        </w:trPr>
        <w:tc>
          <w:tcPr>
            <w:tcW w:w="466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311,061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311,061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37"/>
        </w:trPr>
        <w:tc>
          <w:tcPr>
            <w:tcW w:w="4660" w:type="dxa"/>
            <w:vAlign w:val="bottom"/>
          </w:tcPr>
          <w:p>
            <w:pPr>
              <w:ind w:left="36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1,830</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caps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w:t>
            </w:r>
          </w:p>
        </w:tc>
      </w:tr>
      <w:tr>
        <w:trPr>
          <w:trHeight w:val="270"/>
        </w:trPr>
        <w:tc>
          <w:tcPr>
            <w:tcW w:w="4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Credit facility</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USD denominated term loan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205,676</w:t>
            </w:r>
          </w:p>
        </w:tc>
      </w:tr>
      <w:tr>
        <w:trPr>
          <w:trHeight w:val="224"/>
        </w:trPr>
        <w:tc>
          <w:tcPr>
            <w:tcW w:w="4660" w:type="dxa"/>
            <w:vAlign w:val="bottom"/>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14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125,414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124,100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97,167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95,906</w:t>
            </w: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934</w:t>
            </w: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47"/>
        </w:trPr>
        <w:tc>
          <w:tcPr>
            <w:tcW w:w="4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Notes are not registered securities nor listed on any securities exchange, but may be actively traded by qualified institutional buyers.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is estimated using Level 1 inputs, as it is based on quoted prices for these instruments in active markets.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our global water, and heat and allocation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three GAAP measures of segment performance: revenues, gross profit (margin), and operating income (margin). Intersegment revenues are minimal. Certain operating expenses are allocated to the operating segments based upon internally established allocation methodologies. Corporate operating expenses, interest income, interest expense, other income (expense), and income tax provision are not allocated to the segments, nor are included in the measure of segment profit or loss. In addition, we allocate only certain production assets and intangible assets to our operating segments. We do not manage the performance of the segments on a balance sheet basis.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1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7"/>
          <w:szCs w:val="17"/>
          <w:i w:val="1"/>
          <w:iCs w:val="1"/>
          <w:color w:val="auto"/>
        </w:rPr>
        <w:t>Electricity</w:t>
      </w:r>
      <w:r>
        <w:rPr>
          <w:sz w:val="20"/>
          <w:szCs w:val="20"/>
          <w:color w:val="auto"/>
        </w:rPr>
        <w:tab/>
      </w:r>
      <w:r>
        <w:rPr>
          <w:rFonts w:ascii="Arial" w:cs="Arial" w:eastAsia="Arial" w:hAnsi="Arial"/>
          <w:sz w:val="17"/>
          <w:szCs w:val="17"/>
          <w:color w:val="auto"/>
        </w:rPr>
        <w:t>Standard electricity (electromechanical and electronic) meters; smart metering solutions that include one or several of the following:</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smart electricity meters; smart electricity communication modules; prepayment systems, including smart key, keypad, and smart card</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communication technologies; smart systems including handheld, mobile, and fixed network collection technologies; smart network</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technologies; meter data management software; knowledge application solutions; installation; implementation; and professional services</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including consulting and analysis.</w:t>
      </w:r>
    </w:p>
    <w:p>
      <w:pPr>
        <w:spacing w:after="0" w:line="21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6"/>
          <w:szCs w:val="16"/>
          <w:i w:val="1"/>
          <w:iCs w:val="1"/>
          <w:color w:val="auto"/>
        </w:rPr>
        <w:t>Gas</w:t>
      </w:r>
      <w:r>
        <w:rPr>
          <w:sz w:val="20"/>
          <w:szCs w:val="20"/>
          <w:color w:val="auto"/>
        </w:rPr>
        <w:tab/>
      </w:r>
      <w:r>
        <w:rPr>
          <w:rFonts w:ascii="Arial" w:cs="Arial" w:eastAsia="Arial" w:hAnsi="Arial"/>
          <w:sz w:val="16"/>
          <w:szCs w:val="16"/>
          <w:color w:val="auto"/>
        </w:rPr>
        <w:t>Standard gas meters; smart metering solutions that include one or several of the following: smart gas meters; smart gas communication</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modules; prepayment systems, including smart key, keypad, and smart card communication technologies; smart systems, including</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handheld, mobile, and fixed network collection technologies; smart network technologies; meter data management software; knowledge</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application solutions installation; implementation; and professional services including consulting and analysis.</w:t>
      </w:r>
    </w:p>
    <w:p>
      <w:pPr>
        <w:spacing w:after="0" w:line="21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7"/>
          <w:szCs w:val="17"/>
          <w:i w:val="1"/>
          <w:iCs w:val="1"/>
          <w:color w:val="auto"/>
        </w:rPr>
        <w:t>Water</w:t>
      </w:r>
      <w:r>
        <w:rPr>
          <w:sz w:val="20"/>
          <w:szCs w:val="20"/>
          <w:color w:val="auto"/>
        </w:rPr>
        <w:tab/>
      </w:r>
      <w:r>
        <w:rPr>
          <w:rFonts w:ascii="Arial" w:cs="Arial" w:eastAsia="Arial" w:hAnsi="Arial"/>
          <w:sz w:val="17"/>
          <w:szCs w:val="17"/>
          <w:color w:val="auto"/>
        </w:rPr>
        <w:t>Standard water and heat meters; smart metering solutions that include one or several of the following: smart water meters and</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communication modules; smart heat meters; smart systems including handheld, mobile, and fixed network collection technologies; meter</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data management software; knowledge application solutions; installation; implementation; and professional services including consulting</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1,022,939</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938,374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820,306</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Gas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533,624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569,476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543,805</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461,634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505,336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519,422</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2,018,197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2,013,186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1,883,533</w:t>
            </w:r>
          </w:p>
        </w:tc>
      </w:tr>
      <w:tr>
        <w:trPr>
          <w:trHeight w:val="73"/>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318,953</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282,677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225,446</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Gas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191,303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205,063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185,559</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164,898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145,680</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675,154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660,320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556,685</w:t>
            </w:r>
          </w:p>
        </w:tc>
      </w:tr>
      <w:tr>
        <w:trPr>
          <w:trHeight w:val="73"/>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93,566</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31,104</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Gas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74,206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66,813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67,471</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19,864</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(60,840)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(76,155)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(65,593)</w:t>
            </w: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151,426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96,211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52,846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(15,744)</w:t>
            </w: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134,575</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This resulted in a decrease to gross profit of $29.4 million for the year ended December 31, 2015. After adjusting for the tax impact, this charge resulted in a decrease to basic and diluted EPS of $0.47 for the year ended December 31, 2015.</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year ended December 31, 2017, we recognized an insurance recovery associated with warranty expenses previously recognized as a result of our 2015 product replacement notification discussed above. As a result, gross profit increased $8.0 million for the year ended December 31, 2017. After adjusting for the tax impact, the recovery resulted in an increase of $0.13 and $0.12 for basic and diluted EPS, respectively, for the year ended December 31, 2017.</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2017, one customer represented 19% and two additional customers each represented 11% of the Electricity operating segment revenues. There was no single customer that represented more than 10% of total Company or the Gas or Water operating segment revenues.</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2016, two customers represented 12% and 10% of total Electricity operating segment revenues, respectively. There was no customer that represented more than 10% of total Company or the Gas or Water operating segment revenues.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2015, no single customer represented more than 10% of total Company or the Electricity, Gas or Water operating segment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1,137,508</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1,126,787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997,293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Europe, Middle East, and Africa (EMEA)</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672,942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698,106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701,301</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207,747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188,293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184,939</w:t>
            </w:r>
          </w:p>
        </w:tc>
      </w:tr>
      <w:tr>
        <w:trPr>
          <w:trHeight w:val="244"/>
        </w:trPr>
        <w:tc>
          <w:tcPr>
            <w:tcW w:w="60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2,018,197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2,013,186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1,883,533</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Revenues are allocated to countries and regions based on the location of the selling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70,435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Outside United States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133,004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106,023</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200,768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176,458</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24,703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35,896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Gas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18,800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20,714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20,288</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16,092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3,620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63,215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75,993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Business Combinations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 xml:space="preserve">On June 1, 2017, we completed the acquisition of Comverge by purchasing the stock of its parent, Peak Holding Corp. (Comverge). This </w:t>
      </w:r>
      <w:r>
        <w:rPr>
          <w:rFonts w:ascii="Arial" w:cs="Arial" w:eastAsia="Arial" w:hAnsi="Arial"/>
          <w:sz w:val="18"/>
          <w:szCs w:val="18"/>
          <w:color w:val="000000"/>
        </w:rPr>
        <w:t>was financed</w:t>
      </w:r>
      <w:r>
        <w:rPr>
          <w:rFonts w:ascii="Arial" w:cs="Arial" w:eastAsia="Arial" w:hAnsi="Arial"/>
          <w:sz w:val="18"/>
          <w:szCs w:val="18"/>
          <w:color w:val="222222"/>
        </w:rPr>
        <w:t xml:space="preserve"> </w:t>
      </w:r>
      <w:r>
        <w:rPr>
          <w:rFonts w:ascii="Arial" w:cs="Arial" w:eastAsia="Arial" w:hAnsi="Arial"/>
          <w:sz w:val="18"/>
          <w:szCs w:val="18"/>
          <w:color w:val="000000"/>
        </w:rPr>
        <w:t>through borrowings on our multicurrency revolving line of credit and cash on hand. Comverge is a leading provider of integrated demand response and customer engagement solutions that enable electric utilities to ensure grid reliability, lower energy costs for consumers, meet regulatory demands, and enhance the customer experience. Comverge's technologies are complementary to our Electricity segment's growing software and services offerings, and will help optimize grid performance and reliability.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of Comverge was $100.0 million in cash, net of $18.2 million of cash and cash equivalents acquired. We allocated the purchase price to the assets acquired and liabilities assumed based on fair value assessments. The fair values of these assets and liabilities are considered final. The following reflects our final allocation of purchase price as of June 1, 2017:</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 Average Useful Life</w:t>
            </w:r>
          </w:p>
        </w:tc>
      </w:tr>
      <w:tr>
        <w:trPr>
          <w:trHeight w:val="33"/>
        </w:trPr>
        <w:tc>
          <w:tcPr>
            <w:tcW w:w="67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640" w:type="dxa"/>
            <w:vAlign w:val="bottom"/>
            <w:tcBorders>
              <w:bottom w:val="single" w:sz="8" w:color="CCEEFF"/>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15,118</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70"/>
        </w:trPr>
        <w:tc>
          <w:tcPr>
            <w:tcW w:w="6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assets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Core-developed technology</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19,250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contracts and relationships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12,230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Trademarks and trade names</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4,310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w:t>
            </w:r>
          </w:p>
        </w:tc>
      </w:tr>
      <w:tr>
        <w:trPr>
          <w:trHeight w:val="33"/>
        </w:trPr>
        <w:tc>
          <w:tcPr>
            <w:tcW w:w="67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identified intangible assets subject to amortization</w:t>
            </w:r>
          </w:p>
        </w:tc>
        <w:tc>
          <w:tcPr>
            <w:tcW w:w="1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35,790</w:t>
            </w: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In-process research and development (IPR&amp;D)</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identified intangible assets</w:t>
            </w:r>
          </w:p>
        </w:tc>
        <w:tc>
          <w:tcPr>
            <w:tcW w:w="1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36,500</w:t>
            </w: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59,675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(10,787)</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Total net assets acquired</w:t>
            </w:r>
          </w:p>
        </w:tc>
        <w:tc>
          <w:tcPr>
            <w:tcW w:w="1640" w:type="dxa"/>
            <w:vAlign w:val="bottom"/>
            <w:tcBorders>
              <w:top w:val="single" w:sz="8" w:color="auto"/>
              <w:bottom w:val="single" w:sz="8" w:color="auto"/>
            </w:tcBorders>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100,015</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for the identified core-developed technology, trademarks, and IPR&amp;D intangible assets were estimated using the income approach. Under the income approach, the fair value reflects the present value of the projected cash flows that are expected to be generated. Core-developed technology represents the fair values of Comverge products that have reached technological feasibility and were part of Comverge's product offerings at the date of the acquisition. Customer contracts and relationships represent the fair value of the relationships developed with its customers, including the backlog, and these were valued utilizing the replacement cost method, which measures the value of an asset based on the cost to replace the existing asset. The core-developed technology, trademarks, and IPR&amp;D intangible assets valued using the income approach will be amortized using the estimated discounted cash flows assumed in the valuation models. Customer contracts and relationships will be amortized using the straight-line method.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IPR&amp;D assets acquired represented the fair value of Comverge research and development projects that had not yet reached technological feasibility at the time of acquisition. These projects were completed in the fourth quarter of 2017 and were reclassified to core-developed technology. Incremental costs to be incurred for these projects were not significant and were recognized as product development expense as incurred within the Consolidated Statements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of $59.7 million arising from the acquisition consists largely of the synergies expected from combining the operations of Itron and Comverge, as well as certain intangible assets that do not qualify for separate recognition. All of the goodwill balance was assigned to the Electricity reporting unit and segment. We will not be able to deduct any of the goodwill balance for income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revenues and net income (loss) from Comverge's operations that are included in our Consolidated Statements of Operations:</w:t>
      </w:r>
    </w:p>
    <w:p>
      <w:pPr>
        <w:spacing w:after="0" w:line="200" w:lineRule="exact"/>
        <w:rPr>
          <w:sz w:val="20"/>
          <w:szCs w:val="20"/>
          <w:color w:val="auto"/>
        </w:rPr>
      </w:pPr>
    </w:p>
    <w:p>
      <w:pPr>
        <w:spacing w:after="0" w:line="211"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June 1, 2017 - December</w:t>
      </w:r>
    </w:p>
    <w:p>
      <w:pPr>
        <w:spacing w:after="0" w:line="26" w:lineRule="exact"/>
        <w:rPr>
          <w:sz w:val="20"/>
          <w:szCs w:val="20"/>
          <w:color w:val="auto"/>
        </w:rPr>
      </w:pPr>
    </w:p>
    <w:p>
      <w:pPr>
        <w:jc w:val="center"/>
        <w:ind w:left="9480"/>
        <w:spacing w:after="0"/>
        <w:rPr>
          <w:sz w:val="20"/>
          <w:szCs w:val="20"/>
          <w:color w:val="auto"/>
        </w:rPr>
      </w:pPr>
      <w:r>
        <w:rPr>
          <w:rFonts w:ascii="Arial" w:cs="Arial" w:eastAsia="Arial" w:hAnsi="Arial"/>
          <w:sz w:val="16"/>
          <w:szCs w:val="16"/>
          <w:b w:val="1"/>
          <w:bCs w:val="1"/>
          <w:color w:val="auto"/>
        </w:rPr>
        <w:t>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8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32,436</w:t>
            </w:r>
          </w:p>
        </w:tc>
      </w:tr>
      <w:tr>
        <w:trPr>
          <w:trHeight w:val="224"/>
        </w:trPr>
        <w:tc>
          <w:tcPr>
            <w:tcW w:w="53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(2,448)</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Comverge, with adjustments to give effect to the combined operations as if the acquisition had been consummated on January 1, 2016.</w:t>
      </w:r>
    </w:p>
    <w:p>
      <w:pPr>
        <w:spacing w:after="0" w:line="329"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34290</wp:posOffset>
            </wp:positionV>
            <wp:extent cx="2238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2,040,309</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2,072,695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64,230</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24,415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not considered material and include the following:</w:t>
      </w:r>
    </w:p>
    <w:p>
      <w:pPr>
        <w:spacing w:after="0" w:line="6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Elimination of transaction costs incurred by Comverge and Itron prior to the acquisition completion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Reclassification of certain expenses incurred after the acquisition to the appropriate periods assuming the acquisition closed on January 1, 2016</w:t>
      </w: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Results (Unaudited)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2017</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Statement of operations data (unaudited):</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attributable to Itron, Inc.</w:t>
      </w:r>
    </w:p>
    <w:p>
      <w:pPr>
        <w:spacing w:after="0" w:line="35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Earnings per common share - Basic</w:t>
      </w:r>
      <w:r>
        <w:rPr>
          <w:rFonts w:ascii="Arial" w:cs="Arial" w:eastAsia="Arial" w:hAnsi="Arial"/>
          <w:sz w:val="8"/>
          <w:szCs w:val="8"/>
          <w:color w:val="auto"/>
        </w:rPr>
        <w:t>(1)</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Earnings per common share - Diluted</w:t>
      </w:r>
      <w:r>
        <w:rPr>
          <w:rFonts w:ascii="Arial" w:cs="Arial" w:eastAsia="Arial" w:hAnsi="Arial"/>
          <w:sz w:val="8"/>
          <w:szCs w:val="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2016</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Statement of operations data (unaudited):</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(loss) attributable to Itron, Inc.</w:t>
      </w:r>
    </w:p>
    <w:p>
      <w:pPr>
        <w:spacing w:after="0" w:line="3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Basic</w:t>
      </w:r>
      <w:r>
        <w:rPr>
          <w:rFonts w:ascii="Arial" w:cs="Arial" w:eastAsia="Arial" w:hAnsi="Arial"/>
          <w:sz w:val="8"/>
          <w:szCs w:val="8"/>
          <w:color w:val="auto"/>
        </w:rPr>
        <w:t>(1)</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Diluted</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7"/>
              </w:rPr>
              <w:t>Second Quarter</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Fourth Quarter</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Year</w:t>
            </w:r>
          </w:p>
        </w:tc>
      </w:tr>
      <w:tr>
        <w:trPr>
          <w:trHeight w:val="244"/>
        </w:trPr>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0" w:type="dxa"/>
            <w:vAlign w:val="bottom"/>
            <w:gridSpan w:val="5"/>
          </w:tcPr>
          <w:p>
            <w:pPr>
              <w:jc w:val="right"/>
              <w:ind w:right="1088"/>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0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477,592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503,082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486,747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550,776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2,018,197</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157,225</w:t>
            </w:r>
          </w:p>
        </w:tc>
        <w:tc>
          <w:tcPr>
            <w:tcW w:w="26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177,860</w:t>
            </w:r>
          </w:p>
        </w:tc>
        <w:tc>
          <w:tcPr>
            <w:tcW w:w="28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165,318</w:t>
            </w:r>
          </w:p>
        </w:tc>
        <w:tc>
          <w:tcPr>
            <w:tcW w:w="24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174,751</w:t>
            </w:r>
          </w:p>
        </w:tc>
        <w:tc>
          <w:tcPr>
            <w:tcW w:w="3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675,154</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15,845</w:t>
            </w:r>
          </w:p>
        </w:tc>
        <w:tc>
          <w:tcPr>
            <w:tcW w:w="26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14,097</w:t>
            </w:r>
          </w:p>
        </w:tc>
        <w:tc>
          <w:tcPr>
            <w:tcW w:w="28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25,576</w:t>
            </w:r>
          </w:p>
        </w:tc>
        <w:tc>
          <w:tcPr>
            <w:tcW w:w="24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1,780</w:t>
            </w:r>
          </w:p>
        </w:tc>
        <w:tc>
          <w:tcPr>
            <w:tcW w:w="3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57,298</w:t>
            </w:r>
          </w:p>
        </w:tc>
      </w:tr>
      <w:tr>
        <w:trPr>
          <w:trHeight w:val="5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0.41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0.36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0.66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1.48</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0.40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0.36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0.65</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1.45</w:t>
            </w:r>
          </w:p>
        </w:tc>
      </w:tr>
      <w:tr>
        <w:trPr>
          <w:trHeight w:val="762"/>
        </w:trPr>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7"/>
              </w:rPr>
              <w:t>Second Quarter</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Fourth Quarter</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Year</w:t>
            </w:r>
          </w:p>
        </w:tc>
      </w:tr>
      <w:tr>
        <w:trPr>
          <w:trHeight w:val="244"/>
        </w:trPr>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0" w:type="dxa"/>
            <w:vAlign w:val="bottom"/>
            <w:gridSpan w:val="5"/>
          </w:tcPr>
          <w:p>
            <w:pPr>
              <w:jc w:val="right"/>
              <w:ind w:right="1088"/>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0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497,590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513,024</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506,859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495,713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2,013,186</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163,203</w:t>
            </w:r>
          </w:p>
        </w:tc>
        <w:tc>
          <w:tcPr>
            <w:tcW w:w="26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169,705</w:t>
            </w:r>
          </w:p>
        </w:tc>
        <w:tc>
          <w:tcPr>
            <w:tcW w:w="28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170,749</w:t>
            </w:r>
          </w:p>
        </w:tc>
        <w:tc>
          <w:tcPr>
            <w:tcW w:w="24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156,663</w:t>
            </w:r>
          </w:p>
        </w:tc>
        <w:tc>
          <w:tcPr>
            <w:tcW w:w="3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660,320</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10,089</w:t>
            </w:r>
          </w:p>
        </w:tc>
        <w:tc>
          <w:tcPr>
            <w:tcW w:w="26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19,917</w:t>
            </w:r>
          </w:p>
        </w:tc>
        <w:tc>
          <w:tcPr>
            <w:tcW w:w="2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(9,885)</w:t>
            </w:r>
          </w:p>
        </w:tc>
        <w:tc>
          <w:tcPr>
            <w:tcW w:w="24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11,649</w:t>
            </w:r>
          </w:p>
        </w:tc>
        <w:tc>
          <w:tcPr>
            <w:tcW w:w="3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31,770</w:t>
            </w:r>
          </w:p>
        </w:tc>
      </w:tr>
      <w:tr>
        <w:trPr>
          <w:trHeight w:val="5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0.27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0.52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0.83</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0.26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0.52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-3138805</wp:posOffset>
            </wp:positionV>
            <wp:extent cx="720344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-2795905</wp:posOffset>
            </wp:positionV>
            <wp:extent cx="720344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-2470150</wp:posOffset>
            </wp:positionV>
            <wp:extent cx="720344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-1003935</wp:posOffset>
            </wp:positionV>
            <wp:extent cx="720344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-660400</wp:posOffset>
            </wp:positionV>
            <wp:extent cx="720344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-334645</wp:posOffset>
            </wp:positionV>
            <wp:extent cx="720344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3040" w:space="640"/>
            <w:col w:w="7740"/>
          </w:cols>
          <w:pgMar w:left="240" w:top="125" w:right="239" w:bottom="1440" w:gutter="0" w:footer="0" w:header="0"/>
          <w:type w:val="continuous"/>
        </w:sectPr>
      </w:pPr>
    </w:p>
    <w:p>
      <w:pPr>
        <w:ind w:left="340" w:right="20" w:hanging="332"/>
        <w:spacing w:after="0" w:line="217" w:lineRule="auto"/>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The sum of the quarterly EPS data presented in the table may not equal the annual results due to rounding and the impact of dilutive securities on the annual versus the quarterly EPS calculations.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2017, the Tax Act was enacted into law in the United States. We recognized provisional estimates for the impact of the Tax Act of $30.4 million to remeasure our deferred tax assets as a result of these legislative changes. This resulted in a decrease of $0.79 and $0.77 to basic and diluted earnings per share, respectively, for the three months ended December 31, 2017.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2017, we recognized an insurance recovery in our Water segment associated with warranty costs recognized as a result of our 2015 product replacement notification to customers who had purchased certain communication modules. As a result, gross profit increased $8.0 million for the three months ended June 30, 2017. After adjusting for the tax impact, the recovery resulted in an increase of $0.13 and $0.12 to basic and diluted earnings per share, respectively, for the three months ended June 30, 2017.</w:t>
      </w:r>
    </w:p>
    <w:p>
      <w:pPr>
        <w:sectPr>
          <w:pgSz w:w="11900" w:h="16838" w:orient="portrait"/>
          <w:cols w:equalWidth="0" w:num="1">
            <w:col w:w="11420"/>
          </w:cols>
          <w:pgMar w:left="240" w:top="125"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2016, we announced the 2016 Projects to restructure various company activities in order to improve operational efficiencies, reduce expenses and improve competiveness. As a result, we recognized $40.0 million and $7.8 million in restructuring costs during the third and fourth quarters of 2016, respectively, related to the 2016 Projects.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5, 2018, we completed our acquisition of SSNI by purchasing all outstanding shares for $16.25 per share, resulting in a total purchase price, net of cash, of approximately $810 million. All other business combination disclosures are not available due to the proximity of the acquisition to the issuance of these financial statements. During 2017, we incurred approximately $7 million of acquisition and integration related expenses associated with the SSNI acquisition.</w:t>
      </w:r>
    </w:p>
    <w:p>
      <w:pPr>
        <w:spacing w:after="0" w:line="19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SSNI provided Internet of Important Things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connectivity platforms and solutions to utilities and cities. The acquisition continues our focus on expanding management services and SaaS solutions, which allows us to provide more value to our customers by optimizing devices, network technologies, outcomes and analytics.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Refinancing</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January 5, 2018, we entered into the 2018 credit facility, which amended and restated the 2015 credit facility.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(available for immediate cash needs at a higher interest rate). Both the term loan and the revolver mature on January 5, 2023, and amounts borrowed under the revolver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0.18% to 0.35% per annum depending on our total leverage ratio as of the most recently ended fiscal quarter. Amounts repaid on the term loan may not be reborrowed. 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2018 credit facility, are guaranteed by the foreign subsidiary and by its direct and indirect foreign parents.</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Scheduled principal repayments for the term loan are due quarterly in the amount of $4.1 million from June 2018 through March 2019, $8.1 million from June 2019 through March 2020, $12.2 million from June 2020 through March 2021, $16.3 million from June 2021 through December 2022, and the remainder due at maturity on January 5, 2023. The term loan may be repaid early in whole or in part, subject to certain minimum thresholds, without penalty.</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January 5, 2018, the interest rate for both the term loan and the USD revolver was 3.56% (the LIBOR rate plus a margin of 2.00%), and the interest rate for the EUR revolver was 2.00% (the EURIBOR floor rate plus a margin of 2.00%).</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January 19, 2018, we closed an offering of an additional $100 million aggregate principal amount of our 5.00% senior notes which were issued pursuant to the Indenture, as disclosed in Note 6: Debt.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Restructuring Projects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February 22, 2018, our Board of Directors approved a restructuring plan (2018 Projects). The 2018 Projects will include activities that continue our efforts to optimize our global supply chain and manufacturing operations, product development, and sales and marketing organizations. We expect to substantially complete the plan by the end of 2020. We estimate pre-tax restructuring charges of $100 million to $110 million with approximately 20% related to closing or consolidating facilities and non-manufacturing operations and approximately 80% associated with severance and other one-time termination benefits. Of the total estimated charge, approximately 95% will result in cash expenditures. We expect to record the majority of the charges in the first quarter of 2018.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2017, or in any period subsequent to such date, through the date of this report.</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2017,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(2013 Framework). Based on our evaluation under the 2013</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management concluded that our internal control over financial reporting was effective as of December 31, 2017.</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 xml:space="preserve">On June 1, 2017, we completed the acquisition of Comverge by purchasing the stock of its parent, Peak Holding Corp. (Comverge). </w:t>
      </w:r>
      <w:r>
        <w:rPr>
          <w:rFonts w:ascii="Arial" w:cs="Arial" w:eastAsia="Arial" w:hAnsi="Arial"/>
          <w:sz w:val="18"/>
          <w:szCs w:val="18"/>
          <w:color w:val="000000"/>
        </w:rPr>
        <w:t>For further discussion of</w:t>
      </w:r>
      <w:r>
        <w:rPr>
          <w:rFonts w:ascii="Arial" w:cs="Arial" w:eastAsia="Arial" w:hAnsi="Arial"/>
          <w:sz w:val="18"/>
          <w:szCs w:val="18"/>
          <w:color w:val="222222"/>
        </w:rPr>
        <w:t xml:space="preserve"> </w:t>
      </w:r>
      <w:r>
        <w:rPr>
          <w:rFonts w:ascii="Arial" w:cs="Arial" w:eastAsia="Arial" w:hAnsi="Arial"/>
          <w:sz w:val="18"/>
          <w:szCs w:val="18"/>
          <w:color w:val="000000"/>
        </w:rPr>
        <w:t>the Comverge acquisition, refer to Item 8: “Financial Statements, Note 17: Business Combinations.” The Securities and Exchange Commission permits companies to exclude acquisitions from their assessment of internal control over financial reporting during the first year of an acquisition, and our management has elected to exclude Comverge from our assessment as of December 31, 2017. Comverge constituted 1% and 2% of our consolidated total assets and revenues as of and for the year ended December 31, 2017, respectively.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Deloitte &amp; Touche LLP, an independent registered public accounting firm, as stated in their report that is included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as well as locations acquired through acquisitions. We will continue to upgrade our financial applications in stages, and we believe the related changes to processes and internal controls will allow us to be more efficient and further enhance our internal control over financial reporting.</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described in Item 8: “Financial Statements and Supplementary Data, Note 1: Summary of Significant Accounting Policies” included in this Annual Report on Form 10-K, we will adopt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effective January 1, 2018. As we continue to evaluate and prepare to implement this new revenue recognition standard, we have modified certain internal controls over financial reporting to address risks associated with the required revenue recognition methodology and related disclosure requirements. This includes enhancing controls to address risks associated with the five-step model for recognizing revenue, including the revision of our contract review controls and assessing what impacts the new standard will have. We have also implemented controls associated with the allocation of revenue associated with our complex contracts with multiple performance obligations, and developed a model and review process to assist with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allocation and disclosure requirements. Additional revenue recognition controls will be implemented following adoption of the standard.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these changes, there have been no other changes in our internal control over financial reporting during the three months ended December 31, 2017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5220"/>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Itron,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Itron, Inc. and subsidiaries (the “Company”)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9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February 28, 2018, expressed an unqualified opinion on those financial statements.</w:t>
      </w:r>
    </w:p>
    <w:p>
      <w:pPr>
        <w:spacing w:after="0" w:line="2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management excluded from its assessment the internal control over financial reporting at Comverge, which was acquired on June 1, 2017 and whose financial statements constitute 1% and 2% of consolidated total assets and revenues, respectively, as of and for the year ended December 31, 2017. Accordingly, our audit did not include the internal control over financial reporting at Comverge.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3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125" w:right="2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information was required to be disclosed in a report on Form 8-K during the fourth quarter of 2017 that was not reported.</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125" w:right="1440"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10, 2018 (the 2018 Proxy Statement) sets forth certain information with regard to our directors as required by Item 401 of Regulation S-K and is incorporated herein by reference.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“Executive Officers” in Part I of this Annual Report on Form 10-K.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“Section 16(a) Beneficial Ownership Reporting Compliance” appearing in the 2018 Proxy Statement sets forth certain information as required by Item 405 of Regulation S-K and is incorporated herein by reference.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section entitled “Corporate Governance” appearing in the 2018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under the Investors section.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Itron's board of directors during 2018, as set forth by Item 407(c)(3) of Regulation S-K.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2018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2018 Proxy Statement set forth certain information with respect to the compensation of directors and management of Itron as required by Item 402 of Regulation S-K and are incorporated herein by reference.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2018 Proxy Statement sets forth certain information regarding members of the Compensation Committee required by Item 407(e)(4) of Regulation S-K and is incorporated herein by reference.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2018 Proxy Statement sets forth certain information required by Item 407(e)(5) of Regulation S-K and is incorporated herein by reference.</w:t>
      </w:r>
    </w:p>
    <w:p>
      <w:pPr>
        <w:spacing w:after="0" w:line="166" w:lineRule="exact"/>
        <w:rPr>
          <w:sz w:val="20"/>
          <w:szCs w:val="20"/>
          <w:color w:val="auto"/>
        </w:rPr>
      </w:pPr>
    </w:p>
    <w:p>
      <w:pPr>
        <w:jc w:val="both"/>
        <w:ind w:left="106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2018 Proxy Statement sets forth certain information required by Item 201(d) of Regulation S-K and is incorporated herein by reference.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2018 Proxy Statement sets forth certain information with respect to the ownership of our common stock as required by Item 403 of Regulation S-K and is incorporated herein by reference.</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“Corporate Governance” appearing in the 2018 Proxy Statement sets forth certain information required by Item 404 of Regulation S-K and is incorporated herein by reference.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2018 Proxy Statement sets forth certain information with respect to director independence as required by Item 407(a) of Regulation S-K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2018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have been omitted because of the absence of conditions under which they are required or because the required information is included in the consolidated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40" w:type="dxa"/>
            <w:vAlign w:val="bottom"/>
            <w:gridSpan w:val="16"/>
          </w:tcPr>
          <w:p>
            <w:pPr>
              <w:ind w:left="40"/>
              <w:spacing w:after="0"/>
              <w:rPr>
                <w:sz w:val="20"/>
                <w:szCs w:val="20"/>
                <w:color w:val="auto"/>
              </w:rPr>
            </w:pPr>
            <w:r>
              <w:rPr>
                <w:rFonts w:ascii="Arial" w:cs="Arial" w:eastAsia="Arial" w:hAnsi="Arial"/>
                <w:sz w:val="14"/>
                <w:szCs w:val="14"/>
                <w:b w:val="1"/>
                <w:bCs w:val="1"/>
                <w:color w:val="auto"/>
              </w:rPr>
              <w:t>Description of Exhibits</w:t>
            </w:r>
          </w:p>
        </w:tc>
      </w:tr>
      <w:tr>
        <w:trPr>
          <w:trHeight w:val="432"/>
        </w:trPr>
        <w:tc>
          <w:tcPr>
            <w:tcW w:w="126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60" w:type="dxa"/>
            <w:vAlign w:val="bottom"/>
            <w:tcBorders>
              <w:top w:val="single" w:sz="8" w:color="auto"/>
            </w:tcBorders>
            <w:gridSpan w:val="21"/>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Agreement and Plan of Merger, dated September 17, 2017, by and among Itron, Inc., Ivory Merger Sub, Inc., and Silver Spring, Inc.</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(Filed as Exhibit 2.1 to Itron Inc.'s Current Report on Form 8-K, filed on September 18, 2017)</w:t>
              </w:r>
            </w:hyperlink>
          </w:p>
        </w:tc>
        <w:tc>
          <w:tcPr>
            <w:tcW w:w="440" w:type="dxa"/>
            <w:vAlign w:val="bottom"/>
            <w:gridSpan w:val="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Amended and Restated Articles of Incorporation of Itron, Inc. (Filed as Exhibit 3.1 to Itron, Inc.’s Annual Report on Form 10-K, filed on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March 27, 2003)</w:t>
              </w:r>
            </w:hyperlink>
          </w:p>
        </w:tc>
        <w:tc>
          <w:tcPr>
            <w:tcW w:w="10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4"/>
              </w:rPr>
            </w:pPr>
            <w:hyperlink r:id="rId81">
              <w:r>
                <w:rPr>
                  <w:rFonts w:ascii="Arial" w:cs="Arial" w:eastAsia="Arial" w:hAnsi="Arial"/>
                  <w:sz w:val="18"/>
                  <w:szCs w:val="18"/>
                  <w:color w:val="0000FF"/>
                  <w:w w:val="94"/>
                </w:rPr>
                <w:t>Amended and Restated Bylaws of Itron, Inc. (Filed as Exhibit 3.2 to Itron, Inc.'s Annual Report on Form 10-K, filed on June 30, 2016)</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0"/>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Security Agreement dated August 5, 2011 among Itron, Inc. and Wells Fargo Bank, National Association (Filed as Exhibit 4.2 to Form 8-</w:t>
              </w:r>
            </w:hyperlink>
          </w:p>
        </w:tc>
        <w:tc>
          <w:tcPr>
            <w:tcW w:w="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K filed on August 8, 2011)</w:t>
              </w:r>
            </w:hyperlink>
          </w:p>
        </w:tc>
        <w:tc>
          <w:tcPr>
            <w:tcW w:w="8020" w:type="dxa"/>
            <w:vAlign w:val="bottom"/>
            <w:gridSpan w:val="19"/>
          </w:tcPr>
          <w:p>
            <w:pPr>
              <w:spacing w:after="0"/>
              <w:rPr>
                <w:sz w:val="17"/>
                <w:szCs w:val="17"/>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4"/>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First Amendment to Security Agreement dated June 23, 2015 among Itron, Inc. and Wells Fargo Bank, National Association. (Filed as</w:t>
              </w:r>
            </w:hyperlink>
          </w:p>
        </w:tc>
        <w:tc>
          <w:tcPr>
            <w:tcW w:w="2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Exhibit 4.2 to Itron, Inc.’s Current Report on Form 8-K, filed on June 23, 2015)</w:t>
              </w:r>
            </w:hyperlink>
          </w:p>
        </w:tc>
        <w:tc>
          <w:tcPr>
            <w:tcW w:w="4220" w:type="dxa"/>
            <w:vAlign w:val="bottom"/>
            <w:gridSpan w:val="15"/>
          </w:tcPr>
          <w:p>
            <w:pPr>
              <w:spacing w:after="0"/>
              <w:rPr>
                <w:sz w:val="17"/>
                <w:szCs w:val="17"/>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11"/>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Indenture, dated as of December 22, 2017 among Itron, Inc., the guarantors from time to time party thereto and U.S. Bank National</w:t>
              </w:r>
            </w:hyperlink>
          </w:p>
        </w:tc>
        <w:tc>
          <w:tcPr>
            <w:tcW w:w="50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Association, as trustee. (Filed as Exhibit 4.1 to Itron, Inc.'s Current Report on Form 8-K, filed on December 22, 2017)</w:t>
              </w:r>
            </w:hyperlink>
          </w:p>
        </w:tc>
        <w:tc>
          <w:tcPr>
            <w:tcW w:w="1460" w:type="dxa"/>
            <w:vAlign w:val="bottom"/>
            <w:gridSpan w:val="12"/>
          </w:tcPr>
          <w:p>
            <w:pPr>
              <w:spacing w:after="0"/>
              <w:rPr>
                <w:sz w:val="17"/>
                <w:szCs w:val="17"/>
                <w:color w:val="auto"/>
              </w:rPr>
            </w:pPr>
          </w:p>
        </w:tc>
      </w:tr>
      <w:tr>
        <w:trPr>
          <w:trHeight w:val="480"/>
        </w:trPr>
        <w:tc>
          <w:tcPr>
            <w:tcW w:w="1260" w:type="dxa"/>
            <w:vAlign w:val="bottom"/>
          </w:tcPr>
          <w:p>
            <w:pPr>
              <w:jc w:val="right"/>
              <w:ind w:right="4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89"/>
              </w:rPr>
            </w:pPr>
            <w:hyperlink r:id="rId85">
              <w:r>
                <w:rPr>
                  <w:rFonts w:ascii="Arial" w:cs="Arial" w:eastAsia="Arial" w:hAnsi="Arial"/>
                  <w:sz w:val="18"/>
                  <w:szCs w:val="18"/>
                  <w:color w:val="0000FF"/>
                  <w:w w:val="89"/>
                </w:rPr>
                <w:t>Second Amended and Restated Credit Agreement dated January 5, 2018 among Itron, Inc. and a syndicate of banks led by Wells Fargo</w:t>
              </w:r>
            </w:hyperlink>
          </w:p>
        </w:tc>
        <w:tc>
          <w:tcPr>
            <w:tcW w:w="2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Bank, National Association, JPMorgan Chase Bank, N.A., J.P. Morgan Europe Limited, J.P. Morgan Securities PLC, BNP Paribas, and</w:t>
              </w:r>
            </w:hyperlink>
          </w:p>
        </w:tc>
        <w:tc>
          <w:tcPr>
            <w:tcW w:w="24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Silicon Valley Bank (Filed as Exhibit 4.1 to Itron, Inc.'s Current Report on Form 8-K, filed on January 11, 2018)</w:t>
              </w:r>
            </w:hyperlink>
          </w:p>
        </w:tc>
        <w:tc>
          <w:tcPr>
            <w:tcW w:w="1860" w:type="dxa"/>
            <w:vAlign w:val="bottom"/>
            <w:gridSpan w:val="13"/>
          </w:tcPr>
          <w:p>
            <w:pPr>
              <w:spacing w:after="0"/>
              <w:rPr>
                <w:sz w:val="17"/>
                <w:szCs w:val="17"/>
                <w:color w:val="auto"/>
              </w:rPr>
            </w:pPr>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3"/>
              </w:rPr>
            </w:pPr>
            <w:hyperlink r:id="rId86">
              <w:r>
                <w:rPr>
                  <w:rFonts w:ascii="Arial" w:cs="Arial" w:eastAsia="Arial" w:hAnsi="Arial"/>
                  <w:sz w:val="18"/>
                  <w:szCs w:val="18"/>
                  <w:color w:val="0000FF"/>
                  <w:w w:val="93"/>
                </w:rPr>
                <w:t>Form of Amended and Restated Change in Control Severance Agreement for Executive Officers. (Filed as Exhibit 10.1 to Itron, Inc.’s</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Annual Report on Form 10-K, filed on February 22, 2013)</w:t>
              </w:r>
            </w:hyperlink>
          </w:p>
        </w:tc>
        <w:tc>
          <w:tcPr>
            <w:tcW w:w="5440" w:type="dxa"/>
            <w:vAlign w:val="bottom"/>
            <w:tcBorders>
              <w:top w:val="single" w:sz="8" w:color="0000FF"/>
            </w:tcBorders>
            <w:gridSpan w:val="8"/>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Schedule of certain executive officers who are parties to Change in Control Severance Agreements with Itron, Inc. (filed with this report)</w:t>
              </w:r>
            </w:hyperlink>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2"/>
              </w:rPr>
            </w:pPr>
            <w:hyperlink r:id="rId87">
              <w:r>
                <w:rPr>
                  <w:rFonts w:ascii="Arial" w:cs="Arial" w:eastAsia="Arial" w:hAnsi="Arial"/>
                  <w:sz w:val="18"/>
                  <w:szCs w:val="18"/>
                  <w:color w:val="0000FF"/>
                  <w:w w:val="92"/>
                </w:rPr>
                <w:t>Form of Indemnification Agreements between Itron, Inc. and certain directors and officers. (Filed as Exhibit 10.9 to Itron, Inc.’s Annual</w:t>
              </w:r>
            </w:hyperlink>
          </w:p>
        </w:tc>
        <w:tc>
          <w:tcPr>
            <w:tcW w:w="80" w:type="dxa"/>
            <w:vAlign w:val="bottom"/>
            <w:tcBorders>
              <w:top w:val="single" w:sz="8" w:color="0000FF"/>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Report on Form 10-K, filed on March 30, 2000)</w:t>
              </w:r>
            </w:hyperlink>
          </w:p>
        </w:tc>
        <w:tc>
          <w:tcPr>
            <w:tcW w:w="6500" w:type="dxa"/>
            <w:vAlign w:val="bottom"/>
            <w:gridSpan w:val="17"/>
          </w:tcPr>
          <w:p>
            <w:pPr>
              <w:spacing w:after="0"/>
              <w:rPr>
                <w:sz w:val="17"/>
                <w:szCs w:val="17"/>
                <w:color w:val="auto"/>
              </w:rPr>
            </w:pPr>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FF"/>
                <w:w w:val="98"/>
              </w:rPr>
            </w:pPr>
            <w:hyperlink w:anchor="page107">
              <w:r>
                <w:rPr>
                  <w:rFonts w:ascii="Arial" w:cs="Arial" w:eastAsia="Arial" w:hAnsi="Arial"/>
                  <w:sz w:val="18"/>
                  <w:szCs w:val="18"/>
                  <w:color w:val="0000FF"/>
                  <w:w w:val="98"/>
                </w:rPr>
                <w:t>Schedule of directors and executive officers who are parties to Indemnification Agreements with Itron, Inc. (filed with this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6520" w:type="dxa"/>
            <w:vAlign w:val="bottom"/>
            <w:gridSpan w:val="7"/>
            <w:shd w:val="clear" w:color="auto" w:fill="0000FF"/>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ind w:right="33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0"/>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Amended and Restated 2010 Stock Incentive Plan. (Filed as Appendix A to Itron, Inc.’s Proxy Statement for the 2014 Annual Meeting of</w:t>
              </w:r>
            </w:hyperlink>
          </w:p>
        </w:tc>
        <w:tc>
          <w:tcPr>
            <w:tcW w:w="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Shareholders, filed on March 13, 2014)</w:t>
              </w:r>
            </w:hyperlink>
          </w:p>
        </w:tc>
        <w:tc>
          <w:tcPr>
            <w:tcW w:w="7120" w:type="dxa"/>
            <w:vAlign w:val="bottom"/>
            <w:gridSpan w:val="18"/>
          </w:tcPr>
          <w:p>
            <w:pPr>
              <w:spacing w:after="0"/>
              <w:rPr>
                <w:sz w:val="17"/>
                <w:szCs w:val="17"/>
                <w:color w:val="auto"/>
              </w:rPr>
            </w:pPr>
          </w:p>
        </w:tc>
      </w:tr>
      <w:tr>
        <w:trPr>
          <w:trHeight w:val="73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7"/>
          </w:tcPr>
          <w:p>
            <w:pPr>
              <w:jc w:val="right"/>
              <w:ind w:right="1268"/>
              <w:spacing w:after="0"/>
              <w:rPr>
                <w:sz w:val="20"/>
                <w:szCs w:val="20"/>
                <w:color w:val="auto"/>
              </w:rPr>
            </w:pPr>
            <w:r>
              <w:rPr>
                <w:rFonts w:ascii="Arial" w:cs="Arial" w:eastAsia="Arial" w:hAnsi="Arial"/>
                <w:sz w:val="18"/>
                <w:szCs w:val="18"/>
                <w:color w:val="auto"/>
              </w:rPr>
              <w:t>99</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spacing w:after="0"/>
        <w:tabs>
          <w:tab w:leader="none" w:pos="56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1420" w:right="360" w:hanging="97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90">
        <w:r>
          <w:rPr>
            <w:rFonts w:ascii="Arial" w:cs="Arial" w:eastAsia="Arial" w:hAnsi="Arial"/>
            <w:sz w:val="18"/>
            <w:szCs w:val="18"/>
            <w:u w:val="single" w:color="auto"/>
            <w:color w:val="0000FF"/>
          </w:rPr>
          <w:t>Second Amended and Restated 2010 Stock Incentive Plan. (Filed as Appendix A to Itron, Inc.'s Proxy Statement for the 2017 Annual</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Meeting of Shareholders, filed on March 24, 2017)</w:t>
        </w:r>
      </w:hyperlink>
    </w:p>
    <w:p>
      <w:pPr>
        <w:spacing w:after="0" w:line="238" w:lineRule="exact"/>
        <w:rPr>
          <w:sz w:val="20"/>
          <w:szCs w:val="20"/>
          <w:color w:val="auto"/>
        </w:rPr>
      </w:pPr>
    </w:p>
    <w:p>
      <w:pPr>
        <w:ind w:left="1420" w:right="240" w:hanging="97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91">
        <w:r>
          <w:rPr>
            <w:rFonts w:ascii="Arial" w:cs="Arial" w:eastAsia="Arial" w:hAnsi="Arial"/>
            <w:sz w:val="18"/>
            <w:szCs w:val="18"/>
            <w:u w:val="single" w:color="auto"/>
            <w:color w:val="0000FF"/>
          </w:rPr>
          <w:t>Rules of Itron Inc.'s Amended and Restated 2010 Stock Incentive Plan for the Grant of Restricted Stock Unit (RSU's) to Participants in</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France. (Filed as Exhibit 10.6 to Itron, Inc.'s Quarterly Report on Form 10-Q, filed on August 6, 2014)</w:t>
        </w:r>
      </w:hyperlink>
    </w:p>
    <w:p>
      <w:pPr>
        <w:spacing w:after="0" w:line="200" w:lineRule="exact"/>
        <w:rPr>
          <w:sz w:val="20"/>
          <w:szCs w:val="20"/>
          <w:color w:val="auto"/>
        </w:rPr>
      </w:pPr>
    </w:p>
    <w:p>
      <w:pPr>
        <w:spacing w:after="0" w:line="254" w:lineRule="exact"/>
        <w:rPr>
          <w:sz w:val="20"/>
          <w:szCs w:val="20"/>
          <w:color w:val="auto"/>
        </w:rPr>
      </w:pPr>
    </w:p>
    <w:p>
      <w:pPr>
        <w:ind w:left="1420" w:right="900" w:hanging="97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92">
        <w:r>
          <w:rPr>
            <w:rFonts w:ascii="Arial" w:cs="Arial" w:eastAsia="Arial" w:hAnsi="Arial"/>
            <w:sz w:val="18"/>
            <w:szCs w:val="18"/>
            <w:u w:val="single" w:color="auto"/>
            <w:color w:val="0000FF"/>
          </w:rPr>
          <w:t>Executive Management Incentive Plan. (Filed as Appendix B to Itron, Inc.’s Proxy Statement for the 2010 Annual Meeting of</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Shareholders, filed on March 17, 2010)</w:t>
        </w:r>
      </w:hyperlink>
    </w:p>
    <w:p>
      <w:pPr>
        <w:spacing w:after="0" w:line="238" w:lineRule="exact"/>
        <w:rPr>
          <w:sz w:val="20"/>
          <w:szCs w:val="20"/>
          <w:color w:val="auto"/>
        </w:rPr>
      </w:pPr>
    </w:p>
    <w:p>
      <w:pPr>
        <w:ind w:left="1420" w:right="80" w:hanging="978"/>
        <w:spacing w:after="0" w:line="30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93">
        <w:r>
          <w:rPr>
            <w:rFonts w:ascii="Arial" w:cs="Arial" w:eastAsia="Arial" w:hAnsi="Arial"/>
            <w:sz w:val="17"/>
            <w:szCs w:val="17"/>
            <w:u w:val="single" w:color="auto"/>
            <w:color w:val="0000FF"/>
          </w:rPr>
          <w:t>Terms of the Amended and Restated Equity Grant Program for Nonemployee Directors under the Itron, Inc. Amended and Restated 2000</w:t>
        </w:r>
      </w:hyperlink>
      <w:r>
        <w:rPr>
          <w:rFonts w:ascii="Arial" w:cs="Arial" w:eastAsia="Arial" w:hAnsi="Arial"/>
          <w:sz w:val="17"/>
          <w:szCs w:val="17"/>
          <w:u w:val="single" w:color="auto"/>
          <w:color w:val="0000FF"/>
        </w:rPr>
        <w:t xml:space="preserve"> </w:t>
      </w:r>
      <w:hyperlink r:id="rId93">
        <w:r>
          <w:rPr>
            <w:rFonts w:ascii="Arial" w:cs="Arial" w:eastAsia="Arial" w:hAnsi="Arial"/>
            <w:sz w:val="17"/>
            <w:szCs w:val="17"/>
            <w:u w:val="single" w:color="auto"/>
            <w:color w:val="0000FF"/>
          </w:rPr>
          <w:t>Stock Incentive Plan. (Filed as Exhibit 10.4 to Itron, Inc.’s Annual Report on Form 10-K, filed on February 26, 2008)</w:t>
        </w:r>
      </w:hyperlink>
    </w:p>
    <w:p>
      <w:pPr>
        <w:spacing w:after="0" w:line="214" w:lineRule="exact"/>
        <w:rPr>
          <w:sz w:val="20"/>
          <w:szCs w:val="20"/>
          <w:color w:val="auto"/>
        </w:rPr>
      </w:pPr>
    </w:p>
    <w:p>
      <w:pPr>
        <w:ind w:left="1420" w:right="16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94">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under Itron, Inc.'s Amended and Restated 2000 Stock Incentive Plan. (Filed as Exhibit 10.6 to Itron, Inc.’s Current Report on Form 8-K,</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filed on February 18, 2010)</w:t>
        </w:r>
      </w:hyperlink>
    </w:p>
    <w:p>
      <w:pPr>
        <w:spacing w:after="0" w:line="249" w:lineRule="exact"/>
        <w:rPr>
          <w:rFonts w:ascii="Arial" w:cs="Arial" w:eastAsia="Arial" w:hAnsi="Arial"/>
          <w:sz w:val="18"/>
          <w:szCs w:val="18"/>
          <w:u w:val="single" w:color="auto"/>
          <w:color w:val="0000FF"/>
        </w:rPr>
      </w:pPr>
    </w:p>
    <w:p>
      <w:pPr>
        <w:ind w:left="1420" w:right="40" w:hanging="1020"/>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95">
        <w:r>
          <w:rPr>
            <w:rFonts w:ascii="Arial" w:cs="Arial" w:eastAsia="Arial" w:hAnsi="Arial"/>
            <w:sz w:val="18"/>
            <w:szCs w:val="18"/>
            <w:u w:val="single" w:color="auto"/>
            <w:color w:val="0000FF"/>
          </w:rPr>
          <w:t>Form of RSU Award Notice and Agreement for U.S. Participants for use in connection with the Company’s Long-Term Performance Plan</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(LTPP) and issued under Itron, Inc.'s Amended and Restated 2000 Stock Incentive Plan. (Filed as Exhibit 10.1 to Itron, Inc.’s Current</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Report on Form 8-K, filed on February 18, 2010)</w:t>
        </w:r>
      </w:hyperlink>
    </w:p>
    <w:p>
      <w:pPr>
        <w:spacing w:after="0" w:line="249" w:lineRule="exact"/>
        <w:rPr>
          <w:rFonts w:ascii="Arial" w:cs="Arial" w:eastAsia="Arial" w:hAnsi="Arial"/>
          <w:sz w:val="18"/>
          <w:szCs w:val="18"/>
          <w:u w:val="single" w:color="auto"/>
          <w:color w:val="0000FF"/>
        </w:rPr>
      </w:pPr>
    </w:p>
    <w:p>
      <w:pPr>
        <w:ind w:left="1420" w:right="22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96">
        <w:r>
          <w:rPr>
            <w:rFonts w:ascii="Arial" w:cs="Arial" w:eastAsia="Arial" w:hAnsi="Arial"/>
            <w:sz w:val="18"/>
            <w:szCs w:val="18"/>
            <w:u w:val="single" w:color="auto"/>
            <w:color w:val="0000FF"/>
          </w:rPr>
          <w:t>Form of RSU Award Notice and Agreement for International Participants (excluding France) for use in connection with the Company’s</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LTPP and issued under Itron, Inc.'s Amended and Restated 2000 Stock Incentive Plan. (Filed as Exhibit 10.2 to Itron, Inc.’s Current</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Report on Form 8-K, filed on February 18, 2010)</w:t>
        </w:r>
      </w:hyperlink>
    </w:p>
    <w:p>
      <w:pPr>
        <w:spacing w:after="0" w:line="249" w:lineRule="exact"/>
        <w:rPr>
          <w:rFonts w:ascii="Arial" w:cs="Arial" w:eastAsia="Arial" w:hAnsi="Arial"/>
          <w:sz w:val="18"/>
          <w:szCs w:val="18"/>
          <w:u w:val="single" w:color="auto"/>
          <w:color w:val="0000FF"/>
        </w:rPr>
      </w:pPr>
    </w:p>
    <w:p>
      <w:pPr>
        <w:ind w:left="142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97">
        <w:r>
          <w:rPr>
            <w:rFonts w:ascii="Arial" w:cs="Arial" w:eastAsia="Arial" w:hAnsi="Arial"/>
            <w:sz w:val="18"/>
            <w:szCs w:val="18"/>
            <w:u w:val="single" w:color="auto"/>
            <w:color w:val="0000FF"/>
          </w:rPr>
          <w:t>Form of RSU Award Notice and Agreement for Participants in France for use in connection with Itron, Inc.'s LTPP and issued under Itron,</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Inc.'s Amended and Restated 2000 Stock Incentive Plan. (Filed as Exhibit 10.3 to Itron, Inc.’s Current Report on Form 8-K, filed on</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February 18, 2010)</w:t>
        </w:r>
      </w:hyperlink>
    </w:p>
    <w:p>
      <w:pPr>
        <w:spacing w:after="0" w:line="249" w:lineRule="exact"/>
        <w:rPr>
          <w:rFonts w:ascii="Arial" w:cs="Arial" w:eastAsia="Arial" w:hAnsi="Arial"/>
          <w:sz w:val="18"/>
          <w:szCs w:val="18"/>
          <w:u w:val="single" w:color="auto"/>
          <w:color w:val="0000FF"/>
        </w:rPr>
      </w:pPr>
    </w:p>
    <w:p>
      <w:pPr>
        <w:ind w:left="1420" w:right="180" w:hanging="1023"/>
        <w:spacing w:after="0" w:line="342" w:lineRule="auto"/>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98">
        <w:r>
          <w:rPr>
            <w:rFonts w:ascii="Arial" w:cs="Arial" w:eastAsia="Arial" w:hAnsi="Arial"/>
            <w:sz w:val="16"/>
            <w:szCs w:val="16"/>
            <w:u w:val="single" w:color="auto"/>
            <w:color w:val="0000FF"/>
          </w:rPr>
          <w:t>Form of RSU Award Notice and Agreement for all Participants (excluding France) for use in connection with Itron, Inc.'s Amended and</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Restated 2000 Stock Incentive Plan. (Filed as Exhibit 10.4 to Itron, Inc.’s Current Report on Form 8-K, filed on February 18, 2010)</w:t>
        </w:r>
      </w:hyperlink>
    </w:p>
    <w:p>
      <w:pPr>
        <w:spacing w:after="0" w:line="191" w:lineRule="exact"/>
        <w:rPr>
          <w:sz w:val="20"/>
          <w:szCs w:val="20"/>
          <w:color w:val="auto"/>
        </w:rPr>
      </w:pPr>
    </w:p>
    <w:p>
      <w:pPr>
        <w:ind w:left="1420" w:right="20" w:hanging="1023"/>
        <w:spacing w:after="0" w:line="30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10.15*</w:t>
      </w:r>
      <w:r>
        <w:rPr>
          <w:sz w:val="20"/>
          <w:szCs w:val="20"/>
          <w:color w:val="auto"/>
        </w:rPr>
        <w:tab/>
      </w:r>
      <w:hyperlink r:id="rId99">
        <w:r>
          <w:rPr>
            <w:rFonts w:ascii="Arial" w:cs="Arial" w:eastAsia="Arial" w:hAnsi="Arial"/>
            <w:sz w:val="17"/>
            <w:szCs w:val="17"/>
            <w:u w:val="single" w:color="auto"/>
            <w:color w:val="0000FF"/>
          </w:rPr>
          <w:t>Form of RSU Award Notice and Agreement for Participants in France for use in connection with Itron, Inc.'s Amended and Restated 2000</w:t>
        </w:r>
      </w:hyperlink>
      <w:r>
        <w:rPr>
          <w:rFonts w:ascii="Arial" w:cs="Arial" w:eastAsia="Arial" w:hAnsi="Arial"/>
          <w:sz w:val="17"/>
          <w:szCs w:val="17"/>
          <w:u w:val="single" w:color="auto"/>
          <w:color w:val="0000FF"/>
        </w:rPr>
        <w:t xml:space="preserve"> </w:t>
      </w:r>
      <w:hyperlink r:id="rId99">
        <w:r>
          <w:rPr>
            <w:rFonts w:ascii="Arial" w:cs="Arial" w:eastAsia="Arial" w:hAnsi="Arial"/>
            <w:sz w:val="17"/>
            <w:szCs w:val="17"/>
            <w:u w:val="single" w:color="auto"/>
            <w:color w:val="0000FF"/>
          </w:rPr>
          <w:t>Stock Incentive Plan. (Filed as Exhibit 10.5 to Itron, Inc.’s Current Report on Form 8-K, filed on February 18, 2010)</w:t>
        </w:r>
      </w:hyperlink>
    </w:p>
    <w:p>
      <w:pPr>
        <w:spacing w:after="0" w:line="214" w:lineRule="exact"/>
        <w:rPr>
          <w:sz w:val="20"/>
          <w:szCs w:val="20"/>
          <w:color w:val="auto"/>
        </w:rPr>
      </w:pPr>
    </w:p>
    <w:p>
      <w:pPr>
        <w:ind w:left="1420" w:right="8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00">
        <w:r>
          <w:rPr>
            <w:rFonts w:ascii="Arial" w:cs="Arial" w:eastAsia="Arial" w:hAnsi="Arial"/>
            <w:sz w:val="18"/>
            <w:szCs w:val="18"/>
            <w:u w:val="single" w:color="auto"/>
            <w:color w:val="0000FF"/>
          </w:rPr>
          <w:t>Form of Long 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Amended and Restated 2010 Stock Incentive Plan. (Filed as Exhibit 10.4 to Itron, Inc.’s Quarterly Report on Form 10-Q, filed on August</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6, 2014)</w:t>
        </w:r>
      </w:hyperlink>
    </w:p>
    <w:p>
      <w:pPr>
        <w:spacing w:after="0" w:line="249" w:lineRule="exact"/>
        <w:rPr>
          <w:rFonts w:ascii="Arial" w:cs="Arial" w:eastAsia="Arial" w:hAnsi="Arial"/>
          <w:sz w:val="18"/>
          <w:szCs w:val="18"/>
          <w:u w:val="single" w:color="auto"/>
          <w:color w:val="0000FF"/>
        </w:rPr>
      </w:pPr>
    </w:p>
    <w:p>
      <w:pPr>
        <w:ind w:left="1420" w:right="16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01">
        <w:r>
          <w:rPr>
            <w:rFonts w:ascii="Arial" w:cs="Arial" w:eastAsia="Arial" w:hAnsi="Arial"/>
            <w:sz w:val="18"/>
            <w:szCs w:val="18"/>
            <w:u w:val="single" w:color="auto"/>
            <w:color w:val="0000FF"/>
          </w:rPr>
          <w:t>Form of Long Term Performance RSU Award Notice and Agreement for International Participants (excluding France) for use in</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connection with Itron, Inc.'s Amended and Restated 2010 Stock Incentive Plan. (Filed as Exhibit 10.19 to Itron, Inc.’s Annual Report on</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Form 10-K, filed on February 25, 2011)</w:t>
        </w:r>
      </w:hyperlink>
    </w:p>
    <w:p>
      <w:pPr>
        <w:spacing w:after="0" w:line="249" w:lineRule="exact"/>
        <w:rPr>
          <w:rFonts w:ascii="Arial" w:cs="Arial" w:eastAsia="Arial" w:hAnsi="Arial"/>
          <w:sz w:val="18"/>
          <w:szCs w:val="18"/>
          <w:u w:val="single" w:color="auto"/>
          <w:color w:val="0000FF"/>
        </w:rPr>
      </w:pPr>
    </w:p>
    <w:p>
      <w:pPr>
        <w:ind w:left="1420" w:right="80" w:hanging="1023"/>
        <w:spacing w:after="0" w:line="26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02">
        <w:r>
          <w:rPr>
            <w:rFonts w:ascii="Arial" w:cs="Arial" w:eastAsia="Arial" w:hAnsi="Arial"/>
            <w:sz w:val="18"/>
            <w:szCs w:val="18"/>
            <w:u w:val="single" w:color="auto"/>
            <w:color w:val="0000FF"/>
          </w:rPr>
          <w:t>Form of Long Term Performance RSU Award Notice and Agreement for Participants in France for use in connection with Itron, Inc.'s</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Amended and Restated 2010 Stock Incentive Plan. (Filed as Exhibit 10.5 to Itron, Inc.’s Quarterly Report on Form 10-Q, filed on August</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6, 2014)</w:t>
        </w:r>
      </w:hyperlink>
    </w:p>
    <w:p>
      <w:pPr>
        <w:spacing w:after="0" w:line="249" w:lineRule="exact"/>
        <w:rPr>
          <w:rFonts w:ascii="Arial" w:cs="Arial" w:eastAsia="Arial" w:hAnsi="Arial"/>
          <w:sz w:val="18"/>
          <w:szCs w:val="18"/>
          <w:u w:val="single" w:color="auto"/>
          <w:color w:val="0000FF"/>
        </w:rPr>
      </w:pPr>
    </w:p>
    <w:p>
      <w:pPr>
        <w:ind w:left="1420" w:right="180" w:hanging="1023"/>
        <w:spacing w:after="0" w:line="342" w:lineRule="auto"/>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103">
        <w:r>
          <w:rPr>
            <w:rFonts w:ascii="Arial" w:cs="Arial" w:eastAsia="Arial" w:hAnsi="Arial"/>
            <w:sz w:val="16"/>
            <w:szCs w:val="16"/>
            <w:u w:val="single" w:color="auto"/>
            <w:color w:val="0000FF"/>
          </w:rPr>
          <w:t>Form of RSU Award Notice and Agreement for all Participants (excluding France) for use in connection with Itron, Inc.'s Amended and</w:t>
        </w:r>
      </w:hyperlink>
      <w:r>
        <w:rPr>
          <w:rFonts w:ascii="Arial" w:cs="Arial" w:eastAsia="Arial" w:hAnsi="Arial"/>
          <w:sz w:val="16"/>
          <w:szCs w:val="16"/>
          <w:u w:val="single" w:color="auto"/>
          <w:color w:val="0000FF"/>
        </w:rPr>
        <w:t xml:space="preserve"> </w:t>
      </w:r>
      <w:hyperlink r:id="rId103">
        <w:r>
          <w:rPr>
            <w:rFonts w:ascii="Arial" w:cs="Arial" w:eastAsia="Arial" w:hAnsi="Arial"/>
            <w:sz w:val="16"/>
            <w:szCs w:val="16"/>
            <w:u w:val="single" w:color="auto"/>
            <w:color w:val="0000FF"/>
          </w:rPr>
          <w:t>Restated 2010 Stock Incentive Plan. (Filed as Exhibit 10.2 to Itron, Inc.’s Quarterly Report on Form 10-Q, filed on August 6, 2014)</w:t>
        </w:r>
      </w:hyperlink>
    </w:p>
    <w:p>
      <w:pPr>
        <w:spacing w:after="0" w:line="191" w:lineRule="exact"/>
        <w:rPr>
          <w:sz w:val="20"/>
          <w:szCs w:val="20"/>
          <w:color w:val="auto"/>
        </w:rPr>
      </w:pPr>
    </w:p>
    <w:p>
      <w:pPr>
        <w:ind w:left="1420" w:right="20" w:hanging="1023"/>
        <w:spacing w:after="0" w:line="30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ab/>
      </w:r>
      <w:hyperlink r:id="rId104">
        <w:r>
          <w:rPr>
            <w:rFonts w:ascii="Arial" w:cs="Arial" w:eastAsia="Arial" w:hAnsi="Arial"/>
            <w:sz w:val="17"/>
            <w:szCs w:val="17"/>
            <w:u w:val="single" w:color="auto"/>
            <w:color w:val="0000FF"/>
          </w:rPr>
          <w:t>Form of RSU Award Notice and Agreement for Participants in France for use in connection with Itron, Inc.'s Amended and Restated 2010</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Stock Incentive Plan. (Filed as Exhibit 10.3 to Itron, Inc.’s Quarterly Report on Form 10-Q, filed on August 6, 2014)</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380"/>
          </w:cols>
          <w:pgMar w:left="240" w:top="125" w:right="27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gridSpan w:val="19"/>
          </w:tcPr>
          <w:p>
            <w:pPr>
              <w:ind w:left="620"/>
              <w:spacing w:after="0"/>
              <w:rPr>
                <w:sz w:val="20"/>
                <w:szCs w:val="20"/>
                <w:color w:val="auto"/>
              </w:rPr>
            </w:pPr>
            <w:r>
              <w:rPr>
                <w:rFonts w:ascii="Arial" w:cs="Arial" w:eastAsia="Arial" w:hAnsi="Arial"/>
                <w:sz w:val="14"/>
                <w:szCs w:val="14"/>
                <w:b w:val="1"/>
                <w:bCs w:val="1"/>
                <w:color w:val="auto"/>
              </w:rPr>
              <w:t>Description of Exhibits</w:t>
            </w:r>
          </w:p>
        </w:tc>
      </w:tr>
      <w:tr>
        <w:trPr>
          <w:trHeight w:val="432"/>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10.21*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760" w:type="dxa"/>
            <w:vAlign w:val="bottom"/>
            <w:tcBorders>
              <w:top w:val="single" w:sz="8" w:color="auto"/>
              <w:bottom w:val="single" w:sz="8" w:color="0000FF"/>
            </w:tcBorders>
            <w:gridSpan w:val="20"/>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Form of RSU Award Notice and Agreement for Non-employee Directors for use in connection with Itron, Inc.'s Amended and Restated</w:t>
              </w:r>
            </w:hyperlink>
          </w:p>
        </w:tc>
        <w:tc>
          <w:tcPr>
            <w:tcW w:w="240" w:type="dxa"/>
            <w:vAlign w:val="bottom"/>
            <w:tcBorders>
              <w:top w:val="single" w:sz="8" w:color="auto"/>
            </w:tcBorders>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2010 Stock Incentive Plan. (Filed as Exhibit 10.3 to Itron, Inc.’s Quarterly Report on Form 10-Q, filed on May 3, 2013)</w:t>
              </w:r>
            </w:hyperlink>
          </w:p>
        </w:tc>
        <w:tc>
          <w:tcPr>
            <w:tcW w:w="1380" w:type="dxa"/>
            <w:vAlign w:val="bottom"/>
            <w:gridSpan w:val="13"/>
          </w:tcPr>
          <w:p>
            <w:pPr>
              <w:spacing w:after="0"/>
              <w:rPr>
                <w:sz w:val="17"/>
                <w:szCs w:val="17"/>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w w:val="95"/>
              </w:rPr>
            </w:pPr>
            <w:hyperlink r:id="rId106">
              <w:r>
                <w:rPr>
                  <w:rFonts w:ascii="Arial" w:cs="Arial" w:eastAsia="Arial" w:hAnsi="Arial"/>
                  <w:sz w:val="18"/>
                  <w:szCs w:val="18"/>
                  <w:color w:val="0000FF"/>
                  <w:w w:val="95"/>
                </w:rPr>
                <w:t>Form of Stock Option Grant Notice and Agreement for use in connection with both incentive and non-qualified stock options granted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under Itron, Inc.'s Amended and Restated 2010 Stock Incentive Plan. (Filed as Exhibit 10.1 to Itron, Inc's Quarterly Report on Form 10-Q,</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filed on August 6, 2014)</w:t>
              </w:r>
            </w:hyperlink>
          </w:p>
        </w:tc>
        <w:tc>
          <w:tcPr>
            <w:tcW w:w="8240" w:type="dxa"/>
            <w:vAlign w:val="bottom"/>
            <w:gridSpan w:val="25"/>
          </w:tcPr>
          <w:p>
            <w:pPr>
              <w:spacing w:after="0"/>
              <w:rPr>
                <w:sz w:val="17"/>
                <w:szCs w:val="17"/>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tcBorders>
              <w:bottom w:val="single" w:sz="8" w:color="0000FF"/>
            </w:tcBorders>
            <w:gridSpan w:val="27"/>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Amendment to the Executive Deferred Compensation Plan. (Filed as Exhibit 10.1 to Itron, Inc.’s Quarterly Report on Form 10-Q, filed on</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November 3, 2016)</w:t>
              </w:r>
            </w:hyperlink>
          </w:p>
        </w:tc>
        <w:tc>
          <w:tcPr>
            <w:tcW w:w="8600" w:type="dxa"/>
            <w:vAlign w:val="bottom"/>
            <w:gridSpan w:val="27"/>
          </w:tcPr>
          <w:p>
            <w:pPr>
              <w:spacing w:after="0"/>
              <w:rPr>
                <w:sz w:val="17"/>
                <w:szCs w:val="17"/>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w w:val="93"/>
              </w:rPr>
            </w:pPr>
            <w:hyperlink r:id="rId108">
              <w:r>
                <w:rPr>
                  <w:rFonts w:ascii="Arial" w:cs="Arial" w:eastAsia="Arial" w:hAnsi="Arial"/>
                  <w:sz w:val="18"/>
                  <w:szCs w:val="18"/>
                  <w:color w:val="0000FF"/>
                  <w:w w:val="93"/>
                </w:rPr>
                <w:t>Amended and Restated 2002 Employee Stock Purchase Plan. (Filed as Exhibit 10.20 to Itron, Inc.’s Annual Report on Form 10-K, filed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on February 26, 2009)</w:t>
              </w:r>
            </w:hyperlink>
          </w:p>
        </w:tc>
        <w:tc>
          <w:tcPr>
            <w:tcW w:w="240" w:type="dxa"/>
            <w:vAlign w:val="bottom"/>
            <w:gridSpan w:val="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w w:val="96"/>
              </w:rPr>
            </w:pPr>
            <w:hyperlink r:id="rId109">
              <w:r>
                <w:rPr>
                  <w:rFonts w:ascii="Arial" w:cs="Arial" w:eastAsia="Arial" w:hAnsi="Arial"/>
                  <w:sz w:val="18"/>
                  <w:szCs w:val="18"/>
                  <w:color w:val="0000FF"/>
                  <w:w w:val="96"/>
                </w:rPr>
                <w:t>Offer Letter, dated as of November 16, 2012, between Itron, Inc. and Philip C. Mezey. (Filed as Exhibit 10.1 to Itron, Inc.’s Current</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Report on Form 8-K, filed on November 19, 2012)</w:t>
              </w:r>
            </w:hyperlink>
          </w:p>
        </w:tc>
        <w:tc>
          <w:tcPr>
            <w:tcW w:w="5800" w:type="dxa"/>
            <w:vAlign w:val="bottom"/>
            <w:tcBorders>
              <w:top w:val="single" w:sz="8" w:color="0000FF"/>
            </w:tcBorders>
            <w:gridSpan w:val="8"/>
          </w:tcPr>
          <w:p>
            <w:pPr>
              <w:spacing w:after="0"/>
              <w:rPr>
                <w:sz w:val="17"/>
                <w:szCs w:val="17"/>
                <w:color w:val="auto"/>
              </w:rPr>
            </w:pPr>
          </w:p>
        </w:tc>
        <w:tc>
          <w:tcPr>
            <w:tcW w:w="540" w:type="dxa"/>
            <w:vAlign w:val="bottom"/>
            <w:gridSpan w:val="11"/>
          </w:tcPr>
          <w:p>
            <w:pPr>
              <w:spacing w:after="0"/>
              <w:rPr>
                <w:sz w:val="17"/>
                <w:szCs w:val="17"/>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FF"/>
            </w:tcBorders>
            <w:gridSpan w:val="22"/>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Cooperation Agreement by and among Itron, Inc., Coppersmith Capital Management LLC, Scopia Management, Inc. and certain of their</w:t>
              </w:r>
            </w:hyperlink>
          </w:p>
        </w:tc>
        <w:tc>
          <w:tcPr>
            <w:tcW w:w="14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specified affiliates, Jerome J. Lande and Peter Mainz, dated as of December 9, 2015. (Filed as Exhibit 10.1 to Itron, Inc.'s Current Report</w:t>
              </w:r>
            </w:hyperlink>
          </w:p>
        </w:tc>
        <w:tc>
          <w:tcPr>
            <w:tcW w:w="12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on Form 8-K, filed on December 11, 2015)</w:t>
              </w:r>
            </w:hyperlink>
          </w:p>
        </w:tc>
        <w:tc>
          <w:tcPr>
            <w:tcW w:w="6900" w:type="dxa"/>
            <w:vAlign w:val="bottom"/>
            <w:gridSpan w:val="21"/>
          </w:tcPr>
          <w:p>
            <w:pPr>
              <w:spacing w:after="0"/>
              <w:rPr>
                <w:sz w:val="17"/>
                <w:szCs w:val="17"/>
                <w:color w:val="auto"/>
              </w:rPr>
            </w:pPr>
          </w:p>
        </w:tc>
      </w:tr>
      <w:tr>
        <w:trPr>
          <w:trHeight w:val="696"/>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FF"/>
            </w:tcBorders>
            <w:gridSpan w:val="22"/>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Amendment to Cooperation Agreement by and among Itron, Inc., Coppersmith Capital Management LLC, Scopia Management, Inc. and</w:t>
              </w:r>
            </w:hyperlink>
          </w:p>
        </w:tc>
        <w:tc>
          <w:tcPr>
            <w:tcW w:w="14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certain of their specified affiliates, Jerome J. Lande and Peter Mainz. (Filed as Exhibit 10.2 to Itron, Inc.’s Quarterly Report on Form 10-</w:t>
              </w:r>
            </w:hyperlink>
          </w:p>
        </w:tc>
        <w:tc>
          <w:tcPr>
            <w:tcW w:w="16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Q, filed on November 3, 2016)</w:t>
              </w:r>
            </w:hyperlink>
          </w:p>
        </w:tc>
        <w:tc>
          <w:tcPr>
            <w:tcW w:w="7780" w:type="dxa"/>
            <w:vAlign w:val="bottom"/>
            <w:gridSpan w:val="22"/>
          </w:tcPr>
          <w:p>
            <w:pPr>
              <w:spacing w:after="0"/>
              <w:rPr>
                <w:sz w:val="17"/>
                <w:szCs w:val="17"/>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26"/>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First Amendment to Cooperation Agreement, dated November 1, 2017, by and among Itron, Inc., Scopia Management, Inc. and certain of</w:t>
              </w:r>
            </w:hyperlink>
          </w:p>
        </w:tc>
        <w:tc>
          <w:tcPr>
            <w:tcW w:w="6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their specified affiliates, Jerome J. Lande and certain other individuals. (Filed as Exhibit 10.1 to Itron, Inc.'s Current Report on Form 8-K,</w:t>
              </w:r>
            </w:hyperlink>
          </w:p>
        </w:tc>
        <w:tc>
          <w:tcPr>
            <w:tcW w:w="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filed on November 2, 2017)</w:t>
              </w:r>
            </w:hyperlink>
          </w:p>
        </w:tc>
        <w:tc>
          <w:tcPr>
            <w:tcW w:w="8000" w:type="dxa"/>
            <w:vAlign w:val="bottom"/>
            <w:gridSpan w:val="23"/>
          </w:tcPr>
          <w:p>
            <w:pPr>
              <w:spacing w:after="0"/>
              <w:rPr>
                <w:sz w:val="17"/>
                <w:szCs w:val="17"/>
                <w:color w:val="auto"/>
              </w:rPr>
            </w:pPr>
          </w:p>
        </w:tc>
      </w:tr>
      <w:tr>
        <w:trPr>
          <w:trHeight w:val="69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w w:val="95"/>
              </w:rPr>
            </w:pPr>
            <w:hyperlink r:id="rId113">
              <w:r>
                <w:rPr>
                  <w:rFonts w:ascii="Arial" w:cs="Arial" w:eastAsia="Arial" w:hAnsi="Arial"/>
                  <w:sz w:val="18"/>
                  <w:szCs w:val="18"/>
                  <w:color w:val="0000FF"/>
                  <w:w w:val="95"/>
                </w:rPr>
                <w:t>Form of Stock Option Grant Notice and Agreement for use in connection with both incentive and non-qualified stock options granted</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under Itron, Inc.'s Amended and Restated 2010 Stock Incentive Plan. (Filed as Exhibit 10.1 to Itron, Inc.'s Quarterly Report on Form 10-</w:t>
              </w:r>
            </w:hyperlink>
          </w:p>
        </w:tc>
        <w:tc>
          <w:tcPr>
            <w:tcW w:w="16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Q, filed on May 4, 2017)</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69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00" w:type="dxa"/>
            <w:vAlign w:val="bottom"/>
            <w:tcBorders>
              <w:bottom w:val="single" w:sz="8" w:color="0000FF"/>
            </w:tcBorders>
            <w:gridSpan w:val="17"/>
          </w:tcPr>
          <w:p>
            <w:pPr>
              <w:spacing w:after="0"/>
              <w:rPr>
                <w:rFonts w:ascii="Arial" w:cs="Arial" w:eastAsia="Arial" w:hAnsi="Arial"/>
                <w:sz w:val="18"/>
                <w:szCs w:val="18"/>
                <w:color w:val="0000FF"/>
                <w:w w:val="91"/>
              </w:rPr>
            </w:pPr>
            <w:hyperlink r:id="rId114">
              <w:r>
                <w:rPr>
                  <w:rFonts w:ascii="Arial" w:cs="Arial" w:eastAsia="Arial" w:hAnsi="Arial"/>
                  <w:sz w:val="18"/>
                  <w:szCs w:val="18"/>
                  <w:color w:val="0000FF"/>
                  <w:w w:val="91"/>
                </w:rPr>
                <w:t>Form of Long-Term Performance RSU Award Notice and Agreement for U.S. Participants for use in connection with Itron, Inc.'s</w:t>
              </w:r>
            </w:hyperlink>
          </w:p>
        </w:tc>
        <w:tc>
          <w:tcPr>
            <w:tcW w:w="70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Amended and Restated 2010 Stock Incentive Plan. (Filed as Exhibit 10.2 to Itron, Inc.'s Quarterly Report on Form 10-Q, filed on May 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40"/>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2017)</w:t>
              </w:r>
            </w:hyperlink>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Form of RSU Award Notice and Agreement for all Participants for use in connection with Itron, Inc.'s Amended and Restated 2010 Stock</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Incentive Plan. (Filed as Exhibit 10.3 to Itron, Inc.'s Quarterly Report on Form 10-Q, filed on May 4, 2017)</w:t>
              </w:r>
            </w:hyperlink>
          </w:p>
        </w:tc>
        <w:tc>
          <w:tcPr>
            <w:tcW w:w="2160" w:type="dxa"/>
            <w:vAlign w:val="bottom"/>
            <w:tcBorders>
              <w:top w:val="single" w:sz="8" w:color="0000FF"/>
            </w:tcBorders>
            <w:gridSpan w:val="9"/>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Computation of Ratio of Earnings to Fixed Charges. (filed with this report)</w:t>
              </w:r>
            </w:hyperlink>
          </w:p>
        </w:tc>
        <w:tc>
          <w:tcPr>
            <w:tcW w:w="4600" w:type="dxa"/>
            <w:vAlign w:val="bottom"/>
            <w:gridSpan w:val="18"/>
          </w:tcPr>
          <w:p>
            <w:pPr>
              <w:spacing w:after="0"/>
              <w:rPr>
                <w:sz w:val="24"/>
                <w:szCs w:val="24"/>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Subsidiaries of Itron, Inc. (filed with this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gridSpan w:val="9"/>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Consent of Deloitte &amp; Touche LLP Independent Registered Public Accounting Firm. (filed with this report)</w:t>
              </w:r>
            </w:hyperlink>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Consent of Ernst &amp; Young LLP, Independent Registered Public Accounting Firm. (filed with this report)</w:t>
              </w:r>
            </w:hyperlink>
          </w:p>
        </w:tc>
        <w:tc>
          <w:tcPr>
            <w:tcW w:w="220" w:type="dxa"/>
            <w:vAlign w:val="bottom"/>
            <w:tcBorders>
              <w:top w:val="single" w:sz="8" w:color="0000FF"/>
            </w:tcBorders>
          </w:tcPr>
          <w:p>
            <w:pPr>
              <w:spacing w:after="0"/>
              <w:rPr>
                <w:sz w:val="24"/>
                <w:szCs w:val="24"/>
                <w:color w:val="auto"/>
              </w:rPr>
            </w:pPr>
          </w:p>
        </w:tc>
        <w:tc>
          <w:tcPr>
            <w:tcW w:w="2260" w:type="dxa"/>
            <w:vAlign w:val="bottom"/>
            <w:gridSpan w:val="14"/>
          </w:tcPr>
          <w:p>
            <w:pPr>
              <w:spacing w:after="0"/>
              <w:rPr>
                <w:sz w:val="24"/>
                <w:szCs w:val="24"/>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Certification Pursuant to Section 302 of the Sarbanes-Oxley Act of 2002. (filed with this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gridSpan w:val="1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gridSpan w:val="16"/>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9"/>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Certification Pursuant to Section 302 of the Sarbanes-Oxley Act of 2002. (filed with this report)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gridSpan w:val="1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gridSpan w:val="16"/>
          </w:tcPr>
          <w:p>
            <w:pPr>
              <w:spacing w:after="0" w:line="20" w:lineRule="exact"/>
              <w:rPr>
                <w:sz w:val="1"/>
                <w:szCs w:val="1"/>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6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15">
              <w:r>
                <w:rPr>
                  <w:rFonts w:ascii="Arial" w:cs="Arial" w:eastAsia="Arial" w:hAnsi="Arial"/>
                  <w:sz w:val="18"/>
                  <w:szCs w:val="18"/>
                  <w:color w:val="0000FF"/>
                  <w:w w:val="91"/>
                </w:rPr>
                <w:t>Certification Pursuant to Section 906 of the Sarbanes-Oxley Act of 2002. (furnished with this report)</w:t>
              </w:r>
            </w:hyperlink>
          </w:p>
        </w:tc>
        <w:tc>
          <w:tcPr>
            <w:tcW w:w="2740" w:type="dxa"/>
            <w:vAlign w:val="bottom"/>
            <w:gridSpan w:val="16"/>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0140" w:type="dxa"/>
            <w:vAlign w:val="bottom"/>
            <w:tcBorders>
              <w:bottom w:val="single" w:sz="8" w:color="auto"/>
            </w:tcBorders>
          </w:tcPr>
          <w:p>
            <w:pPr>
              <w:ind w:left="4420"/>
              <w:spacing w:after="0"/>
              <w:rPr>
                <w:sz w:val="20"/>
                <w:szCs w:val="20"/>
                <w:color w:val="auto"/>
              </w:rPr>
            </w:pPr>
            <w:r>
              <w:rPr>
                <w:rFonts w:ascii="Arial" w:cs="Arial" w:eastAsia="Arial" w:hAnsi="Arial"/>
                <w:sz w:val="14"/>
                <w:szCs w:val="14"/>
                <w:b w:val="1"/>
                <w:bCs w:val="1"/>
                <w:color w:val="auto"/>
              </w:rPr>
              <w:t>Description of Exhibits</w:t>
            </w:r>
          </w:p>
        </w:tc>
      </w:tr>
      <w:tr>
        <w:trPr>
          <w:trHeight w:val="243"/>
        </w:trPr>
        <w:tc>
          <w:tcPr>
            <w:tcW w:w="12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140" w:type="dxa"/>
            <w:vAlign w:val="bottom"/>
          </w:tcPr>
          <w:p>
            <w:pPr>
              <w:ind w:left="140"/>
              <w:spacing w:after="0"/>
              <w:rPr>
                <w:sz w:val="20"/>
                <w:szCs w:val="20"/>
                <w:color w:val="auto"/>
              </w:rPr>
            </w:pPr>
            <w:r>
              <w:rPr>
                <w:rFonts w:ascii="Arial" w:cs="Arial" w:eastAsia="Arial" w:hAnsi="Arial"/>
                <w:sz w:val="18"/>
                <w:szCs w:val="18"/>
                <w:color w:val="auto"/>
              </w:rPr>
              <w:t>XBRL Instance Document. (submitted electronically with this report in accordance with the provisions of Regulation S-T)</w:t>
            </w:r>
          </w:p>
        </w:tc>
      </w:tr>
      <w:tr>
        <w:trPr>
          <w:trHeight w:val="500"/>
        </w:trPr>
        <w:tc>
          <w:tcPr>
            <w:tcW w:w="12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140" w:type="dxa"/>
            <w:vAlign w:val="bottom"/>
          </w:tcPr>
          <w:p>
            <w:pPr>
              <w:ind w:left="140"/>
              <w:spacing w:after="0"/>
              <w:rPr>
                <w:sz w:val="20"/>
                <w:szCs w:val="20"/>
                <w:color w:val="auto"/>
              </w:rPr>
            </w:pPr>
            <w:r>
              <w:rPr>
                <w:rFonts w:ascii="Arial" w:cs="Arial" w:eastAsia="Arial" w:hAnsi="Arial"/>
                <w:sz w:val="18"/>
                <w:szCs w:val="18"/>
                <w:color w:val="auto"/>
                <w:w w:val="96"/>
              </w:rPr>
              <w:t>XBRL Taxonomy Extension Schema. (submitted electronically with this report in accordance with the provisions of Regulation S-T)</w:t>
            </w:r>
          </w:p>
        </w:tc>
      </w:tr>
      <w:tr>
        <w:trPr>
          <w:trHeight w:val="485"/>
        </w:trPr>
        <w:tc>
          <w:tcPr>
            <w:tcW w:w="12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140" w:type="dxa"/>
            <w:vAlign w:val="bottom"/>
          </w:tcPr>
          <w:p>
            <w:pPr>
              <w:ind w:left="140"/>
              <w:spacing w:after="0"/>
              <w:rPr>
                <w:sz w:val="20"/>
                <w:szCs w:val="20"/>
                <w:color w:val="auto"/>
              </w:rPr>
            </w:pPr>
            <w:r>
              <w:rPr>
                <w:rFonts w:ascii="Arial" w:cs="Arial" w:eastAsia="Arial" w:hAnsi="Arial"/>
                <w:sz w:val="18"/>
                <w:szCs w:val="18"/>
                <w:color w:val="auto"/>
                <w:w w:val="99"/>
              </w:rPr>
              <w:t>XBRL Taxonomy Extension Calculation Linkbase. (submitted electronically with this report in accordance with the provisions of</w:t>
            </w:r>
          </w:p>
        </w:tc>
      </w:tr>
      <w:tr>
        <w:trPr>
          <w:trHeight w:val="230"/>
        </w:trPr>
        <w:tc>
          <w:tcPr>
            <w:tcW w:w="1280" w:type="dxa"/>
            <w:vAlign w:val="bottom"/>
          </w:tcPr>
          <w:p>
            <w:pPr>
              <w:spacing w:after="0"/>
              <w:rPr>
                <w:sz w:val="20"/>
                <w:szCs w:val="20"/>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Regulation S-T)</w:t>
            </w:r>
          </w:p>
        </w:tc>
      </w:tr>
      <w:tr>
        <w:trPr>
          <w:trHeight w:val="485"/>
        </w:trPr>
        <w:tc>
          <w:tcPr>
            <w:tcW w:w="12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14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(submitted electronically with this report in accordance with the provisions of</w:t>
            </w:r>
          </w:p>
        </w:tc>
      </w:tr>
      <w:tr>
        <w:trPr>
          <w:trHeight w:val="230"/>
        </w:trPr>
        <w:tc>
          <w:tcPr>
            <w:tcW w:w="1280" w:type="dxa"/>
            <w:vAlign w:val="bottom"/>
          </w:tcPr>
          <w:p>
            <w:pPr>
              <w:spacing w:after="0"/>
              <w:rPr>
                <w:sz w:val="20"/>
                <w:szCs w:val="20"/>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Regulation S-T)</w:t>
            </w:r>
          </w:p>
        </w:tc>
      </w:tr>
      <w:tr>
        <w:trPr>
          <w:trHeight w:val="485"/>
        </w:trPr>
        <w:tc>
          <w:tcPr>
            <w:tcW w:w="12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140" w:type="dxa"/>
            <w:vAlign w:val="bottom"/>
          </w:tcPr>
          <w:p>
            <w:pPr>
              <w:ind w:left="140"/>
              <w:spacing w:after="0"/>
              <w:rPr>
                <w:sz w:val="20"/>
                <w:szCs w:val="20"/>
                <w:color w:val="auto"/>
              </w:rPr>
            </w:pPr>
            <w:r>
              <w:rPr>
                <w:rFonts w:ascii="Arial" w:cs="Arial" w:eastAsia="Arial" w:hAnsi="Arial"/>
                <w:sz w:val="18"/>
                <w:szCs w:val="18"/>
                <w:color w:val="auto"/>
                <w:w w:val="92"/>
              </w:rPr>
              <w:t>XBRL Taxonomy Extension Label Linkbase. (submitted electronically with this report in accordance with the provisions of Regulation S-</w:t>
            </w:r>
          </w:p>
        </w:tc>
      </w:tr>
      <w:tr>
        <w:trPr>
          <w:trHeight w:val="230"/>
        </w:trPr>
        <w:tc>
          <w:tcPr>
            <w:tcW w:w="1280" w:type="dxa"/>
            <w:vAlign w:val="bottom"/>
          </w:tcPr>
          <w:p>
            <w:pPr>
              <w:spacing w:after="0"/>
              <w:rPr>
                <w:sz w:val="20"/>
                <w:szCs w:val="20"/>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T)</w:t>
            </w:r>
          </w:p>
        </w:tc>
      </w:tr>
      <w:tr>
        <w:trPr>
          <w:trHeight w:val="485"/>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140" w:type="dxa"/>
            <w:vAlign w:val="bottom"/>
          </w:tcPr>
          <w:p>
            <w:pPr>
              <w:ind w:left="140"/>
              <w:spacing w:after="0"/>
              <w:rPr>
                <w:sz w:val="20"/>
                <w:szCs w:val="20"/>
                <w:color w:val="auto"/>
              </w:rPr>
            </w:pPr>
            <w:r>
              <w:rPr>
                <w:rFonts w:ascii="Arial" w:cs="Arial" w:eastAsia="Arial" w:hAnsi="Arial"/>
                <w:sz w:val="18"/>
                <w:szCs w:val="18"/>
                <w:color w:val="auto"/>
                <w:w w:val="97"/>
              </w:rPr>
              <w:t>XBRL Taxonomy Extension Presentation Linkbase. (submitted electronically with this report in accordance with the provisions of</w:t>
            </w:r>
          </w:p>
        </w:tc>
      </w:tr>
      <w:tr>
        <w:trPr>
          <w:trHeight w:val="230"/>
        </w:trPr>
        <w:tc>
          <w:tcPr>
            <w:tcW w:w="1280" w:type="dxa"/>
            <w:vAlign w:val="bottom"/>
          </w:tcPr>
          <w:p>
            <w:pPr>
              <w:spacing w:after="0"/>
              <w:rPr>
                <w:sz w:val="20"/>
                <w:szCs w:val="20"/>
                <w:color w:val="auto"/>
              </w:rPr>
            </w:pPr>
          </w:p>
        </w:tc>
        <w:tc>
          <w:tcPr>
            <w:tcW w:w="10140" w:type="dxa"/>
            <w:vAlign w:val="bottom"/>
          </w:tcPr>
          <w:p>
            <w:pPr>
              <w:ind w:left="140"/>
              <w:spacing w:after="0"/>
              <w:rPr>
                <w:sz w:val="20"/>
                <w:szCs w:val="20"/>
                <w:color w:val="auto"/>
              </w:rPr>
            </w:pPr>
            <w:r>
              <w:rPr>
                <w:rFonts w:ascii="Arial" w:cs="Arial" w:eastAsia="Arial" w:hAnsi="Arial"/>
                <w:sz w:val="18"/>
                <w:szCs w:val="18"/>
                <w:color w:val="auto"/>
              </w:rPr>
              <w:t>Regulation S-T)</w:t>
            </w:r>
          </w:p>
        </w:tc>
      </w:tr>
    </w:tbl>
    <w:p>
      <w:pPr>
        <w:spacing w:after="0" w:line="269" w:lineRule="exact"/>
        <w:rPr>
          <w:sz w:val="20"/>
          <w:szCs w:val="20"/>
          <w:color w:val="auto"/>
        </w:rPr>
      </w:pPr>
    </w:p>
    <w:p>
      <w:pPr>
        <w:ind w:left="5580" w:right="5580" w:hanging="4989"/>
        <w:spacing w:after="0" w:line="648" w:lineRule="auto"/>
        <w:tabs>
          <w:tab w:leader="none" w:pos="1414"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28th day of February, 2018.</w:t>
      </w:r>
    </w:p>
    <w:p>
      <w:pPr>
        <w:spacing w:after="0" w:line="9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ITRON, INC.</w:t>
      </w:r>
    </w:p>
    <w:p>
      <w:pPr>
        <w:spacing w:after="0" w:line="385" w:lineRule="exact"/>
        <w:rPr>
          <w:sz w:val="20"/>
          <w:szCs w:val="20"/>
          <w:color w:val="auto"/>
        </w:rPr>
      </w:pPr>
    </w:p>
    <w:p>
      <w:pPr>
        <w:ind w:left="394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27305</wp:posOffset>
            </wp:positionV>
            <wp:extent cx="45624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46"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Joan S. Hooper</w:t>
      </w:r>
    </w:p>
    <w:p>
      <w:pPr>
        <w:spacing w:after="0" w:line="6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28th day of February, 2018.</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tcPr>
          <w:p>
            <w:pPr>
              <w:jc w:val="center"/>
              <w:ind w:right="1387"/>
              <w:spacing w:after="0"/>
              <w:rPr>
                <w:sz w:val="20"/>
                <w:szCs w:val="20"/>
                <w:color w:val="auto"/>
              </w:rPr>
            </w:pPr>
            <w:r>
              <w:rPr>
                <w:rFonts w:ascii="Arial" w:cs="Arial" w:eastAsia="Arial" w:hAnsi="Arial"/>
                <w:sz w:val="16"/>
                <w:szCs w:val="16"/>
                <w:b w:val="1"/>
                <w:bCs w:val="1"/>
                <w:color w:val="auto"/>
                <w:w w:val="89"/>
              </w:rPr>
              <w:t>Signatures</w:t>
            </w:r>
          </w:p>
        </w:tc>
      </w:tr>
      <w:tr>
        <w:trPr>
          <w:trHeight w:val="33"/>
        </w:trPr>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528"/>
        </w:trPr>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2520" w:type="dxa"/>
            <w:vAlign w:val="bottom"/>
            <w:tcBorders>
              <w:bottom w:val="single" w:sz="8" w:color="auto"/>
            </w:tcBorders>
          </w:tcPr>
          <w:p>
            <w:pPr>
              <w:jc w:val="center"/>
              <w:ind w:right="1107"/>
              <w:spacing w:after="0"/>
              <w:rPr>
                <w:sz w:val="20"/>
                <w:szCs w:val="20"/>
                <w:color w:val="auto"/>
              </w:rPr>
            </w:pPr>
            <w:r>
              <w:rPr>
                <w:rFonts w:ascii="Arial" w:cs="Arial" w:eastAsia="Arial" w:hAnsi="Arial"/>
                <w:sz w:val="14"/>
                <w:szCs w:val="14"/>
                <w:color w:val="auto"/>
                <w:w w:val="99"/>
              </w:rPr>
              <w:t>PHILIP C. MEZEY</w:t>
            </w:r>
          </w:p>
        </w:tc>
      </w:tr>
      <w:tr>
        <w:trPr>
          <w:trHeight w:val="244"/>
        </w:trPr>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tcPr>
          <w:p>
            <w:pPr>
              <w:jc w:val="center"/>
              <w:ind w:right="1387"/>
              <w:spacing w:after="0"/>
              <w:rPr>
                <w:sz w:val="20"/>
                <w:szCs w:val="20"/>
                <w:color w:val="auto"/>
              </w:rPr>
            </w:pPr>
            <w:r>
              <w:rPr>
                <w:rFonts w:ascii="Arial" w:cs="Arial" w:eastAsia="Arial" w:hAnsi="Arial"/>
                <w:sz w:val="14"/>
                <w:szCs w:val="14"/>
                <w:b w:val="1"/>
                <w:bCs w:val="1"/>
                <w:color w:val="auto"/>
                <w:w w:val="96"/>
              </w:rPr>
              <w:t>Philip C. Mezey</w:t>
            </w:r>
          </w:p>
        </w:tc>
      </w:tr>
      <w:tr>
        <w:trPr>
          <w:trHeight w:val="465"/>
        </w:trPr>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2520" w:type="dxa"/>
            <w:vAlign w:val="bottom"/>
            <w:tcBorders>
              <w:bottom w:val="single" w:sz="8" w:color="auto"/>
            </w:tcBorders>
          </w:tcPr>
          <w:p>
            <w:pPr>
              <w:jc w:val="center"/>
              <w:ind w:right="1107"/>
              <w:spacing w:after="0"/>
              <w:rPr>
                <w:sz w:val="20"/>
                <w:szCs w:val="20"/>
                <w:color w:val="auto"/>
              </w:rPr>
            </w:pPr>
            <w:r>
              <w:rPr>
                <w:rFonts w:ascii="Arial" w:cs="Arial" w:eastAsia="Arial" w:hAnsi="Arial"/>
                <w:sz w:val="14"/>
                <w:szCs w:val="14"/>
                <w:color w:val="auto"/>
                <w:w w:val="95"/>
              </w:rPr>
              <w:t>JOAN S. HOOPER</w:t>
            </w:r>
          </w:p>
        </w:tc>
      </w:tr>
      <w:tr>
        <w:trPr>
          <w:trHeight w:val="231"/>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tcPr>
          <w:p>
            <w:pPr>
              <w:jc w:val="center"/>
              <w:ind w:right="1387"/>
              <w:spacing w:after="0"/>
              <w:rPr>
                <w:sz w:val="20"/>
                <w:szCs w:val="20"/>
                <w:color w:val="auto"/>
              </w:rPr>
            </w:pPr>
            <w:r>
              <w:rPr>
                <w:rFonts w:ascii="Arial" w:cs="Arial" w:eastAsia="Arial" w:hAnsi="Arial"/>
                <w:sz w:val="14"/>
                <w:szCs w:val="14"/>
                <w:b w:val="1"/>
                <w:bCs w:val="1"/>
                <w:color w:val="auto"/>
                <w:w w:val="91"/>
              </w:rPr>
              <w:t>Joan S. Hooper</w:t>
            </w:r>
          </w:p>
        </w:tc>
      </w:tr>
      <w:tr>
        <w:trPr>
          <w:trHeight w:val="479"/>
        </w:trPr>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2520" w:type="dxa"/>
            <w:vAlign w:val="bottom"/>
            <w:tcBorders>
              <w:bottom w:val="single" w:sz="8" w:color="auto"/>
            </w:tcBorders>
          </w:tcPr>
          <w:p>
            <w:pPr>
              <w:jc w:val="center"/>
              <w:ind w:right="1127"/>
              <w:spacing w:after="0"/>
              <w:rPr>
                <w:sz w:val="20"/>
                <w:szCs w:val="20"/>
                <w:color w:val="auto"/>
              </w:rPr>
            </w:pPr>
            <w:r>
              <w:rPr>
                <w:rFonts w:ascii="Arial" w:cs="Arial" w:eastAsia="Arial" w:hAnsi="Arial"/>
                <w:sz w:val="14"/>
                <w:szCs w:val="14"/>
                <w:color w:val="auto"/>
              </w:rPr>
              <w:t>KIRBY A. DYESS</w:t>
            </w:r>
          </w:p>
        </w:tc>
      </w:tr>
      <w:tr>
        <w:trPr>
          <w:trHeight w:val="231"/>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tcPr>
          <w:p>
            <w:pPr>
              <w:jc w:val="center"/>
              <w:ind w:right="1387"/>
              <w:spacing w:after="0"/>
              <w:rPr>
                <w:sz w:val="20"/>
                <w:szCs w:val="20"/>
                <w:color w:val="auto"/>
              </w:rPr>
            </w:pPr>
            <w:r>
              <w:rPr>
                <w:rFonts w:ascii="Arial" w:cs="Arial" w:eastAsia="Arial" w:hAnsi="Arial"/>
                <w:sz w:val="14"/>
                <w:szCs w:val="14"/>
                <w:b w:val="1"/>
                <w:bCs w:val="1"/>
                <w:color w:val="auto"/>
                <w:w w:val="95"/>
              </w:rPr>
              <w:t>Kirby A. Dyess</w:t>
            </w:r>
          </w:p>
        </w:tc>
      </w:tr>
      <w:tr>
        <w:trPr>
          <w:trHeight w:val="479"/>
        </w:trPr>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/s/</w:t>
            </w:r>
          </w:p>
        </w:tc>
        <w:tc>
          <w:tcPr>
            <w:tcW w:w="2720" w:type="dxa"/>
            <w:vAlign w:val="bottom"/>
            <w:tcBorders>
              <w:bottom w:val="single" w:sz="8" w:color="auto"/>
            </w:tcBorders>
            <w:gridSpan w:val="2"/>
          </w:tcPr>
          <w:p>
            <w:pPr>
              <w:jc w:val="center"/>
              <w:ind w:right="907"/>
              <w:spacing w:after="0"/>
              <w:rPr>
                <w:sz w:val="20"/>
                <w:szCs w:val="20"/>
                <w:color w:val="auto"/>
              </w:rPr>
            </w:pPr>
            <w:r>
              <w:rPr>
                <w:rFonts w:ascii="Arial" w:cs="Arial" w:eastAsia="Arial" w:hAnsi="Arial"/>
                <w:sz w:val="14"/>
                <w:szCs w:val="14"/>
                <w:color w:val="auto"/>
              </w:rPr>
              <w:t>THOMAS S. GLANVILLE</w:t>
            </w:r>
          </w:p>
        </w:tc>
      </w:tr>
      <w:tr>
        <w:trPr>
          <w:trHeight w:val="231"/>
        </w:trPr>
        <w:tc>
          <w:tcPr>
            <w:tcW w:w="1280" w:type="dxa"/>
            <w:vAlign w:val="bottom"/>
          </w:tcPr>
          <w:p>
            <w:pPr>
              <w:spacing w:after="0"/>
              <w:rPr>
                <w:sz w:val="20"/>
                <w:szCs w:val="20"/>
                <w:color w:val="auto"/>
              </w:rPr>
            </w:pPr>
          </w:p>
        </w:tc>
        <w:tc>
          <w:tcPr>
            <w:tcW w:w="2720" w:type="dxa"/>
            <w:vAlign w:val="bottom"/>
            <w:gridSpan w:val="2"/>
          </w:tcPr>
          <w:p>
            <w:pPr>
              <w:jc w:val="center"/>
              <w:ind w:right="1207"/>
              <w:spacing w:after="0"/>
              <w:rPr>
                <w:sz w:val="20"/>
                <w:szCs w:val="20"/>
                <w:color w:val="auto"/>
              </w:rPr>
            </w:pPr>
            <w:r>
              <w:rPr>
                <w:rFonts w:ascii="Arial" w:cs="Arial" w:eastAsia="Arial" w:hAnsi="Arial"/>
                <w:sz w:val="14"/>
                <w:szCs w:val="14"/>
                <w:b w:val="1"/>
                <w:bCs w:val="1"/>
                <w:color w:val="auto"/>
                <w:w w:val="93"/>
              </w:rPr>
              <w:t>Thomas S. Glanville</w:t>
            </w:r>
          </w:p>
        </w:tc>
      </w:tr>
      <w:tr>
        <w:trPr>
          <w:trHeight w:val="479"/>
        </w:trPr>
        <w:tc>
          <w:tcPr>
            <w:tcW w:w="128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w w:val="80"/>
              </w:rPr>
              <w:t>/s/</w:t>
            </w:r>
          </w:p>
        </w:tc>
        <w:tc>
          <w:tcPr>
            <w:tcW w:w="2720" w:type="dxa"/>
            <w:vAlign w:val="bottom"/>
            <w:tcBorders>
              <w:bottom w:val="single" w:sz="8" w:color="auto"/>
            </w:tcBorders>
            <w:gridSpan w:val="2"/>
          </w:tcPr>
          <w:p>
            <w:pPr>
              <w:jc w:val="center"/>
              <w:ind w:right="927"/>
              <w:spacing w:after="0"/>
              <w:rPr>
                <w:sz w:val="20"/>
                <w:szCs w:val="20"/>
                <w:color w:val="auto"/>
              </w:rPr>
            </w:pPr>
            <w:r>
              <w:rPr>
                <w:rFonts w:ascii="Arial" w:cs="Arial" w:eastAsia="Arial" w:hAnsi="Arial"/>
                <w:sz w:val="14"/>
                <w:szCs w:val="14"/>
                <w:color w:val="auto"/>
                <w:w w:val="99"/>
              </w:rPr>
              <w:t>FRANK M. JAEHNERT</w:t>
            </w:r>
          </w:p>
        </w:tc>
      </w:tr>
      <w:tr>
        <w:trPr>
          <w:trHeight w:val="231"/>
        </w:trPr>
        <w:tc>
          <w:tcPr>
            <w:tcW w:w="1280" w:type="dxa"/>
            <w:vAlign w:val="bottom"/>
          </w:tcPr>
          <w:p>
            <w:pPr>
              <w:spacing w:after="0"/>
              <w:rPr>
                <w:sz w:val="20"/>
                <w:szCs w:val="20"/>
                <w:color w:val="auto"/>
              </w:rPr>
            </w:pPr>
          </w:p>
        </w:tc>
        <w:tc>
          <w:tcPr>
            <w:tcW w:w="2720" w:type="dxa"/>
            <w:vAlign w:val="bottom"/>
            <w:gridSpan w:val="2"/>
          </w:tcPr>
          <w:p>
            <w:pPr>
              <w:jc w:val="center"/>
              <w:ind w:right="1187"/>
              <w:spacing w:after="0"/>
              <w:rPr>
                <w:sz w:val="20"/>
                <w:szCs w:val="20"/>
                <w:color w:val="auto"/>
              </w:rPr>
            </w:pPr>
            <w:r>
              <w:rPr>
                <w:rFonts w:ascii="Arial" w:cs="Arial" w:eastAsia="Arial" w:hAnsi="Arial"/>
                <w:sz w:val="14"/>
                <w:szCs w:val="14"/>
                <w:b w:val="1"/>
                <w:bCs w:val="1"/>
                <w:color w:val="auto"/>
                <w:w w:val="98"/>
              </w:rPr>
              <w:t>Frank M. Jaehnert</w:t>
            </w:r>
          </w:p>
        </w:tc>
      </w:tr>
      <w:tr>
        <w:trPr>
          <w:trHeight w:val="459"/>
        </w:trPr>
        <w:tc>
          <w:tcPr>
            <w:tcW w:w="1480" w:type="dxa"/>
            <w:vAlign w:val="bottom"/>
            <w:gridSpan w:val="2"/>
          </w:tcPr>
          <w:p>
            <w:pPr>
              <w:ind w:left="1260"/>
              <w:spacing w:after="0"/>
              <w:rPr>
                <w:sz w:val="20"/>
                <w:szCs w:val="20"/>
                <w:color w:val="auto"/>
              </w:rPr>
            </w:pPr>
            <w:r>
              <w:rPr>
                <w:rFonts w:ascii="Arial" w:cs="Arial" w:eastAsia="Arial" w:hAnsi="Arial"/>
                <w:sz w:val="14"/>
                <w:szCs w:val="14"/>
                <w:color w:val="auto"/>
              </w:rPr>
              <w:t>/s/</w:t>
            </w:r>
          </w:p>
        </w:tc>
        <w:tc>
          <w:tcPr>
            <w:tcW w:w="2520" w:type="dxa"/>
            <w:vAlign w:val="bottom"/>
          </w:tcPr>
          <w:p>
            <w:pPr>
              <w:jc w:val="center"/>
              <w:ind w:right="1107"/>
              <w:spacing w:after="0"/>
              <w:rPr>
                <w:sz w:val="20"/>
                <w:szCs w:val="20"/>
                <w:color w:val="auto"/>
              </w:rPr>
            </w:pPr>
            <w:r>
              <w:rPr>
                <w:rFonts w:ascii="Arial" w:cs="Arial" w:eastAsia="Arial" w:hAnsi="Arial"/>
                <w:sz w:val="14"/>
                <w:szCs w:val="14"/>
                <w:color w:val="auto"/>
                <w:w w:val="98"/>
              </w:rPr>
              <w:t>JEROME J. LANDE</w:t>
            </w:r>
          </w:p>
        </w:tc>
      </w:tr>
      <w:tr>
        <w:trPr>
          <w:trHeight w:val="26"/>
        </w:trPr>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tcPr>
          <w:p>
            <w:pPr>
              <w:jc w:val="center"/>
              <w:ind w:right="1387"/>
              <w:spacing w:after="0"/>
              <w:rPr>
                <w:sz w:val="20"/>
                <w:szCs w:val="20"/>
                <w:color w:val="auto"/>
              </w:rPr>
            </w:pPr>
            <w:r>
              <w:rPr>
                <w:rFonts w:ascii="Arial" w:cs="Arial" w:eastAsia="Arial" w:hAnsi="Arial"/>
                <w:sz w:val="14"/>
                <w:szCs w:val="14"/>
                <w:b w:val="1"/>
                <w:bCs w:val="1"/>
                <w:color w:val="auto"/>
                <w:w w:val="92"/>
              </w:rPr>
              <w:t>Jerome J. Lande</w:t>
            </w:r>
          </w:p>
        </w:tc>
      </w:tr>
      <w:tr>
        <w:trPr>
          <w:trHeight w:val="459"/>
        </w:trPr>
        <w:tc>
          <w:tcPr>
            <w:tcW w:w="1280" w:type="dxa"/>
            <w:vAlign w:val="bottom"/>
          </w:tcPr>
          <w:p>
            <w:pPr>
              <w:ind w:left="1140"/>
              <w:spacing w:after="0"/>
              <w:rPr>
                <w:sz w:val="20"/>
                <w:szCs w:val="20"/>
                <w:color w:val="auto"/>
              </w:rPr>
            </w:pPr>
            <w:r>
              <w:rPr>
                <w:rFonts w:ascii="Arial" w:cs="Arial" w:eastAsia="Arial" w:hAnsi="Arial"/>
                <w:sz w:val="14"/>
                <w:szCs w:val="14"/>
                <w:color w:val="auto"/>
                <w:w w:val="80"/>
              </w:rPr>
              <w:t>/s/</w:t>
            </w:r>
          </w:p>
        </w:tc>
        <w:tc>
          <w:tcPr>
            <w:tcW w:w="2720" w:type="dxa"/>
            <w:vAlign w:val="bottom"/>
            <w:gridSpan w:val="2"/>
          </w:tcPr>
          <w:p>
            <w:pPr>
              <w:jc w:val="center"/>
              <w:ind w:right="927"/>
              <w:spacing w:after="0"/>
              <w:rPr>
                <w:sz w:val="20"/>
                <w:szCs w:val="20"/>
                <w:color w:val="auto"/>
              </w:rPr>
            </w:pPr>
            <w:r>
              <w:rPr>
                <w:rFonts w:ascii="Arial" w:cs="Arial" w:eastAsia="Arial" w:hAnsi="Arial"/>
                <w:sz w:val="14"/>
                <w:szCs w:val="14"/>
                <w:color w:val="auto"/>
              </w:rPr>
              <w:t>TIMOTHY M. LEYDEN</w:t>
            </w:r>
          </w:p>
        </w:tc>
      </w:tr>
      <w:tr>
        <w:trPr>
          <w:trHeight w:val="26"/>
        </w:trPr>
        <w:tc>
          <w:tcPr>
            <w:tcW w:w="1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r>
      <w:tr>
        <w:trPr>
          <w:trHeight w:val="225"/>
        </w:trPr>
        <w:tc>
          <w:tcPr>
            <w:tcW w:w="1280" w:type="dxa"/>
            <w:vAlign w:val="bottom"/>
          </w:tcPr>
          <w:p>
            <w:pPr>
              <w:spacing w:after="0"/>
              <w:rPr>
                <w:sz w:val="19"/>
                <w:szCs w:val="19"/>
                <w:color w:val="auto"/>
              </w:rPr>
            </w:pPr>
          </w:p>
        </w:tc>
        <w:tc>
          <w:tcPr>
            <w:tcW w:w="2720" w:type="dxa"/>
            <w:vAlign w:val="bottom"/>
            <w:gridSpan w:val="2"/>
          </w:tcPr>
          <w:p>
            <w:pPr>
              <w:jc w:val="center"/>
              <w:ind w:right="1187"/>
              <w:spacing w:after="0"/>
              <w:rPr>
                <w:sz w:val="20"/>
                <w:szCs w:val="20"/>
                <w:color w:val="auto"/>
              </w:rPr>
            </w:pPr>
            <w:r>
              <w:rPr>
                <w:rFonts w:ascii="Arial" w:cs="Arial" w:eastAsia="Arial" w:hAnsi="Arial"/>
                <w:sz w:val="14"/>
                <w:szCs w:val="14"/>
                <w:b w:val="1"/>
                <w:bCs w:val="1"/>
                <w:color w:val="auto"/>
                <w:w w:val="96"/>
              </w:rPr>
              <w:t>Timothy M. Leyden</w:t>
            </w:r>
          </w:p>
        </w:tc>
      </w:tr>
      <w:tr>
        <w:trPr>
          <w:trHeight w:val="459"/>
        </w:trPr>
        <w:tc>
          <w:tcPr>
            <w:tcW w:w="1280" w:type="dxa"/>
            <w:vAlign w:val="bottom"/>
          </w:tcPr>
          <w:p>
            <w:pPr>
              <w:spacing w:after="0"/>
              <w:rPr>
                <w:sz w:val="24"/>
                <w:szCs w:val="24"/>
                <w:color w:val="auto"/>
              </w:rPr>
            </w:pPr>
          </w:p>
        </w:tc>
        <w:tc>
          <w:tcPr>
            <w:tcW w:w="2720" w:type="dxa"/>
            <w:vAlign w:val="bottom"/>
            <w:gridSpan w:val="2"/>
          </w:tcPr>
          <w:p>
            <w:pPr>
              <w:jc w:val="center"/>
              <w:ind w:right="1187"/>
              <w:spacing w:after="0"/>
              <w:rPr>
                <w:sz w:val="20"/>
                <w:szCs w:val="20"/>
                <w:color w:val="auto"/>
              </w:rPr>
            </w:pPr>
            <w:r>
              <w:rPr>
                <w:rFonts w:ascii="Arial" w:cs="Arial" w:eastAsia="Arial" w:hAnsi="Arial"/>
                <w:sz w:val="14"/>
                <w:szCs w:val="14"/>
                <w:color w:val="auto"/>
              </w:rPr>
              <w:t>/s/  PETER MAINZ</w:t>
            </w:r>
          </w:p>
        </w:tc>
      </w:tr>
      <w:tr>
        <w:trPr>
          <w:trHeight w:val="26"/>
        </w:trPr>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25"/>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tcPr>
          <w:p>
            <w:pPr>
              <w:jc w:val="center"/>
              <w:ind w:right="1407"/>
              <w:spacing w:after="0"/>
              <w:rPr>
                <w:sz w:val="20"/>
                <w:szCs w:val="20"/>
                <w:color w:val="auto"/>
              </w:rPr>
            </w:pPr>
            <w:r>
              <w:rPr>
                <w:rFonts w:ascii="Arial" w:cs="Arial" w:eastAsia="Arial" w:hAnsi="Arial"/>
                <w:sz w:val="14"/>
                <w:szCs w:val="14"/>
                <w:b w:val="1"/>
                <w:bCs w:val="1"/>
                <w:color w:val="auto"/>
                <w:w w:val="97"/>
              </w:rPr>
              <w:t>Peter Mainz</w:t>
            </w:r>
          </w:p>
        </w:tc>
      </w:tr>
      <w:tr>
        <w:trPr>
          <w:trHeight w:val="479"/>
        </w:trPr>
        <w:tc>
          <w:tcPr>
            <w:tcW w:w="148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color w:val="auto"/>
              </w:rPr>
              <w:t>/s/</w:t>
            </w:r>
          </w:p>
        </w:tc>
        <w:tc>
          <w:tcPr>
            <w:tcW w:w="2520" w:type="dxa"/>
            <w:vAlign w:val="bottom"/>
            <w:tcBorders>
              <w:bottom w:val="single" w:sz="8" w:color="auto"/>
            </w:tcBorders>
          </w:tcPr>
          <w:p>
            <w:pPr>
              <w:jc w:val="center"/>
              <w:ind w:right="1127"/>
              <w:spacing w:after="0"/>
              <w:rPr>
                <w:sz w:val="20"/>
                <w:szCs w:val="20"/>
                <w:color w:val="auto"/>
              </w:rPr>
            </w:pPr>
            <w:r>
              <w:rPr>
                <w:rFonts w:ascii="Arial" w:cs="Arial" w:eastAsia="Arial" w:hAnsi="Arial"/>
                <w:sz w:val="14"/>
                <w:szCs w:val="14"/>
                <w:color w:val="auto"/>
              </w:rPr>
              <w:t>DANIEL S. PELINO</w:t>
            </w:r>
          </w:p>
        </w:tc>
      </w:tr>
      <w:tr>
        <w:trPr>
          <w:trHeight w:val="231"/>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tcPr>
          <w:p>
            <w:pPr>
              <w:jc w:val="center"/>
              <w:ind w:right="1387"/>
              <w:spacing w:after="0"/>
              <w:rPr>
                <w:sz w:val="20"/>
                <w:szCs w:val="20"/>
                <w:color w:val="auto"/>
              </w:rPr>
            </w:pPr>
            <w:r>
              <w:rPr>
                <w:rFonts w:ascii="Arial" w:cs="Arial" w:eastAsia="Arial" w:hAnsi="Arial"/>
                <w:sz w:val="14"/>
                <w:szCs w:val="14"/>
                <w:b w:val="1"/>
                <w:bCs w:val="1"/>
                <w:color w:val="auto"/>
                <w:w w:val="93"/>
              </w:rPr>
              <w:t>Daniel S. Pelino</w:t>
            </w:r>
          </w:p>
        </w:tc>
      </w:tr>
      <w:tr>
        <w:trPr>
          <w:trHeight w:val="479"/>
        </w:trPr>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4"/>
              </w:rPr>
              <w:t>/s/</w:t>
            </w:r>
          </w:p>
        </w:tc>
        <w:tc>
          <w:tcPr>
            <w:tcW w:w="2520" w:type="dxa"/>
            <w:vAlign w:val="bottom"/>
            <w:tcBorders>
              <w:bottom w:val="single" w:sz="8" w:color="auto"/>
            </w:tcBorders>
          </w:tcPr>
          <w:p>
            <w:pPr>
              <w:jc w:val="center"/>
              <w:ind w:right="1107"/>
              <w:spacing w:after="0"/>
              <w:rPr>
                <w:sz w:val="20"/>
                <w:szCs w:val="20"/>
                <w:color w:val="auto"/>
              </w:rPr>
            </w:pPr>
            <w:r>
              <w:rPr>
                <w:rFonts w:ascii="Arial" w:cs="Arial" w:eastAsia="Arial" w:hAnsi="Arial"/>
                <w:sz w:val="14"/>
                <w:szCs w:val="14"/>
                <w:color w:val="auto"/>
                <w:w w:val="98"/>
              </w:rPr>
              <w:t>GARY E. PRUITT</w:t>
            </w:r>
          </w:p>
        </w:tc>
      </w:tr>
      <w:tr>
        <w:trPr>
          <w:trHeight w:val="231"/>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tcPr>
          <w:p>
            <w:pPr>
              <w:jc w:val="center"/>
              <w:ind w:right="1387"/>
              <w:spacing w:after="0"/>
              <w:rPr>
                <w:sz w:val="20"/>
                <w:szCs w:val="20"/>
                <w:color w:val="auto"/>
              </w:rPr>
            </w:pPr>
            <w:r>
              <w:rPr>
                <w:rFonts w:ascii="Arial" w:cs="Arial" w:eastAsia="Arial" w:hAnsi="Arial"/>
                <w:sz w:val="14"/>
                <w:szCs w:val="14"/>
                <w:b w:val="1"/>
                <w:bCs w:val="1"/>
                <w:color w:val="auto"/>
              </w:rPr>
              <w:t>Gary E. Pruitt</w:t>
            </w:r>
          </w:p>
        </w:tc>
      </w:tr>
      <w:tr>
        <w:trPr>
          <w:trHeight w:val="479"/>
        </w:trPr>
        <w:tc>
          <w:tcPr>
            <w:tcW w:w="128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w w:val="80"/>
              </w:rPr>
              <w:t>/s/</w:t>
            </w:r>
          </w:p>
        </w:tc>
        <w:tc>
          <w:tcPr>
            <w:tcW w:w="2720" w:type="dxa"/>
            <w:vAlign w:val="bottom"/>
            <w:tcBorders>
              <w:bottom w:val="single" w:sz="8" w:color="auto"/>
            </w:tcBorders>
            <w:gridSpan w:val="2"/>
          </w:tcPr>
          <w:p>
            <w:pPr>
              <w:jc w:val="center"/>
              <w:ind w:right="907"/>
              <w:spacing w:after="0"/>
              <w:rPr>
                <w:sz w:val="20"/>
                <w:szCs w:val="20"/>
                <w:color w:val="auto"/>
              </w:rPr>
            </w:pPr>
            <w:r>
              <w:rPr>
                <w:rFonts w:ascii="Arial" w:cs="Arial" w:eastAsia="Arial" w:hAnsi="Arial"/>
                <w:sz w:val="14"/>
                <w:szCs w:val="14"/>
                <w:color w:val="auto"/>
              </w:rPr>
              <w:t>DIANA D. TREMBLAY</w:t>
            </w:r>
          </w:p>
        </w:tc>
      </w:tr>
      <w:tr>
        <w:trPr>
          <w:trHeight w:val="231"/>
        </w:trPr>
        <w:tc>
          <w:tcPr>
            <w:tcW w:w="1280" w:type="dxa"/>
            <w:vAlign w:val="bottom"/>
          </w:tcPr>
          <w:p>
            <w:pPr>
              <w:spacing w:after="0"/>
              <w:rPr>
                <w:sz w:val="20"/>
                <w:szCs w:val="20"/>
                <w:color w:val="auto"/>
              </w:rPr>
            </w:pPr>
          </w:p>
        </w:tc>
        <w:tc>
          <w:tcPr>
            <w:tcW w:w="2720" w:type="dxa"/>
            <w:vAlign w:val="bottom"/>
            <w:gridSpan w:val="2"/>
          </w:tcPr>
          <w:p>
            <w:pPr>
              <w:jc w:val="center"/>
              <w:ind w:right="1187"/>
              <w:spacing w:after="0"/>
              <w:rPr>
                <w:sz w:val="20"/>
                <w:szCs w:val="20"/>
                <w:color w:val="auto"/>
              </w:rPr>
            </w:pPr>
            <w:r>
              <w:rPr>
                <w:rFonts w:ascii="Arial" w:cs="Arial" w:eastAsia="Arial" w:hAnsi="Arial"/>
                <w:sz w:val="14"/>
                <w:szCs w:val="14"/>
                <w:b w:val="1"/>
                <w:bCs w:val="1"/>
                <w:color w:val="auto"/>
                <w:w w:val="96"/>
              </w:rPr>
              <w:t>Diana D. Tremblay</w:t>
            </w:r>
          </w:p>
        </w:tc>
      </w:tr>
      <w:tr>
        <w:trPr>
          <w:trHeight w:val="479"/>
        </w:trPr>
        <w:tc>
          <w:tcPr>
            <w:tcW w:w="14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color w:val="auto"/>
              </w:rPr>
              <w:t>/s/</w:t>
            </w:r>
          </w:p>
        </w:tc>
        <w:tc>
          <w:tcPr>
            <w:tcW w:w="2520" w:type="dxa"/>
            <w:vAlign w:val="bottom"/>
            <w:tcBorders>
              <w:bottom w:val="single" w:sz="8" w:color="auto"/>
            </w:tcBorders>
          </w:tcPr>
          <w:p>
            <w:pPr>
              <w:jc w:val="center"/>
              <w:ind w:right="1127"/>
              <w:spacing w:after="0"/>
              <w:rPr>
                <w:sz w:val="20"/>
                <w:szCs w:val="20"/>
                <w:color w:val="auto"/>
              </w:rPr>
            </w:pPr>
            <w:r>
              <w:rPr>
                <w:rFonts w:ascii="Arial" w:cs="Arial" w:eastAsia="Arial" w:hAnsi="Arial"/>
                <w:sz w:val="14"/>
                <w:szCs w:val="14"/>
                <w:color w:val="auto"/>
              </w:rPr>
              <w:t>LYNDA L. ZIEGLER</w:t>
            </w:r>
          </w:p>
        </w:tc>
      </w:tr>
      <w:tr>
        <w:trPr>
          <w:trHeight w:val="231"/>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tcPr>
          <w:p>
            <w:pPr>
              <w:jc w:val="center"/>
              <w:ind w:right="1407"/>
              <w:spacing w:after="0"/>
              <w:rPr>
                <w:sz w:val="20"/>
                <w:szCs w:val="20"/>
                <w:color w:val="auto"/>
              </w:rPr>
            </w:pPr>
            <w:r>
              <w:rPr>
                <w:rFonts w:ascii="Arial" w:cs="Arial" w:eastAsia="Arial" w:hAnsi="Arial"/>
                <w:sz w:val="14"/>
                <w:szCs w:val="14"/>
                <w:b w:val="1"/>
                <w:bCs w:val="1"/>
                <w:color w:val="auto"/>
                <w:w w:val="96"/>
              </w:rPr>
              <w:t>Lynda L. Ziegler</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4562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 (Principal Executive Officer), Director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Chair of the Board</w:t>
      </w:r>
    </w:p>
    <w:p>
      <w:pPr>
        <w:spacing w:after="0" w:line="207" w:lineRule="exact"/>
        <w:rPr>
          <w:sz w:val="20"/>
          <w:szCs w:val="20"/>
          <w:color w:val="auto"/>
        </w:rPr>
      </w:pPr>
    </w:p>
    <w:p>
      <w:pPr>
        <w:sectPr>
          <w:pgSz w:w="11900" w:h="16838" w:orient="portrait"/>
          <w:cols w:equalWidth="0" w:num="2">
            <w:col w:w="4000" w:space="260"/>
            <w:col w:w="7160"/>
          </w:cols>
          <w:pgMar w:left="240" w:top="125" w:right="2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Richard J. 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de Vere White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L. Deitrich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Bruce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Faerber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Joan S. Hooper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Hrivnak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K. Lacey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Deitrich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Bruce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H.A. Farrow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Joan S. Hooper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Jerome Lande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Leyden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Mainz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S. Pelino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Diana Tremblay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Lynda L. Ziegler</w:t>
      </w:r>
    </w:p>
    <w:p>
      <w:pPr>
        <w:sectPr>
          <w:pgSz w:w="11900" w:h="16838" w:orient="portrait"/>
          <w:cols w:equalWidth="0" w:num="1">
            <w:col w:w="11420"/>
          </w:cols>
          <w:pgMar w:left="240" w:top="580"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649"/>
        </w:trPr>
        <w:tc>
          <w:tcPr>
            <w:tcW w:w="3200" w:type="dxa"/>
            <w:vAlign w:val="bottom"/>
          </w:tcPr>
          <w:p>
            <w:pPr>
              <w:spacing w:after="0"/>
              <w:rPr>
                <w:sz w:val="24"/>
                <w:szCs w:val="24"/>
                <w:color w:val="auto"/>
              </w:rPr>
            </w:pPr>
          </w:p>
        </w:tc>
        <w:tc>
          <w:tcPr>
            <w:tcW w:w="5620" w:type="dxa"/>
            <w:vAlign w:val="bottom"/>
            <w:gridSpan w:val="10"/>
          </w:tcPr>
          <w:p>
            <w:pPr>
              <w:jc w:val="center"/>
              <w:ind w:right="600"/>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5"/>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2013</w:t>
            </w: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ratios)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w w:val="92"/>
              </w:rPr>
              <w:t>Add: dividends received from equity investees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707</w:t>
            </w: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33"/>
        </w:trPr>
        <w:tc>
          <w:tcPr>
            <w:tcW w:w="3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r>
      <w:tr>
        <w:trPr>
          <w:trHeight w:val="297"/>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11,581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11,602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10,686</w:t>
            </w: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6,651</w:t>
            </w:r>
          </w:p>
        </w:tc>
      </w:tr>
      <w:tr>
        <w:trPr>
          <w:trHeight w:val="291"/>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16,677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17,337</w:t>
            </w:r>
          </w:p>
        </w:tc>
      </w:tr>
      <w:tr>
        <w:trPr>
          <w:trHeight w:val="291"/>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148,478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97,192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(138,529)</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r>
      <w:tr>
        <w:trPr>
          <w:trHeight w:val="297"/>
        </w:trPr>
        <w:tc>
          <w:tcPr>
            <w:tcW w:w="3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center"/>
              <w:ind w:left="279"/>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(155,866)</w:t>
            </w:r>
          </w:p>
        </w:tc>
      </w:tr>
    </w:tbl>
    <w:p>
      <w:pPr>
        <w:spacing w:after="0" w:line="235" w:lineRule="exact"/>
        <w:rPr>
          <w:sz w:val="20"/>
          <w:szCs w:val="20"/>
          <w:color w:val="auto"/>
        </w:rPr>
      </w:pPr>
    </w:p>
    <w:p>
      <w:pPr>
        <w:ind w:left="340" w:hanging="332"/>
        <w:spacing w:after="0" w:line="21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to fixed charges ratio </w:t>
      </w:r>
      <w:r>
        <w:rPr>
          <w:rFonts w:ascii="Arial" w:cs="Arial" w:eastAsia="Arial" w:hAnsi="Arial"/>
          <w:sz w:val="18"/>
          <w:szCs w:val="18"/>
          <w:color w:val="auto"/>
        </w:rPr>
        <w:t>is not calculated for years with a</w:t>
      </w:r>
      <w:r>
        <w:rPr>
          <w:rFonts w:ascii="Arial" w:cs="Arial" w:eastAsia="Arial" w:hAnsi="Arial"/>
          <w:sz w:val="18"/>
          <w:szCs w:val="18"/>
          <w:i w:val="1"/>
          <w:iCs w:val="1"/>
          <w:color w:val="auto"/>
        </w:rPr>
        <w:t xml:space="preserve"> Deficit of earnings to fixed charges </w:t>
      </w:r>
      <w:r>
        <w:rPr>
          <w:rFonts w:ascii="Arial" w:cs="Arial" w:eastAsia="Arial" w:hAnsi="Arial"/>
          <w:sz w:val="18"/>
          <w:szCs w:val="18"/>
          <w:color w:val="auto"/>
        </w:rPr>
        <w:t>amount as the ratio is less than 1:1.</w:t>
      </w:r>
    </w:p>
    <w:p>
      <w:pPr>
        <w:sectPr>
          <w:pgSz w:w="11900" w:h="16838" w:orient="portrait"/>
          <w:cols w:equalWidth="0" w:num="1">
            <w:col w:w="11420"/>
          </w:cols>
          <w:pgMar w:left="240" w:top="580"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w w:val="99"/>
              </w:rPr>
              <w:t>CONSOLIDATED SUBSIDIARIES OF THE REGISTRANT AT DECEMBER 31, 2017</w:t>
            </w: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1"/>
              </w:rPr>
              <w:t>Exhibit 21.1</w:t>
            </w:r>
          </w:p>
        </w:tc>
      </w:tr>
      <w:tr>
        <w:trPr>
          <w:trHeight w:val="419"/>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Itron, Inc. Domestic Subsidiaries</w:t>
            </w:r>
          </w:p>
        </w:tc>
        <w:tc>
          <w:tcPr>
            <w:tcW w:w="42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of Incorporation</w:t>
            </w:r>
          </w:p>
        </w:tc>
        <w:tc>
          <w:tcPr>
            <w:tcW w:w="2800" w:type="dxa"/>
            <w:vAlign w:val="bottom"/>
            <w:gridSpan w:val="2"/>
          </w:tcPr>
          <w:p>
            <w:pPr>
              <w:spacing w:after="0"/>
              <w:rPr>
                <w:sz w:val="24"/>
                <w:szCs w:val="24"/>
                <w:color w:val="auto"/>
              </w:rPr>
            </w:pPr>
          </w:p>
        </w:tc>
      </w:tr>
      <w:tr>
        <w:trPr>
          <w:trHeight w:val="291"/>
        </w:trPr>
        <w:tc>
          <w:tcPr>
            <w:tcW w:w="6800" w:type="dxa"/>
            <w:vAlign w:val="bottom"/>
            <w:gridSpan w:val="3"/>
          </w:tcPr>
          <w:p>
            <w:pPr>
              <w:spacing w:after="0"/>
              <w:rPr>
                <w:sz w:val="20"/>
                <w:szCs w:val="20"/>
                <w:color w:val="auto"/>
              </w:rPr>
            </w:pPr>
            <w:r>
              <w:rPr>
                <w:rFonts w:ascii="Arial" w:cs="Arial" w:eastAsia="Arial" w:hAnsi="Arial"/>
                <w:sz w:val="18"/>
                <w:szCs w:val="18"/>
                <w:color w:val="auto"/>
              </w:rPr>
              <w:t>Itron International,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Ivory Merger Sub,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Brazil I, LLC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Washington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Brazil II, LLC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Washington</w:t>
            </w:r>
          </w:p>
        </w:tc>
      </w:tr>
      <w:tr>
        <w:trPr>
          <w:trHeight w:val="419"/>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560" w:type="dxa"/>
            <w:vAlign w:val="bottom"/>
            <w:gridSpan w:val="4"/>
          </w:tcPr>
          <w:p>
            <w:pPr>
              <w:ind w:left="4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91"/>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Itron Argentina S.A.</w:t>
            </w: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Argentina</w:t>
            </w:r>
          </w:p>
        </w:tc>
        <w:tc>
          <w:tcPr>
            <w:tcW w:w="1000" w:type="dxa"/>
            <w:vAlign w:val="bottom"/>
          </w:tcPr>
          <w:p>
            <w:pPr>
              <w:spacing w:after="0"/>
              <w:rPr>
                <w:sz w:val="24"/>
                <w:szCs w:val="24"/>
                <w:color w:val="auto"/>
              </w:rPr>
            </w:pP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Australasia Pty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Austria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Management Services SA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Contigea SA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Sistemas e Tecnologia Ltda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Soluções para Energia e Àgua Ltda.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China Gas Holding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British Virgin Islands</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Canada,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Compañía Chilena de Medición S.A.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Chile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(Suzhou)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Systems (Suzhou)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Comverge International,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Cyprus</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Czech Republic s.r.o.</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Czech Republic</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Asais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Asais Conseil</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France S.A.S.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Holding France S.A.S.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Holding Germany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Zähler &amp; Systemtechnik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Unterstutzungskasse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Allmess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Unterstutzungseinrichtung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SEWA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Ganz Meter Company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Labs Kft</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India Private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India Private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PT Mecoindo (J.V.)</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Indonesia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Management Services Ireland,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Temetra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Italia SpA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Comverge Japan K.K.</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Japan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Luxembourg SARL</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Luxembourg</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Global SARL</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Luxembourg</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Metertek Sdn Bhd (J.V. 100% indirectly owned)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1360"/>
          </w:cols>
          <w:pgMar w:left="280" w:top="742" w:right="25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660" w:type="dxa"/>
            <w:vAlign w:val="bottom"/>
            <w:gridSpan w:val="2"/>
          </w:tcPr>
          <w:p>
            <w:pPr>
              <w:ind w:left="114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Itron Servicios, S.A. de C.V.</w:t>
            </w:r>
          </w:p>
        </w:tc>
        <w:tc>
          <w:tcPr>
            <w:tcW w:w="2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Mexico</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Distribución S.A. de C.V.</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Mexico</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Inal-Industria Nacional de Precisão Limitada (J.V.)</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Mozambique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Netherlands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Poland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Portugal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Portugal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Portugal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Qatar</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Comverge South Africia PTY Ltd.</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Republic of South Africia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Comverge Energy Management Services (EMS) PTY Ltd.</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Republic of South Africia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Comverge Energy Management Technologies (EMT) PTY Ltd.</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Republic of South Africia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Republic of South Africa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Saudi Arabia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Singapore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Spain</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Sweden</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Ukraine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Ukraine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4660" w:type="dxa"/>
            <w:vAlign w:val="bottom"/>
            <w:gridSpan w:val="2"/>
          </w:tcPr>
          <w:p>
            <w:pPr>
              <w:ind w:left="114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360"/>
          </w:cols>
          <w:pgMar w:left="280" w:top="1377" w:right="12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333-40356, 333-89966, 333-97571, 333-110703, 333-115987, 333-125461, 333-134749, 333-143048, 333-166601, 333-181685, 333-193970, 333-195633, 333-218086, and No. 333-222480 on Form S-8 of our reports dated February 28, 2018, relating to the financial statements of Itron, Inc., and the effectiveness of Itron, Inc.’s internal control over financial reporting, appearing in this Annual Report on Form 10-K of Itron, Inc.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Consent of Ernst &amp; Young LLP,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20"/>
          <w:szCs w:val="20"/>
          <w:color w:val="auto"/>
        </w:rPr>
        <w:t>Registration Statement (Form S-8 No. 333-40356) pertaining to the Itron, Inc. 2000 Stock Incentive Compensation Plan,</w:t>
      </w:r>
    </w:p>
    <w:p>
      <w:pPr>
        <w:spacing w:after="0" w:line="15" w:lineRule="exact"/>
        <w:rPr>
          <w:rFonts w:ascii="Arial" w:cs="Arial" w:eastAsia="Arial" w:hAnsi="Arial"/>
          <w:sz w:val="18"/>
          <w:szCs w:val="18"/>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20"/>
          <w:szCs w:val="20"/>
          <w:color w:val="auto"/>
        </w:rPr>
        <w:t>Registration Statement (Form S-8 No. 333-89966) pertaining to the Itron, Inc. 2002 Employee Stock Purchase Plan,</w:t>
      </w:r>
    </w:p>
    <w:p>
      <w:pPr>
        <w:ind w:left="820" w:hanging="488"/>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Registration Statement (Form S-8 No. 333-97571)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20"/>
          <w:szCs w:val="20"/>
          <w:color w:val="auto"/>
        </w:rPr>
        <w:t>Registration Statement (Form S-8 No. 333-110703) pertaining to the Itron, Inc. Incentive Savings Plan,</w:t>
      </w:r>
    </w:p>
    <w:p>
      <w:pPr>
        <w:ind w:left="820" w:hanging="488"/>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Registration Statement (Form S-8 No. 333-115987) pertaining to the Itron, Inc. Amended and Restated 2000 Stock Incentive Plan,</w:t>
      </w:r>
    </w:p>
    <w:p>
      <w:pPr>
        <w:spacing w:after="0" w:line="22" w:lineRule="exact"/>
        <w:rPr>
          <w:rFonts w:ascii="Arial" w:cs="Arial" w:eastAsia="Arial" w:hAnsi="Arial"/>
          <w:sz w:val="16"/>
          <w:szCs w:val="16"/>
          <w:color w:val="auto"/>
        </w:rPr>
      </w:pPr>
    </w:p>
    <w:p>
      <w:pPr>
        <w:ind w:left="820" w:right="260" w:hanging="488"/>
        <w:spacing w:after="0" w:line="239"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20"/>
          <w:szCs w:val="20"/>
          <w:color w:val="auto"/>
        </w:rPr>
        <w:t>Registration Statement (Form S-8 No. 333-125461) pertaining to the Itron, Inc. Amended and Restated 2000 Stock Incentive Plan, and the Itron, Inc. Amended and Restated 2002 Employee Stock Purchase Plan,</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Registration Statement (Form S-8 No. 333-134749)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Registration Statement (Form S-8 No. 333-143048)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20"/>
          <w:szCs w:val="20"/>
          <w:color w:val="auto"/>
        </w:rPr>
        <w:t>Registration Statement (Form S-8 No. 333-166601) pertaining to the Itron, Inc. 2010 Stock Incentive Plan,</w:t>
      </w: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20"/>
          <w:szCs w:val="20"/>
          <w:color w:val="auto"/>
        </w:rPr>
        <w:t>Registration Statement (Form S-8 No. 333-181685) pertaining to the Itron, Inc. 2012 Employee Stock Purchase Plan,</w:t>
      </w:r>
    </w:p>
    <w:p>
      <w:pPr>
        <w:ind w:left="820" w:hanging="48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20"/>
          <w:szCs w:val="20"/>
          <w:color w:val="auto"/>
        </w:rPr>
        <w:t>Registration Statement (Form S-8 No. 333-193970) pertaining to the Itron, Inc. 2010 Stock Incentive Plan, and</w:t>
      </w:r>
    </w:p>
    <w:p>
      <w:pPr>
        <w:ind w:left="820" w:hanging="488"/>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Registration Statement (Form S-8 No. 333-195633) pertaining to the Itron, Inc. Amended and Restated 2010 Stock Incentive Plan.</w:t>
      </w:r>
    </w:p>
    <w:p>
      <w:pPr>
        <w:spacing w:after="0" w:line="22" w:lineRule="exact"/>
        <w:rPr>
          <w:rFonts w:ascii="Arial" w:cs="Arial" w:eastAsia="Arial" w:hAnsi="Arial"/>
          <w:sz w:val="16"/>
          <w:szCs w:val="16"/>
          <w:color w:val="auto"/>
        </w:rPr>
      </w:pPr>
    </w:p>
    <w:p>
      <w:pPr>
        <w:ind w:left="820" w:right="80" w:hanging="488"/>
        <w:spacing w:after="0" w:line="239"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20"/>
          <w:szCs w:val="20"/>
          <w:color w:val="auto"/>
        </w:rPr>
        <w:t>Registration Statement (Form S-8 No. 333-218086) pertaining to the Itron, Inc. Second Amended and Restated 2010 Stock Incentive Plan.</w:t>
      </w:r>
    </w:p>
    <w:p>
      <w:pPr>
        <w:spacing w:after="0" w:line="1" w:lineRule="exact"/>
        <w:rPr>
          <w:rFonts w:ascii="Arial" w:cs="Arial" w:eastAsia="Arial" w:hAnsi="Arial"/>
          <w:sz w:val="18"/>
          <w:szCs w:val="18"/>
          <w:color w:val="auto"/>
        </w:rPr>
      </w:pPr>
    </w:p>
    <w:p>
      <w:pPr>
        <w:ind w:left="820" w:right="60" w:hanging="488"/>
        <w:spacing w:after="0" w:line="298" w:lineRule="auto"/>
        <w:tabs>
          <w:tab w:leader="none" w:pos="8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Registration Statement (Form S-8 No. 333-222480) pertaining to the Silver Springs Networks, Inc. 2012 Equity Incentive Plan, Non-Plan Inducement Stock Options, Non-Plan Inducement Restricted Stock Units and Non-Plan Inducement Performance Stock Units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of our report dated June 29, 2016, with respect to the consolidated financial statements of Itron, Inc. included in this Annual Report (Form 10-</w:t>
      </w:r>
    </w:p>
    <w:p>
      <w:pPr>
        <w:spacing w:after="0" w:line="39" w:lineRule="exact"/>
        <w:rPr>
          <w:sz w:val="20"/>
          <w:szCs w:val="20"/>
          <w:color w:val="auto"/>
        </w:rPr>
      </w:pPr>
    </w:p>
    <w:p>
      <w:pPr>
        <w:ind w:right="7020" w:firstLine="8"/>
        <w:spacing w:after="0" w:line="456" w:lineRule="auto"/>
        <w:tabs>
          <w:tab w:leader="none" w:pos="258" w:val="left"/>
        </w:tabs>
        <w:numPr>
          <w:ilvl w:val="0"/>
          <w:numId w:val="27"/>
        </w:numPr>
        <w:rPr>
          <w:rFonts w:ascii="Arial" w:cs="Arial" w:eastAsia="Arial" w:hAnsi="Arial"/>
          <w:sz w:val="20"/>
          <w:szCs w:val="20"/>
          <w:color w:val="auto"/>
        </w:rPr>
      </w:pPr>
      <w:r>
        <w:rPr>
          <w:rFonts w:ascii="Arial" w:cs="Arial" w:eastAsia="Arial" w:hAnsi="Arial"/>
          <w:sz w:val="20"/>
          <w:szCs w:val="20"/>
          <w:color w:val="auto"/>
        </w:rPr>
        <w:t>of Itron, Inc. for the year ended December 31, 2017. /s/ 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2018</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Arial" w:cs="Arial" w:eastAsia="Arial" w:hAnsi="Arial"/>
          <w:sz w:val="17"/>
          <w:szCs w:val="17"/>
          <w:b w:val="1"/>
          <w:bCs w:val="1"/>
          <w:color w:val="auto"/>
        </w:rPr>
        <w:t>Philip C. Mezey President and Chief Executive</w:t>
      </w:r>
    </w:p>
    <w:p>
      <w:pPr>
        <w:spacing w:after="0" w:line="39"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8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2017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80" w:hanging="46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28, 2018</w:t>
      </w:r>
    </w:p>
    <w:p>
      <w:pPr>
        <w:spacing w:after="0" w:line="31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28, 2018</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upperLetter"/>
      <w:start w:val="15"/>
    </w:lvl>
  </w:abstractNum>
  <w:abstractNum w:abstractNumId="6">
    <w:nsid w:val="3F2DBA31"/>
    <w:multiLevelType w:val="hybridMultilevel"/>
    <w:lvl w:ilvl="0">
      <w:lvlJc w:val="left"/>
      <w:lvlText w:val="(%1)"/>
      <w:numFmt w:val="upperLetter"/>
      <w:start w:val="12"/>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upperLetter"/>
      <w:start w:val="1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9"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79" Type="http://schemas.openxmlformats.org/officeDocument/2006/relationships/hyperlink" Target="http://www.sec.gov/Archives/edgar/data/780571/000119312517286810/d457477dex21.htm" TargetMode="External"/><Relationship Id="rId80" Type="http://schemas.openxmlformats.org/officeDocument/2006/relationships/hyperlink" Target="http://www.sec.gov/Archives/edgar/data/780571/000103221003000460/dex31.txt" TargetMode="External"/><Relationship Id="rId81" Type="http://schemas.openxmlformats.org/officeDocument/2006/relationships/hyperlink" Target="http://www.sec.gov/Archives/edgar/data/780571/000078057116000059/itriex-3212312015.htm" TargetMode="External"/><Relationship Id="rId82" Type="http://schemas.openxmlformats.org/officeDocument/2006/relationships/hyperlink" Target="http://www.sec.gov/Archives/edgar/data/780571/000078057111000007/itriex-428811.htm" TargetMode="External"/><Relationship Id="rId83" Type="http://schemas.openxmlformats.org/officeDocument/2006/relationships/hyperlink" Target="http://www.sec.gov/Archives/edgar/data/780571/000078057115000024/itriex-426232015.htm" TargetMode="External"/><Relationship Id="rId84" Type="http://schemas.openxmlformats.org/officeDocument/2006/relationships/hyperlink" Target="http://www.sec.gov/Archives/edgar/data/780571/000119312517377716/d455839dex41.htm" TargetMode="External"/><Relationship Id="rId85" Type="http://schemas.openxmlformats.org/officeDocument/2006/relationships/hyperlink" Target="http://www.sec.gov/Archives/edgar/data/780571/000078057118000004/ex41secondamendedandrestat.htm" TargetMode="External"/><Relationship Id="rId86" Type="http://schemas.openxmlformats.org/officeDocument/2006/relationships/hyperlink" Target="http://www.sec.gov/Archives/edgar/data/780571/000078057113000004/itriex-101123112.htm" TargetMode="External"/><Relationship Id="rId87" Type="http://schemas.openxmlformats.org/officeDocument/2006/relationships/hyperlink" Target="http://www.sec.gov/Archives/edgar/data/780571/000078057100000013/0000780571-00-000013.txt" TargetMode="External"/><Relationship Id="rId88" Type="http://schemas.openxmlformats.org/officeDocument/2006/relationships/hyperlink" Target="http://www.sec.gov/Archives/edgar/data/780571/000119312514097231/d658410ddef14a.htm#toc658410_80" TargetMode="External"/><Relationship Id="rId90" Type="http://schemas.openxmlformats.org/officeDocument/2006/relationships/hyperlink" Target="http://www.sec.gov/Archives/edgar/data/780571/000119312517095570/d291730ddef14a.htm#toc291730_89" TargetMode="External"/><Relationship Id="rId91" Type="http://schemas.openxmlformats.org/officeDocument/2006/relationships/hyperlink" Target="http://www.sec.gov/Archives/edgar/data/780571/000078057114000027/itriex-10660314.htm" TargetMode="External"/><Relationship Id="rId92" Type="http://schemas.openxmlformats.org/officeDocument/2006/relationships/hyperlink" Target="http://www.sec.gov/Archives/edgar/data/780571/000119312510059539/ddef14a.htm#toc64501_61" TargetMode="External"/><Relationship Id="rId93" Type="http://schemas.openxmlformats.org/officeDocument/2006/relationships/hyperlink" Target="http://www.sec.gov/Archives/edgar/data/780571/000078057108000042/ex_10-4.htm" TargetMode="External"/><Relationship Id="rId94" Type="http://schemas.openxmlformats.org/officeDocument/2006/relationships/hyperlink" Target="http://www.sec.gov/Archives/edgar/data/780571/000078057110000002/exhibit_10-6.htm" TargetMode="External"/><Relationship Id="rId95" Type="http://schemas.openxmlformats.org/officeDocument/2006/relationships/hyperlink" Target="http://www.sec.gov/Archives/edgar/data/780571/000078057110000002/exhibit_10-1.htm" TargetMode="External"/><Relationship Id="rId96" Type="http://schemas.openxmlformats.org/officeDocument/2006/relationships/hyperlink" Target="http://www.sec.gov/Archives/edgar/data/780571/000078057110000002/exhibit_10-2.htm" TargetMode="External"/><Relationship Id="rId97" Type="http://schemas.openxmlformats.org/officeDocument/2006/relationships/hyperlink" Target="http://www.sec.gov/Archives/edgar/data/780571/000078057110000002/exhibit_10-3.htm" TargetMode="External"/><Relationship Id="rId98" Type="http://schemas.openxmlformats.org/officeDocument/2006/relationships/hyperlink" Target="http://www.sec.gov/Archives/edgar/data/780571/000078057110000002/exhibit_10-4.htm" TargetMode="External"/><Relationship Id="rId99" Type="http://schemas.openxmlformats.org/officeDocument/2006/relationships/hyperlink" Target="http://www.sec.gov/Archives/edgar/data/780571/000078057110000002/exhibit_10-5.htm" TargetMode="External"/><Relationship Id="rId100" Type="http://schemas.openxmlformats.org/officeDocument/2006/relationships/hyperlink" Target="http://www.sec.gov/Archives/edgar/data/780571/000078057114000027/itriex-10463014.htm" TargetMode="External"/><Relationship Id="rId101" Type="http://schemas.openxmlformats.org/officeDocument/2006/relationships/hyperlink" Target="http://www.sec.gov/Archives/edgar/data/780571/000119312511045950/dex1019.htm" TargetMode="External"/><Relationship Id="rId102" Type="http://schemas.openxmlformats.org/officeDocument/2006/relationships/hyperlink" Target="http://www.sec.gov/Archives/edgar/data/780571/000078057114000027/itriex-10563014.htm" TargetMode="External"/><Relationship Id="rId103" Type="http://schemas.openxmlformats.org/officeDocument/2006/relationships/hyperlink" Target="http://www.sec.gov/Archives/edgar/data/780571/000078057114000027/itriex-10263014.htm" TargetMode="External"/><Relationship Id="rId104" Type="http://schemas.openxmlformats.org/officeDocument/2006/relationships/hyperlink" Target="http://www.sec.gov/Archives/edgar/data/780571/000078057114000027/itriex-10363014.htm" TargetMode="External"/><Relationship Id="rId105" Type="http://schemas.openxmlformats.org/officeDocument/2006/relationships/hyperlink" Target="http://www.sec.gov/Archives/edgar/data/780571/000078057113000017/itriex-10333113.htm" TargetMode="External"/><Relationship Id="rId106" Type="http://schemas.openxmlformats.org/officeDocument/2006/relationships/hyperlink" Target="http://www.sec.gov/Archives/edgar/data/780571/000078057114000027/itriex-10163014.htm" TargetMode="External"/><Relationship Id="rId107" Type="http://schemas.openxmlformats.org/officeDocument/2006/relationships/hyperlink" Target="http://www.sec.gov/Archives/edgar/data/780571/000078057116000072/itriex-10109302016.htm" TargetMode="External"/><Relationship Id="rId108" Type="http://schemas.openxmlformats.org/officeDocument/2006/relationships/hyperlink" Target="http://www.sec.gov/Archives/edgar/data/780571/000078057109000015/ex_10-20.htm" TargetMode="External"/><Relationship Id="rId109" Type="http://schemas.openxmlformats.org/officeDocument/2006/relationships/hyperlink" Target="http://www.sec.gov/Archives/edgar/data/780571/000078057112000062/ex101ceoofferletter.htm" TargetMode="External"/><Relationship Id="rId110" Type="http://schemas.openxmlformats.org/officeDocument/2006/relationships/hyperlink" Target="http://www.sec.gov/Archives/edgar/data/780571/000078057115000037/itriex101cooperationagreem.htm" TargetMode="External"/><Relationship Id="rId111" Type="http://schemas.openxmlformats.org/officeDocument/2006/relationships/hyperlink" Target="http://www.sec.gov/Archives/edgar/data/780571/000078057116000072/itriex-10209302016.htm" TargetMode="External"/><Relationship Id="rId112" Type="http://schemas.openxmlformats.org/officeDocument/2006/relationships/hyperlink" Target="http://www.sec.gov/Archives/edgar/data/780571/000078057117000031/itriex-1011112017.htm" TargetMode="External"/><Relationship Id="rId113" Type="http://schemas.openxmlformats.org/officeDocument/2006/relationships/hyperlink" Target="http://www.sec.gov/Archives/edgar/data/780571/000078057117000010/itriex-10103312017isonsoop.htm" TargetMode="External"/><Relationship Id="rId114" Type="http://schemas.openxmlformats.org/officeDocument/2006/relationships/hyperlink" Target="http://www.sec.gov/Archives/edgar/data/780571/000078057117000010/itriex-10203312017ltprsuag.htm" TargetMode="External"/><Relationship Id="rId115" Type="http://schemas.openxmlformats.org/officeDocument/2006/relationships/hyperlink" Target="http://www.sec.gov/Archives/edgar/data/780571/000078057117000010/itriex-10303312017rsu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2019-12-29T00:27:59Z</dcterms:created>
  <dcterms:modified xsi:type="dcterms:W3CDTF">2019-12-29T00:27:59Z</dcterms:modified>
</cp:coreProperties>
</file>