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2012</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233"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233"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March 31, 2012 there were outstanding 39,958,625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FF"/>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5">
        <w:r>
          <w:rPr>
            <w:rFonts w:ascii="Arial" w:cs="Arial" w:eastAsia="Arial" w:hAnsi="Arial"/>
            <w:sz w:val="16"/>
            <w:szCs w:val="16"/>
            <w:u w:val="single" w:color="auto"/>
            <w:color w:val="0000FF"/>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9">
        <w:r>
          <w:rPr>
            <w:rFonts w:ascii="Arial" w:cs="Arial" w:eastAsia="Arial" w:hAnsi="Arial"/>
            <w:sz w:val="18"/>
            <w:szCs w:val="18"/>
            <w:u w:val="single" w:color="auto"/>
            <w:color w:val="0000FF"/>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0">
        <w:r>
          <w:rPr>
            <w:rFonts w:ascii="Arial" w:cs="Arial" w:eastAsia="Arial" w:hAnsi="Arial"/>
            <w:sz w:val="18"/>
            <w:szCs w:val="18"/>
            <w:u w:val="single" w:color="auto"/>
            <w:color w:val="0000FF"/>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1">
        <w:r>
          <w:rPr>
            <w:rFonts w:ascii="Arial" w:cs="Arial" w:eastAsia="Arial" w:hAnsi="Arial"/>
            <w:sz w:val="18"/>
            <w:szCs w:val="18"/>
            <w:u w:val="single" w:color="auto"/>
            <w:color w:val="0000FF"/>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1">
        <w:r>
          <w:rPr>
            <w:rFonts w:ascii="Arial" w:cs="Arial" w:eastAsia="Arial" w:hAnsi="Arial"/>
            <w:sz w:val="18"/>
            <w:szCs w:val="18"/>
            <w:u w:val="single" w:color="auto"/>
            <w:color w:val="0000FF"/>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1">
        <w:r>
          <w:rPr>
            <w:rFonts w:ascii="Arial" w:cs="Arial" w:eastAsia="Arial" w:hAnsi="Arial"/>
            <w:sz w:val="18"/>
            <w:szCs w:val="18"/>
            <w:u w:val="single" w:color="auto"/>
            <w:color w:val="0000FF"/>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1">
        <w:r>
          <w:rPr>
            <w:rFonts w:ascii="Arial" w:cs="Arial" w:eastAsia="Arial" w:hAnsi="Arial"/>
            <w:sz w:val="18"/>
            <w:szCs w:val="18"/>
            <w:u w:val="single" w:color="auto"/>
            <w:color w:val="0000FF"/>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2">
        <w:r>
          <w:rPr>
            <w:rFonts w:ascii="Arial" w:cs="Arial" w:eastAsia="Arial" w:hAnsi="Arial"/>
            <w:sz w:val="18"/>
            <w:szCs w:val="18"/>
            <w:u w:val="single" w:color="auto"/>
            <w:color w:val="0000FF"/>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49</w:t>
        </w:r>
      </w:hyperlink>
    </w:p>
    <w:p>
      <w:pPr>
        <w:spacing w:after="0" w:line="200" w:lineRule="exact"/>
        <w:rPr>
          <w:sz w:val="20"/>
          <w:szCs w:val="20"/>
          <w:color w:val="auto"/>
        </w:rPr>
      </w:pPr>
    </w:p>
    <w:p>
      <w:pPr>
        <w:sectPr>
          <w:pgSz w:w="11900" w:h="16838" w:orient="portrait"/>
          <w:cols w:equalWidth="0" w:num="2">
            <w:col w:w="9780" w:space="720"/>
            <w:col w:w="6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FF"/>
                <w:w w:val="98"/>
              </w:rPr>
            </w:pPr>
            <w:hyperlink w:anchor="page52">
              <w:r>
                <w:rPr>
                  <w:rFonts w:ascii="Arial" w:cs="Arial" w:eastAsia="Arial" w:hAnsi="Arial"/>
                  <w:sz w:val="18"/>
                  <w:szCs w:val="18"/>
                  <w:b w:val="1"/>
                  <w:bCs w:val="1"/>
                  <w:color w:val="0000FF"/>
                  <w:w w:val="98"/>
                </w:rPr>
                <w:t>SIGNATURE</w:t>
              </w:r>
            </w:hyperlink>
          </w:p>
        </w:tc>
        <w:tc>
          <w:tcPr>
            <w:tcW w:w="10040" w:type="dxa"/>
            <w:vAlign w:val="bottom"/>
            <w:gridSpan w:val="2"/>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0"/>
        </w:trPr>
        <w:tc>
          <w:tcPr>
            <w:tcW w:w="1060" w:type="dxa"/>
            <w:vAlign w:val="bottom"/>
            <w:shd w:val="clear" w:color="auto" w:fill="0000FF"/>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(in thousands, except per share data)</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571,640</w:t>
            </w:r>
          </w:p>
        </w:tc>
        <w:tc>
          <w:tcPr>
            <w:tcW w:w="120" w:type="dxa"/>
            <w:vAlign w:val="bottom"/>
          </w:tcPr>
          <w:p>
            <w:pPr>
              <w:spacing w:after="0"/>
              <w:rPr>
                <w:sz w:val="23"/>
                <w:szCs w:val="23"/>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563,691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388,535</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378,713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183,105</w:t>
            </w: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184,978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49,856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44,478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Product development</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44,356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40,142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11,913</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143,484</w:t>
            </w: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39,621</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Itron, Inc.</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Basic</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 Diluted</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39,913</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40,216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41,045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100,447</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Unrealized gains (losses) on hedging instruments: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unrealized gain (loss) on derivative instruments, designated as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unrealized gain (loss) on nonderivative hedging instruments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hedging loss (gain) reclassified into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93,587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54,136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120,713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 interest,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Amounts attributable to noncontrolling interest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53,917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120,335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March 31, 2012</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2011</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674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389,178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371,641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195,837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58,727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58,172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81,618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900,432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840,354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263,803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262,670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62,704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650,996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636,910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2,098,479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57,537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53,734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93,730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14,971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11,526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48,235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52,588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37,369</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509,010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510,722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423,752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437,502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Pension plan benefit liability</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64,432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62,449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73,483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73,417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1,128,704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1,142,737</w:t>
            </w:r>
          </w:p>
        </w:tc>
      </w:tr>
      <w:tr>
        <w:trPr>
          <w:trHeight w:val="28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1,319,222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(37,160)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(375,137)</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Itron, Inc. shareholders' equity</w:t>
            </w: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954,936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906,925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969,775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921,545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2,098,479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54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43"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rPr>
              <w:t>ITRON, INC.</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r>
      <w:tr>
        <w:trPr>
          <w:trHeight w:val="270"/>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27,126</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31,531</w:t>
            </w:r>
          </w:p>
        </w:tc>
      </w:tr>
      <w:tr>
        <w:trPr>
          <w:trHeight w:val="243"/>
        </w:trPr>
        <w:tc>
          <w:tcPr>
            <w:tcW w:w="808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4,975</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r>
      <w:tr>
        <w:trPr>
          <w:trHeight w:val="243"/>
        </w:trPr>
        <w:tc>
          <w:tcPr>
            <w:tcW w:w="8080" w:type="dxa"/>
            <w:vAlign w:val="bottom"/>
            <w:gridSpan w:val="2"/>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2,643</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Deferred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7,569</w:t>
            </w:r>
          </w:p>
        </w:tc>
      </w:tr>
      <w:tr>
        <w:trPr>
          <w:trHeight w:val="243"/>
        </w:trPr>
        <w:tc>
          <w:tcPr>
            <w:tcW w:w="808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20,825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24,545</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(34,074)</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(12,058)</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11,311</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(29,383)</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9,740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15,693</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6,445</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1,320</w:t>
            </w:r>
          </w:p>
        </w:tc>
      </w:tr>
      <w:tr>
        <w:trPr>
          <w:trHeight w:val="27"/>
        </w:trPr>
        <w:tc>
          <w:tcPr>
            <w:tcW w:w="128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36,013</w:t>
            </w:r>
          </w:p>
        </w:tc>
      </w:tr>
      <w:tr>
        <w:trPr>
          <w:trHeight w:val="365"/>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Business acquisition, net of cash equivalents acquired</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(14,829)</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r>
      <w:tr>
        <w:trPr>
          <w:trHeight w:val="237"/>
        </w:trPr>
        <w:tc>
          <w:tcPr>
            <w:tcW w:w="808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(25,774)</w:t>
            </w:r>
          </w:p>
        </w:tc>
      </w:tr>
      <w:tr>
        <w:trPr>
          <w:trHeight w:val="149"/>
        </w:trPr>
        <w:tc>
          <w:tcPr>
            <w:tcW w:w="12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Payments on debt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(52,919)</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7"/>
        </w:trPr>
        <w:tc>
          <w:tcPr>
            <w:tcW w:w="8080" w:type="dxa"/>
            <w:vAlign w:val="bottom"/>
            <w:gridSpan w:val="2"/>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(23,226)</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(52,366)</w:t>
            </w:r>
          </w:p>
        </w:tc>
      </w:tr>
      <w:tr>
        <w:trPr>
          <w:trHeight w:val="149"/>
        </w:trPr>
        <w:tc>
          <w:tcPr>
            <w:tcW w:w="12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7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w:t>
            </w:r>
          </w:p>
        </w:tc>
      </w:tr>
      <w:tr>
        <w:trPr>
          <w:trHeight w:val="237"/>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(36,065)</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169,477</w:t>
            </w:r>
          </w:p>
        </w:tc>
      </w:tr>
      <w:tr>
        <w:trPr>
          <w:trHeight w:val="237"/>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154,438</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133,412</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02"/>
        </w:trPr>
        <w:tc>
          <w:tcPr>
            <w:tcW w:w="12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purchased but not yet paid,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(2,139)</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Fair value of contingent and deferred consideration payable for business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r>
      <w:tr>
        <w:trPr>
          <w:trHeight w:val="365"/>
        </w:trPr>
        <w:tc>
          <w:tcPr>
            <w:tcW w:w="8080" w:type="dxa"/>
            <w:vAlign w:val="bottom"/>
            <w:gridSpan w:val="2"/>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720"/>
              <w:spacing w:after="0"/>
              <w:rPr>
                <w:sz w:val="20"/>
                <w:szCs w:val="20"/>
                <w:color w:val="auto"/>
              </w:rPr>
            </w:pPr>
            <w:r>
              <w:rPr>
                <w:rFonts w:ascii="Arial" w:cs="Arial" w:eastAsia="Arial" w:hAnsi="Arial"/>
                <w:sz w:val="18"/>
                <w:szCs w:val="18"/>
                <w:color w:val="auto"/>
              </w:rPr>
              <w:t>Income taxes,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10,270</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2,680</w:t>
            </w:r>
          </w:p>
        </w:tc>
      </w:tr>
      <w:tr>
        <w:trPr>
          <w:trHeight w:val="27"/>
        </w:trPr>
        <w:tc>
          <w:tcPr>
            <w:tcW w:w="1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9,495</w:t>
            </w:r>
          </w:p>
        </w:tc>
      </w:tr>
      <w:tr>
        <w:trPr>
          <w:trHeight w:val="27"/>
        </w:trPr>
        <w:tc>
          <w:tcPr>
            <w:tcW w:w="128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360"/>
          </w:cols>
          <w:pgMar w:left="240" w:top="108" w:right="299" w:bottom="4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08" w:right="299" w:bottom="408"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2012 and 2011, the Consolidated Balance Sheets as of March 31, 2012 and December 31, 2011, and the Consolidated Statements of Cash Flows for the three months ended March 31, 2012 and 2011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2011 audited financial statements and notes included in our Annual Report on Form 10-K for the year ended December 31, 2011, as filed with the SEC on February 17, 2012. The results of operations for the three months ended March 31, 2012 are not necessarily indicative of the results expected for the full fiscal year or for any other fiscal period.</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have been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The noncontrolling interest balance in our Consolidated Balance Sheets represents the proportional share of the equity of the joint venture entities, which is attributable to the minority shareholders.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prior period amounts have been reclassified to conform to the current classifications in the Consolidated Statements of Operations. These reclassifications relate to certain administrative expenses in North America that were previously allocated to cost of revenues and sales and marketing and product development operating expenses in prior periods but have been reclassified to general and administrative operating expenses to conform to our worldwide presentation. These reclassifications did not have a material impact to gross profit and had no impact on income before income taxes, net income attributable to Itron, Inc., earnings per share, or total equity.</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In January 2011, we completed the acquisition of Asais S.A.S. and Asais Conseil S.A.S. (collectively Asais), an energy information management software and consulting services provider, located in France. The acquisition consisted of cash and contingent consideration. Additional acquisitions were completed in 2011. These 2011 acquisitions were immaterial to our financial position, results of operations, and cash flows. (See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policy below.)</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The cash and cash equivalents balance in our Consolidated Balance Sheets includes amounts that reside in our joint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venture entities. As a result, the minority shareholders of these entities control their proportional share of the cash and cash equivalents balance, and there may be limitations on Itron to repatriate cash to the U.S. from these entities.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are not used for trading or speculative purposes. Our derivatives are with credit worthy multinational commercial banks, with whom we have master netting agreements; however, our derivative positions are not disclosed on a net basis. There are no credit-risk-related contingent features within our derivative instruments. Refer to Note 7 and Note 13 for further disclosures of our derivative instruments and their impact on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to 10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recognized in conjunction with our restructuring activities, which are classified as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are measured and recorded at fair value, and amortized over the estimated useful life.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at the asset group level when events or changes in circumstances indicate the carrying value may not be recoverable.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new reporting units are Electricity, Gas, and Water. Our new Energy operating segment comprises the Electricity and Gas reporting units, while our new Water operating segment comprises the Water reporting unit. In the first quarter of 2012, we reallocated the goodwill from our former INA reporting unit to the three new reporting units based on the relative fair values of the electricity, gas, and water product lines within INA on January 1, 2012. We also reassigned the goodwill from our former INL Electricity, INL Gas, and INL Water reporting units to the new reporting units, Electricity, Gas, and Water,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involves comparing the fair value of the reporting units to their carrying amounts. If the carrying amount of a reporting unit exceeds its fair value, a second step is required to measure for a goodwill impairment loss. This second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Continuing quality control efforts during manufacturing reduce our exposure to warranty claims. When our quality control efforts fail to detect a fault in one of our products, we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higher than anticipated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postemployement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impairments, net,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the asset group may consist of property, plant, equipment, intangible assets, and goodwill.</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repurchase shares of Itron common stock under a twelve-month program, which was authorized by our Board of Directors on October 24, 2011.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Instead,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essential to other deliverables in the arrangement, 4) upon receipt of customer acceptance, or 5) transfer of title. The majority of our revenue is recognized when products are shipped to or received by a customer or when services are provided.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primarily enter into two types of multiple deliverable arrangements, which include a combination of hardware and associated software and services:</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reliably estimated or the completed contract methodology if project costs cannot be reliably estimated.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to deploy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results in the deferral of costs and revenues as professional services and software implementation commence prior to deployment of hardware.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software arrangements.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regularly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we experience significant variances in our selling prices or if a significant change in our business necessitates a more timely analysis.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Unearned revenue is recorded when a customer pays for products or services, but the criteria for revenue recognition have not been met as of the balance sheet date. Unearned revenues of $72.4 million and $61.0 million at March 31, 2012 and December 31, 2011 related primarily to professional services and software associated with our smart metering contracts, extended or noncustomary warranty, and prepaid post-contract support. Deferred cost is recorded for products or services for which ownership (typically defined as title and risk of loss) has transferred to the customer, but the criteria for revenue recognition have not been met as of the balance sheet date. Deferred costs were $10.2 million and $11.7 million at March 31, 2012 and December 31, 2011 and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other assets in the Consolidated Balance Sheets.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generally do not capitalize product and software development expenses due to the relatively short period of time between technological feasibility and the completion of product and software development, and the immaterial nature of these costs.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if probable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the period that includes the enactment date. A valuation allowance is recorded to reduce the carrying amount of deferred tax assets if it is not more likely than not that such assets will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a two step approach to account for uncertain tax positions. 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or upon expiration of the statute of limitations. We classify interest expense and penalties related to uncertain tax positions and interest income on tax overpayments as part of income tax expense.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80" w:lineRule="exact"/>
        <w:rPr>
          <w:sz w:val="20"/>
          <w:szCs w:val="20"/>
          <w:color w:val="auto"/>
        </w:rPr>
      </w:pPr>
    </w:p>
    <w:p>
      <w:pPr>
        <w:jc w:val="center"/>
        <w:ind w:left="24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24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33020</wp:posOffset>
            </wp:positionV>
            <wp:extent cx="2160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34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342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(in thousands, except per share data)</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27,120</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40,546</w:t>
            </w:r>
          </w:p>
        </w:tc>
        <w:tc>
          <w:tcPr>
            <w:tcW w:w="0" w:type="dxa"/>
            <w:vAlign w:val="bottom"/>
          </w:tcPr>
          <w:p>
            <w:pPr>
              <w:spacing w:after="0"/>
              <w:rPr>
                <w:sz w:val="1"/>
                <w:szCs w:val="1"/>
                <w:color w:val="auto"/>
              </w:rPr>
            </w:pPr>
          </w:p>
        </w:tc>
      </w:tr>
      <w:tr>
        <w:trPr>
          <w:trHeight w:val="237"/>
        </w:trPr>
        <w:tc>
          <w:tcPr>
            <w:tcW w:w="5200" w:type="dxa"/>
            <w:vAlign w:val="bottom"/>
          </w:tcPr>
          <w:p>
            <w:pPr>
              <w:ind w:left="380"/>
              <w:spacing w:after="0"/>
              <w:rPr>
                <w:sz w:val="20"/>
                <w:szCs w:val="20"/>
                <w:color w:val="auto"/>
              </w:rPr>
            </w:pPr>
            <w:r>
              <w:rPr>
                <w:rFonts w:ascii="Arial" w:cs="Arial" w:eastAsia="Arial" w:hAnsi="Arial"/>
                <w:sz w:val="16"/>
                <w:szCs w:val="16"/>
                <w:color w:val="auto"/>
              </w:rPr>
              <w:t>Dilutive effect of convertible notes</w:t>
            </w:r>
          </w:p>
        </w:tc>
        <w:tc>
          <w:tcPr>
            <w:tcW w:w="10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7"/>
        </w:trPr>
        <w:tc>
          <w:tcPr>
            <w:tcW w:w="52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40,216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41,045</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 Basic</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per common share - Diluted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convertible notes, which were repaid/redeemed during the third quarter of 2011, contained a provision that would have required us to settle the principal amount of the convertible notes in cash and settle the remaining conversion obligation (stock price in excess of conversion price) in cash, shares, or a combination thereof. During the periods in which the convertible notes were outstanding, we included in the EPS calculation the amount of shares it would have taken to satisfy the conversion obligation, assuming that all of the convertible notes were converted. The average quarterly closing prices of our common stock were used as the basis for determining the dilutive effect on EPS. The quarterly average closing prices of our common stock for the three months ended March 31, 2011 did not exceed the conversion price of $65.16 and, therefore, did not have an effect on diluted shares outstanding.</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1.2 million and 657,000 stock-based awards were excluded from the calculation of diluted EPS for the three months ended March 31, 2012 and 2011, respectively, because they were anti-dilutive. These stock-based awards could be dilutive in future periods.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March 31, 2012 and December 31, 2011.</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24, 2011, our Board of Directors authorized a twelve-month repurchase program of up to $100 million of our common stock, which will expire on October 23, 2012. Repurchases are made in the open market or in privately negotiated transactions, and in accordance with applicable securities laws. As of March 31, 2012, we have repurchased $40 million of our common stock, with $60 million remaining under the repurchase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60" w:type="dxa"/>
            <w:vAlign w:val="bottom"/>
          </w:tcPr>
          <w:p>
            <w:pPr>
              <w:spacing w:after="0"/>
              <w:rPr>
                <w:sz w:val="20"/>
                <w:szCs w:val="20"/>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2012</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receivables (net of allowance of $5,983 and $6,049)</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328,845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53,545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42,796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389,178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At March 31, 2012 and December 31, 2011, $19.0 million and $2.5 million were recorded within trade receivables as billed but not yet paid by customers in accordance with contract retainage provisions. At March 31, 2012 and December 31, 2011, contract retainage amounts that were unbilled and classified as unbilled receivables were $9.2 million and $7.4 million.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ind w:left="420" w:right="20"/>
        <w:spacing w:after="0" w:line="264" w:lineRule="auto"/>
        <w:rPr>
          <w:sz w:val="20"/>
          <w:szCs w:val="20"/>
          <w:color w:val="auto"/>
        </w:rPr>
      </w:pPr>
      <w:r>
        <w:rPr>
          <w:rFonts w:ascii="Arial" w:cs="Arial" w:eastAsia="Arial" w:hAnsi="Arial"/>
          <w:sz w:val="18"/>
          <w:szCs w:val="18"/>
          <w:color w:val="auto"/>
        </w:rPr>
        <w:t>At March 31, 2012, we had no long-term unbilled receivables or long-term retainage contract receivables as we expect to collect all contract retainage and unbilled receivables within the following 12 months. At December 31, 2011, long-term unbilled receivables and long-term retainage contracts totaled $31.5 million.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360" w:type="dxa"/>
            <w:vAlign w:val="bottom"/>
          </w:tcPr>
          <w:p>
            <w:pPr>
              <w:spacing w:after="0"/>
              <w:rPr>
                <w:sz w:val="17"/>
                <w:szCs w:val="17"/>
                <w:color w:val="auto"/>
              </w:rPr>
            </w:pPr>
          </w:p>
        </w:tc>
        <w:tc>
          <w:tcPr>
            <w:tcW w:w="43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center"/>
              <w:ind w:left="1399"/>
              <w:spacing w:after="0"/>
              <w:rPr>
                <w:sz w:val="20"/>
                <w:szCs w:val="20"/>
                <w:color w:val="auto"/>
              </w:rPr>
            </w:pPr>
            <w:r>
              <w:rPr>
                <w:rFonts w:ascii="Arial" w:cs="Arial" w:eastAsia="Arial" w:hAnsi="Arial"/>
                <w:sz w:val="16"/>
                <w:szCs w:val="16"/>
                <w:b w:val="1"/>
                <w:bCs w:val="1"/>
                <w:color w:val="auto"/>
                <w:w w:val="97"/>
              </w:rPr>
              <w:t>March 31,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89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center"/>
              <w:ind w:left="1399"/>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9,045</w:t>
            </w:r>
          </w:p>
        </w:tc>
        <w:tc>
          <w:tcPr>
            <w:tcW w:w="0" w:type="dxa"/>
            <w:vAlign w:val="bottom"/>
          </w:tcPr>
          <w:p>
            <w:pPr>
              <w:spacing w:after="0"/>
              <w:rPr>
                <w:sz w:val="1"/>
                <w:szCs w:val="1"/>
                <w:color w:val="auto"/>
              </w:rPr>
            </w:pPr>
          </w:p>
        </w:tc>
      </w:tr>
      <w:tr>
        <w:trPr>
          <w:trHeight w:val="237"/>
        </w:trPr>
        <w:tc>
          <w:tcPr>
            <w:tcW w:w="6740" w:type="dxa"/>
            <w:vAlign w:val="bottom"/>
          </w:tcPr>
          <w:p>
            <w:pPr>
              <w:ind w:left="540"/>
              <w:spacing w:after="0"/>
              <w:rPr>
                <w:sz w:val="20"/>
                <w:szCs w:val="20"/>
                <w:color w:val="auto"/>
              </w:rPr>
            </w:pPr>
            <w:r>
              <w:rPr>
                <w:rFonts w:ascii="Arial" w:cs="Arial" w:eastAsia="Arial" w:hAnsi="Arial"/>
                <w:sz w:val="16"/>
                <w:szCs w:val="16"/>
                <w:color w:val="auto"/>
              </w:rPr>
              <w:t>Provision (release) of doubtful accounts, net</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6740" w:type="dxa"/>
            <w:vAlign w:val="bottom"/>
          </w:tcPr>
          <w:p>
            <w:pPr>
              <w:ind w:left="540"/>
              <w:spacing w:after="0"/>
              <w:rPr>
                <w:sz w:val="20"/>
                <w:szCs w:val="20"/>
                <w:color w:val="auto"/>
              </w:rPr>
            </w:pPr>
            <w:r>
              <w:rPr>
                <w:rFonts w:ascii="Arial" w:cs="Arial" w:eastAsia="Arial" w:hAnsi="Arial"/>
                <w:sz w:val="16"/>
                <w:szCs w:val="16"/>
                <w:color w:val="auto"/>
              </w:rPr>
              <w:t>Effects of change in exchange rates</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Inventories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2012</w:t>
            </w:r>
          </w:p>
        </w:tc>
        <w:tc>
          <w:tcPr>
            <w:tcW w:w="460" w:type="dxa"/>
            <w:vAlign w:val="bottom"/>
          </w:tcPr>
          <w:p>
            <w:pPr>
              <w:spacing w:after="0"/>
              <w:rPr>
                <w:sz w:val="24"/>
                <w:szCs w:val="24"/>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center"/>
              <w:ind w:left="1399"/>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112,470</w:t>
            </w:r>
          </w:p>
        </w:tc>
        <w:tc>
          <w:tcPr>
            <w:tcW w:w="0" w:type="dxa"/>
            <w:vAlign w:val="bottom"/>
          </w:tcPr>
          <w:p>
            <w:pPr>
              <w:spacing w:after="0"/>
              <w:rPr>
                <w:sz w:val="1"/>
                <w:szCs w:val="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14,573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16,306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67,061</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210,658</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195,837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ind w:left="420" w:right="20"/>
        <w:spacing w:after="0" w:line="342" w:lineRule="auto"/>
        <w:rPr>
          <w:sz w:val="20"/>
          <w:szCs w:val="20"/>
          <w:color w:val="auto"/>
        </w:rPr>
      </w:pPr>
      <w:r>
        <w:rPr>
          <w:rFonts w:ascii="Arial" w:cs="Arial" w:eastAsia="Arial" w:hAnsi="Arial"/>
          <w:sz w:val="16"/>
          <w:szCs w:val="16"/>
          <w:color w:val="auto"/>
        </w:rPr>
        <w:t>Consigned inventory is held at third-party locations; however, we retain title to the inventory until purchased by the third-party. Consigned inventory, consisting of raw materials and finished goods, was $6.8 million and $7.4 million at March 31, 2012 and December 31, 2011,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60" w:type="dxa"/>
            <w:vAlign w:val="bottom"/>
          </w:tcPr>
          <w:p>
            <w:pPr>
              <w:spacing w:after="0"/>
              <w:rPr>
                <w:sz w:val="20"/>
                <w:szCs w:val="20"/>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2012</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269,611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purchased software</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77,857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74,885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140,064</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28,632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26,126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550,321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531,373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(286,518)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(268,703)</w:t>
            </w:r>
          </w:p>
        </w:tc>
      </w:tr>
      <w:tr>
        <w:trPr>
          <w:trHeight w:val="217"/>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263,803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262,670</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46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gridSpan w:val="2"/>
            <w:vMerge w:val="restart"/>
          </w:tcPr>
          <w:p>
            <w:pPr>
              <w:ind w:left="360"/>
              <w:spacing w:after="0"/>
              <w:rPr>
                <w:sz w:val="20"/>
                <w:szCs w:val="20"/>
                <w:color w:val="auto"/>
              </w:rPr>
            </w:pPr>
            <w:r>
              <w:rPr>
                <w:rFonts w:ascii="Arial" w:cs="Arial" w:eastAsia="Arial" w:hAnsi="Arial"/>
                <w:sz w:val="16"/>
                <w:szCs w:val="16"/>
                <w:color w:val="auto"/>
              </w:rPr>
              <w:t>Depreciation expense</w:t>
            </w: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gridSpan w:val="2"/>
            <w:vMerge w:val="continue"/>
          </w:tcPr>
          <w:p>
            <w:pPr>
              <w:spacing w:after="0"/>
              <w:rPr>
                <w:sz w:val="20"/>
                <w:szCs w:val="20"/>
                <w:color w:val="auto"/>
              </w:rPr>
            </w:pPr>
          </w:p>
        </w:tc>
        <w:tc>
          <w:tcPr>
            <w:tcW w:w="146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15,314</w:t>
            </w:r>
          </w:p>
        </w:tc>
        <w:tc>
          <w:tcPr>
            <w:tcW w:w="9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15,934</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Assets</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387,606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82,321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286,978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(140,418)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278,581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147,163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749,194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239,500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749,194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759,152</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5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10,297</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37,086</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500" w:type="dxa"/>
            <w:vAlign w:val="bottom"/>
            <w:tcBorders>
              <w:top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765,712</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806,535</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8"/>
                <w:szCs w:val="18"/>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 (amount remaining at March 31, 2012)</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35,868</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39,476</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31,883</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26,232</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21,631</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Beyond 2016</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79,223</w:t>
            </w:r>
          </w:p>
        </w:tc>
      </w:tr>
      <w:tr>
        <w:trPr>
          <w:trHeight w:val="33"/>
        </w:trPr>
        <w:tc>
          <w:tcPr>
            <w:tcW w:w="8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5"/>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234,313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2012, our reporting segments were changed from two geographic operating segments, Itron North America and Itron International, to two product operating segments, Energy and Water. As a result, we reallocated the goodwill balance as of January 1, 2012 to the reporting units within these two operating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goodwill balance as of March 31, 2012 and 2011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at January 1, 2011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1,209,376</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Goodwill acquired</w:t>
            </w:r>
          </w:p>
        </w:tc>
        <w:tc>
          <w:tcPr>
            <w:tcW w:w="36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10,083</w:t>
            </w: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74,993</w:t>
            </w:r>
          </w:p>
        </w:tc>
      </w:tr>
      <w:tr>
        <w:trPr>
          <w:trHeight w:val="244"/>
        </w:trPr>
        <w:tc>
          <w:tcPr>
            <w:tcW w:w="4360" w:type="dxa"/>
            <w:vAlign w:val="bottom"/>
          </w:tcPr>
          <w:p>
            <w:pPr>
              <w:ind w:left="40"/>
              <w:spacing w:after="0"/>
              <w:rPr>
                <w:sz w:val="20"/>
                <w:szCs w:val="20"/>
                <w:color w:val="auto"/>
              </w:rPr>
            </w:pPr>
            <w:r>
              <w:rPr>
                <w:rFonts w:ascii="Arial" w:cs="Arial" w:eastAsia="Arial" w:hAnsi="Arial"/>
                <w:sz w:val="16"/>
                <w:szCs w:val="16"/>
                <w:color w:val="auto"/>
              </w:rPr>
              <w:t>Goodwill at March 31, 2011</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1,294,452</w:t>
            </w: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 Company</w:t>
            </w:r>
          </w:p>
        </w:tc>
        <w:tc>
          <w:tcPr>
            <w:tcW w:w="480" w:type="dxa"/>
            <w:vAlign w:val="bottom"/>
          </w:tcPr>
          <w:p>
            <w:pPr>
              <w:spacing w:after="0"/>
              <w:rPr>
                <w:sz w:val="18"/>
                <w:szCs w:val="18"/>
                <w:color w:val="auto"/>
              </w:rPr>
            </w:pPr>
          </w:p>
        </w:tc>
        <w:tc>
          <w:tcPr>
            <w:tcW w:w="1900" w:type="dxa"/>
            <w:vAlign w:val="bottom"/>
            <w:gridSpan w:val="2"/>
          </w:tcPr>
          <w:p>
            <w:pPr>
              <w:ind w:left="400"/>
              <w:spacing w:after="0"/>
              <w:rPr>
                <w:sz w:val="20"/>
                <w:szCs w:val="20"/>
                <w:color w:val="auto"/>
              </w:rPr>
            </w:pPr>
            <w:r>
              <w:rPr>
                <w:rFonts w:ascii="Arial" w:cs="Arial" w:eastAsia="Arial" w:hAnsi="Arial"/>
                <w:sz w:val="16"/>
                <w:szCs w:val="16"/>
                <w:b w:val="1"/>
                <w:bCs w:val="1"/>
                <w:color w:val="auto"/>
              </w:rPr>
              <w:t>Energy</w:t>
            </w:r>
          </w:p>
        </w:tc>
        <w:tc>
          <w:tcPr>
            <w:tcW w:w="5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Balance at January 1, 2012</w:t>
            </w: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1,221,757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808,601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413,156</w:t>
            </w: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6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584,847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254,735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330,112</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636,910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553,866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83,044</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7,025</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2012</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6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1,226,165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811,447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414,718</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575,169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250,520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324,649</w:t>
            </w:r>
          </w:p>
        </w:tc>
        <w:tc>
          <w:tcPr>
            <w:tcW w:w="0" w:type="dxa"/>
            <w:vAlign w:val="bottom"/>
          </w:tcPr>
          <w:p>
            <w:pPr>
              <w:spacing w:after="0"/>
              <w:rPr>
                <w:sz w:val="1"/>
                <w:szCs w:val="1"/>
                <w:color w:val="auto"/>
              </w:rPr>
            </w:pPr>
          </w:p>
        </w:tc>
      </w:tr>
      <w:tr>
        <w:trPr>
          <w:trHeight w:val="244"/>
        </w:trPr>
        <w:tc>
          <w:tcPr>
            <w:tcW w:w="436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650,996</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560,927</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significant decline in the price of our shares of common stock at the end of September 2011, our aggregate market value was significantly lower than the aggregate carrying value of our net assets. As a result, we performed an impairment test of our goodwill as of September 30, 2011, and recorded total goodwill impairment charges of $584.8 million in the year ended December 31, 2011. These goodwill impairment charges were associated with our previous reporting units of Itron International Electricity and Itron International Water. The accumulated impairment losses were reallocated to our new operating segments, Energy and Water, effective January 1, 2012.</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currency; therefore, the carrying amounts of these balances increase or decrease, with a corresponding change in accumulated OCI, due to changes in foreign currency exchange rates.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components of our borrowings are as follows:</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6"/>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2012</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2011</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6740" w:type="dxa"/>
            <w:vAlign w:val="bottom"/>
          </w:tcPr>
          <w:p>
            <w:pPr>
              <w:ind w:left="520"/>
              <w:spacing w:after="0"/>
              <w:rPr>
                <w:sz w:val="20"/>
                <w:szCs w:val="20"/>
                <w:color w:val="auto"/>
              </w:rPr>
            </w:pPr>
            <w:r>
              <w:rPr>
                <w:rFonts w:ascii="Arial" w:cs="Arial" w:eastAsia="Arial" w:hAnsi="Arial"/>
                <w:sz w:val="18"/>
                <w:szCs w:val="18"/>
                <w:color w:val="auto"/>
              </w:rPr>
              <w:t>2011 credit facility</w:t>
            </w:r>
          </w:p>
        </w:tc>
        <w:tc>
          <w:tcPr>
            <w:tcW w:w="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292,502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Multicurrency revolving line of credit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160,000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5, 2011, we entered into an $800 million senior secured credit facility (the 2011 credit facility), which replaced the senior secured credit facility we entered into in 2007 (the 2007 credit facility). The 2011 credit facility consists of a $300 million</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 dollar term loan (the term loan) and a multicurrency revolving line of credit (the revolver) with a principal amount of up to $500 million. Both the term loan and the revolver mature on August 8, 2016 and amounts borrowed under the revolver are classified as long-term. Amounts borrowed under the revolver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and paid in arrears on the last day of each fiscal quarter, ranging from 0.20% to 0.40% per annum depending on our total leverage ratio as of the most recently ended fiscal quarter. Amounts repaid on the term loan may not be reborrowed. The 2011 credit facility permits us and certain of our foreign subsidiaries to borrow in U.S. dollars, euros, British pounds, or, with lender approval, other currencies readily convertible into U.S. dollars. All obligations under the 2011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covenants, which contain certain financial ratios and place certain restrictions on the incurrence of debt, investments, and the issuance of dividends. We were in compliance with the debt covenants under the 2011 credit facility at March 31, 2012.</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amounts of $3.8 million through June 2013, $5.6 million from September 2013 through June 2014, $7.5 million from September 2014 through June 2016, and the remainder due at maturity on August 8, 2016. The term loan may be repaid early in whole or in part, subject to certain minimum thresholds, without penalty.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2011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March 31, 2012, the interest rate for both the term loan and the revolver was 1.50% (the LIBOR rate plus a margin of 1.25%).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Total credit facility repayments were as follows: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78"/>
        </w:trPr>
        <w:tc>
          <w:tcPr>
            <w:tcW w:w="7660" w:type="dxa"/>
            <w:vAlign w:val="bottom"/>
          </w:tcPr>
          <w:p>
            <w:pPr>
              <w:spacing w:after="0"/>
              <w:rPr>
                <w:sz w:val="24"/>
                <w:szCs w:val="24"/>
                <w:color w:val="auto"/>
              </w:rPr>
            </w:pPr>
          </w:p>
        </w:tc>
        <w:tc>
          <w:tcPr>
            <w:tcW w:w="3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Pr>
          <w:p>
            <w:pPr>
              <w:spacing w:after="0"/>
              <w:rPr>
                <w:sz w:val="24"/>
                <w:szCs w:val="24"/>
                <w:color w:val="auto"/>
              </w:rPr>
            </w:pP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 credit facility term loan</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2011 credit facility multicurrency revolving line of credit</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2007 credit facility term loans</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52,919</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credit facility repayments</w:t>
            </w: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13,750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52,919</w:t>
            </w: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2012, $150 million was outstanding under the 2011 credit facility revolver, and $46.8 million was utilized by outstanding standby letters of credit, resulting in $303.2 million available for additional borrowings. On April 2, 2012, we increased the revolver from $500 million to $660 million in accordance with the terms of the 2011 credit facility agreement.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2011, unamortized prepaid debt fees of $2.4 million were written-off to interest expense upon payment of the 2007 credit facility. Prepaid debt fees of approximately $6.6 million were capitalized associated with the 2011 credit facility. Unamortized prepaid debt fees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March 31, 2012</w:t>
            </w:r>
          </w:p>
        </w:tc>
        <w:tc>
          <w:tcPr>
            <w:tcW w:w="540" w:type="dxa"/>
            <w:vAlign w:val="bottom"/>
          </w:tcPr>
          <w:p>
            <w:pPr>
              <w:spacing w:after="0"/>
              <w:rPr>
                <w:sz w:val="20"/>
                <w:szCs w:val="20"/>
                <w:color w:val="auto"/>
              </w:rPr>
            </w:pPr>
          </w:p>
        </w:tc>
        <w:tc>
          <w:tcPr>
            <w:tcW w:w="23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December 31, 2011</w:t>
            </w:r>
          </w:p>
        </w:tc>
      </w:tr>
      <w:tr>
        <w:trPr>
          <w:trHeight w:val="27"/>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90"/>
              </w:rPr>
              <w:t>(in thousands)</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prepaid debt fees</w:t>
            </w:r>
          </w:p>
        </w:tc>
        <w:tc>
          <w:tcPr>
            <w:tcW w:w="176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5,719</w:t>
            </w:r>
          </w:p>
        </w:tc>
        <w:tc>
          <w:tcPr>
            <w:tcW w:w="12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6,027</w:t>
            </w:r>
          </w:p>
        </w:tc>
      </w:tr>
      <w:tr>
        <w:trPr>
          <w:trHeight w:val="27"/>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we repurchased $184.8 million of the convertible notes at their principal amount plus accrued and unpaid interest. On September 30, 2011, we redeemed the remaining $38.8 million of the convertible notes, plus accrued and unpaid interest.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were separated between the liability and equity components using our estimated non-convertible debt borrowing rate at the time the convertible notes were issued, which was determined to be 7.38%. This rate also reflected the effective interest rate on the liability component for all periods during which the convertible notes were outstanding. The carrying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amount of the equity component of $31.8 million is retained as a permanent component of our shareholders' equity, and no gain or loss was recognized upon derecognition of the convertible notes as the fair value of the consideration transferred to the holders equaled the fair value of the liability component.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discount on the liability component was fully amortized by the end of the second quarter of 2011.The interest expense relating to both the contractual interest coupon and amortization of the discount on the liability component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1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Three Months Ended March 31,</w:t>
            </w:r>
          </w:p>
        </w:tc>
        <w:tc>
          <w:tcPr>
            <w:tcW w:w="58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6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1,398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120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2,643</w:t>
            </w:r>
          </w:p>
        </w:tc>
      </w:tr>
      <w:tr>
        <w:trPr>
          <w:trHeight w:val="27"/>
        </w:trPr>
        <w:tc>
          <w:tcPr>
            <w:tcW w:w="7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4,041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fair values of our derivative instruments are determined using the income approach and significant other observable inputs (also known as “Level 2”), as defined by FASB Accounting Standards Codification (ASC) 820-10-20,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have used observable market inputs based on the type of derivative and the nature of the underlying instrument. The key inputs used at March 31, 2012 included foreign exchange spot and forward rates, both of which are available in an active market. We have utilized the mid-market pricing convention for these inputs at March 31, 2012.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March 31, 2012 and December 31, 2011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580" w:type="dxa"/>
            <w:vAlign w:val="bottom"/>
          </w:tcPr>
          <w:p>
            <w:pPr>
              <w:spacing w:after="0"/>
              <w:rPr>
                <w:sz w:val="20"/>
                <w:szCs w:val="20"/>
                <w:color w:val="auto"/>
              </w:rPr>
            </w:pPr>
          </w:p>
        </w:tc>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97"/>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32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458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1,442</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March 31,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termination of our net investment hedge in August 2011, the net derivative loss will remain in accumulated OCI until such time when earnings are impacted by a sale or liquidation of the associated foreign operation.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a result of our floating rate debt, we are exposed to variability in our cash flows from changes in the applicable interest rate index. Historically, we have entered into interest rate swaps to achieve a fixed rate of interest on the hedged portion of the debt in order to reduce variability in cash flows.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through December 31, 2012. The objective of this swap was to protect us from increases in the EURIBOR base borrowing rates. The swaps did not protect us from changes to the applicable margin under our credit agreement. Throughout the duration of the hedging relationship, this cash flow hedge was expected to be highly effective in achieving offsetting cash flows attributable to the hedged risk. Consequently, effective changes in the fair value of the interest rate swap were recorded as a component of OCI and were recognized in earnings when the hedged item affected earnings. The amounts paid or received on the hedge were recognized as adjustments to interest expense. In August 2011, we repaid our 2007 credit facility, which included the euro-denominated term loan. In conjunction with the debt repayment, we paid $2.9 million to terminate the related interest rate swap and the accumulated loss in OCI was reclassified to interest expense.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2010, we entered into two interest rate swaps with one-year terms, which each converted $100 million of our U.S. dollar term loan from a floating LIBOR interest rate to fixed interest rates of 2.11% and 2.15%, respectively. These swaps expired on June 30, 2011 and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months ended March 31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8"/>
              </w:rPr>
              <w:t>Amount of Gain (Loss)</w:t>
            </w:r>
          </w:p>
        </w:tc>
        <w:tc>
          <w:tcPr>
            <w:tcW w:w="120" w:type="dxa"/>
            <w:vAlign w:val="bottom"/>
          </w:tcPr>
          <w:p>
            <w:pPr>
              <w:spacing w:after="0"/>
              <w:rPr>
                <w:sz w:val="13"/>
                <w:szCs w:val="13"/>
                <w:color w:val="auto"/>
              </w:rPr>
            </w:pPr>
          </w:p>
        </w:tc>
        <w:tc>
          <w:tcPr>
            <w:tcW w:w="2980" w:type="dxa"/>
            <w:vAlign w:val="bottom"/>
            <w:gridSpan w:val="5"/>
          </w:tcPr>
          <w:p>
            <w:pPr>
              <w:jc w:val="right"/>
              <w:spacing w:after="0"/>
              <w:rPr>
                <w:sz w:val="20"/>
                <w:szCs w:val="20"/>
                <w:color w:val="auto"/>
              </w:rPr>
            </w:pPr>
            <w:r>
              <w:rPr>
                <w:rFonts w:ascii="Arial" w:cs="Arial" w:eastAsia="Arial" w:hAnsi="Arial"/>
                <w:sz w:val="13"/>
                <w:szCs w:val="13"/>
                <w:b w:val="1"/>
                <w:bCs w:val="1"/>
                <w:color w:val="auto"/>
              </w:rPr>
              <w:t>Gain (Loss) Reclassified from Accumulated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5"/>
          </w:tcPr>
          <w:p>
            <w:pPr>
              <w:jc w:val="center"/>
              <w:ind w:left="257"/>
              <w:spacing w:after="0"/>
              <w:rPr>
                <w:sz w:val="20"/>
                <w:szCs w:val="20"/>
                <w:color w:val="auto"/>
              </w:rPr>
            </w:pPr>
            <w:r>
              <w:rPr>
                <w:rFonts w:ascii="Arial" w:cs="Arial" w:eastAsia="Arial" w:hAnsi="Arial"/>
                <w:sz w:val="13"/>
                <w:szCs w:val="13"/>
                <w:b w:val="1"/>
                <w:bCs w:val="1"/>
                <w:color w:val="auto"/>
                <w:w w:val="86"/>
              </w:rPr>
              <w:t>Gain (Loss) Recognized in Income on</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00" w:type="dxa"/>
            <w:vAlign w:val="bottom"/>
          </w:tcPr>
          <w:p>
            <w:pPr>
              <w:spacing w:after="0"/>
              <w:rPr>
                <w:sz w:val="12"/>
                <w:szCs w:val="12"/>
                <w:color w:val="auto"/>
              </w:rPr>
            </w:pPr>
          </w:p>
        </w:tc>
        <w:tc>
          <w:tcPr>
            <w:tcW w:w="17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9"/>
              </w:rPr>
              <w:t>Recognized in OCI on</w:t>
            </w:r>
          </w:p>
        </w:tc>
        <w:tc>
          <w:tcPr>
            <w:tcW w:w="120" w:type="dxa"/>
            <w:vAlign w:val="bottom"/>
          </w:tcPr>
          <w:p>
            <w:pPr>
              <w:spacing w:after="0"/>
              <w:rPr>
                <w:sz w:val="12"/>
                <w:szCs w:val="12"/>
                <w:color w:val="auto"/>
              </w:rPr>
            </w:pPr>
          </w:p>
        </w:tc>
        <w:tc>
          <w:tcPr>
            <w:tcW w:w="2980" w:type="dxa"/>
            <w:vAlign w:val="bottom"/>
            <w:gridSpan w:val="5"/>
          </w:tcPr>
          <w:p>
            <w:pPr>
              <w:jc w:val="right"/>
              <w:ind w:right="177"/>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5"/>
          </w:tcPr>
          <w:p>
            <w:pPr>
              <w:jc w:val="center"/>
              <w:ind w:left="25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5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Cash Flow</w:t>
            </w:r>
          </w:p>
        </w:tc>
        <w:tc>
          <w:tcPr>
            <w:tcW w:w="20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91"/>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Hedging Relationships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57"/>
              <w:spacing w:after="0"/>
              <w:rPr>
                <w:sz w:val="20"/>
                <w:szCs w:val="20"/>
                <w:color w:val="auto"/>
              </w:rPr>
            </w:pPr>
            <w:r>
              <w:rPr>
                <w:rFonts w:ascii="Arial" w:cs="Arial" w:eastAsia="Arial" w:hAnsi="Arial"/>
                <w:sz w:val="13"/>
                <w:szCs w:val="13"/>
                <w:b w:val="1"/>
                <w:bCs w:val="1"/>
                <w:color w:val="auto"/>
                <w:w w:val="88"/>
              </w:rPr>
              <w:t>Portion)</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Location</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97"/>
              <w:spacing w:after="0"/>
              <w:rPr>
                <w:sz w:val="20"/>
                <w:szCs w:val="20"/>
                <w:color w:val="auto"/>
              </w:rPr>
            </w:pPr>
            <w:r>
              <w:rPr>
                <w:rFonts w:ascii="Arial" w:cs="Arial" w:eastAsia="Arial" w:hAnsi="Arial"/>
                <w:sz w:val="13"/>
                <w:szCs w:val="13"/>
                <w:b w:val="1"/>
                <w:bCs w:val="1"/>
                <w:color w:val="auto"/>
                <w:w w:val="89"/>
              </w:rPr>
              <w:t>Amount</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2012</w:t>
            </w:r>
          </w:p>
        </w:tc>
        <w:tc>
          <w:tcPr>
            <w:tcW w:w="440" w:type="dxa"/>
            <w:vAlign w:val="bottom"/>
          </w:tcPr>
          <w:p>
            <w:pPr>
              <w:spacing w:after="0"/>
              <w:rPr>
                <w:sz w:val="22"/>
                <w:szCs w:val="22"/>
                <w:color w:val="auto"/>
              </w:rPr>
            </w:pPr>
          </w:p>
        </w:tc>
        <w:tc>
          <w:tcPr>
            <w:tcW w:w="600" w:type="dxa"/>
            <w:vAlign w:val="bottom"/>
          </w:tcPr>
          <w:p>
            <w:pPr>
              <w:jc w:val="right"/>
              <w:ind w:right="277"/>
              <w:spacing w:after="0"/>
              <w:rPr>
                <w:sz w:val="20"/>
                <w:szCs w:val="20"/>
                <w:color w:val="auto"/>
              </w:rPr>
            </w:pPr>
            <w:r>
              <w:rPr>
                <w:rFonts w:ascii="Arial" w:cs="Arial" w:eastAsia="Arial" w:hAnsi="Arial"/>
                <w:sz w:val="13"/>
                <w:szCs w:val="13"/>
                <w:b w:val="1"/>
                <w:bCs w:val="1"/>
                <w:color w:val="auto"/>
                <w:w w:val="82"/>
              </w:rPr>
              <w:t>2011</w:t>
            </w:r>
          </w:p>
        </w:tc>
        <w:tc>
          <w:tcPr>
            <w:tcW w:w="232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2012</w:t>
            </w: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jc w:val="right"/>
              <w:ind w:right="257"/>
              <w:spacing w:after="0"/>
              <w:rPr>
                <w:sz w:val="20"/>
                <w:szCs w:val="20"/>
                <w:color w:val="auto"/>
              </w:rPr>
            </w:pPr>
            <w:r>
              <w:rPr>
                <w:rFonts w:ascii="Arial" w:cs="Arial" w:eastAsia="Arial" w:hAnsi="Arial"/>
                <w:sz w:val="13"/>
                <w:szCs w:val="13"/>
                <w:b w:val="1"/>
                <w:bCs w:val="1"/>
                <w:color w:val="auto"/>
                <w:w w:val="75"/>
              </w:rPr>
              <w:t>2011</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2012</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left="357"/>
              <w:spacing w:after="0"/>
              <w:rPr>
                <w:sz w:val="20"/>
                <w:szCs w:val="20"/>
                <w:color w:val="auto"/>
              </w:rPr>
            </w:pPr>
            <w:r>
              <w:rPr>
                <w:rFonts w:ascii="Arial" w:cs="Arial" w:eastAsia="Arial" w:hAnsi="Arial"/>
                <w:sz w:val="13"/>
                <w:szCs w:val="13"/>
                <w:b w:val="1"/>
                <w:bCs w:val="1"/>
                <w:color w:val="auto"/>
                <w:w w:val="84"/>
              </w:rPr>
              <w:t>(in thousands)</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(in thousands)</w:t>
            </w: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center"/>
              <w:ind w:right="177"/>
              <w:spacing w:after="0"/>
              <w:rPr>
                <w:sz w:val="20"/>
                <w:szCs w:val="20"/>
                <w:color w:val="auto"/>
              </w:rPr>
            </w:pPr>
            <w:r>
              <w:rPr>
                <w:rFonts w:ascii="Arial" w:cs="Arial" w:eastAsia="Arial" w:hAnsi="Arial"/>
                <w:sz w:val="13"/>
                <w:szCs w:val="13"/>
                <w:b w:val="1"/>
                <w:bCs w:val="1"/>
                <w:color w:val="auto"/>
                <w:w w:val="87"/>
              </w:rPr>
              <w:t>(in thousands)</w:t>
            </w:r>
          </w:p>
        </w:tc>
        <w:tc>
          <w:tcPr>
            <w:tcW w:w="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w w:val="90"/>
              </w:rPr>
              <w:t>Three Months Ended March 31,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Interest rate swap contracts</w:t>
            </w: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(2,328)</w:t>
            </w:r>
          </w:p>
        </w:tc>
        <w:tc>
          <w:tcPr>
            <w:tcW w:w="120" w:type="dxa"/>
            <w:vAlign w:val="bottom"/>
            <w:shd w:val="clear" w:color="auto" w:fill="CCEEFF"/>
          </w:tcPr>
          <w:p>
            <w:pPr>
              <w:spacing w:after="0"/>
              <w:rPr>
                <w:sz w:val="15"/>
                <w:szCs w:val="15"/>
                <w:color w:val="auto"/>
              </w:rPr>
            </w:pPr>
          </w:p>
        </w:tc>
        <w:tc>
          <w:tcPr>
            <w:tcW w:w="2200" w:type="dxa"/>
            <w:vAlign w:val="bottom"/>
            <w:gridSpan w:val="3"/>
            <w:vMerge w:val="restart"/>
            <w:shd w:val="clear" w:color="auto" w:fill="CCEEFF"/>
          </w:tcPr>
          <w:p>
            <w:pPr>
              <w:jc w:val="right"/>
              <w:ind w:right="500"/>
              <w:spacing w:after="0"/>
              <w:rPr>
                <w:sz w:val="20"/>
                <w:szCs w:val="20"/>
                <w:color w:val="auto"/>
              </w:rPr>
            </w:pPr>
            <w:r>
              <w:rPr>
                <w:rFonts w:ascii="Arial" w:cs="Arial" w:eastAsia="Arial" w:hAnsi="Arial"/>
                <w:sz w:val="13"/>
                <w:szCs w:val="13"/>
                <w:color w:val="auto"/>
              </w:rPr>
              <w:t>Interest expense   $</w:t>
            </w:r>
          </w:p>
        </w:tc>
        <w:tc>
          <w:tcPr>
            <w:tcW w:w="34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100" w:type="dxa"/>
            <w:vAlign w:val="bottom"/>
            <w:shd w:val="clear" w:color="auto" w:fill="CCEEFF"/>
          </w:tcPr>
          <w:p>
            <w:pPr>
              <w:spacing w:after="0"/>
              <w:rPr>
                <w:sz w:val="15"/>
                <w:szCs w:val="15"/>
                <w:color w:val="auto"/>
              </w:rPr>
            </w:pPr>
          </w:p>
        </w:tc>
        <w:tc>
          <w:tcPr>
            <w:tcW w:w="182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3"/>
                <w:szCs w:val="13"/>
                <w:color w:val="auto"/>
              </w:rPr>
              <w:t>Interest expense   $</w:t>
            </w:r>
          </w:p>
        </w:tc>
        <w:tc>
          <w:tcPr>
            <w:tcW w:w="3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4"/>
              </w:rPr>
              <w:t>(49)</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0" w:type="dxa"/>
            <w:vAlign w:val="bottom"/>
            <w:gridSpan w:val="3"/>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20" w:type="dxa"/>
            <w:vAlign w:val="bottom"/>
            <w:gridSpan w:val="3"/>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exposed us to fluctuations in the euro foreign exchange rate. Therefore, we designated this foreign currency denominated term loan as a hedge of our net investment in international operations. The non-functional currency term loan was revalued into U.S. dollars at each balance sheet date, and the changes in value associated with currency fluctuations were recorded as adjustments to long-term debt with offsetting gains and losses recorded in OCI. The loan was repaid in full in August 2011 as part of our repayment of the 2007 credit facility. The net derivative loss will remain in accumulated OCI until such time when earnings are impacted by a sale or liquidation of the associated foreign operation.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and net of tax effects of our net investment hedge nonderivative financial instrument on OCI for the three months ended March 31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Nonderivative Financial Instruments in ASC 815-20</w:t>
            </w:r>
          </w:p>
        </w:tc>
        <w:tc>
          <w:tcPr>
            <w:tcW w:w="4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Euro Denominated Term Loan Designated as a Hedge</w:t>
            </w:r>
          </w:p>
        </w:tc>
      </w:tr>
      <w:tr>
        <w:trPr>
          <w:trHeight w:val="210"/>
        </w:trPr>
        <w:tc>
          <w:tcPr>
            <w:tcW w:w="6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Net Investment Hedging Relationships</w:t>
            </w:r>
          </w:p>
        </w:tc>
        <w:tc>
          <w:tcPr>
            <w:tcW w:w="424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3"/>
              </w:rPr>
              <w:t>of Our Net Investment in International Operations</w:t>
            </w:r>
          </w:p>
        </w:tc>
        <w:tc>
          <w:tcPr>
            <w:tcW w:w="640" w:type="dxa"/>
            <w:vAlign w:val="bottom"/>
          </w:tcPr>
          <w:p>
            <w:pPr>
              <w:spacing w:after="0"/>
              <w:rPr>
                <w:sz w:val="18"/>
                <w:szCs w:val="18"/>
                <w:color w:val="auto"/>
              </w:rPr>
            </w:pP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00" w:type="dxa"/>
            <w:vAlign w:val="bottom"/>
            <w:gridSpan w:val="2"/>
          </w:tcPr>
          <w:p>
            <w:pPr>
              <w:jc w:val="center"/>
              <w:ind w:right="799"/>
              <w:spacing w:after="0"/>
              <w:rPr>
                <w:sz w:val="20"/>
                <w:szCs w:val="20"/>
                <w:color w:val="auto"/>
              </w:rPr>
            </w:pPr>
            <w:r>
              <w:rPr>
                <w:rFonts w:ascii="Arial" w:cs="Arial" w:eastAsia="Arial" w:hAnsi="Arial"/>
                <w:sz w:val="16"/>
                <w:szCs w:val="16"/>
                <w:b w:val="1"/>
                <w:bCs w:val="1"/>
                <w:color w:val="auto"/>
                <w:w w:val="92"/>
              </w:rPr>
              <w:t>Three Months Ended</w:t>
            </w:r>
          </w:p>
        </w:tc>
        <w:tc>
          <w:tcPr>
            <w:tcW w:w="640" w:type="dxa"/>
            <w:vAlign w:val="bottom"/>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00" w:type="dxa"/>
            <w:vAlign w:val="bottom"/>
            <w:gridSpan w:val="2"/>
          </w:tcPr>
          <w:p>
            <w:pPr>
              <w:jc w:val="center"/>
              <w:ind w:right="799"/>
              <w:spacing w:after="0"/>
              <w:rPr>
                <w:sz w:val="20"/>
                <w:szCs w:val="20"/>
                <w:color w:val="auto"/>
              </w:rPr>
            </w:pPr>
            <w:r>
              <w:rPr>
                <w:rFonts w:ascii="Arial" w:cs="Arial" w:eastAsia="Arial" w:hAnsi="Arial"/>
                <w:sz w:val="16"/>
                <w:szCs w:val="16"/>
                <w:b w:val="1"/>
                <w:bCs w:val="1"/>
                <w:color w:val="auto"/>
                <w:w w:val="94"/>
              </w:rPr>
              <w:t>March 31,</w:t>
            </w:r>
          </w:p>
        </w:tc>
        <w:tc>
          <w:tcPr>
            <w:tcW w:w="6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860" w:type="dxa"/>
            <w:vAlign w:val="bottom"/>
          </w:tcPr>
          <w:p>
            <w:pPr>
              <w:spacing w:after="0"/>
              <w:rPr>
                <w:sz w:val="20"/>
                <w:szCs w:val="20"/>
                <w:color w:val="auto"/>
              </w:rPr>
            </w:pPr>
          </w:p>
        </w:tc>
        <w:tc>
          <w:tcPr>
            <w:tcW w:w="1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64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00" w:type="dxa"/>
            <w:vAlign w:val="bottom"/>
            <w:gridSpan w:val="2"/>
          </w:tcPr>
          <w:p>
            <w:pPr>
              <w:jc w:val="center"/>
              <w:ind w:right="799"/>
              <w:spacing w:after="0"/>
              <w:rPr>
                <w:sz w:val="20"/>
                <w:szCs w:val="20"/>
                <w:color w:val="auto"/>
              </w:rPr>
            </w:pPr>
            <w:r>
              <w:rPr>
                <w:rFonts w:ascii="Arial" w:cs="Arial" w:eastAsia="Arial" w:hAnsi="Arial"/>
                <w:sz w:val="16"/>
                <w:szCs w:val="16"/>
                <w:b w:val="1"/>
                <w:bCs w:val="1"/>
                <w:color w:val="auto"/>
                <w:w w:val="88"/>
              </w:rPr>
              <w:t>(in thousands)</w:t>
            </w:r>
          </w:p>
        </w:tc>
        <w:tc>
          <w:tcPr>
            <w:tcW w:w="640" w:type="dxa"/>
            <w:vAlign w:val="bottom"/>
          </w:tcPr>
          <w:p>
            <w:pPr>
              <w:spacing w:after="0"/>
              <w:rPr>
                <w:sz w:val="18"/>
                <w:szCs w:val="18"/>
                <w:color w:val="auto"/>
              </w:rPr>
            </w:pP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Gain (loss) recognized in OCI on derivative (Effective Portion)</w:t>
            </w:r>
          </w:p>
        </w:tc>
        <w:tc>
          <w:tcPr>
            <w:tcW w:w="1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7"/>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Before tax</w:t>
            </w: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(12,580)</w:t>
            </w:r>
          </w:p>
        </w:tc>
      </w:tr>
      <w:tr>
        <w:trPr>
          <w:trHeight w:val="237"/>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Net of tax</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(7,810)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145 contracts were entered into during the three months ended March 31, 2012), which are not designated for hedge accounting, with the intent to reduce earnings volatility associated with certain of these balances. The notional amounts of the contracts ranged from $120,000 to $37 million, offsetting our exposures from the euro, British pound, Canadian dollar, Australian dollar, Brazilian real, and various other currencies.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months ended March 31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(Loss) Recognized on Derivatives in Other Income</w:t>
            </w:r>
          </w:p>
        </w:tc>
      </w:tr>
      <w:tr>
        <w:trPr>
          <w:trHeight w:val="210"/>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(Expense)</w:t>
            </w:r>
          </w:p>
        </w:tc>
        <w:tc>
          <w:tcPr>
            <w:tcW w:w="124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Derivatives Not Designated as</w:t>
            </w:r>
          </w:p>
        </w:tc>
        <w:tc>
          <w:tcPr>
            <w:tcW w:w="1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240" w:type="dxa"/>
            <w:vAlign w:val="bottom"/>
          </w:tcPr>
          <w:p>
            <w:pPr>
              <w:spacing w:after="0"/>
              <w:rPr>
                <w:sz w:val="18"/>
                <w:szCs w:val="18"/>
                <w:color w:val="auto"/>
              </w:rPr>
            </w:pPr>
          </w:p>
        </w:tc>
      </w:tr>
      <w:tr>
        <w:trPr>
          <w:trHeight w:val="210"/>
        </w:trPr>
        <w:tc>
          <w:tcPr>
            <w:tcW w:w="5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Hedging Instrument under ASC 815-20</w:t>
            </w:r>
          </w:p>
        </w:tc>
        <w:tc>
          <w:tcPr>
            <w:tcW w:w="1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1240" w:type="dxa"/>
            <w:vAlign w:val="bottom"/>
          </w:tcPr>
          <w:p>
            <w:pPr>
              <w:spacing w:after="0"/>
              <w:rPr>
                <w:sz w:val="18"/>
                <w:szCs w:val="18"/>
                <w:color w:val="auto"/>
              </w:rPr>
            </w:pPr>
          </w:p>
        </w:tc>
      </w:tr>
      <w:tr>
        <w:trPr>
          <w:trHeight w:val="33"/>
        </w:trPr>
        <w:tc>
          <w:tcPr>
            <w:tcW w:w="5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jc w:val="right"/>
              <w:ind w:right="779"/>
              <w:spacing w:after="0"/>
              <w:rPr>
                <w:sz w:val="20"/>
                <w:szCs w:val="20"/>
                <w:color w:val="auto"/>
              </w:rPr>
            </w:pPr>
            <w:r>
              <w:rPr>
                <w:rFonts w:ascii="Arial" w:cs="Arial" w:eastAsia="Arial" w:hAnsi="Arial"/>
                <w:sz w:val="16"/>
                <w:szCs w:val="16"/>
                <w:b w:val="1"/>
                <w:bCs w:val="1"/>
                <w:color w:val="auto"/>
              </w:rPr>
              <w:t>2011</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4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8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r>
      <w:tr>
        <w:trPr>
          <w:trHeight w:val="33"/>
        </w:trPr>
        <w:tc>
          <w:tcPr>
            <w:tcW w:w="5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offering death and disability, retirement, and special termination benefits. The defined benefit obligation is calculated annually by using the projected unit credit method. The measurement date for the pension plans was December 31, 2011.</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2012</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in other long-term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2,621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pension plan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62,449</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Net pension plan benefit liability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64,621</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$321,000 and $354,000 to the defined benefit pension plans for the three months ended March 31, 2012 and 2011, respectively. The timing of when contributions are made can vary by plan and from year to year. For 2012, assuming that actual plan asset returns are consistent with our expected rate of return, and that interest rates remain constant, we expect to contribute approximately $524,000 to our defined benefit pension plans. We contributed $520,000 to the defined benefit pension plans for the year ended December 31, 2011.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42"/>
        </w:trPr>
        <w:tc>
          <w:tcPr>
            <w:tcW w:w="7660" w:type="dxa"/>
            <w:vAlign w:val="bottom"/>
            <w:gridSpan w:val="2"/>
          </w:tcPr>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1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8"/>
              </w:rPr>
              <w:t>(in thousands)</w:t>
            </w:r>
          </w:p>
        </w:tc>
        <w:tc>
          <w:tcPr>
            <w:tcW w:w="5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917</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Amortization of actuarial net loss (gain)</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costs</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Net periodic benefit cost</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three months ended March 31, stock-based compensation expense and the related tax benefit were as follows:</w:t>
      </w:r>
    </w:p>
    <w:p>
      <w:pPr>
        <w:spacing w:after="0" w:line="312"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81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5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9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3,516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7"/>
        </w:trPr>
        <w:tc>
          <w:tcPr>
            <w:tcW w:w="5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stock awards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ESPP</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5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4,198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tax benefit</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March 31, 2012, 1,371,152 shares were available for grant under the Stock Incentive Plan.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02"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22860</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ind w:left="5620"/>
              <w:spacing w:after="0"/>
              <w:rPr>
                <w:sz w:val="20"/>
                <w:szCs w:val="20"/>
                <w:color w:val="auto"/>
              </w:rPr>
            </w:pPr>
            <w:r>
              <w:rPr>
                <w:rFonts w:ascii="Arial" w:cs="Arial" w:eastAsia="Arial" w:hAnsi="Arial"/>
                <w:sz w:val="18"/>
                <w:szCs w:val="18"/>
                <w:b w:val="1"/>
                <w:bCs w:val="1"/>
                <w:color w:val="auto"/>
                <w:w w:val="99"/>
              </w:rPr>
              <w:t>2012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Dividend yield</w:t>
            </w: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5.14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three months ended March 31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1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23.93</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2011</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251"/>
        </w:trPr>
        <w:tc>
          <w:tcPr>
            <w:tcW w:w="3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March 31, 2011</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53.58</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251"/>
        </w:trPr>
        <w:tc>
          <w:tcPr>
            <w:tcW w:w="3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March 31, 2011</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69.69</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251"/>
        </w:trPr>
        <w:tc>
          <w:tcPr>
            <w:tcW w:w="3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18.64</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48.51</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251"/>
        </w:trPr>
        <w:tc>
          <w:tcPr>
            <w:tcW w:w="3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March 31,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56.93</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251"/>
        </w:trPr>
        <w:tc>
          <w:tcPr>
            <w:tcW w:w="3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March 31,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45"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2012, total unrecognized stock-based compensation expense related to nonvested stock options was approximately $2.2 million, which is expected to be recognized over a weighted average period of approximately 2.1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of a restricted stock unit is the market close price of our common stock on the date of grant. Restricted stock units generally vest over a three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net of forfeitures, is recognized over the vesting period.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through the participant’s retirement eligible date. For performance awards granted in 2012, the maximum restricted stock units that may become eligible for vesting is 208,000 with a grant date fair value of $44.07.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three months ended March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6"/>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253</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56.67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8,857</w:t>
            </w:r>
          </w:p>
        </w:tc>
        <w:tc>
          <w:tcPr>
            <w:tcW w:w="0" w:type="dxa"/>
            <w:vAlign w:val="bottom"/>
          </w:tcPr>
          <w:p>
            <w:pPr>
              <w:spacing w:after="0"/>
              <w:rPr>
                <w:sz w:val="1"/>
                <w:szCs w:val="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374</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48.23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10,976</w:t>
            </w:r>
          </w:p>
        </w:tc>
        <w:tc>
          <w:tcPr>
            <w:tcW w:w="0" w:type="dxa"/>
            <w:vAlign w:val="bottom"/>
          </w:tcPr>
          <w:p>
            <w:pPr>
              <w:spacing w:after="0"/>
              <w:rPr>
                <w:sz w:val="1"/>
                <w:szCs w:val="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March 31,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33,290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72"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These restricted stock units do not include the respective 2011 and 2012 awards under the Performance Award Agreement, which are not eligible for vesting as of March 31 of each respective year.</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2012, unrecognized compensation expense on restricted stock units was $32.3 million, which is expected to be recognized over a weighted average period of approximately 2.3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grant unrestricted stock awards to our Board of Directors as part of their compensation. Awards are fully vested and expensed when granted. The fair value of unrestricted stock awards is the market close price of our common stock on the date of grant.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months ended March 31:</w:t>
      </w:r>
    </w:p>
    <w:p>
      <w:pPr>
        <w:spacing w:after="0" w:line="361" w:lineRule="exact"/>
        <w:rPr>
          <w:sz w:val="20"/>
          <w:szCs w:val="20"/>
          <w:color w:val="auto"/>
        </w:rPr>
      </w:pPr>
    </w:p>
    <w:p>
      <w:pPr>
        <w:jc w:val="center"/>
        <w:ind w:left="20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20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33020</wp:posOffset>
            </wp:positionV>
            <wp:extent cx="1972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r>
      <w:tr>
        <w:trPr>
          <w:trHeight w:val="33"/>
        </w:trPr>
        <w:tc>
          <w:tcPr>
            <w:tcW w:w="5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r>
      <w:tr>
        <w:trPr>
          <w:trHeight w:val="284"/>
        </w:trPr>
        <w:tc>
          <w:tcPr>
            <w:tcW w:w="5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w:t>
            </w:r>
          </w:p>
        </w:tc>
      </w:tr>
      <w:tr>
        <w:trPr>
          <w:trHeight w:val="33"/>
        </w:trPr>
        <w:tc>
          <w:tcPr>
            <w:tcW w:w="5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to the employees occurs at the beginning of the subsequent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months ended March 31:</w:t>
      </w:r>
    </w:p>
    <w:p>
      <w:pPr>
        <w:spacing w:after="0" w:line="388" w:lineRule="exact"/>
        <w:rPr>
          <w:sz w:val="20"/>
          <w:szCs w:val="20"/>
          <w:color w:val="auto"/>
        </w:rPr>
      </w:pPr>
    </w:p>
    <w:p>
      <w:pPr>
        <w:jc w:val="center"/>
        <w:ind w:left="20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20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33020</wp:posOffset>
            </wp:positionV>
            <wp:extent cx="197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17,058</w:t>
            </w:r>
          </w:p>
        </w:tc>
        <w:tc>
          <w:tcPr>
            <w:tcW w:w="0" w:type="dxa"/>
            <w:vAlign w:val="bottom"/>
          </w:tcPr>
          <w:p>
            <w:pPr>
              <w:spacing w:after="0"/>
              <w:rPr>
                <w:sz w:val="1"/>
                <w:szCs w:val="1"/>
                <w:color w:val="auto"/>
              </w:rPr>
            </w:pPr>
          </w:p>
        </w:tc>
      </w:tr>
      <w:tr>
        <w:trPr>
          <w:trHeight w:val="74"/>
        </w:trPr>
        <w:tc>
          <w:tcPr>
            <w:tcW w:w="514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25"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 during the three months ended March 31.</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2012, all compensation cost associated with the ESPP had been recognized. There were approximately 74,000 shares of common stock available for future issuance under the ESPP at March 31, 2012.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provisions (benefits) as a percentage of income (loss) before tax typically differ from the federal statutory rate of 35%, and may vary from period to period, due to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2012, we had a tax provision of 27%, based on a percentage of income before tax, as compared with a tax provision of 26% for the same period in 2011.</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tax provisions in 2012 and 2011 differ from the federal statutory rate due to projected earnings in tax jurisdictions with rates lower than 35%, the benefit of certain interest expense deductions, and an election under U.S. Internal Revenue Code Section 338 with respect to a foreign acquisition in 2007.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(benefit) recognized is as follows:</w:t>
      </w:r>
    </w:p>
    <w:p>
      <w:pPr>
        <w:spacing w:after="0" w:line="302"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81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8" w:lineRule="exact"/>
        <w:rPr>
          <w:sz w:val="20"/>
          <w:szCs w:val="20"/>
          <w:color w:val="auto"/>
        </w:rPr>
      </w:pPr>
    </w:p>
    <w:p>
      <w:pPr>
        <w:ind w:left="5700"/>
        <w:spacing w:after="0"/>
        <w:tabs>
          <w:tab w:leader="none" w:pos="730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34290</wp:posOffset>
            </wp:positionV>
            <wp:extent cx="1981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2311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113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5140" w:val="left"/>
          <w:tab w:leader="none" w:pos="6260" w:val="left"/>
          <w:tab w:leader="none" w:pos="6740" w:val="left"/>
          <w:tab w:leader="none" w:pos="7980" w:val="left"/>
        </w:tabs>
        <w:rPr>
          <w:sz w:val="20"/>
          <w:szCs w:val="20"/>
          <w:color w:val="auto"/>
        </w:rPr>
      </w:pPr>
      <w:r>
        <w:rPr>
          <w:rFonts w:ascii="Arial" w:cs="Arial" w:eastAsia="Arial" w:hAnsi="Arial"/>
          <w:sz w:val="18"/>
          <w:szCs w:val="18"/>
          <w:color w:val="auto"/>
        </w:rPr>
        <w:t>Net interest and penalties expense (benefit)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287</w:t>
        <w:tab/>
        <w:t>$</w:t>
      </w:r>
      <w:r>
        <w:rPr>
          <w:sz w:val="20"/>
          <w:szCs w:val="20"/>
          <w:color w:val="auto"/>
        </w:rPr>
        <w:tab/>
      </w: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80"/>
        </w:trPr>
        <w:tc>
          <w:tcPr>
            <w:tcW w:w="7200" w:type="dxa"/>
            <w:vAlign w:val="bottom"/>
            <w:gridSpan w:val="2"/>
          </w:tcPr>
          <w:p>
            <w:pPr>
              <w:spacing w:after="0"/>
              <w:rPr>
                <w:sz w:val="20"/>
                <w:szCs w:val="20"/>
                <w:color w:val="auto"/>
              </w:rPr>
            </w:pPr>
            <w:r>
              <w:rPr>
                <w:rFonts w:ascii="Arial" w:cs="Arial" w:eastAsia="Arial" w:hAnsi="Arial"/>
                <w:sz w:val="18"/>
                <w:szCs w:val="18"/>
                <w:color w:val="auto"/>
              </w:rPr>
              <w:t>Accrued interest and penalties recorded are as follows:</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 2012</w:t>
            </w:r>
          </w:p>
        </w:tc>
        <w:tc>
          <w:tcPr>
            <w:tcW w:w="3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3"/>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3"/>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Accrued penalties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 2012</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3"/>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3"/>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related to uncertain tax positions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w w:val="95"/>
              </w:rPr>
              <w:t>The amount of unrecognized tax benefits that, if recognized, would affect our effective tax rate</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25,109</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24,451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$8.5 million within the next twelve months due to the expiration of the statute of limitations, and completion of examinations by taxing authorities. At March 31, 2012, we are not able to reasonably estimate the timing of future cash flows relating to our uncertain tax positions.</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2012</w:t>
            </w:r>
          </w:p>
        </w:tc>
        <w:tc>
          <w:tcPr>
            <w:tcW w:w="240" w:type="dxa"/>
            <w:vAlign w:val="bottom"/>
          </w:tcPr>
          <w:p>
            <w:pPr>
              <w:spacing w:after="0"/>
              <w:rPr>
                <w:sz w:val="18"/>
                <w:szCs w:val="18"/>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December 31, 2011</w:t>
            </w: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6"/>
                <w:szCs w:val="16"/>
                <w:color w:val="auto"/>
              </w:rPr>
              <w:t>Long-term borrowings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(44,549)</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Arial" w:cs="Arial" w:eastAsia="Arial" w:hAnsi="Arial"/>
                <w:sz w:val="16"/>
                <w:szCs w:val="16"/>
                <w:color w:val="auto"/>
              </w:rPr>
              <w:t>Net available for additional borrowings and LOC’s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303,214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295,451</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40" w:type="dxa"/>
            <w:vAlign w:val="bottom"/>
            <w:shd w:val="clear" w:color="auto" w:fill="CCEEFF"/>
          </w:tcPr>
          <w:p>
            <w:pPr>
              <w:spacing w:after="0"/>
              <w:rPr>
                <w:sz w:val="21"/>
                <w:szCs w:val="21"/>
                <w:color w:val="auto"/>
              </w:rPr>
            </w:pPr>
          </w:p>
        </w:tc>
        <w:tc>
          <w:tcPr>
            <w:tcW w:w="6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40" w:type="dxa"/>
            <w:vAlign w:val="bottom"/>
          </w:tcPr>
          <w:p>
            <w:pPr>
              <w:spacing w:after="0"/>
              <w:rPr>
                <w:sz w:val="4"/>
                <w:szCs w:val="4"/>
                <w:color w:val="auto"/>
              </w:rPr>
            </w:pPr>
          </w:p>
        </w:tc>
        <w:tc>
          <w:tcPr>
            <w:tcW w:w="6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67,968</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(27,305)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(28,733)</w:t>
            </w:r>
          </w:p>
        </w:tc>
        <w:tc>
          <w:tcPr>
            <w:tcW w:w="0" w:type="dxa"/>
            <w:vAlign w:val="bottom"/>
          </w:tcPr>
          <w:p>
            <w:pPr>
              <w:spacing w:after="0"/>
              <w:rPr>
                <w:sz w:val="1"/>
                <w:szCs w:val="1"/>
                <w:color w:val="auto"/>
              </w:rPr>
            </w:pPr>
          </w:p>
        </w:tc>
      </w:tr>
      <w:tr>
        <w:trPr>
          <w:trHeight w:val="33"/>
        </w:trPr>
        <w:tc>
          <w:tcPr>
            <w:tcW w:w="2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available for additional borrowings and LOC’s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surety bonds in force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139,954</w:t>
            </w:r>
          </w:p>
        </w:tc>
        <w:tc>
          <w:tcPr>
            <w:tcW w:w="0" w:type="dxa"/>
            <w:vAlign w:val="bottom"/>
          </w:tcPr>
          <w:p>
            <w:pPr>
              <w:spacing w:after="0"/>
              <w:rPr>
                <w:sz w:val="1"/>
                <w:szCs w:val="1"/>
                <w:color w:val="auto"/>
              </w:rPr>
            </w:pPr>
          </w:p>
        </w:tc>
      </w:tr>
      <w:tr>
        <w:trPr>
          <w:trHeight w:val="343"/>
        </w:trPr>
        <w:tc>
          <w:tcPr>
            <w:tcW w:w="24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c>
          <w:tcPr>
            <w:tcW w:w="6960" w:type="dxa"/>
            <w:vAlign w:val="bottom"/>
            <w:vMerge w:val="restart"/>
          </w:tcPr>
          <w:p>
            <w:pPr>
              <w:ind w:left="100"/>
              <w:spacing w:after="0"/>
              <w:rPr>
                <w:sz w:val="20"/>
                <w:szCs w:val="20"/>
                <w:color w:val="auto"/>
              </w:rPr>
            </w:pPr>
            <w:r>
              <w:rPr>
                <w:rFonts w:ascii="Arial" w:cs="Arial" w:eastAsia="Arial" w:hAnsi="Arial"/>
                <w:sz w:val="16"/>
                <w:szCs w:val="16"/>
                <w:color w:val="auto"/>
              </w:rPr>
              <w:t>See Note 6 for details regarding our secured credit facilities.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April 2, 2012, we increased the revolver from $500 million to $660 million in accordance with the terms of the 2011 credit facility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08"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March 31, 2012 were not material to our financial condition or results of operations.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2010 and 2011, Transdata Incorporated (Transdata) filed lawsuits against three of our customers, CenterPoint Energy (CenterPoint), TriCounty Electric Cooperative, Inc. (Tri-County), and San Diego Gas &amp; Electric Company (San Diego), two customers of recently acquired SmartSynch, Inc., and several other utilities, alleging infringement of three patents owned by Transdata related to the use of an antenna in a meter. Pursuant to our contractual obligations with our customers, we agreed to indemnify and defend them in these lawsuits. The complaints seek unspecified damages as well as injunctive relief. CenterPoint, Tri-County, and San Diego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17th, the Oklahoma court stayed the litigation pending the resolution of re-examination proceedings in the United States Patent and Trademark Office (U.S. PTO). All claims on two of the three asserted patents currently stand rejected in those proceedings. For the remaining asserted patent, on May 2, 2012, the U.S. PTO issued a notice indicating that certain of the original claims, and new claims, have been determined to be patentable by TransData.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23, 2011, a class action lawsuit was filed in U.S. Federal Court for the Eastern District of Washington alleging a violation of federal securities laws relating to a restatement of our financial results for the quarters ended March 31, June 30, and September 30, 2010. These revisions were made primarily to defer revenue that had been incorrectly recognized on one contract due to a misinterpretation of an extended warranty obligation. The effect was to reduce revenue and earnings in each of the first three quarters of the year. For the first nine months of 2010, total revenue was reduced by $6.1 million and diluted EPS was reduced by $0.11. On August 22, 2011, the lead plaintiff filed a consolidated complaint, which defendants moved to dismiss. The decision on the Motion to Dismiss is pending. We believe the facts and legal claims alleged are without merit, and we intend to vigorously defend our interests.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2011, a lawsuit was filed in the Superior Court of the State of Washington, in and for Spokane County against certain officers and directors seeking unspecified damages on behalf of Itron, Inc. The complaint alleges that the defendants breached their fiduciary obligations to Itron with respect to the restatement of Itron's financial results for the quarters ended March 31, June 30, and September 30, 2010. This lawsuit is a shareholder derivative action that purports to assert claims on behalf of Itron, Inc. This purported derivative action has been stayed pending the outcome of the Motion to Dismiss the class action lawsuit pending in U.S. Federal Court for the Eastern District of Washington. Defendants believe they have valid defenses and intend to defend themselves vigorously.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2011, a lawsuit was filed in the United States District Court for the Eastern District of Texas alleging infringement of three patents owned by EON Corp. IP Holdings, LLC (EON), related to two-way communication networks, network components, and related software platforms. The complaint seeks unspecified damages as well as injunctive relief.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560" w:type="dxa"/>
            <w:vAlign w:val="bottom"/>
          </w:tcPr>
          <w:p>
            <w:pPr>
              <w:spacing w:after="0"/>
              <w:rPr>
                <w:sz w:val="20"/>
                <w:szCs w:val="20"/>
                <w:color w:val="auto"/>
              </w:rPr>
            </w:pPr>
          </w:p>
        </w:tc>
      </w:tr>
      <w:tr>
        <w:trPr>
          <w:trHeight w:val="33"/>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79,536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51,283</w:t>
            </w:r>
          </w:p>
        </w:tc>
      </w:tr>
      <w:tr>
        <w:trPr>
          <w:trHeight w:val="237"/>
        </w:trPr>
        <w:tc>
          <w:tcPr>
            <w:tcW w:w="448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1,883</w:t>
            </w: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9,012</w:t>
            </w:r>
          </w:p>
        </w:tc>
      </w:tr>
      <w:tr>
        <w:trPr>
          <w:trHeight w:val="237"/>
        </w:trPr>
        <w:tc>
          <w:tcPr>
            <w:tcW w:w="448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(11,320)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(4,447)</w:t>
            </w: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1,432</w:t>
            </w:r>
          </w:p>
        </w:tc>
      </w:tr>
      <w:tr>
        <w:trPr>
          <w:trHeight w:val="217"/>
        </w:trPr>
        <w:tc>
          <w:tcPr>
            <w:tcW w:w="4480" w:type="dxa"/>
            <w:vAlign w:val="bottom"/>
          </w:tcPr>
          <w:p>
            <w:pPr>
              <w:ind w:left="40"/>
              <w:spacing w:after="0"/>
              <w:rPr>
                <w:sz w:val="20"/>
                <w:szCs w:val="20"/>
                <w:color w:val="auto"/>
              </w:rPr>
            </w:pPr>
            <w:r>
              <w:rPr>
                <w:rFonts w:ascii="Arial" w:cs="Arial" w:eastAsia="Arial" w:hAnsi="Arial"/>
                <w:sz w:val="16"/>
                <w:szCs w:val="16"/>
                <w:color w:val="auto"/>
              </w:rPr>
              <w:t>Ending balance, March 31</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77,251</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59,163</w:t>
            </w: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48,235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26,260</w:t>
            </w:r>
          </w:p>
        </w:tc>
      </w:tr>
      <w:tr>
        <w:trPr>
          <w:trHeight w:val="244"/>
        </w:trPr>
        <w:tc>
          <w:tcPr>
            <w:tcW w:w="448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29,016</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32,903</w:t>
            </w:r>
          </w:p>
        </w:tc>
      </w:tr>
      <w:tr>
        <w:trPr>
          <w:trHeight w:val="20"/>
        </w:trPr>
        <w:tc>
          <w:tcPr>
            <w:tcW w:w="4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for the three months ended March 31 is as follows:</w:t>
      </w:r>
    </w:p>
    <w:p>
      <w:pPr>
        <w:spacing w:after="0" w:line="36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37465</wp:posOffset>
            </wp:positionV>
            <wp:extent cx="2195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80" w:lineRule="exact"/>
        <w:rPr>
          <w:sz w:val="20"/>
          <w:szCs w:val="20"/>
          <w:color w:val="auto"/>
        </w:rPr>
      </w:pPr>
    </w:p>
    <w:p>
      <w:pPr>
        <w:ind w:left="5160"/>
        <w:spacing w:after="0"/>
        <w:tabs>
          <w:tab w:leader="none" w:pos="6920" w:val="left"/>
        </w:tabs>
        <w:rPr>
          <w:sz w:val="20"/>
          <w:szCs w:val="20"/>
          <w:color w:val="auto"/>
        </w:rPr>
      </w:pPr>
      <w:r>
        <w:rPr>
          <w:rFonts w:ascii="Arial" w:cs="Arial" w:eastAsia="Arial" w:hAnsi="Arial"/>
          <w:sz w:val="16"/>
          <w:szCs w:val="16"/>
          <w:b w:val="1"/>
          <w:bCs w:val="1"/>
          <w:color w:val="auto"/>
        </w:rPr>
        <w:t>2012</w:t>
      </w:r>
      <w:r>
        <w:rPr>
          <w:sz w:val="20"/>
          <w:szCs w:val="20"/>
          <w:color w:val="auto"/>
        </w:rPr>
        <w:tab/>
      </w:r>
      <w:r>
        <w:rPr>
          <w:rFonts w:ascii="Arial" w:cs="Arial" w:eastAsia="Arial" w:hAnsi="Arial"/>
          <w:sz w:val="16"/>
          <w:szCs w:val="16"/>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37465</wp:posOffset>
            </wp:positionV>
            <wp:extent cx="2195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6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0342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34280" cy="17145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4480" w:val="left"/>
          <w:tab w:leader="none" w:pos="5700" w:val="left"/>
          <w:tab w:leader="none" w:pos="6260" w:val="left"/>
          <w:tab w:leader="none" w:pos="7480" w:val="left"/>
        </w:tabs>
        <w:rPr>
          <w:sz w:val="20"/>
          <w:szCs w:val="20"/>
          <w:color w:val="auto"/>
        </w:rPr>
      </w:pPr>
      <w:r>
        <w:rPr>
          <w:rFonts w:ascii="Arial" w:cs="Arial" w:eastAsia="Arial" w:hAnsi="Arial"/>
          <w:sz w:val="16"/>
          <w:szCs w:val="16"/>
          <w:color w:val="auto"/>
        </w:rPr>
        <w:t>Total warranty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7,960</w:t>
        <w:tab/>
        <w:t>$</w:t>
      </w:r>
      <w:r>
        <w:rPr>
          <w:sz w:val="20"/>
          <w:szCs w:val="20"/>
          <w:color w:val="auto"/>
        </w:rPr>
        <w:tab/>
      </w:r>
      <w:r>
        <w:rPr>
          <w:rFonts w:ascii="Arial" w:cs="Arial" w:eastAsia="Arial" w:hAnsi="Arial"/>
          <w:sz w:val="14"/>
          <w:szCs w:val="14"/>
          <w:color w:val="auto"/>
        </w:rPr>
        <w:t>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52070</wp:posOffset>
            </wp:positionV>
            <wp:extent cx="2195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Warranty expense for the three months ended March 31, 2011 reflects the benefit of an $8.6 million insurance recovery associated with the settlement of product claims in Sweden in 2010.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33020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r>
      <w:tr>
        <w:trPr>
          <w:trHeight w:val="33"/>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24,448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14,637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2,933</w:t>
            </w: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March 31</w:t>
            </w:r>
          </w:p>
        </w:tc>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17,193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1,126</w:t>
            </w: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are as follows:</w:t>
      </w: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37465</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p>
      <w:pPr>
        <w:ind w:left="5380"/>
        <w:spacing w:after="0"/>
        <w:tabs>
          <w:tab w:leader="none" w:pos="7480" w:val="left"/>
        </w:tabs>
        <w:rPr>
          <w:sz w:val="20"/>
          <w:szCs w:val="20"/>
          <w:color w:val="auto"/>
        </w:rPr>
      </w:pPr>
      <w:r>
        <w:rPr>
          <w:rFonts w:ascii="Arial" w:cs="Arial" w:eastAsia="Arial" w:hAnsi="Arial"/>
          <w:sz w:val="16"/>
          <w:szCs w:val="16"/>
          <w:b w:val="1"/>
          <w:bCs w:val="1"/>
          <w:color w:val="auto"/>
        </w:rPr>
        <w:t>2012</w:t>
      </w:r>
      <w:r>
        <w:rPr>
          <w:sz w:val="20"/>
          <w:szCs w:val="20"/>
          <w:color w:val="auto"/>
        </w:rPr>
        <w:tab/>
      </w:r>
      <w:r>
        <w:rPr>
          <w:rFonts w:ascii="Arial" w:cs="Arial" w:eastAsia="Arial" w:hAnsi="Arial"/>
          <w:sz w:val="16"/>
          <w:szCs w:val="16"/>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37465</wp:posOffset>
            </wp:positionV>
            <wp:extent cx="2607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612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4883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88305" cy="17145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4560" w:val="left"/>
          <w:tab w:leader="none" w:pos="6080" w:val="left"/>
          <w:tab w:leader="none" w:pos="6660" w:val="left"/>
          <w:tab w:leader="none" w:pos="8180" w:val="left"/>
        </w:tabs>
        <w:rPr>
          <w:sz w:val="20"/>
          <w:szCs w:val="20"/>
          <w:color w:val="auto"/>
        </w:rPr>
      </w:pPr>
      <w:r>
        <w:rPr>
          <w:rFonts w:ascii="Arial" w:cs="Arial" w:eastAsia="Arial" w:hAnsi="Arial"/>
          <w:sz w:val="16"/>
          <w:szCs w:val="16"/>
          <w:color w:val="auto"/>
        </w:rPr>
        <w:t>Plan costs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5,661</w:t>
        <w:tab/>
        <w:t>$</w:t>
      </w:r>
      <w:r>
        <w:rPr>
          <w:sz w:val="20"/>
          <w:szCs w:val="20"/>
          <w:color w:val="auto"/>
        </w:rPr>
        <w:tab/>
      </w:r>
      <w:r>
        <w:rPr>
          <w:rFonts w:ascii="Arial" w:cs="Arial" w:eastAsia="Arial" w:hAnsi="Arial"/>
          <w:sz w:val="15"/>
          <w:szCs w:val="15"/>
          <w:color w:val="auto"/>
        </w:rPr>
        <w:t>6,744</w:t>
      </w:r>
    </w:p>
    <w:p>
      <w:pPr>
        <w:sectPr>
          <w:pgSz w:w="11900" w:h="16838" w:orient="portrait"/>
          <w:cols w:equalWidth="0" w:num="1">
            <w:col w:w="11420"/>
          </w:cols>
          <w:pgMar w:left="240" w:top="125" w:right="239" w:bottom="1440"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March 31, 2012</w:t>
            </w:r>
          </w:p>
        </w:tc>
        <w:tc>
          <w:tcPr>
            <w:tcW w:w="480" w:type="dxa"/>
            <w:vAlign w:val="bottom"/>
          </w:tcPr>
          <w:p>
            <w:pPr>
              <w:spacing w:after="0"/>
              <w:rPr>
                <w:sz w:val="18"/>
                <w:szCs w:val="18"/>
                <w:color w:val="auto"/>
              </w:rPr>
            </w:pPr>
          </w:p>
        </w:tc>
        <w:tc>
          <w:tcPr>
            <w:tcW w:w="20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December 31, 2011</w:t>
            </w:r>
          </w:p>
        </w:tc>
      </w:tr>
      <w:tr>
        <w:trPr>
          <w:trHeight w:val="33"/>
        </w:trPr>
        <w:tc>
          <w:tcPr>
            <w:tcW w:w="45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2,462</w:t>
            </w:r>
          </w:p>
        </w:tc>
        <w:tc>
          <w:tcPr>
            <w:tcW w:w="108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33"/>
        </w:trPr>
        <w:tc>
          <w:tcPr>
            <w:tcW w:w="4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 and we expect to substantially complete these projects by the end of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projects are subject to a variety of labor and employment laws, rules, and regulations, which could result in a delay in implementing projects at some locations. Future real estate market conditions may impact the timing of our ability to sell some of the manufacturing facilities we have designated for closure and disposal. This may delay the completion of the restructuring projects beyond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expected costs of $85.5 million for the restructuring projects did not change from the total expected costs at December 31, 2011. The total expected restructuring costs, the costs recognized in prior periods, the restructuring costs recognized during the three months ended March 31, 2012, and the remaining restructuring costs as of March 31, 2012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Costs Recognized During</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Remaining Costs to be</w:t>
            </w: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Total Expected Costs at</w:t>
            </w: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Costs Recognized in Prior</w:t>
            </w:r>
          </w:p>
        </w:tc>
        <w:tc>
          <w:tcPr>
            <w:tcW w:w="10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the Three Months Ended</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Recognized at March 31,</w:t>
            </w: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2012</w:t>
            </w:r>
          </w:p>
        </w:tc>
        <w:tc>
          <w:tcPr>
            <w:tcW w:w="460" w:type="dxa"/>
            <w:vAlign w:val="bottom"/>
          </w:tcPr>
          <w:p>
            <w:pPr>
              <w:spacing w:after="0"/>
              <w:rPr>
                <w:sz w:val="20"/>
                <w:szCs w:val="20"/>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Periods</w:t>
            </w:r>
          </w:p>
        </w:tc>
        <w:tc>
          <w:tcPr>
            <w:tcW w:w="10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2012</w:t>
            </w: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80" w:type="dxa"/>
            <w:vAlign w:val="bottom"/>
            <w:gridSpan w:val="5"/>
          </w:tcPr>
          <w:p>
            <w:pPr>
              <w:ind w:left="120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25,547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 costs</w:t>
            </w:r>
          </w:p>
        </w:tc>
        <w:tc>
          <w:tcPr>
            <w:tcW w:w="1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7,255</w:t>
            </w:r>
          </w:p>
        </w:tc>
      </w:tr>
      <w:tr>
        <w:trPr>
          <w:trHeight w:val="297"/>
        </w:trPr>
        <w:tc>
          <w:tcPr>
            <w:tcW w:w="2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85,491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16,620</w:t>
            </w:r>
          </w:p>
        </w:tc>
      </w:tr>
      <w:tr>
        <w:trPr>
          <w:trHeight w:val="311"/>
        </w:trPr>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Segments:</w:t>
            </w:r>
          </w:p>
        </w:tc>
        <w:tc>
          <w:tcPr>
            <w:tcW w:w="1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10,127</w:t>
            </w: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Water</w:t>
            </w:r>
          </w:p>
        </w:tc>
        <w:tc>
          <w:tcPr>
            <w:tcW w:w="1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17,491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15,321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2,152</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unallocated</w:t>
            </w:r>
          </w:p>
        </w:tc>
        <w:tc>
          <w:tcPr>
            <w:tcW w:w="1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r>
      <w:tr>
        <w:trPr>
          <w:trHeight w:val="257"/>
        </w:trPr>
        <w:tc>
          <w:tcPr>
            <w:tcW w:w="2420" w:type="dxa"/>
            <w:vAlign w:val="bottom"/>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85,491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16,620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restructuring costs includes expenses to exit the facilities once the operations in those facilities have ceased. Costs associated with restructuring activities are generally presented as restructuring expense in the Consolidated Statements of Operations, except for certain costs associated with inventory write-downs, which are classified within cost of revenues, and accelerated depreciation expense, which is recognized according to the use of the asset.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within the restructuring related balance sheet accounts during the three months ended March 31, 2012: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Asset Impairments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Accrued Employee</w:t>
            </w: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&amp; Net Loss (Gain) on</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Sale or Disposal</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Other Accrued Costs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3"/>
          </w:tcPr>
          <w:p>
            <w:pPr>
              <w:ind w:left="1080"/>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28,567</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789</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Ending balance, March 31, 2012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26,156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26,307</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impairments are determined at the asset group level. There were no asset impairments recognized during the three months ended March 31, 2012.</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and long-term portions of the restructuring related liability balance as of March 31, 2012 were $25.9 million and $400,000, which are classified within other current liabilities and other long-term liabilities, respectively,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long-lived assets that were recognized at fair value during the three months ended March 31,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restructuring activities, we expect to achieve annualized cost savings of approximately $30 million by the end of 2013. In the second half of 2012, we anticipate savings of approximately $15 million. Revenues and net operating income from the activities we will exit are not material to our operating segments or consolidated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OCI is reflected as a net increase (decrease) to shareholders’ equity and is not reflected in our results of operations. The before-tax amount, income tax (provision) benefit, and net-of-tax amount related to each component of other comprehensive income (loss) during the reporting periods were as follows:</w:t>
      </w:r>
    </w:p>
    <w:p>
      <w:pPr>
        <w:spacing w:after="0" w:line="28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100,792</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(12,580)</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2,328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28,721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89,817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8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4,770</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8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100,447</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(7,810)</w:t>
            </w:r>
          </w:p>
        </w:tc>
      </w:tr>
      <w:tr>
        <w:trPr>
          <w:trHeight w:val="237"/>
        </w:trPr>
        <w:tc>
          <w:tcPr>
            <w:tcW w:w="88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28,564</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93,587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income (loss), net of tax, was $(8.6) million at March 31, 2012 and $(37.2) million at December 31, 2011. These amounts include adjustments for foreign currency translation, the unrealized gain (loss) on our hedging instruments, the hedging gain (loss), and the pension liability adjustment as indicated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2012 and December 31, 2011 do not reflect subsequent changes in the economy, interest rates, and other variables that may affect the determination of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2012</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December 31, 2011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133,086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2011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288,752</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292,894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292,502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296,856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163,269</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2011 Credit Facility - term loan and multicurrency revolving line of credit: </w:t>
      </w:r>
      <w:r>
        <w:rPr>
          <w:rFonts w:ascii="Arial" w:cs="Arial" w:eastAsia="Arial" w:hAnsi="Arial"/>
          <w:sz w:val="17"/>
          <w:szCs w:val="17"/>
          <w:color w:val="auto"/>
        </w:rPr>
        <w:t>The term loan and revolver are not traded publicly. The fair value is calculated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a discounted cash flow model with significant inputs that are corroborated by observable market data, including estimates of incremental borrowing rates for debt with similar terms, maturities, and credit profiles (Level 2). Refer to Note 6 for a further discussion of our debt.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other observable inputs (Level 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global reorganization we announced in the first quarter of 2011, Itron is now managed and reporting under two operating segments, Energy and Water. A transition to the new organizational structure, including changes to operations and financial and operational management systems, was completed in the first quarter of 2012. Therefore, financial reporting as of and for the three months ended March 31, 2012 is based on the new operating segments, Energy and Water. Prior period segment information has been recast to reflect our new operating segments.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Energy operating segment includes our global electricity and gas businesses, while the Water operating segment includes our global water and heat businesses.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FF"/>
                <w:w w:val="98"/>
              </w:rPr>
            </w:pPr>
            <w:hyperlink w:anchor="page1">
              <w:r>
                <w:rPr>
                  <w:rFonts w:ascii="Arial" w:cs="Arial" w:eastAsia="Arial" w:hAnsi="Arial"/>
                  <w:sz w:val="18"/>
                  <w:szCs w:val="18"/>
                  <w:color w:val="0000FF"/>
                  <w:w w:val="98"/>
                </w:rPr>
                <w:t>Table of Contents</w:t>
              </w:r>
            </w:hyperlink>
          </w:p>
        </w:tc>
        <w:tc>
          <w:tcPr>
            <w:tcW w:w="9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696"/>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88"/>
              </w:rPr>
              <w:t>Segment Products</w:t>
            </w:r>
          </w:p>
        </w:tc>
        <w:tc>
          <w:tcPr>
            <w:tcW w:w="9220" w:type="dxa"/>
            <w:vAlign w:val="bottom"/>
          </w:tcPr>
          <w:p>
            <w:pPr>
              <w:spacing w:after="0"/>
              <w:rPr>
                <w:sz w:val="24"/>
                <w:szCs w:val="24"/>
                <w:color w:val="auto"/>
              </w:rPr>
            </w:pPr>
          </w:p>
        </w:tc>
      </w:tr>
      <w:tr>
        <w:trPr>
          <w:trHeight w:val="364"/>
        </w:trPr>
        <w:tc>
          <w:tcPr>
            <w:tcW w:w="1420" w:type="dxa"/>
            <w:vAlign w:val="bottom"/>
            <w:gridSpan w:val="2"/>
          </w:tcPr>
          <w:p>
            <w:pPr>
              <w:ind w:left="40"/>
              <w:spacing w:after="0"/>
              <w:rPr>
                <w:sz w:val="20"/>
                <w:szCs w:val="20"/>
                <w:color w:val="auto"/>
              </w:rPr>
            </w:pPr>
            <w:r>
              <w:rPr>
                <w:rFonts w:ascii="Arial" w:cs="Arial" w:eastAsia="Arial" w:hAnsi="Arial"/>
                <w:sz w:val="18"/>
                <w:szCs w:val="18"/>
                <w:i w:val="1"/>
                <w:iCs w:val="1"/>
                <w:color w:val="auto"/>
              </w:rPr>
              <w:t>Energy</w:t>
            </w:r>
          </w:p>
        </w:tc>
        <w:tc>
          <w:tcPr>
            <w:tcW w:w="9220" w:type="dxa"/>
            <w:vAlign w:val="bottom"/>
          </w:tcPr>
          <w:p>
            <w:pPr>
              <w:spacing w:after="0"/>
              <w:rPr>
                <w:sz w:val="20"/>
                <w:szCs w:val="20"/>
                <w:color w:val="auto"/>
              </w:rPr>
            </w:pPr>
            <w:r>
              <w:rPr>
                <w:rFonts w:ascii="Arial" w:cs="Arial" w:eastAsia="Arial" w:hAnsi="Arial"/>
                <w:sz w:val="18"/>
                <w:szCs w:val="18"/>
                <w:color w:val="auto"/>
                <w:w w:val="90"/>
              </w:rPr>
              <w:t>Standard electricity (electromechanical and electronic) and gas meters; advanced electricity and gas meters and communication</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modules; smart electricity meters; smart electricity and gas communication modules; prepayment systems, including smart key,</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keypad, and smart card communication technologies; advanced systems including handheld, mobile, and fixed network</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collection technologies; smart network technologies; meter data management software; knowledge application solutions; and</w:t>
            </w: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professional services including implementation, installation, consulting, and analysis.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7"/>
          <w:szCs w:val="17"/>
          <w:i w:val="1"/>
          <w:iCs w:val="1"/>
          <w:color w:val="auto"/>
        </w:rPr>
        <w:t>Water</w:t>
      </w:r>
      <w:r>
        <w:rPr>
          <w:sz w:val="20"/>
          <w:szCs w:val="20"/>
          <w:color w:val="auto"/>
        </w:rPr>
        <w:tab/>
      </w:r>
      <w:r>
        <w:rPr>
          <w:rFonts w:ascii="Arial" w:cs="Arial" w:eastAsia="Arial" w:hAnsi="Arial"/>
          <w:sz w:val="17"/>
          <w:szCs w:val="17"/>
          <w:color w:val="auto"/>
        </w:rPr>
        <w:t>Standard water and heat meters; advanced and smart water meters and communication modules; advanced systems including</w:t>
      </w:r>
    </w:p>
    <w:p>
      <w:pPr>
        <w:spacing w:after="0" w:line="35" w:lineRule="exact"/>
        <w:rPr>
          <w:sz w:val="20"/>
          <w:szCs w:val="20"/>
          <w:color w:val="auto"/>
        </w:rPr>
      </w:pPr>
    </w:p>
    <w:p>
      <w:pPr>
        <w:ind w:left="1420" w:right="780"/>
        <w:spacing w:after="0" w:line="290" w:lineRule="auto"/>
        <w:rPr>
          <w:sz w:val="20"/>
          <w:szCs w:val="20"/>
          <w:color w:val="auto"/>
        </w:rPr>
      </w:pPr>
      <w:r>
        <w:rPr>
          <w:rFonts w:ascii="Arial" w:cs="Arial" w:eastAsia="Arial" w:hAnsi="Arial"/>
          <w:sz w:val="17"/>
          <w:szCs w:val="17"/>
          <w:color w:val="auto"/>
        </w:rPr>
        <w:t>handheld, mobile, and fixed network collection technologies; meter data management software; knowledge application solutions; and professional services including implementation, installation, consulting/analysis, and system management.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47"/>
        </w:trPr>
        <w:tc>
          <w:tcPr>
            <w:tcW w:w="4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Energy</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437,747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431,816</w:t>
            </w:r>
          </w:p>
        </w:tc>
      </w:tr>
      <w:tr>
        <w:trPr>
          <w:trHeight w:val="237"/>
        </w:trPr>
        <w:tc>
          <w:tcPr>
            <w:tcW w:w="4460" w:type="dxa"/>
            <w:vAlign w:val="bottom"/>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133,893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131,875</w:t>
            </w:r>
          </w:p>
        </w:tc>
      </w:tr>
      <w:tr>
        <w:trPr>
          <w:trHeight w:val="33"/>
        </w:trPr>
        <w:tc>
          <w:tcPr>
            <w:tcW w:w="4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4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571,640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563,691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380"/>
              <w:spacing w:after="0"/>
              <w:rPr>
                <w:sz w:val="20"/>
                <w:szCs w:val="20"/>
                <w:color w:val="auto"/>
              </w:rPr>
            </w:pPr>
            <w:r>
              <w:rPr>
                <w:rFonts w:ascii="Arial" w:cs="Arial" w:eastAsia="Arial" w:hAnsi="Arial"/>
                <w:sz w:val="16"/>
                <w:szCs w:val="16"/>
                <w:color w:val="auto"/>
              </w:rPr>
              <w:t>Energy</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134,603</w:t>
            </w:r>
          </w:p>
        </w:tc>
        <w:tc>
          <w:tcPr>
            <w:tcW w:w="100" w:type="dxa"/>
            <w:vAlign w:val="bottom"/>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137,584</w:t>
            </w:r>
          </w:p>
        </w:tc>
      </w:tr>
      <w:tr>
        <w:trPr>
          <w:trHeight w:val="33"/>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48,502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47,394</w:t>
            </w:r>
          </w:p>
        </w:tc>
      </w:tr>
      <w:tr>
        <w:trPr>
          <w:trHeight w:val="217"/>
        </w:trPr>
        <w:tc>
          <w:tcPr>
            <w:tcW w:w="44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183,105</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184,978</w:t>
            </w:r>
          </w:p>
        </w:tc>
      </w:tr>
      <w:tr>
        <w:trPr>
          <w:trHeight w:val="73"/>
        </w:trPr>
        <w:tc>
          <w:tcPr>
            <w:tcW w:w="446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251"/>
        </w:trPr>
        <w:tc>
          <w:tcPr>
            <w:tcW w:w="44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4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Energy</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38,164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43,168</w:t>
            </w:r>
          </w:p>
        </w:tc>
      </w:tr>
      <w:tr>
        <w:trPr>
          <w:trHeight w:val="237"/>
        </w:trPr>
        <w:tc>
          <w:tcPr>
            <w:tcW w:w="4460" w:type="dxa"/>
            <w:vAlign w:val="bottom"/>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15,937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16,854</w:t>
            </w:r>
          </w:p>
        </w:tc>
      </w:tr>
      <w:tr>
        <w:trPr>
          <w:trHeight w:val="33"/>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(9,933)</w:t>
            </w:r>
          </w:p>
        </w:tc>
      </w:tr>
      <w:tr>
        <w:trPr>
          <w:trHeight w:val="217"/>
        </w:trPr>
        <w:tc>
          <w:tcPr>
            <w:tcW w:w="44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39,621</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50,089</w:t>
            </w:r>
          </w:p>
        </w:tc>
      </w:tr>
      <w:tr>
        <w:trPr>
          <w:trHeight w:val="33"/>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(13,396)</w:t>
            </w:r>
          </w:p>
        </w:tc>
      </w:tr>
      <w:tr>
        <w:trPr>
          <w:trHeight w:val="217"/>
        </w:trPr>
        <w:tc>
          <w:tcPr>
            <w:tcW w:w="44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35,201</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36,693</w:t>
            </w:r>
          </w:p>
        </w:tc>
      </w:tr>
      <w:tr>
        <w:trPr>
          <w:trHeight w:val="33"/>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customer represented more than 10% of total Company revenues for the three months ended March 31, 2012, while no customer represented more than 10% of total Company revenues during the same period in 2011. Two customers each accounted for more than 10% of the Energy operating segment revenues for each of the three months periods ended March 31, 2012 and 2011. No single customer represented more than 10% of the Water operating segment revenues for the three months ended March 31, 2012 and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00" w:type="dxa"/>
            <w:vAlign w:val="bottom"/>
          </w:tcPr>
          <w:p>
            <w:pPr>
              <w:spacing w:after="0"/>
              <w:rPr>
                <w:sz w:val="20"/>
                <w:szCs w:val="20"/>
                <w:color w:val="auto"/>
              </w:rPr>
            </w:pPr>
          </w:p>
        </w:tc>
      </w:tr>
      <w:tr>
        <w:trPr>
          <w:trHeight w:val="33"/>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284,587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274,462</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220,956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223,703</w:t>
            </w:r>
          </w:p>
        </w:tc>
      </w:tr>
      <w:tr>
        <w:trPr>
          <w:trHeight w:val="33"/>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66,097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65,526</w:t>
            </w:r>
          </w:p>
        </w:tc>
      </w:tr>
      <w:tr>
        <w:trPr>
          <w:trHeight w:val="217"/>
        </w:trPr>
        <w:tc>
          <w:tcPr>
            <w:tcW w:w="448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571,640</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563,691</w:t>
            </w:r>
          </w:p>
        </w:tc>
      </w:tr>
      <w:tr>
        <w:trPr>
          <w:trHeight w:val="33"/>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08"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560" w:type="dxa"/>
            <w:vAlign w:val="bottom"/>
          </w:tcPr>
          <w:p>
            <w:pPr>
              <w:spacing w:after="0"/>
              <w:rPr>
                <w:sz w:val="20"/>
                <w:szCs w:val="20"/>
                <w:color w:val="auto"/>
              </w:rPr>
            </w:pPr>
          </w:p>
        </w:tc>
      </w:tr>
      <w:tr>
        <w:trPr>
          <w:trHeight w:val="33"/>
        </w:trPr>
        <w:tc>
          <w:tcPr>
            <w:tcW w:w="4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23,555</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6,556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7,975</w:t>
            </w:r>
          </w:p>
        </w:tc>
      </w:tr>
      <w:tr>
        <w:trPr>
          <w:trHeight w:val="33"/>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4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27,227</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31,531</w:t>
            </w:r>
          </w:p>
        </w:tc>
      </w:tr>
      <w:tr>
        <w:trPr>
          <w:trHeight w:val="33"/>
        </w:trPr>
        <w:tc>
          <w:tcPr>
            <w:tcW w:w="4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 2012, we increased the revolver from $500 million to $660 million in accordance with the terms of the 2011 credit facility agreement. There were no other changes to the 2011 credit facility agreement. The expanded multicurrency revolving line of credit provides us with increased flexibility and liquidity for the acquisition of SmartSynch, Inc. and for general corporate purposes.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SmartSynch, Inc.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2012, we completed our acquisition of 100% of SmartSynch, Inc. (SmartSynch). SmartSynch is a provider of point-to-point smart grid solutions that utilize cellular networks for communications. The acquisition strengthens Itron's cellular communications offering, and the Company believes the acquisition brings greater choice to utility customers across the spectrum of smart metering deployments.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of SmartSynch, before adjustments for changes in working capital, was $100 million in cash. All other business combination disclosures are not available, due to the proximity of the acquisition to the issuance of these financial statements. During the first quarter of 2012, we incurred $2 million of costs related to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2011, filed with the Securities and Exchange Commission (SEC) on February 17,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7"/>
          <w:szCs w:val="17"/>
          <w:i w:val="1"/>
          <w:iCs w:val="1"/>
          <w:color w:val="000000"/>
        </w:rPr>
        <w:t>For a more complete description of these and other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risks, refer to Item 1A: “Risk Factors” included in our Annual Report on Form 10-K for the fiscal year ended December 31, 2011, which was filed with the SEC on February 17,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22222"/>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global reorganization that was announced in the first quarter of 2011, we now manage and report under two operating segments, Energy and Water. A transition to the new organizational structure, including changes to operations and financial and operational management systems, was completed in the first quarter of 2012. Therefore, financial reporting as of and for the three months ended March 31, 2012 is based on the new operating segments, Energy and Water. Prior period segment information has been recast to reflect our new operating segments.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Energy operating segment includes our global electricity and gas businesses, while the Water operating segment includes our global water and heat businesses.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neither allocated to the segments, nor included in the measure of segment profit or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Revenues for the three months ended March 31, 2012 were $572 million, compared with $564 million for the same period last year. Fluctuations in foreign currency exchange rates unfavorably impacted revenues by $13 million. The increase in revenues was due to growth in both the Energy and Water operating segments. Gross margin for the first quarter of 2012 was 32.0%, compared with a gross margin of 32.8% for the same period last year. During the first quarter of 2011, we recognized a benefit of $8.6 million from an insurance recovery for a warranty claim, which positively impacted the gross margin by 1.5 percentage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points. Operating expenses increased 6% during the first three months of 2012, compared with the same time last year, primarily due to increased sales and marketing and product development associated with expansion of our sales efforts in developing markets and investment in new and enhanced products for the smart grid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Total backlog was $1.2 billion and twelve-month backlog was $760 million at March 31, 2012.</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22222"/>
        </w:rPr>
        <w:t xml:space="preserve">Our restructuring projects continue to progress as planned and we expect to substantially complete these projects by the end of 2013. Since the announcement of the projects during the fourth quarter of 2011, we have incurred $69 million in costs, representing approximately 80% of the total expected costs. As a result of our restructuring activities, we anticipate savings of approximately $15 million in the second half of 2012. We expect to achieve annualized cost savings of approximately $30 million by the end of 2013. </w:t>
      </w:r>
      <w:r>
        <w:rPr>
          <w:rFonts w:ascii="Arial" w:cs="Arial" w:eastAsia="Arial" w:hAnsi="Arial"/>
          <w:sz w:val="16"/>
          <w:szCs w:val="16"/>
          <w:color w:val="000000"/>
        </w:rPr>
        <w:t>Certain projects are subject to a variety of labor and employment laws, rules, and regulations, which</w:t>
      </w:r>
      <w:r>
        <w:rPr>
          <w:rFonts w:ascii="Arial" w:cs="Arial" w:eastAsia="Arial" w:hAnsi="Arial"/>
          <w:sz w:val="16"/>
          <w:szCs w:val="16"/>
          <w:color w:val="222222"/>
        </w:rPr>
        <w:t xml:space="preserve"> </w:t>
      </w:r>
      <w:r>
        <w:rPr>
          <w:rFonts w:ascii="Arial" w:cs="Arial" w:eastAsia="Arial" w:hAnsi="Arial"/>
          <w:sz w:val="16"/>
          <w:szCs w:val="16"/>
          <w:color w:val="000000"/>
        </w:rPr>
        <w:t xml:space="preserve">could result in a delay in implementing projects at some locations. </w:t>
      </w:r>
      <w:r>
        <w:rPr>
          <w:rFonts w:ascii="Arial" w:cs="Arial" w:eastAsia="Arial" w:hAnsi="Arial"/>
          <w:sz w:val="16"/>
          <w:szCs w:val="16"/>
          <w:color w:val="222222"/>
        </w:rPr>
        <w:t>Future real estate market conditions may impact the timing of our ability to sell some of</w:t>
      </w:r>
      <w:r>
        <w:rPr>
          <w:rFonts w:ascii="Arial" w:cs="Arial" w:eastAsia="Arial" w:hAnsi="Arial"/>
          <w:sz w:val="16"/>
          <w:szCs w:val="16"/>
          <w:color w:val="000000"/>
        </w:rPr>
        <w:t xml:space="preserve"> </w:t>
      </w:r>
      <w:r>
        <w:rPr>
          <w:rFonts w:ascii="Arial" w:cs="Arial" w:eastAsia="Arial" w:hAnsi="Arial"/>
          <w:sz w:val="16"/>
          <w:szCs w:val="16"/>
          <w:color w:val="222222"/>
        </w:rPr>
        <w:t>the manufacturing facilities we have designated for closure and disposal, potentially delaying the completion of the restructuring projects beyond 2013.</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Net debt repayments during the three months ended March 31, 2012 were $13.8 million, bringing the total debt outstanding to $438.8 million at March 31, 2012. On April 2, 2012, we increased our multicurrency revolving line of credit (revolver) from $500 million to $660 million in accordance with the terms of the 2011 credit facility agreement. The expanded revolver will provide increased flexibility and liquidity, including for the acquisition of SmartSynch, Inc., which closed on May 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20"/>
                <w:szCs w:val="20"/>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571,640</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563,691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183,105</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184,978</w:t>
            </w:r>
          </w:p>
        </w:tc>
        <w:tc>
          <w:tcPr>
            <w:tcW w:w="120" w:type="dxa"/>
            <w:vAlign w:val="bottom"/>
          </w:tcPr>
          <w:p>
            <w:pPr>
              <w:spacing w:after="0"/>
              <w:rPr>
                <w:sz w:val="20"/>
                <w:szCs w:val="20"/>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(1)%</w:t>
            </w:r>
          </w:p>
        </w:tc>
      </w:tr>
      <w:tr>
        <w:trPr>
          <w:trHeight w:val="33"/>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3"/>
        </w:trPr>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000" w:type="dxa"/>
            <w:vAlign w:val="bottom"/>
            <w:gridSpan w:val="4"/>
          </w:tcPr>
          <w:p>
            <w:pPr>
              <w:ind w:left="720"/>
              <w:spacing w:after="0"/>
              <w:rPr>
                <w:sz w:val="20"/>
                <w:szCs w:val="20"/>
                <w:color w:val="auto"/>
              </w:rPr>
            </w:pPr>
            <w:r>
              <w:rPr>
                <w:rFonts w:ascii="Arial" w:cs="Arial" w:eastAsia="Arial" w:hAnsi="Arial"/>
                <w:sz w:val="16"/>
                <w:szCs w:val="16"/>
                <w:b w:val="1"/>
                <w:bCs w:val="1"/>
                <w:color w:val="auto"/>
                <w:w w:val="95"/>
              </w:rPr>
              <w:t>Three Months Ended March 31,</w:t>
            </w:r>
          </w:p>
        </w:tc>
        <w:tc>
          <w:tcPr>
            <w:tcW w:w="64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1100" w:type="dxa"/>
            <w:vAlign w:val="bottom"/>
          </w:tcPr>
          <w:p>
            <w:pPr>
              <w:ind w:left="720"/>
              <w:spacing w:after="0"/>
              <w:rPr>
                <w:sz w:val="20"/>
                <w:szCs w:val="20"/>
                <w:color w:val="auto"/>
              </w:rPr>
            </w:pPr>
            <w:r>
              <w:rPr>
                <w:rFonts w:ascii="Arial" w:cs="Arial" w:eastAsia="Arial" w:hAnsi="Arial"/>
                <w:sz w:val="16"/>
                <w:szCs w:val="16"/>
                <w:b w:val="1"/>
                <w:bCs w:val="1"/>
                <w:color w:val="auto"/>
              </w:rPr>
              <w:t>2012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4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4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7"/>
        </w:trPr>
        <w:tc>
          <w:tcPr>
            <w:tcW w:w="4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284,587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274,462</w:t>
            </w:r>
          </w:p>
        </w:tc>
      </w:tr>
      <w:tr>
        <w:trPr>
          <w:trHeight w:val="237"/>
        </w:trPr>
        <w:tc>
          <w:tcPr>
            <w:tcW w:w="402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220,956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223,703</w:t>
            </w:r>
          </w:p>
        </w:tc>
      </w:tr>
      <w:tr>
        <w:trPr>
          <w:trHeight w:val="33"/>
        </w:trPr>
        <w:tc>
          <w:tcPr>
            <w:tcW w:w="4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66,097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65,526</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571,640</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563,691</w:t>
            </w:r>
          </w:p>
        </w:tc>
      </w:tr>
      <w:tr>
        <w:trPr>
          <w:trHeight w:val="33"/>
        </w:trPr>
        <w:tc>
          <w:tcPr>
            <w:tcW w:w="4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Revenues for the three months ended March 31, 2012 were $572 million, compared with $564 million for the same period last year. The net translation effect of our operations denominated in foreign currencies resulted in an unfavorable impact to revenues of $13 million. The increase in revenues was due to growth in both the Energy and Water operating segments. Energy revenues increased in the first quarter of 2012, compared with the same time last year, due to smart gas module shipments in North America and increased electric product shipments in EMEA and Asia-Pacific. OpenWay project revenues in North America increased $3 million, compared with the same time last year. Revenue growth in the Water segment was driven by increased meter shipments in Latin America and Europe. A more detailed analysis of these fluctuations is provided in </w:t>
      </w:r>
      <w:r>
        <w:rPr>
          <w:rFonts w:ascii="Arial" w:cs="Arial" w:eastAsia="Arial" w:hAnsi="Arial"/>
          <w:sz w:val="17"/>
          <w:szCs w:val="17"/>
          <w:i w:val="1"/>
          <w:iCs w:val="1"/>
          <w:color w:val="222222"/>
        </w:rPr>
        <w:t>Operating Segment Results</w:t>
      </w:r>
      <w:r>
        <w:rPr>
          <w:rFonts w:ascii="Arial" w:cs="Arial" w:eastAsia="Arial" w:hAnsi="Arial"/>
          <w:sz w:val="17"/>
          <w:szCs w:val="17"/>
          <w:color w:val="222222"/>
        </w:rPr>
        <w: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customer, BC Hydro and Power Authority, accounted for 11% of total Company revenues during the first quarter of 2012. No single customer represented more than 10% of total revenues for the first quarter of 2011. Our 10 largest customers accounted for 33% and 32% of total revenues for the first quarters of 2012 and 2011,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Gross margin for the first quarter of 2012 was 32.0%, compared with a gross margin of 32.8% for the same period last year. During the first quarter of 2011, we recognized a benefit of $8.6 million from an insurance recovery for a warranty claim, which positively impacted the gross margin by 1.5 percentage points. During the first quarter of 2012, compared with the first quarter of 2011, we also incurred lower special warranty expense. A more detailed analysis of these fluctuations is provided in </w:t>
      </w:r>
      <w:r>
        <w:rPr>
          <w:rFonts w:ascii="Arial" w:cs="Arial" w:eastAsia="Arial" w:hAnsi="Arial"/>
          <w:sz w:val="18"/>
          <w:szCs w:val="18"/>
          <w:i w:val="1"/>
          <w:iCs w:val="1"/>
          <w:color w:val="222222"/>
        </w:rPr>
        <w:t>Operating Segment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Results</w:t>
      </w:r>
      <w:r>
        <w:rPr>
          <w:rFonts w:ascii="Arial" w:cs="Arial" w:eastAsia="Arial" w:hAnsi="Arial"/>
          <w:sz w:val="18"/>
          <w:szCs w:val="18"/>
          <w:color w:val="222222"/>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Advanced and smart meter communication modules can be sold separately from the meter. A summary of our total electricity, gas, water &amp; heat meter and communication module shipments is as follows:</w:t>
      </w:r>
    </w:p>
    <w:p>
      <w:pPr>
        <w:spacing w:after="0" w:line="333"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33020</wp:posOffset>
            </wp:positionV>
            <wp:extent cx="15779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gridSpan w:val="2"/>
          </w:tcPr>
          <w:p>
            <w:pPr>
              <w:ind w:left="5020"/>
              <w:spacing w:after="0"/>
              <w:rPr>
                <w:sz w:val="20"/>
                <w:szCs w:val="20"/>
                <w:color w:val="auto"/>
              </w:rPr>
            </w:pPr>
            <w:r>
              <w:rPr>
                <w:rFonts w:ascii="Arial" w:cs="Arial" w:eastAsia="Arial" w:hAnsi="Arial"/>
                <w:sz w:val="16"/>
                <w:szCs w:val="16"/>
                <w:b w:val="1"/>
                <w:bCs w:val="1"/>
                <w:color w:val="auto"/>
                <w:w w:val="84"/>
              </w:rPr>
              <w:t>2012</w:t>
            </w: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20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(units in thousands)</w:t>
            </w:r>
          </w:p>
        </w:tc>
        <w:tc>
          <w:tcPr>
            <w:tcW w:w="440" w:type="dxa"/>
            <w:vAlign w:val="bottom"/>
          </w:tcPr>
          <w:p>
            <w:pPr>
              <w:spacing w:after="0"/>
              <w:rPr>
                <w:sz w:val="18"/>
                <w:szCs w:val="18"/>
                <w:color w:val="auto"/>
              </w:rPr>
            </w:pPr>
          </w:p>
        </w:tc>
      </w:tr>
      <w:tr>
        <w:trPr>
          <w:trHeight w:val="27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33"/>
        </w:trPr>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4,870</w:t>
            </w:r>
          </w:p>
        </w:tc>
      </w:tr>
      <w:tr>
        <w:trPr>
          <w:trHeight w:val="237"/>
        </w:trPr>
        <w:tc>
          <w:tcPr>
            <w:tcW w:w="534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2,250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1,890</w:t>
            </w:r>
          </w:p>
        </w:tc>
      </w:tr>
      <w:tr>
        <w:trPr>
          <w:trHeight w:val="33"/>
        </w:trPr>
        <w:tc>
          <w:tcPr>
            <w:tcW w:w="4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53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7,130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6,760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0"/>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50"/>
        </w:trPr>
        <w:tc>
          <w:tcPr>
            <w:tcW w:w="534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1,590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1,430</w:t>
            </w:r>
          </w:p>
        </w:tc>
      </w:tr>
      <w:tr>
        <w:trPr>
          <w:trHeight w:val="20"/>
        </w:trPr>
        <w:tc>
          <w:tcPr>
            <w:tcW w:w="4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7"/>
          </w:tcPr>
          <w:p>
            <w:pPr>
              <w:jc w:val="center"/>
              <w:ind w:left="1059"/>
              <w:spacing w:after="0"/>
              <w:rPr>
                <w:sz w:val="20"/>
                <w:szCs w:val="20"/>
                <w:color w:val="auto"/>
              </w:rPr>
            </w:pPr>
            <w:r>
              <w:rPr>
                <w:rFonts w:ascii="Arial" w:cs="Arial" w:eastAsia="Arial" w:hAnsi="Arial"/>
                <w:sz w:val="16"/>
                <w:szCs w:val="16"/>
                <w:b w:val="1"/>
                <w:bCs w:val="1"/>
                <w:color w:val="auto"/>
                <w:w w:val="93"/>
              </w:rPr>
              <w:t>Three Months Ended March 31,</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95"/>
              </w:rPr>
              <w:t>% Change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Segment Revenues</w:t>
            </w:r>
          </w:p>
        </w:tc>
        <w:tc>
          <w:tcPr>
            <w:tcW w:w="20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ind w:left="3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Electricity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284,460</w:t>
            </w:r>
          </w:p>
        </w:tc>
        <w:tc>
          <w:tcPr>
            <w:tcW w:w="6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540"/>
              <w:spacing w:after="0"/>
              <w:rPr>
                <w:sz w:val="20"/>
                <w:szCs w:val="20"/>
                <w:color w:val="auto"/>
              </w:rPr>
            </w:pPr>
            <w:r>
              <w:rPr>
                <w:rFonts w:ascii="Arial" w:cs="Arial" w:eastAsia="Arial" w:hAnsi="Arial"/>
                <w:sz w:val="16"/>
                <w:szCs w:val="16"/>
                <w:color w:val="auto"/>
              </w:rPr>
              <w:t>Gas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153,287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156,245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Energy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431,816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Water</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131,875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571,640</w:t>
            </w:r>
          </w:p>
        </w:tc>
        <w:tc>
          <w:tcPr>
            <w:tcW w:w="6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563,691</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gridSpan w:val="6"/>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w w:val="96"/>
              </w:rPr>
              <w:t>Three Months Ended March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89"/>
              </w:rPr>
              <w:t>2012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82"/>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i w:val="1"/>
                <w:iCs w:val="1"/>
                <w:color w:val="auto"/>
                <w:w w:val="86"/>
              </w:rPr>
              <w:t>Gross</w:t>
            </w:r>
          </w:p>
        </w:tc>
        <w:tc>
          <w:tcPr>
            <w:tcW w:w="260" w:type="dxa"/>
            <w:vAlign w:val="bottom"/>
          </w:tcPr>
          <w:p>
            <w:pPr>
              <w:spacing w:after="0"/>
              <w:rPr>
                <w:sz w:val="18"/>
                <w:szCs w:val="18"/>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6"/>
                <w:szCs w:val="16"/>
                <w:b w:val="1"/>
                <w:bCs w:val="1"/>
                <w:i w:val="1"/>
                <w:iCs w:val="1"/>
                <w:color w:val="auto"/>
                <w:w w:val="82"/>
              </w:rPr>
              <w:t>Gross</w:t>
            </w: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0"/>
              </w:rPr>
              <w:t>Profit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i w:val="1"/>
                <w:iCs w:val="1"/>
                <w:color w:val="auto"/>
                <w:w w:val="99"/>
              </w:rPr>
              <w:t>Margin</w:t>
            </w:r>
          </w:p>
        </w:tc>
        <w:tc>
          <w:tcPr>
            <w:tcW w:w="260" w:type="dxa"/>
            <w:vAlign w:val="bottom"/>
          </w:tcPr>
          <w:p>
            <w:pPr>
              <w:spacing w:after="0"/>
              <w:rPr>
                <w:sz w:val="17"/>
                <w:szCs w:val="17"/>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6"/>
                <w:szCs w:val="16"/>
                <w:b w:val="1"/>
                <w:bCs w:val="1"/>
                <w:i w:val="1"/>
                <w:iCs w:val="1"/>
                <w:color w:val="auto"/>
                <w:w w:val="90"/>
              </w:rPr>
              <w:t>Profit</w:t>
            </w: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200" w:type="dxa"/>
            <w:vAlign w:val="bottom"/>
          </w:tcPr>
          <w:p>
            <w:pPr>
              <w:spacing w:after="0"/>
              <w:rPr>
                <w:sz w:val="18"/>
                <w:szCs w:val="18"/>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88"/>
              </w:rPr>
              <w:t>(in thousands)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379"/>
              <w:spacing w:after="0"/>
              <w:rPr>
                <w:sz w:val="20"/>
                <w:szCs w:val="20"/>
                <w:color w:val="auto"/>
              </w:rPr>
            </w:pPr>
            <w:r>
              <w:rPr>
                <w:rFonts w:ascii="Arial" w:cs="Arial" w:eastAsia="Arial" w:hAnsi="Arial"/>
                <w:sz w:val="16"/>
                <w:szCs w:val="16"/>
                <w:color w:val="auto"/>
                <w:w w:val="88"/>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31.9%</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Water</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48,502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center"/>
              <w:ind w:right="379"/>
              <w:spacing w:after="0"/>
              <w:rPr>
                <w:sz w:val="20"/>
                <w:szCs w:val="20"/>
                <w:color w:val="auto"/>
              </w:rPr>
            </w:pPr>
            <w:r>
              <w:rPr>
                <w:rFonts w:ascii="Arial" w:cs="Arial" w:eastAsia="Arial" w:hAnsi="Arial"/>
                <w:sz w:val="16"/>
                <w:szCs w:val="16"/>
                <w:color w:val="auto"/>
                <w:w w:val="88"/>
              </w:rPr>
              <w:t>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47,394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color w:val="auto"/>
                <w:w w:val="92"/>
              </w:rPr>
              <w:t>35.9%</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gross profit and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183,105</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w w:val="88"/>
              </w:rPr>
              <w:t>32.0%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184,978</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32.8%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gridSpan w:val="6"/>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w w:val="96"/>
              </w:rPr>
              <w:t>Three Months Ended March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89"/>
              </w:rPr>
              <w:t>2012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9"/>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i w:val="1"/>
                <w:iCs w:val="1"/>
                <w:color w:val="auto"/>
                <w:w w:val="89"/>
              </w:rPr>
              <w:t>Operating</w:t>
            </w:r>
          </w:p>
        </w:tc>
        <w:tc>
          <w:tcPr>
            <w:tcW w:w="260" w:type="dxa"/>
            <w:vAlign w:val="bottom"/>
          </w:tcPr>
          <w:p>
            <w:pPr>
              <w:spacing w:after="0"/>
              <w:rPr>
                <w:sz w:val="18"/>
                <w:szCs w:val="18"/>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6"/>
                <w:szCs w:val="16"/>
                <w:b w:val="1"/>
                <w:bCs w:val="1"/>
                <w:i w:val="1"/>
                <w:iCs w:val="1"/>
                <w:color w:val="auto"/>
                <w:w w:val="87"/>
              </w:rPr>
              <w:t>Operating</w:t>
            </w: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i w:val="1"/>
                <w:iCs w:val="1"/>
                <w:color w:val="auto"/>
                <w:w w:val="87"/>
              </w:rPr>
              <w:t>Operating</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8"/>
              </w:rPr>
              <w:t>Income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i w:val="1"/>
                <w:iCs w:val="1"/>
                <w:color w:val="auto"/>
                <w:w w:val="99"/>
              </w:rPr>
              <w:t>Margin</w:t>
            </w:r>
          </w:p>
        </w:tc>
        <w:tc>
          <w:tcPr>
            <w:tcW w:w="260" w:type="dxa"/>
            <w:vAlign w:val="bottom"/>
          </w:tcPr>
          <w:p>
            <w:pPr>
              <w:spacing w:after="0"/>
              <w:rPr>
                <w:sz w:val="17"/>
                <w:szCs w:val="17"/>
                <w:color w:val="auto"/>
              </w:rPr>
            </w:pPr>
          </w:p>
        </w:tc>
        <w:tc>
          <w:tcPr>
            <w:tcW w:w="1700" w:type="dxa"/>
            <w:vAlign w:val="bottom"/>
            <w:gridSpan w:val="3"/>
          </w:tcPr>
          <w:p>
            <w:pPr>
              <w:jc w:val="center"/>
              <w:ind w:right="660"/>
              <w:spacing w:after="0"/>
              <w:rPr>
                <w:sz w:val="20"/>
                <w:szCs w:val="20"/>
                <w:color w:val="auto"/>
              </w:rPr>
            </w:pPr>
            <w:r>
              <w:rPr>
                <w:rFonts w:ascii="Arial" w:cs="Arial" w:eastAsia="Arial" w:hAnsi="Arial"/>
                <w:sz w:val="16"/>
                <w:szCs w:val="16"/>
                <w:b w:val="1"/>
                <w:bCs w:val="1"/>
                <w:i w:val="1"/>
                <w:iCs w:val="1"/>
                <w:color w:val="auto"/>
                <w:w w:val="88"/>
              </w:rPr>
              <w:t>Income (Loss)</w:t>
            </w: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33"/>
        </w:trPr>
        <w:tc>
          <w:tcPr>
            <w:tcW w:w="322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Operating Income (Loss) and</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vMerge w:val="restart"/>
          </w:tcPr>
          <w:p>
            <w:pPr>
              <w:jc w:val="center"/>
              <w:ind w:right="640"/>
              <w:spacing w:after="0"/>
              <w:rPr>
                <w:sz w:val="20"/>
                <w:szCs w:val="20"/>
                <w:color w:val="auto"/>
              </w:rPr>
            </w:pPr>
            <w:r>
              <w:rPr>
                <w:rFonts w:ascii="Arial" w:cs="Arial" w:eastAsia="Arial" w:hAnsi="Arial"/>
                <w:sz w:val="16"/>
                <w:szCs w:val="16"/>
                <w:b w:val="1"/>
                <w:bCs w:val="1"/>
                <w:color w:val="auto"/>
                <w:w w:val="88"/>
              </w:rPr>
              <w:t>(in thousands)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22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Operating Margin</w:t>
            </w:r>
          </w:p>
        </w:tc>
        <w:tc>
          <w:tcPr>
            <w:tcW w:w="2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379"/>
              <w:spacing w:after="0"/>
              <w:rPr>
                <w:sz w:val="20"/>
                <w:szCs w:val="20"/>
                <w:color w:val="auto"/>
              </w:rPr>
            </w:pPr>
            <w:r>
              <w:rPr>
                <w:rFonts w:ascii="Arial" w:cs="Arial" w:eastAsia="Arial" w:hAnsi="Arial"/>
                <w:sz w:val="16"/>
                <w:szCs w:val="16"/>
                <w:color w:val="auto"/>
                <w:w w:val="86"/>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10%</w:t>
            </w:r>
          </w:p>
        </w:tc>
        <w:tc>
          <w:tcPr>
            <w:tcW w:w="0" w:type="dxa"/>
            <w:vAlign w:val="bottom"/>
          </w:tcPr>
          <w:p>
            <w:pPr>
              <w:spacing w:after="0"/>
              <w:rPr>
                <w:sz w:val="1"/>
                <w:szCs w:val="1"/>
                <w:color w:val="auto"/>
              </w:rPr>
            </w:pPr>
          </w:p>
        </w:tc>
      </w:tr>
      <w:tr>
        <w:trPr>
          <w:trHeight w:val="237"/>
        </w:trPr>
        <w:tc>
          <w:tcPr>
            <w:tcW w:w="3220" w:type="dxa"/>
            <w:vAlign w:val="bottom"/>
          </w:tcPr>
          <w:p>
            <w:pPr>
              <w:ind w:left="380"/>
              <w:spacing w:after="0"/>
              <w:rPr>
                <w:sz w:val="20"/>
                <w:szCs w:val="20"/>
                <w:color w:val="auto"/>
              </w:rPr>
            </w:pPr>
            <w:r>
              <w:rPr>
                <w:rFonts w:ascii="Arial" w:cs="Arial" w:eastAsia="Arial" w:hAnsi="Arial"/>
                <w:sz w:val="16"/>
                <w:szCs w:val="16"/>
                <w:color w:val="auto"/>
              </w:rPr>
              <w:t>Water</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center"/>
              <w:ind w:right="379"/>
              <w:spacing w:after="0"/>
              <w:rPr>
                <w:sz w:val="20"/>
                <w:szCs w:val="20"/>
                <w:color w:val="auto"/>
              </w:rPr>
            </w:pPr>
            <w:r>
              <w:rPr>
                <w:rFonts w:ascii="Arial" w:cs="Arial" w:eastAsia="Arial" w:hAnsi="Arial"/>
                <w:sz w:val="16"/>
                <w:szCs w:val="16"/>
                <w:color w:val="auto"/>
                <w:w w:val="87"/>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16,854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220" w:type="dxa"/>
            <w:vAlign w:val="bottom"/>
          </w:tcPr>
          <w:p>
            <w:pPr>
              <w:ind w:left="880"/>
              <w:spacing w:after="0"/>
              <w:rPr>
                <w:sz w:val="20"/>
                <w:szCs w:val="20"/>
                <w:color w:val="auto"/>
              </w:rPr>
            </w:pPr>
            <w:r>
              <w:rPr>
                <w:rFonts w:ascii="Arial" w:cs="Arial" w:eastAsia="Arial" w:hAnsi="Arial"/>
                <w:sz w:val="16"/>
                <w:szCs w:val="16"/>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39,621</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center"/>
              <w:ind w:right="379"/>
              <w:spacing w:after="0"/>
              <w:rPr>
                <w:sz w:val="20"/>
                <w:szCs w:val="20"/>
                <w:color w:val="auto"/>
              </w:rPr>
            </w:pPr>
            <w:r>
              <w:rPr>
                <w:rFonts w:ascii="Arial" w:cs="Arial" w:eastAsia="Arial" w:hAnsi="Arial"/>
                <w:sz w:val="16"/>
                <w:szCs w:val="16"/>
                <w:color w:val="auto"/>
                <w:w w:val="86"/>
              </w:rPr>
              <w:t>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color w:val="auto"/>
                <w:w w:val="94"/>
              </w:rPr>
              <w:t>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2012 vs. Three months ended March 31, 2011</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Electricity revenues increased $8.9 million, or 3%, for the three months ended March 31, 2012, compared with the same period last year. For the first quarter of 2012, OpenWay project revenues in North America increased by $9.9 million and prepayment meter shipments increased in Asia-Pacific and Europe, partially offset by $4.6 million for the translation effect of our operations denominated in foreign currencies as compared to the U.S. dollar.</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Gas revenues decreased $3.0 million, or 2%, for the three months ended March 31, 2012, compared with the same period last year, primarily driven by lower OpenWay project revenues of $6.9 million and by a decrease of $3.9 million for the translation effect of our operations denominated in foreign currencies as compared to the U.S. dollar, partially offset by increased shipments of smart gas communication modules in North America.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Two customers each represented more than 10% of the Energy operating segment revenues in the three months ended March 31, 2012 and 2011.</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2012 vs. Three months ended March 31, 2011</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was 30.7% for the three months ended March 31, 2012, compared with a gross margin of 31.9% for the same period last year. For the three months ended March 31, 2011, the gross margin was positively impacted by two percentage points as the result of an $8.6 million insurance recovery associated with the settlement of product claims in Sweden in 2010. Excluding this benefit, warranty charges decreased in the first quarter of 2012 as compared to the first quarter of 2011.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2012 vs. Three months ended March 31, 2011</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Energy operating expenses increased $2.0 million, or 2%, for the three months ended March 31, 2012, compared with the same period last year, primarily due to increased sales and marketing and product development costs for development of new and enhanced products for the smart grid, partially offset by scheduled decreases in amortization of intangible assets. Operating expenses as a percentage of revenues were 22% for the three months ended March 31, 2012, consistent with same period last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2012 vs. Three months ended March 31, 2011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$2.0 million, or 2%, for the three months ended March 31, 2012, compared with the same period last year. Excluding the translation effect of a stronger U.S. dollar against most foreign currencies in the first quarter of 2012, as compared to the first quarter of 2011, revenues increased 5%. The increase was driven primarily by increased meter shipments in Latin America and Europe.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in the three months ended March 31, 2012 and 2011.</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2012 vs. Three months ended March 31, 2011</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Water gross margin increased to 36.2% for the three months ended March 31, 2012, compared with a gross margin of 35.9% for the same period last year, primarily as a result of increased meter shipments and increased sales of products with higher gross margins.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2012 vs. Three months ended March 31, 2011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three months ended March 31, 2012 increased by $2.0 million over the first quarter of 2011. Increases in sales and marketing and product development costs for smart and advanced meter products were partially offset by scheduled decreases in amortization of intangible assets. Operating expenses, as a percentage of revenue, was 24% compared to 23% for the same period last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increased $4.5 million in the three months ended March 31, 2012, compared with the same period last year. The increase was primarily due to acquisition related expenses of $2.0 million for the SmartSynch acquisition, which was announced in February 2012, and which closed on May 1, 2012. In addition, we incurred approximately $2.1 million in preliminary planning costs, prior to application development, for our global enterprise resource planning (ERP) software initiative that we expect to commence in the second half of 2012 and in training costs as we position the company for increased effectiveness and efficiency and higher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2012</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2011</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766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2011</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2011</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483</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1,622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1,049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2011</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681</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1,747</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125" w:right="1440"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Pr>
          <w:p>
            <w:pPr>
              <w:spacing w:after="0"/>
              <w:rPr>
                <w:sz w:val="18"/>
                <w:szCs w:val="18"/>
                <w:color w:val="auto"/>
              </w:rPr>
            </w:pPr>
          </w:p>
        </w:tc>
        <w:tc>
          <w:tcPr>
            <w:tcW w:w="196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 Bookings</w:t>
            </w:r>
          </w:p>
        </w:tc>
        <w:tc>
          <w:tcPr>
            <w:tcW w:w="500" w:type="dxa"/>
            <w:vAlign w:val="bottom"/>
          </w:tcPr>
          <w:p>
            <w:pPr>
              <w:spacing w:after="0"/>
              <w:rPr>
                <w:sz w:val="18"/>
                <w:szCs w:val="18"/>
                <w:color w:val="auto"/>
              </w:rPr>
            </w:pPr>
          </w:p>
        </w:tc>
        <w:tc>
          <w:tcPr>
            <w:tcW w:w="1880" w:type="dxa"/>
            <w:vAlign w:val="bottom"/>
          </w:tcPr>
          <w:p>
            <w:pPr>
              <w:jc w:val="right"/>
              <w:ind w:right="819"/>
              <w:spacing w:after="0"/>
              <w:rPr>
                <w:sz w:val="20"/>
                <w:szCs w:val="20"/>
                <w:color w:val="auto"/>
              </w:rPr>
            </w:pPr>
            <w:r>
              <w:rPr>
                <w:rFonts w:ascii="Arial" w:cs="Arial" w:eastAsia="Arial" w:hAnsi="Arial"/>
                <w:sz w:val="16"/>
                <w:szCs w:val="16"/>
                <w:b w:val="1"/>
                <w:bCs w:val="1"/>
                <w:color w:val="auto"/>
              </w:rPr>
              <w:t>Energy</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2011</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2011</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2011</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483</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2011</w:t>
            </w: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681</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we sign project agreements to deploy our meter and communication systems, we include these contracts in bookings and backlog when regulatory approvals are received and/or contractual conditions are satisfied. For the quarter ended March 31, 2011, bookings included an OpenWay contract for $268 million with BC Hydro.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 March 31,</w:t>
            </w:r>
          </w:p>
        </w:tc>
        <w:tc>
          <w:tcPr>
            <w:tcW w:w="1500" w:type="dxa"/>
            <w:vAlign w:val="bottom"/>
          </w:tcPr>
          <w:p>
            <w:pPr>
              <w:spacing w:after="0"/>
              <w:rPr>
                <w:sz w:val="18"/>
                <w:szCs w:val="18"/>
                <w:color w:val="auto"/>
              </w:rPr>
            </w:pPr>
          </w:p>
        </w:tc>
      </w:tr>
      <w:tr>
        <w:trPr>
          <w:trHeight w:val="33"/>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10"/>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7"/>
              </w:rPr>
              <w:t>Revenues</w:t>
            </w:r>
          </w:p>
        </w:tc>
      </w:tr>
      <w:tr>
        <w:trPr>
          <w:trHeight w:val="33"/>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Pr>
          <w:p>
            <w:pPr>
              <w:spacing w:after="0"/>
              <w:rPr>
                <w:sz w:val="18"/>
                <w:szCs w:val="18"/>
                <w:color w:val="auto"/>
              </w:rPr>
            </w:pPr>
          </w:p>
        </w:tc>
      </w:tr>
      <w:tr>
        <w:trPr>
          <w:trHeight w:val="3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44,478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44,356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40,142</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3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11,913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15,597</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3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7"/>
        </w:trPr>
        <w:tc>
          <w:tcPr>
            <w:tcW w:w="30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143,484</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134,889</w:t>
            </w:r>
          </w:p>
        </w:tc>
        <w:tc>
          <w:tcPr>
            <w:tcW w:w="10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24%</w:t>
            </w:r>
          </w:p>
        </w:tc>
      </w:tr>
      <w:tr>
        <w:trPr>
          <w:trHeight w:val="33"/>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expenses increased $8.6 million for the three months ended March 31, 2012, compared with the same period last year. Changes in foreign currency exchange rates decreased operating expenses by $3.2 million in the first quarter of 2012. The overall increase in operating expenses includes $2.0 million in costs related to the SmartSynch acquisition and $2.1 million for preliminary planning costs, prior to application development, for our global ERP software initiative and for training costs as we position the company for greater effectiveness and efficiency and higher performance. In addition, sales and marketing and product development costs in the Energy and Water segments increased for new and enhanced products and the pursuit of smart grid and other opportunities. These increases were partially offset by a scheduled decrease in amortization of 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2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70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(10,809)</w:t>
            </w:r>
          </w:p>
        </w:tc>
      </w:tr>
      <w:tr>
        <w:trPr>
          <w:trHeight w:val="33"/>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(1,590)</w:t>
            </w:r>
          </w:p>
        </w:tc>
      </w:tr>
      <w:tr>
        <w:trPr>
          <w:trHeight w:val="33"/>
        </w:trPr>
        <w:tc>
          <w:tcPr>
            <w:tcW w:w="3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continues to decline each period as a result of our declining principal balance of debt outstanding and lower interest rates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2011 credit facility, compared to the rates on the 2007 credit facility, which was outstanding during the first quarter of 2011. Total debt was $438.8 million and $573.2 million at March 31, 2012 and March 31, 2011,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for the three months ended March 31, 2012 was lower than the same periods last year</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prepayments in the first quarter of 2011 as compared to the first quarter of 2012. Refer to Item 1: “Financial Statements Note 6: Debt” for additional details related to our long-term borrowings.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w:t>
      </w:r>
      <w:r>
        <w:rPr>
          <w:rFonts w:ascii="Arial" w:cs="Arial" w:eastAsia="Arial" w:hAnsi="Arial"/>
          <w:sz w:val="16"/>
          <w:szCs w:val="16"/>
          <w:i w:val="1"/>
          <w:iCs w:val="1"/>
          <w:color w:val="auto"/>
        </w:rPr>
        <w:t>, net</w:t>
      </w:r>
      <w:r>
        <w:rPr>
          <w:rFonts w:ascii="Arial" w:cs="Arial" w:eastAsia="Arial" w:hAnsi="Arial"/>
          <w:sz w:val="16"/>
          <w:szCs w:val="16"/>
          <w:color w:val="auto"/>
        </w:rPr>
        <w:t>: Other expenses, net, consist primarily of unrealized and realized foreign currency gains and losses due to balances denominated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 a currency other than the reporting entity's functional currency and other non-operating income (expenses). Foreign currency losses, net of hedging, were $1.0 million for the three months ended March 31, 2012, compared with net foreign currency losses of $1.2 million in the same period last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(12,620)</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(25,774)</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(52,366)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3,195</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6,062</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$154.4 million at March 31, 2012, compared with $133.1 million at December 31, 2011.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three months ended March 31, 2012 was $18.0 million higher, compared with the same period in 2011, primarily due to lower bonus and profit sharing payments and lower build-up of finished goods and raw materials inventory during the three months ended March 31, 2012.</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used in investing activities during the three months ended March 31, 2012 was $13.2 million lower, compared with the same period in 2011. The decrease in cash used in investing activities is primarily due to the Asais business acquisition in the first quarter of 2011.</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financing activities during the three months ended March 31, 2012 was $29.1 million lower, compared with the same period in 2011. Repayments on borrowings were $13.8 million, compared with $52.9 million during the same period in 2011. On October 24, 2011, our Board of Directors authorized a repurchase program of up to $100 million of our common stock through October 23, 2012. We repurchased $10.6 million of our common stock during the first quarter of 2012. Refer to Part II Item 2: "Unregistered Sale of Equity Securities and Use of Proceeds" for additional details related to our share repurchase program.</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three months ended March 31, 2012 was an increase of $3.2 million, compared with an increase of $6.1 million for the same period in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2012 and December 31, 2011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$391.4 million at March 31, 2012, compared with $329.6 million at December 31, 2011.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2011, we entered into an $800 million senior secured credit facility (the 2011 credit facility). The 2011 credit facility consists of a $300 million U.S. dollar term loan and a multicurrency revolving line of credit (the revolver) with a principal amount of up to $500 million. At March 31, 2012, $150 million was outstanding under the revolver, and $46.8 million was utilized by outstanding standby letters of credit, resulting in $303.2 million available for additional borrowings.</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2, 2012, we increased the revolver from $500 million to $660 million in accordance with the terms of the 2011 credit facility agreement. The expanded revolver provides us with increased flexibility and liquidity for the acquisition of SmartSynch, Inc. and for general corporate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2011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2011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24, 2011, our Board of Directors authorized a repurchase program of up to $100 million of our common stock through October 23, 2012. Repurchases are made in the open market or in privately negotiated transactions and in accordance with applicable securities laws. Depending on market conditions and other factors, these repurchases may be commenced or suspended from time to time without prior notice. During the three months ended March 31, 2012, we repurchased $10.6 million of our common stock, which represents 282,090 shares at an average price per share of $37.56. As of March 31, 2012, we have repurchased $40 million of our common stock, with $60 million remaining under the repurchase program. Refer to Part II, Item 2: "Unregistered Sales of Equity Securities and Use of Proceeds" for additional information related to our share repurchase program.</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 and we expect to substantially complete these projects by the end of 2013.</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to incur pre-tax restructuring charges totaling approximately $85 million. A substantial portion of these charges was recognized in the fourth quarter of 2011, and $26.3 million was accrued at March 31, 2012 and is expected to be paid throughout 2012 and the first half of 2013. Restructuring costs of $1 million were recorded during the three months ended March 31, 2012, primarily associated with severance accruals. As a result of our restructuring activities, in 2012, we anticipate savings of approximately $15 million. We expect to achieve annualized cost savings of approximately $30 million by the end of 2013. Certain projects are subject to a variety of labor and employment laws, rules, and regulations which could result in a delay in implementing projects at some locations. Future real estate market conditions may impact the timing of our ability to sell some of the manufacturing facilities we have designated for closure and disposal. This may delay the completion of the restructuring projects beyond 2013. For further details regarding our restructuring activities, refer to Item 1: “Financial Statements, Note 12: Restructuring”.</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net deferred tax assets consist primarily of tax credits and net operating loss carryforwards. The utilization of some of the net operating loss carryforwards are limited by Internal Revenue Code Section 382. Based on current projections we expect to pay approximately $20.7 million in U.S. federal and state taxes and $23.3 million in local and foreign taxes in 2012. For a discussion of our tax provision (benefit)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2012, there was $34.8 million of cash and cash equivalents held by foreign subsidiaries that could be repatriated, if necessary to fund U.S. operations.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$17 million of our consolidated cash balance at March 31, 2012 resides in our joint venture entities. As a result, the minority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shareholders of these entities control their proportional share of this cash balance, and there may be limitations on Itron to repatriate cash to the U.S. from these entities.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2012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March 31, 2012 and the expected timing of payment, refer to </w:t>
      </w:r>
      <w:r>
        <w:rPr>
          <w:rFonts w:ascii="Arial" w:cs="Arial" w:eastAsia="Arial" w:hAnsi="Arial"/>
          <w:sz w:val="18"/>
          <w:szCs w:val="18"/>
          <w:i w:val="1"/>
          <w:iCs w:val="1"/>
          <w:color w:val="auto"/>
        </w:rPr>
        <w:t>Bonus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unforeseen changes in the energy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2011, which was filed with the SEC on February 17, 2012,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A majority of our revenue is recognized when products are shipped to or received by a customer or when services are provided.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w:t>
      </w:r>
    </w:p>
    <w:p>
      <w:pPr>
        <w:spacing w:after="0"/>
        <w:rPr>
          <w:sz w:val="20"/>
          <w:szCs w:val="20"/>
          <w:color w:val="auto"/>
        </w:rPr>
      </w:pPr>
      <w:r>
        <w:rPr>
          <w:rFonts w:ascii="Arial" w:cs="Arial" w:eastAsia="Arial" w:hAnsi="Arial"/>
          <w:sz w:val="18"/>
          <w:szCs w:val="18"/>
          <w:color w:val="auto"/>
        </w:rPr>
        <w:t>TPE is determined based on the prices charged by our competitors for a similar deliverable when sold separately.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Continuing quality control efforts during manufacturing reduce our exposure to warranty claims. When our quality control efforts fail to detect a fault in one of our products, we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w:t>
      </w:r>
    </w:p>
    <w:p>
      <w:pPr>
        <w:sectPr>
          <w:pgSz w:w="11900" w:h="16838" w:orient="portrait"/>
          <w:cols w:equalWidth="0" w:num="1">
            <w:col w:w="11420"/>
          </w:cols>
          <w:pgMar w:left="240" w:top="125" w:right="239" w:bottom="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impairments, net,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the asset group may consist of property, plant, equipment, intangible assets, and goodwill.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projects,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future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 Changes in tax laws and unanticipated tax liabilities could significantly impact our tax rate.</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finite lives and are amortized over their estimated useful lives based on estimated discounted cash flows. Intangible assets are tested for impairment at the asset group level when events or changes in circumstances indicate the carrying value may not be recoverable.</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new reporting units are Electricity, Gas, and Water. Our new Energy operating segment comprises the Electricity and Gas reporting units, while our new Water operating segment comprises the Water reporting unit. In the first quarter of 2012, we reallocated the goodwill from our former INA reporting unit to the three new reporting units based on the relative fair values of the electricity, gas, and water product lines within INA on January 1, 2012. We also reassigned the goodwill from our former INL Electricity, INL Gas, and INL Water reporting units to the new reporting units, Electricity, Gas, and Water, respectively.</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involves comparing the fair value of the reporting units to their carrying amounts. If the carrying amount of a reporting unit exceeds its fair value, a second step is required to measure for a goodwill impairment loss. This second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considerable decline in the price of our shares of common stock in 2011, our aggregate market value was significantly lower than the aggregate carrying value of our net assets. Therefore, we performed an interim impairment test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as of September 30, 2011, which resulted in a goodwill write-down of $584.8 million in 2011. The goodwill impairment did not affect the debt covenants under the Company's existing credit facility.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goodwill impairment before the reorganization into the new reporting units was associated with two reporting units from the Itron International operating segment. The goodwill balance before and after the goodwill impairment was as follows:</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September 30, 2011</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6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Reporting Unit</w:t>
            </w:r>
          </w:p>
        </w:tc>
        <w:tc>
          <w:tcPr>
            <w:tcW w:w="160" w:type="dxa"/>
            <w:vAlign w:val="bottom"/>
          </w:tcPr>
          <w:p>
            <w:pPr>
              <w:spacing w:after="0"/>
              <w:rPr>
                <w:sz w:val="20"/>
                <w:szCs w:val="20"/>
                <w:color w:val="auto"/>
              </w:rPr>
            </w:pPr>
          </w:p>
        </w:tc>
        <w:tc>
          <w:tcPr>
            <w:tcW w:w="174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Before Impairment</w:t>
            </w:r>
          </w:p>
        </w:tc>
        <w:tc>
          <w:tcPr>
            <w:tcW w:w="160" w:type="dxa"/>
            <w:vAlign w:val="bottom"/>
          </w:tcPr>
          <w:p>
            <w:pPr>
              <w:spacing w:after="0"/>
              <w:rPr>
                <w:sz w:val="20"/>
                <w:szCs w:val="20"/>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Impairment</w:t>
            </w:r>
          </w:p>
        </w:tc>
        <w:tc>
          <w:tcPr>
            <w:tcW w:w="280" w:type="dxa"/>
            <w:vAlign w:val="bottom"/>
          </w:tcPr>
          <w:p>
            <w:pPr>
              <w:spacing w:after="0"/>
              <w:rPr>
                <w:sz w:val="20"/>
                <w:szCs w:val="20"/>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Itron International - 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363,626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108,891</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Itron International - Water</w:t>
            </w:r>
          </w:p>
        </w:tc>
        <w:tc>
          <w:tcPr>
            <w:tcW w:w="16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389,308</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330,112</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59,196</w:t>
            </w:r>
          </w:p>
        </w:tc>
      </w:tr>
      <w:tr>
        <w:trPr>
          <w:trHeight w:val="33"/>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5"/>
        </w:trPr>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allocation of goodwill from the previous reporting units to the new reporting units (Electricity, Gas, and Water) on January 1, 2012, the fair value of each reporting unit exceeded the carrying value by a minimum of 35%.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(also known as “Level 2”), as defined by U.S. generally accepted accounting principles.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92% of our benefit obligation, we use two discount rates, (separated between shorter and longer duration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 The weighted average discount rate used to measure the projected benefit obligation for all of the plans at December 31, 2011 was 5.51%. A change of 25 basis points in the discount rate would change our pension benefit obligation by approximately $2.3 million. The financial and actuarial assumptions used at December 31, 2011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2012.</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months ended March 31, 2012, we accrued $6.6 million for such awards, compared with $7.3 million in the same period in 2011. Awards are typically distributed in the first quarter of the following year.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In valuing our stock options, significant judgment is required in determining the expected volatility of our common stock and the expected life that individuals will hold their stock options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interest rate risk through our variable rate debt instruments. At March 31, 2012, 100% of our borrowings are at variable rates.</w:t>
      </w:r>
    </w:p>
    <w:p>
      <w:pPr>
        <w:spacing w:after="0" w:line="2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weighted average interest rates at March 31, 2012. Weighted average variable rates in the table are based on implied forward rates in the Reuters U.S. dollar yield curve as of March 31, 2012 and our estimated leverage ratio, which determines our additional interest rate margin at March 31, 2012.</w:t>
      </w:r>
    </w:p>
    <w:p>
      <w:pPr>
        <w:spacing w:after="0" w:line="210" w:lineRule="exact"/>
        <w:rPr>
          <w:sz w:val="20"/>
          <w:szCs w:val="20"/>
          <w:color w:val="auto"/>
        </w:rPr>
      </w:pPr>
    </w:p>
    <w:p>
      <w:pPr>
        <w:ind w:left="4160"/>
        <w:spacing w:after="0"/>
        <w:tabs>
          <w:tab w:leader="none" w:pos="5440" w:val="left"/>
          <w:tab w:leader="none" w:pos="6740" w:val="left"/>
          <w:tab w:leader="none" w:pos="8040" w:val="left"/>
          <w:tab w:leader="none" w:pos="9340" w:val="left"/>
          <w:tab w:leader="none" w:pos="1058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34290</wp:posOffset>
            </wp:positionV>
            <wp:extent cx="48367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Variable Rate Debt</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Principal: U.S. dollar term loan</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11,250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202,502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288,752</w:t>
            </w:r>
          </w:p>
        </w:tc>
      </w:tr>
      <w:tr>
        <w:trPr>
          <w:trHeight w:val="243"/>
        </w:trPr>
        <w:tc>
          <w:tcPr>
            <w:tcW w:w="372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3720" w:type="dxa"/>
            <w:vAlign w:val="bottom"/>
          </w:tcPr>
          <w:p>
            <w:pPr>
              <w:ind w:left="620"/>
              <w:spacing w:after="0"/>
              <w:rPr>
                <w:sz w:val="20"/>
                <w:szCs w:val="20"/>
                <w:color w:val="auto"/>
              </w:rPr>
            </w:pPr>
            <w:r>
              <w:rPr>
                <w:rFonts w:ascii="Arial" w:cs="Arial" w:eastAsia="Arial" w:hAnsi="Arial"/>
                <w:sz w:val="18"/>
                <w:szCs w:val="18"/>
                <w:color w:val="auto"/>
                <w:w w:val="97"/>
              </w:rPr>
              <w:t>Principal: Multicurrency revolving line of</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720" w:type="dxa"/>
            <w:vAlign w:val="bottom"/>
          </w:tcPr>
          <w:p>
            <w:pPr>
              <w:ind w:left="620"/>
              <w:spacing w:after="0"/>
              <w:rPr>
                <w:sz w:val="20"/>
                <w:szCs w:val="20"/>
                <w:color w:val="auto"/>
              </w:rPr>
            </w:pPr>
            <w:r>
              <w:rPr>
                <w:rFonts w:ascii="Arial" w:cs="Arial" w:eastAsia="Arial" w:hAnsi="Arial"/>
                <w:sz w:val="18"/>
                <w:szCs w:val="18"/>
                <w:color w:val="auto"/>
              </w:rPr>
              <w:t>credit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150,000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150,000</w:t>
            </w:r>
          </w:p>
        </w:tc>
      </w:tr>
      <w:tr>
        <w:trPr>
          <w:trHeight w:val="27"/>
        </w:trPr>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Average interest rate</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3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2012, we estimate that, if market interest rates average one percentage point higher in 2012 than in the table above, our financial results in 2012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 (refer to Item 1: "Financial Statements, Note 7: Derivative Financial Instruments").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56% of total revenues for the three months ended March 31, 2012, compared with 55% for the same period in 2011.</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145 contracts were entered into during the three months ended March 31, 2012), not designated for hedge accounting, with the intent to reduce earnings volatility associated with certain of these balances. The notional amounts of the contracts ranged from $120,000 to $37 million, offsetting our exposures from the euro, British pound, Canadian dollar, Australian dollar, Brazilian real, and various other currencies.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left="660" w:hanging="328"/>
        <w:spacing w:after="0" w:line="28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March 31, 2012, an evaluation was performed under the supervision and with the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9"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We are in the process of upgrading our global enterprise resource planning software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As a part of this effort, during the three months ended March 31, 2012, we implemented an Oracle suite of financial applications for financial consolidations and management reporting. This update has resulted in changes to our internal controls over financial reporting. Management is taking the necessary steps to update the design and documentation of internal control processes and procedures relating to the system update to supplement and complement existing internal controls. Management will continue to monitor, evaluate, and update the related processes and internal controls as necessary during the post-implementation period to ensure adequate internal control over financial reporting.</w:t>
      </w:r>
    </w:p>
    <w:p>
      <w:pPr>
        <w:spacing w:after="0" w:line="164"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Other than as described above, there have been no changes in our internal control over financial reporting during the three months ended March 31, 2012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first quarter of 2012.</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first quarter of 2012 from those previously disclosed in Item 1A: "Risk Factors" of Part I of our Annual Report on Form 10-K for the fiscal year ended December 31, 2011, which was filed with the SEC on February 17, 2012.</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12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7"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3"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March 31, 2012.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through January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282,090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59,978</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February 1 through February 29</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59,978</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through March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59,978</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282,090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282,090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25"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On October 24, 2011, our Board of Directors authorized a twelve-month repurchase program of up to $100 million of our common stock, which will expire on October 23, 2012. Repurchases are made in the open market or in privately negotiated transactions, and in accordance with applicable securities laws. No shares were purchased outside of this plan.</w:t>
      </w:r>
    </w:p>
    <w:p>
      <w:pPr>
        <w:spacing w:after="0" w:line="100"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35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2012 that was not reported.</w:t>
      </w:r>
    </w:p>
    <w:p>
      <w:pPr>
        <w:spacing w:after="0" w:line="387"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939"/>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61"/>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4"/>
              </w:rPr>
              <w:t>101.INS*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4"/>
              </w:rPr>
              <w:t>101.SCH*</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8"/>
              </w:rPr>
              <w:t>101.CAL*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6"/>
              </w:rPr>
              <w:t>101.DEF *</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9"/>
              </w:rPr>
              <w:t>101.LAB*</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1"/>
              </w:rPr>
              <w:t>101.PRE*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64" w:lineRule="exact"/>
        <w:rPr>
          <w:sz w:val="20"/>
          <w:szCs w:val="20"/>
          <w:color w:val="auto"/>
        </w:rPr>
      </w:pPr>
    </w:p>
    <w:p>
      <w:pPr>
        <w:jc w:val="both"/>
        <w:ind w:left="500" w:right="20" w:hanging="307"/>
        <w:spacing w:after="0" w:line="25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May 3, 2012</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2"/>
              </w:rPr>
              <w:t>Steven M. Helmbrecht</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2012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3, 2012</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3, 2012</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2019-12-09T09:04:57Z</dcterms:created>
  <dcterms:modified xsi:type="dcterms:W3CDTF">2019-12-09T09:04:57Z</dcterms:modified>
</cp:coreProperties>
</file>