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CB2C31"/>
        </w:rPr>
        <w:t>Itron,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99060</wp:posOffset>
            </wp:positionV>
            <wp:extent cx="106299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28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01"/>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29, 2024, there were outstanding 44,962,799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8"/>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6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2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auto"/>
            </w:tcBorders>
            <w:vMerge w:val="continue"/>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881,127</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154,561</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1,035,688</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 of revenues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619,631</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cost of revenues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85,742</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705,373</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330,315</w:t>
            </w:r>
          </w:p>
        </w:tc>
        <w:tc>
          <w:tcPr>
            <w:tcW w:w="0" w:type="dxa"/>
            <w:vAlign w:val="bottom"/>
          </w:tcPr>
          <w:p>
            <w:pPr>
              <w:spacing w:after="0"/>
              <w:rPr>
                <w:sz w:val="1"/>
                <w:szCs w:val="1"/>
                <w:color w:val="auto"/>
              </w:rPr>
            </w:pPr>
          </w:p>
        </w:tc>
      </w:tr>
      <w:tr>
        <w:trPr>
          <w:trHeight w:val="256"/>
        </w:trPr>
        <w:tc>
          <w:tcPr>
            <w:tcW w:w="4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154,600</w:t>
            </w:r>
          </w:p>
        </w:tc>
        <w:tc>
          <w:tcPr>
            <w:tcW w:w="0" w:type="dxa"/>
            <w:vAlign w:val="bottom"/>
          </w:tcPr>
          <w:p>
            <w:pPr>
              <w:spacing w:after="0"/>
              <w:rPr>
                <w:sz w:val="1"/>
                <w:szCs w:val="1"/>
                <w:color w:val="auto"/>
              </w:rPr>
            </w:pPr>
          </w:p>
        </w:tc>
      </w:tr>
      <w:tr>
        <w:trPr>
          <w:trHeight w:val="22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0" w:type="dxa"/>
            <w:vAlign w:val="bottom"/>
          </w:tcPr>
          <w:p>
            <w:pPr>
              <w:spacing w:after="0"/>
              <w:rPr>
                <w:sz w:val="1"/>
                <w:szCs w:val="1"/>
                <w:color w:val="auto"/>
              </w:rPr>
            </w:pPr>
          </w:p>
        </w:tc>
      </w:tr>
      <w:tr>
        <w:trPr>
          <w:trHeight w:val="22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37,483</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sale of business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305,608</w:t>
            </w: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Itron, Inc.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45,358</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vMerge w:val="continue"/>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22,018</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 net of tax</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87"/>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980" w:type="dxa"/>
            <w:vAlign w:val="bottom"/>
            <w:gridSpan w:val="2"/>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303,821</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283,686</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159,882</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1,689,455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1,049,438</w:t>
            </w:r>
          </w:p>
        </w:tc>
      </w:tr>
      <w:tr>
        <w:trPr>
          <w:trHeight w:val="257"/>
        </w:trPr>
        <w:tc>
          <w:tcPr>
            <w:tcW w:w="676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128,806</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247,211</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38,836</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41,186</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1,052,504</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3,283,940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199,520</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135,803</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124,207</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537,236</w:t>
            </w:r>
          </w:p>
        </w:tc>
      </w:tr>
      <w:tr>
        <w:trPr>
          <w:trHeight w:val="216"/>
        </w:trPr>
        <w:tc>
          <w:tcPr>
            <w:tcW w:w="67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454,827</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63,887</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176,028</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1,272,832</w:t>
            </w:r>
          </w:p>
        </w:tc>
      </w:tr>
      <w:tr>
        <w:trPr>
          <w:trHeight w:val="216"/>
        </w:trPr>
        <w:tc>
          <w:tcPr>
            <w:tcW w:w="67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50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7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44,952 and 45,512 shares issued</w:t>
            </w: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w:t>
            </w:r>
          </w:p>
        </w:tc>
        <w:tc>
          <w:tcPr>
            <w:tcW w:w="5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1,662,965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1,820,510</w:t>
            </w: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(81,190)</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(428,409)</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1,310,911</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w:t>
            </w:r>
          </w:p>
        </w:tc>
      </w:tr>
      <w:tr>
        <w:trPr>
          <w:trHeight w:val="223"/>
        </w:trPr>
        <w:tc>
          <w:tcPr>
            <w:tcW w:w="67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1,331,431</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3,283,940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1,820,510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1,310,911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1,331,431</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1,833,510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1,364,724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1,385,310</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51,860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0" w:type="dxa"/>
            <w:vAlign w:val="bottom"/>
          </w:tcPr>
          <w:p>
            <w:pPr>
              <w:spacing w:after="0"/>
              <w:rPr>
                <w:sz w:val="1"/>
                <w:szCs w:val="1"/>
                <w:color w:val="auto"/>
              </w:rPr>
            </w:pPr>
          </w:p>
        </w:tc>
      </w:tr>
      <w:tr>
        <w:trPr>
          <w:trHeight w:val="139"/>
        </w:trPr>
        <w:tc>
          <w:tcPr>
            <w:tcW w:w="2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Payments on call spread for convertible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repurchased</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21"/>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1,662,965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1,239,563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1,260,691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1,788,479</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1,168,473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1,191,556</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1,796,005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(537,168)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1,171,282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1,194,143</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25,103</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0" w:type="dxa"/>
            <w:vAlign w:val="bottom"/>
          </w:tcPr>
          <w:p>
            <w:pPr>
              <w:spacing w:after="0"/>
              <w:rPr>
                <w:sz w:val="1"/>
                <w:szCs w:val="1"/>
                <w:color w:val="auto"/>
              </w:rPr>
            </w:pPr>
          </w:p>
        </w:tc>
      </w:tr>
      <w:tr>
        <w:trPr>
          <w:trHeight w:val="190"/>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45,448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1,803,813</w:t>
            </w: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(85,722)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(512,967)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1,205,124</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23,763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1,228,887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103,647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13,066</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28,368</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13,694</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(Gain) loss on sale of business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(36,466)</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(33,554)</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9,040</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39,039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Restructuring</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(9,208)</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proceeds (payments) related to the sale of business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(13,220)</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call spread for convertible offering</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576,839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618,590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30,780</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302,049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202,007</w:t>
            </w:r>
          </w:p>
        </w:tc>
        <w:tc>
          <w:tcPr>
            <w:tcW w:w="0" w:type="dxa"/>
            <w:vAlign w:val="bottom"/>
          </w:tcPr>
          <w:p>
            <w:pPr>
              <w:spacing w:after="0"/>
              <w:rPr>
                <w:sz w:val="1"/>
                <w:szCs w:val="1"/>
                <w:color w:val="auto"/>
              </w:rPr>
            </w:pPr>
          </w:p>
        </w:tc>
      </w:tr>
      <w:tr>
        <w:trPr>
          <w:trHeight w:val="22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920,639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232,787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20,653</w:t>
            </w:r>
          </w:p>
        </w:tc>
        <w:tc>
          <w:tcPr>
            <w:tcW w:w="0" w:type="dxa"/>
            <w:vAlign w:val="bottom"/>
          </w:tcPr>
          <w:p>
            <w:pPr>
              <w:spacing w:after="0"/>
              <w:rPr>
                <w:sz w:val="1"/>
                <w:szCs w:val="1"/>
                <w:color w:val="auto"/>
              </w:rPr>
            </w:pPr>
          </w:p>
        </w:tc>
      </w:tr>
      <w:tr>
        <w:trPr>
          <w:trHeight w:val="188"/>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2024 and 2023, Consolidated Statements of Equity for the three months ended June 30, 2024 and 2023 and March 31, 2024 and 2023, the Consolidated Statements of Cash Flows for the six months ended June 30, 2024 and 2023, and the Consolidated Balance Sheets as of June 30, 2024 and December 31, 2023, of Itron, Inc. and its subsidiaries. All entries required for the fair presentation of the financial statements are of a normal recurring nature, except as disclosed. The results of operations for the three and six months ended June 30, 2024 are not necessarily indicative of the results expected for the full year or for any other period.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2023 filed with the SEC in our Annual Report on Form 10-K on February 26, 2024 (2023 Annual Report). There have been no significant changes in financial statement preparation or significant accounting policies since December 31, 2023.</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 We had $1.8 million pledged for standby letters of credit as of June 30, 2024 and December 31, 2023.</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costs and availability. Efforts continue with suppliers to improve supply resiliency, including the approval of alternate sources. Additionally, inflation in our raw materials and component costs, freight charges,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and Israel, military actions globally and any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w:t>
      </w:r>
    </w:p>
    <w:p>
      <w:pPr>
        <w:spacing w:after="0" w:line="9" w:lineRule="exact"/>
        <w:rPr>
          <w:sz w:val="20"/>
          <w:szCs w:val="20"/>
          <w:color w:val="auto"/>
        </w:rPr>
      </w:pPr>
    </w:p>
    <w:p>
      <w:pPr>
        <w:jc w:val="both"/>
        <w:ind w:firstLine="8"/>
        <w:spacing w:after="0" w:line="253" w:lineRule="auto"/>
        <w:tabs>
          <w:tab w:leader="none" w:pos="4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to Reportable Segment Disclosures, which amends the reportable segment disclosure requirements, primarily through enhanced disclosures about significant segment expenses. ASU 2023-07 is effective for our annual financial reporting in 2024 and interim financial reports for the first quarter of 2025, with early adoption permitted. These amendments are to be applied retrospectively to all prior periods presented in the financial statements. We are currently evaluating the impact this standard will have on our consolidated financial statement disclosures for our reportable segment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amends Income Taxes (Topic 740). The FASB issued this update to improve annual basis income tax disclosures related to (1) rate reconciliation, (2) income taxes paid, and (3) other disclosures related to pretax income (or loss) and income tax expense (or benefit) from continuing operations. The effective date for this amendment is January 1, 2025, with early adoption permitted. These amendments are to be applied on a prospective basis. Retrospective application is permitted. We are currently evaluating the impact this standard will have on our consolidated financial statement disclosures.</w:t>
      </w:r>
    </w:p>
    <w:p>
      <w:pPr>
        <w:spacing w:after="0" w:line="20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45,358</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0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46,526</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45,781</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46,441</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45,677</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10,000 and 33,000 stock-based awards were excluded from the calculation of diluted EPS for the three and six months ended June 30, 2024 because they were anti-dilutive. Approximately 0.4 million stock-based awards were excluded from the calculation of diluted EPS for the three and six months ended June 30, 2023 because they were anti-dilutive. These stock-based awards could be dilutive in future periods.</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Share Hedges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 Warrants and Call Option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March 2021 (the 2021 Notes), the dilutive effect is calculated using the if-converted method. We are required, pursuant to the indenture governing the notes, to settle the principal amount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notes were converted. The average closing prices of our common stock for the quarter ended June 30, 2024 were used as the basis for determining the dilutive effect on EPS. The quarterly average closing prices for our common stock did not exceed the conversion price of $126.00, and therefore all associated shares were anti-dilutive.</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issuance of the 2021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six months ended June 30, 2024, the quarterly average closing prices of our common stock did not exceed the warrant strike price and therefore 3.7 million shares were considered anti-dilutive.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2021 Notes, we entered into privately negotiated call option contracts on our common stock (the 2021 call option transactions) with certain commercial banks. The 2021 call option transactions cover, subject to anti-dilution adjustments substantially similar to those in the 2021 Notes, approximately 3.7 million shares of our common stock, the same number of shares initially underlying the notes, at a strike price of approximately $126.00, subject to customary adjustments. The 2021 call option transactions will expire upon the maturity of the 2021 Notes, subject to earlier exercise or termination. Exercise of the 2021 call option transactions would reduce the number of shares of our common stock outstanding and therefore would be anti-dilutive.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 and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June 2024 (the 2024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June 30, 2024 were used as the basis for determining the dilutive effect on EPS. The quarterly average closing prices for our common stock did not exceed the conversion price of $131.24,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9"/>
                <w:szCs w:val="19"/>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$603 and $738)</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288,568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272,890</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30,931</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303,821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28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written-off, net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43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201,690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213,303</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52,534</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291,781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283,686</w:t>
            </w:r>
          </w:p>
        </w:tc>
        <w:tc>
          <w:tcPr>
            <w:tcW w:w="0" w:type="dxa"/>
            <w:vAlign w:val="bottom"/>
          </w:tcPr>
          <w:p>
            <w:pPr>
              <w:spacing w:after="0"/>
              <w:rPr>
                <w:sz w:val="1"/>
                <w:szCs w:val="1"/>
                <w:color w:val="auto"/>
              </w:rPr>
            </w:pPr>
          </w:p>
        </w:tc>
      </w:tr>
      <w:tr>
        <w:trPr>
          <w:trHeight w:val="21"/>
        </w:trPr>
        <w:tc>
          <w:tcPr>
            <w:tcW w:w="43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43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318,546</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126,149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126,041</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w:t>
            </w:r>
          </w:p>
        </w:tc>
        <w:tc>
          <w:tcPr>
            <w:tcW w:w="0" w:type="dxa"/>
            <w:vAlign w:val="bottom"/>
          </w:tcPr>
          <w:p>
            <w:pPr>
              <w:spacing w:after="0"/>
              <w:rPr>
                <w:sz w:val="1"/>
                <w:szCs w:val="1"/>
                <w:color w:val="auto"/>
              </w:rPr>
            </w:pPr>
          </w:p>
        </w:tc>
      </w:tr>
      <w:tr>
        <w:trPr>
          <w:trHeight w:val="207"/>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597,037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602,898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(475,011)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(474,092)</w:t>
            </w:r>
          </w:p>
        </w:tc>
        <w:tc>
          <w:tcPr>
            <w:tcW w:w="0" w:type="dxa"/>
            <w:vAlign w:val="bottom"/>
          </w:tcPr>
          <w:p>
            <w:pPr>
              <w:spacing w:after="0"/>
              <w:rPr>
                <w:sz w:val="1"/>
                <w:szCs w:val="1"/>
                <w:color w:val="auto"/>
              </w:rPr>
            </w:pPr>
          </w:p>
        </w:tc>
      </w:tr>
      <w:tr>
        <w:trPr>
          <w:trHeight w:val="210"/>
        </w:trPr>
        <w:tc>
          <w:tcPr>
            <w:tcW w:w="43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122,026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128,806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28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9,008</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0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923,752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beginning balance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905,134</w:t>
            </w:r>
          </w:p>
        </w:tc>
      </w:tr>
      <w:tr>
        <w:trPr>
          <w:trHeight w:val="216"/>
        </w:trPr>
        <w:tc>
          <w:tcPr>
            <w:tcW w:w="784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Intangible assets acquired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gross ending balance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923,752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912,336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7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beginning balance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ending balance</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firstLine="8"/>
        <w:spacing w:after="0" w:line="263" w:lineRule="auto"/>
        <w:tabs>
          <w:tab w:leader="none" w:pos="162"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March 1, 2024, we completed the acquisition of 100% of the shares Elpis2, Inc. (Elpis Squared), a privately held software and services company. The purchase resulted in the addition of intangible assets of $15.0 million including $12.5 million identified core-developed technology and $2.5 million of customer contracts and relationships. The core-developed technology and customer contract and relationships will be amortized over the weighted-average five-year and three-year useful lives, respectively, using the straight-line method. Refer to Note 5: Goodwill and Note 17: Business Combination for additional information.</w:t>
      </w:r>
    </w:p>
    <w:p>
      <w:pPr>
        <w:spacing w:after="0" w:line="2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Assumed intangible liabilities reflect the present value of the projected cash outflows for an existing contract where remaining costs were expected to exceed projected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(amount remaining at June 30,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17,660</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13,652</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34"/>
        </w:trPr>
        <w:tc>
          <w:tcPr>
            <w:tcW w:w="9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52,544</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six months ended June 30, 2024:</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8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80" w:type="dxa"/>
            <w:vAlign w:val="bottom"/>
          </w:tcPr>
          <w:p>
            <w:pPr>
              <w:spacing w:after="0"/>
              <w:rPr>
                <w:sz w:val="18"/>
                <w:szCs w:val="18"/>
                <w:color w:val="auto"/>
              </w:rPr>
            </w:pPr>
          </w:p>
        </w:tc>
        <w:tc>
          <w:tcPr>
            <w:tcW w:w="14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911,847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140,657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1,052,504</w:t>
            </w:r>
          </w:p>
        </w:tc>
      </w:tr>
      <w:tr>
        <w:trPr>
          <w:trHeight w:val="216"/>
        </w:trPr>
        <w:tc>
          <w:tcPr>
            <w:tcW w:w="4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Goodwill acquired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19,661</w:t>
            </w: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(12,072)</w:t>
            </w:r>
          </w:p>
        </w:tc>
      </w:t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balance at June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901,372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158,721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1,060,093</w:t>
            </w:r>
          </w:p>
        </w:tc>
      </w:tr>
      <w:tr>
        <w:trPr>
          <w:trHeight w:val="23"/>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p>
      <w:pPr>
        <w:ind w:left="20" w:firstLine="8"/>
        <w:spacing w:after="0" w:line="286" w:lineRule="auto"/>
        <w:tabs>
          <w:tab w:leader="none" w:pos="169"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 2024, we acquired Elpis Squared. The purchase resulted in the recognition of $19.7 million in goodwill allocated to our Outcomes operating segment and reporting unit. Refer to Note 4: Intangible Assets and Liabilities and Note 17: Business Combination for additional information on the transaction.</w:t>
      </w:r>
    </w:p>
    <w:p>
      <w:pPr>
        <w:spacing w:after="0" w:line="174"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convertible notes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34"/>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1,239,772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454,827</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current credit facility,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(the term loan) included in the original facility was fully repaid in August 2021.</w:t>
      </w:r>
    </w:p>
    <w:p>
      <w:pPr>
        <w:spacing w:after="0" w:line="21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June 30, 2024.</w:t>
      </w:r>
    </w:p>
    <w:p>
      <w:pPr>
        <w:spacing w:after="0" w:line="21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left="20" w:firstLine="8"/>
        <w:spacing w:after="0" w:line="253"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occurred in June 2023</w:t>
      </w:r>
      <w:r>
        <w:rPr>
          <w:rFonts w:ascii="Cambria" w:cs="Cambria" w:eastAsia="Cambria" w:hAnsi="Cambria"/>
          <w:sz w:val="19"/>
          <w:szCs w:val="19"/>
          <w:b w:val="1"/>
          <w:bCs w:val="1"/>
          <w:color w:val="1F497D"/>
        </w:rPr>
        <w:t>.</w:t>
      </w:r>
      <w:r>
        <w:rPr>
          <w:rFonts w:ascii="Times New Roman" w:cs="Times New Roman" w:eastAsia="Times New Roman" w:hAnsi="Times New Roman"/>
          <w:sz w:val="18"/>
          <w:szCs w:val="18"/>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modified debt covenant provisions to allow for the addback of non-recurring cash expenses related to restructuring charges incurred during the quarter ended March 31, 2023. On October 13, 2023, we entered into a seventh amendment to extend the maturity date to October 18, 2026. However, that date may be advanced to December 14, 2025 if Itron does not settle or extend a sufficient portion of outstanding convertible notes detailed in the amendment. In addition, the amendment revises the interest cost, as follows: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Cost</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1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4.00</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+ 250 bps</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bps</w:t>
            </w:r>
          </w:p>
        </w:tc>
      </w:tr>
      <w:tr>
        <w:trPr>
          <w:trHeight w:val="21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3.51 to 4.00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+ 225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bps</w:t>
            </w:r>
          </w:p>
        </w:tc>
      </w:tr>
      <w:tr>
        <w:trPr>
          <w:trHeight w:val="21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+ 200 bps</w:t>
            </w: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bps</w:t>
            </w:r>
          </w:p>
        </w:tc>
      </w:tr>
      <w:tr>
        <w:trPr>
          <w:trHeight w:val="21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2.50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+ 175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bps</w:t>
            </w:r>
          </w:p>
        </w:tc>
      </w:tr>
    </w:tbl>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14, 2024, we entered into an eighth amendment of the 2018 credit facility. In contemplation of the issuance of the 2024 convertible notes, this amendment to the Credit Agreement removed the $500 million maximum amount of convertible notes we could offer.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there were no outstanding loan balances under the credit facility, and $46.8 million was utilized by outstanding standby letters of credit, resulting in $453.2 million available for additional borrowings or standby letters of credit within the revolver. At June 30, 2024, $253.2 million was available for additional standby letters of credit under the letter of credit sub-facility, and no amounts were outstanding under the swingline sub-facility.</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$460 million of convertible notes in a private placement to qualified institutional buyers, resulting in net proceeds to us of $448.5 million after deducting initial purchasers' discounts of the offering. The 2021 Notes do not bear regular interest, and the principal amount does not accrete. The 2021 Notes will mature on March 15, 2026, unless earlier repurchased, redeemed, or converted in accordance with their terms. No sinking fund is provided for the 2021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2021 Notes is 7.9365 shares of our common stock per $1,000 principal amount of notes, which is equivalent to an initial conversion price of approximately $126.00 per share. The conversion rate is subject to adjustment upon the occurrence of certain specified events. In addition, upon the occurrence of a make-whole fundamental change (as defined in the indenture governing the 2021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2021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2021 Notes may convert all or a portion of their notes at any time. Upon conversion, we will pay cash up to the aggregate principal amount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March 20, 2024 and prior to December 15, 2025, we may redeem for cash all or part of the 2021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in a private placement to qualified institutional buyers, resulting in net proceeds to us of $784 million after deducting initial purchasers' discounts of the offering. The 2024 Notes will accrue interest at a rate of 1.375% per annum, payable semi-annually in arrears on January 15 and July 15 of each year, beginning on January 15, 2025. The 2024 Notes will mature on July 15, 2030, unless earlier repurchased, redeemed, or converted in accordance with their terms.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 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(amount remaining at June 30, 2024)</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37"/>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 of Financial Instruments for additional disclosures on our derivative instruments.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2024, a total of 41 contracts were offsetting our exposures from the euro, pound sterling, Indonesian rupiah, Canadian dollar, Australian dollar, and various other currencies, with notional amounts ranging from $103,000 to $39.1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57"/>
        </w:trPr>
        <w:tc>
          <w:tcPr>
            <w:tcW w:w="6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w:t>
            </w: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63,887</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65,751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67,430</w:t>
            </w:r>
          </w:p>
        </w:tc>
      </w:tr>
      <w:tr>
        <w:trPr>
          <w:trHeight w:val="2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Curtailment</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June 30, 2024, 4,591,679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494,176 shares of common stock were available for future issuance at June 30,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stock options and restricted stock units were not significant for the three and six months ended June 30, 2024 and 2023.</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13,099</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w:t>
            </w:r>
          </w:p>
        </w:tc>
      </w:tr>
      <w:tr>
        <w:trPr>
          <w:trHeight w:val="237"/>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8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48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Price per Share</w:t>
            </w: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28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w w:val="98"/>
              </w:rPr>
              <w:t>Years</w:t>
            </w: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June 30, 2023</w:t>
            </w:r>
          </w:p>
        </w:tc>
        <w:tc>
          <w:tcPr>
            <w:tcW w:w="12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60.70</w:t>
            </w: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4.4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4.0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2024</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June 30, 2024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all stock-based compensation expense related to nonvested stock options has been recognized.</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1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60" w:type="dxa"/>
            <w:vAlign w:val="bottom"/>
            <w:vMerge w:val="continue"/>
          </w:tcPr>
          <w:p>
            <w:pPr>
              <w:spacing w:after="0"/>
              <w:rPr>
                <w:sz w:val="18"/>
                <w:szCs w:val="18"/>
                <w:color w:val="auto"/>
              </w:rPr>
            </w:pPr>
          </w:p>
        </w:tc>
        <w:tc>
          <w:tcPr>
            <w:tcW w:w="21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2023</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2023</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28,739</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2024</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June 30, 2024</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Shares released is presented as gross shares and does not reflect shares withheld by us for employee payroll tax obligations.</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June 30, 2024, total unrecognized compensation expense on restricted stock units was $62.0 million, which is expected to be recognized over a weighted average period of approximately 1.8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11"/>
        </w:trPr>
        <w:tc>
          <w:tcPr>
            <w:tcW w:w="76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57"/>
        </w:trPr>
        <w:tc>
          <w:tcPr>
            <w:tcW w:w="7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83.26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59.52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rate for the three and six months ended June 30, 2024 of 23% and 22%, respectively, differed from the federal statutory rate of 21% due to the impact of valuation allowances on deferred tax assets, the forecasted mix of earnings in domestic and international jurisdictions, U.S. taxation of foreign earnings including GILTI (Global Intangible Low Taxed Income) tax, net of Section 250 deduction (largely driven by research and development capitalization), Subpart F income, a benefit related to stock-based compensation, tax credits, state taxes, and uncertain tax positions.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rate for the three and six months ended June 30, 2023 of 27% and 41%, respectively, differed from the federal statutory rate of 21% due to the impact of valuation allowances on deferred tax assets, the forecasted mix of earnings in domestic and international jurisdictions, U.S. taxation of foreign earnings including GILTI (Global Intangible Low Taxed Income) tax, net of Section 250 deduction (largely driven by research and development capitalization), Subpart F income, an expense related to stock-based compensation, tax credits, and uncertain tax positions.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quarter end no such deferral has been passed. The income tax provision has been prepared according to currently enacted tax legislation, including the effect of guidance issued in December 2023 that provided clarity regarding research providers and recipients.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Legislation is in various stages of adoption, from formal legislative proposals to passage into law, in most countries where Itron has significant operations, and is expected to take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Based upon forecast calculations for calendar year 2024, the Company expects to meet the safe harbors in most jurisdictions, and the remaining top-up tax is forecasted to be immaterial.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amounts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1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bl>
    <w:p>
      <w:pPr>
        <w:spacing w:after="0" w:line="31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6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130,067</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6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129,591</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France, Germany, India, Italy, Indonesia, and the United Kingdom.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(46,763)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(59,059)</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453,237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89,856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84,318</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(21,853)</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271,164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were called, we would be obligated to reimburse the issuer of the standby LOC or bond. As of August 1, 2024, we are not aware of any valid claims against our outstanding standby LOCs or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25,698</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25,486</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17,847</w:t>
            </w:r>
          </w:p>
        </w:tc>
      </w:tr>
      <w:tr>
        <w:trPr>
          <w:trHeight w:val="212"/>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7,639</w:t>
            </w:r>
          </w:p>
        </w:tc>
      </w:tr>
      <w:tr>
        <w:trPr>
          <w:trHeight w:val="21"/>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w:t>
            </w: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 Projects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2023 Projects were as follows:</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2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Expected Costs at June</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40" w:type="dxa"/>
            <w:vAlign w:val="bottom"/>
          </w:tcPr>
          <w:p>
            <w:pPr>
              <w:spacing w:after="0"/>
              <w:rPr>
                <w:sz w:val="14"/>
                <w:szCs w:val="14"/>
                <w:color w:val="auto"/>
              </w:rPr>
            </w:pPr>
          </w:p>
        </w:tc>
        <w:tc>
          <w:tcPr>
            <w:tcW w:w="20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Recognized</w:t>
            </w:r>
          </w:p>
        </w:tc>
        <w:tc>
          <w:tcPr>
            <w:tcW w:w="20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Six Months</w:t>
            </w:r>
          </w:p>
        </w:tc>
        <w:tc>
          <w:tcPr>
            <w:tcW w:w="120" w:type="dxa"/>
            <w:vAlign w:val="bottom"/>
          </w:tcPr>
          <w:p>
            <w:pPr>
              <w:spacing w:after="0"/>
              <w:rPr>
                <w:sz w:val="14"/>
                <w:szCs w:val="14"/>
                <w:color w:val="auto"/>
              </w:rPr>
            </w:pPr>
          </w:p>
        </w:tc>
        <w:tc>
          <w:tcPr>
            <w:tcW w:w="1960" w:type="dxa"/>
            <w:vAlign w:val="bottom"/>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June 30,</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4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 June 30, 2024</w:t>
            </w:r>
          </w:p>
        </w:tc>
        <w:tc>
          <w:tcPr>
            <w:tcW w:w="120" w:type="dxa"/>
            <w:vAlign w:val="bottom"/>
          </w:tcPr>
          <w:p>
            <w:pPr>
              <w:spacing w:after="0"/>
              <w:rPr>
                <w:sz w:val="18"/>
                <w:szCs w:val="18"/>
                <w:color w:val="auto"/>
              </w:rPr>
            </w:pPr>
          </w:p>
        </w:tc>
        <w:tc>
          <w:tcPr>
            <w:tcW w:w="19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4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50,879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Utility Solutions, includes activities to drive reductions in certain locations and functional support areas. These projects are expected to be substantially complete by the end of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2021 Projects were as follows:</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2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Expected Costs at June</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40" w:type="dxa"/>
            <w:vAlign w:val="bottom"/>
          </w:tcPr>
          <w:p>
            <w:pPr>
              <w:spacing w:after="0"/>
              <w:rPr>
                <w:sz w:val="14"/>
                <w:szCs w:val="14"/>
                <w:color w:val="auto"/>
              </w:rPr>
            </w:pPr>
          </w:p>
        </w:tc>
        <w:tc>
          <w:tcPr>
            <w:tcW w:w="20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Recognized</w:t>
            </w:r>
          </w:p>
        </w:tc>
        <w:tc>
          <w:tcPr>
            <w:tcW w:w="20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Six Months</w:t>
            </w:r>
          </w:p>
        </w:tc>
        <w:tc>
          <w:tcPr>
            <w:tcW w:w="120" w:type="dxa"/>
            <w:vAlign w:val="bottom"/>
          </w:tcPr>
          <w:p>
            <w:pPr>
              <w:spacing w:after="0"/>
              <w:rPr>
                <w:sz w:val="14"/>
                <w:szCs w:val="14"/>
                <w:color w:val="auto"/>
              </w:rPr>
            </w:pPr>
          </w:p>
        </w:tc>
        <w:tc>
          <w:tcPr>
            <w:tcW w:w="1960" w:type="dxa"/>
            <w:vAlign w:val="bottom"/>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June 30,</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4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 June 30, 2024</w:t>
            </w:r>
          </w:p>
        </w:tc>
        <w:tc>
          <w:tcPr>
            <w:tcW w:w="120" w:type="dxa"/>
            <w:vAlign w:val="bottom"/>
          </w:tcPr>
          <w:p>
            <w:pPr>
              <w:spacing w:after="0"/>
              <w:rPr>
                <w:sz w:val="18"/>
                <w:szCs w:val="18"/>
                <w:color w:val="auto"/>
              </w:rPr>
            </w:pPr>
          </w:p>
        </w:tc>
        <w:tc>
          <w:tcPr>
            <w:tcW w:w="19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center"/>
              <w:ind w:left="1459"/>
              <w:spacing w:after="0"/>
              <w:rPr>
                <w:sz w:val="20"/>
                <w:szCs w:val="20"/>
                <w:color w:val="auto"/>
              </w:rPr>
            </w:pPr>
            <w:r>
              <w:rPr>
                <w:rFonts w:ascii="Times New Roman" w:cs="Times New Roman" w:eastAsia="Times New Roman" w:hAnsi="Times New Roman"/>
                <w:sz w:val="16"/>
                <w:szCs w:val="16"/>
                <w:color w:val="auto"/>
                <w:w w:val="99"/>
              </w:rPr>
              <w:t>126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4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vMerge w:val="restart"/>
          </w:tcPr>
          <w:p>
            <w:pPr>
              <w:jc w:val="center"/>
              <w:ind w:left="1439"/>
              <w:spacing w:after="0"/>
              <w:rPr>
                <w:sz w:val="20"/>
                <w:szCs w:val="20"/>
                <w:color w:val="auto"/>
              </w:rPr>
            </w:pPr>
            <w:r>
              <w:rPr>
                <w:rFonts w:ascii="Times New Roman" w:cs="Times New Roman" w:eastAsia="Times New Roman" w:hAnsi="Times New Roman"/>
                <w:sz w:val="16"/>
                <w:szCs w:val="16"/>
                <w:color w:val="auto"/>
                <w:w w:val="97"/>
              </w:rPr>
              <w:t>(210)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center"/>
              <w:ind w:left="1439"/>
              <w:spacing w:after="0"/>
              <w:rPr>
                <w:sz w:val="20"/>
                <w:szCs w:val="20"/>
                <w:color w:val="auto"/>
              </w:rPr>
            </w:pPr>
            <w:r>
              <w:rPr>
                <w:rFonts w:ascii="Times New Roman" w:cs="Times New Roman" w:eastAsia="Times New Roman" w:hAnsi="Times New Roman"/>
                <w:sz w:val="16"/>
                <w:szCs w:val="16"/>
                <w:color w:val="auto"/>
                <w:w w:val="97"/>
              </w:rPr>
              <w:t>(468)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46,929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tcPr>
          <w:p>
            <w:pPr>
              <w:jc w:val="center"/>
              <w:ind w:left="1439"/>
              <w:spacing w:after="0"/>
              <w:rPr>
                <w:sz w:val="20"/>
                <w:szCs w:val="20"/>
                <w:color w:val="auto"/>
              </w:rPr>
            </w:pPr>
            <w:r>
              <w:rPr>
                <w:rFonts w:ascii="Times New Roman" w:cs="Times New Roman" w:eastAsia="Times New Roman" w:hAnsi="Times New Roman"/>
                <w:sz w:val="16"/>
                <w:szCs w:val="16"/>
                <w:color w:val="auto"/>
                <w:w w:val="97"/>
              </w:rPr>
              <w:t>(552)</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2023 Projects and the 2021 Projects during the six months ended June 30, 2024:</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200" w:type="dxa"/>
            <w:vAlign w:val="bottom"/>
          </w:tcPr>
          <w:p>
            <w:pPr>
              <w:spacing w:after="0"/>
              <w:rPr>
                <w:sz w:val="14"/>
                <w:szCs w:val="14"/>
                <w:color w:val="auto"/>
              </w:rPr>
            </w:pPr>
          </w:p>
        </w:tc>
        <w:tc>
          <w:tcPr>
            <w:tcW w:w="1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80" w:type="dxa"/>
            <w:vAlign w:val="bottom"/>
          </w:tcPr>
          <w:p>
            <w:pPr>
              <w:spacing w:after="0"/>
              <w:rPr>
                <w:sz w:val="14"/>
                <w:szCs w:val="14"/>
                <w:color w:val="auto"/>
              </w:rPr>
            </w:pPr>
          </w:p>
        </w:tc>
        <w:tc>
          <w:tcPr>
            <w:tcW w:w="160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2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2024</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72,376</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(13,482)</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4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June 30, 2024</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54,740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57,720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recognized within the Corporate unallocated segment and does not impact the results of our operating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$25.0 million and $21.0 million as of June 30, 2024 and December 31, 2023 and are classified within other current liabilities on the Consolidated Balance Sheets. The long-term portions of restructuring liabilities were $32.7 million and $51.4 million as of June 30, 2024 and December 31, 2023. The long-term portions of restructuring liabilities are classified within other long-term obligations on the Consolidated Balance Sheets and include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2024 or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share repurchase up to $100 million of our common stock over an 18-month period (the 2023 Stock Repurchase Program). The repurchase program is intended to comply with Rule 10b-18 promulgated under the Securities Exchange Act of 1934, as amended. In June 2024, we repurchased 971,534 shares under the 2023 Stock Repurchase Program at an average price of $102.93 (excluding commissions) for a total of $100.0 million. This repurchase was completed in conjunction with the issuance of the convertible notes.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2021 Call Option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2021 call option transactions. The 2021 call option transactions cover, subject to anti-dilution adjustments substantially similar to those in the 2021 Notes, approximately 3.7 million shares of our common stock, the same number of shares initially underlying the 2021 Notes, at a strike price of approximately $126.00, subject to customary adjustments. The 2021 call option transactions will expire upon the maturity of the 2021 Notes, subject to earlier exercise or termination. The 2021 call option transactions are expected generally to reduce the potential dilutive effect of the conversion of our 2021 Notes and/or offset any cash payments we are required to make in excess of the principal amount of the converted notes, as the case may be, in the event that the market price per share of our common stock, as measured under the terms of the 2021 call option transactions, is greater than the strike price of the 2021 call option transactions. The 2021 call option transactions meet the criteria in Accounting Standards Codification (ASC) 815-40 to be classified within Stockholders' Equity, and therefore they are not revalued after their issuance.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2021 Notes and the 2021 call option transactions.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2021 Notes, and results in a $20.6 million deferred tax asset recognized through equity.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 (AOCI)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(94,674)</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(85,722)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(81,190)</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(16,842)</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(98,032)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other comprehensive income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reclassified to net income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loss reclassified to net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43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Total other comprehensive income (loss) tax (provision)</w:t>
            </w:r>
          </w:p>
        </w:tc>
        <w:tc>
          <w:tcPr>
            <w:tcW w:w="38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2"/>
                <w:szCs w:val="12"/>
                <w:color w:val="auto"/>
              </w:rPr>
            </w:pPr>
          </w:p>
        </w:tc>
        <w:tc>
          <w:tcPr>
            <w:tcW w:w="38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2"/>
                <w:szCs w:val="12"/>
                <w:color w:val="auto"/>
              </w:rPr>
            </w:pPr>
          </w:p>
        </w:tc>
        <w:tc>
          <w:tcPr>
            <w:tcW w:w="38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2"/>
                <w:szCs w:val="12"/>
                <w:color w:val="auto"/>
              </w:rPr>
            </w:pPr>
          </w:p>
        </w:tc>
        <w:tc>
          <w:tcPr>
            <w:tcW w:w="38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reclassified to net income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values at June 30, 2024 and December 31, 2023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960" w:type="dxa"/>
            <w:vAlign w:val="bottom"/>
            <w:gridSpan w:val="3"/>
          </w:tcPr>
          <w:p>
            <w:pPr>
              <w:jc w:val="center"/>
              <w:ind w:right="9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120" w:type="dxa"/>
            <w:vAlign w:val="bottom"/>
          </w:tcPr>
          <w:p>
            <w:pPr>
              <w:jc w:val="center"/>
              <w:ind w:right="4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center"/>
              <w:ind w:right="10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52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1,239,772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1,262,373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454,827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w:t>
      </w:r>
      <w:r>
        <w:rPr>
          <w:rFonts w:ascii="Times New Roman" w:cs="Times New Roman" w:eastAsia="Times New Roman" w:hAnsi="Times New Roman"/>
          <w:sz w:val="18"/>
          <w:szCs w:val="18"/>
          <w:color w:val="auto"/>
        </w:rPr>
        <w:t>The revolver is not traded publicly. The fair values, which are determined based upon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Each derivative asset and liability has a carrying value equal to fair value. The fair values of our derivative instruments are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market. We have utilized the mid-market pricing convention for these inputs.</w:t>
      </w:r>
    </w:p>
    <w:p>
      <w:pPr>
        <w:spacing w:after="0" w:line="20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In addition, we allocate only certain production assets and intangible assets to our operating segments. We do not manage the performance of the segments on a balance sheet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These products generally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capability or may be designed for use with non-Itron systems.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and designed to meet market requirements; and the implementation and installation of said hardware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smart grid and distribution automation; smart street lighting; and leak detection and applications for both gas and water systems. Our IIoT platform allows utility and smart city applications to be run and managed on a flexible multi-purpose network.</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artificial intelligence, and machine learning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grid edge intelligence and manage, organize, analyze, and interpret raw, anonymized data to improve decision making, maximize operational profitability, enhance resource efficiency, improve grid analytics, and deliver results for consumers,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would include any direct management of Device Solutions, Networked Solutions, and other third-parties' products on behalf of our end customers.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operating segments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229,960</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612,138</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39,029</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532,907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464,803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1,060,729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881,127</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62,260</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90,847</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76,162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76,267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151,782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154,561</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231,414</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674,398</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129,876</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609,069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541,070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1,212,511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1,035,688</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48,432</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227,649</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54,234</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210,460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173,947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415,839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330,315</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28,162</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163,549</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25,587</w:t>
            </w:r>
          </w:p>
        </w:tc>
      </w:tr>
      <w:tr>
        <w:trPr>
          <w:trHeight w:val="21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(87,173)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(80,253)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(171,845)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(192,591)</w:t>
            </w:r>
          </w:p>
        </w:tc>
      </w:tr>
      <w:tr>
        <w:trPr>
          <w:trHeight w:val="212"/>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24,707</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67,040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132,256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and 2023, no single customer represented more than 10% of total company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498,388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980,484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803,459</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184,420</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47,809</w:t>
            </w:r>
          </w:p>
        </w:tc>
      </w:tr>
      <w:tr>
        <w:trPr>
          <w:trHeight w:val="207"/>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609,069</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541,070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1,212,511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1,035,688</w:t>
            </w:r>
          </w:p>
        </w:tc>
      </w:tr>
      <w:tr>
        <w:trPr>
          <w:trHeight w:val="2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8,199</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11,200</w:t>
            </w:r>
          </w:p>
        </w:tc>
      </w:tr>
      <w:tr>
        <w:trPr>
          <w:trHeight w:val="235"/>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82,885</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(59,846)</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187,812</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(93,924)</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119,489</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2024, total contract assets were $80.1 million and total contract liabilities were $163.0 million. On June 30, 2024, total contract assets were $84.4 million and total contract liabilities were $203.9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$1.6 billion for the next 12 months and approximately $1.7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over the extended warranty period, and hardware, which is recognized as units are delivered. The estimate of when remaining performance obligations will be recognized requires significant judgment.</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Business Combination</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Elpis2, Inc.</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 2024, we completed the acquisition of 100% of the shares of Elpis2, Inc. (Elpis Squared), a privately held software and services company. This acquisition provides value to Itron through the leverage of Elpis Squared's utility grid analytics, services, and operational software platforms to enhance Itron's Outcomes offerings. The acquisition was deemed a business acquisition. The sales, results of operations, and acquisition-related costs associated with the acquisition were not material.</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for this acquisition is $34.1 million. The purchase price was allocated to assets acquired and liabilities assumed, primarily $15.0 million in finite-lived intangible assets and $19.7 million in goodwill. Since this was a stock acquisition, none of the goodwill is deductible for tax purposes. The purchase was funded through cash on hand. Refer to Note 4: Intangible Assets and Liabilities and Note 5: Goodwill for additional information</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2023 filed with the Securities and Exchange Commission (SEC) in our Annual Report on Form 10-K on February 26, 2024 (2023 Annual Report).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https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w:t>
      </w:r>
      <w:r>
        <w:rPr>
          <w:rFonts w:ascii="Times New Roman" w:cs="Times New Roman" w:eastAsia="Times New Roman" w:hAnsi="Times New Roman"/>
          <w:sz w:val="18"/>
          <w:szCs w:val="18"/>
          <w:i w:val="1"/>
          <w:iCs w:val="1"/>
          <w:color w:val="auto"/>
        </w:rPr>
        <w:t>https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222222"/>
        </w:rPr>
        <w:t>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2023 Annual Report and other reports on file with the SEC. We undertake no obligation to update or revise any forward-looking statement, whether written or oral.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These products generally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capability or may be designed for use with non-Itron systems.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and designed to meet market requirements; and the implementation and installation of said hardware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IIoT solutions supported by this segment include automated meter reading (AMR); advanced metering infrastructure (AMI) for electricity, water and gas; distributed energy resource management (DERMs); smart grid and distribution automation; smart street lighting; and leak detection and applications for both gas and water systems. Our IIoT platform allows utility and smart city applications to be run and managed on a flexible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artificial intelligence, and machine learning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grid edge intelligence and manage, organize, analyze, and interpret raw, anonymized data to improve decision making, maximize operational profitability, enhance resource efficiency, improve grid analytics, and deliver results for consumers,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44-47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 June 30, 2024 compared with the three months ended June 30, 2023</w:t>
      </w:r>
    </w:p>
    <w:p>
      <w:pPr>
        <w:spacing w:after="0" w:line="65" w:lineRule="exact"/>
        <w:rPr>
          <w:sz w:val="20"/>
          <w:szCs w:val="20"/>
          <w:color w:val="auto"/>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$609.1 million compared with $541.1 million in 2023, an increase of 13%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34.6%</w:t>
      </w:r>
      <w:r>
        <w:rPr>
          <w:rFonts w:ascii="Times New Roman" w:cs="Times New Roman" w:eastAsia="Times New Roman" w:hAnsi="Times New Roman"/>
          <w:sz w:val="18"/>
          <w:szCs w:val="18"/>
          <w:color w:val="222222"/>
        </w:rPr>
        <w:t>, compared with 32.1%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$7.0 million, or 5%,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$51.3 million compared with net income of $24.2 million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increased by </w:t>
      </w:r>
      <w:r>
        <w:rPr>
          <w:rFonts w:ascii="Times New Roman" w:cs="Times New Roman" w:eastAsia="Times New Roman" w:hAnsi="Times New Roman"/>
          <w:sz w:val="18"/>
          <w:szCs w:val="18"/>
          <w:color w:val="000000"/>
        </w:rPr>
        <w:t>$0.57</w:t>
      </w:r>
      <w:r>
        <w:rPr>
          <w:rFonts w:ascii="Times New Roman" w:cs="Times New Roman" w:eastAsia="Times New Roman" w:hAnsi="Times New Roman"/>
          <w:sz w:val="18"/>
          <w:szCs w:val="18"/>
          <w:color w:val="222222"/>
        </w:rPr>
        <w:t xml:space="preserve"> to a diluted income per share of $1.10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$56.1 million compared with $29.8 million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$1.21, an increase of $0.56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$77.1 million compared with $49.3 million in 2023</w:t>
      </w:r>
    </w:p>
    <w:p>
      <w:pPr>
        <w:spacing w:after="0" w:line="63" w:lineRule="exact"/>
        <w:rPr>
          <w:rFonts w:ascii="Times New Roman" w:cs="Times New Roman" w:eastAsia="Times New Roman" w:hAnsi="Times New Roman"/>
          <w:sz w:val="18"/>
          <w:szCs w:val="18"/>
          <w:color w:val="222222"/>
        </w:rPr>
      </w:pPr>
    </w:p>
    <w:p>
      <w:pPr>
        <w:ind w:left="260" w:hanging="171"/>
        <w:spacing w:after="0" w:line="282" w:lineRule="auto"/>
        <w:tabs>
          <w:tab w:leader="none" w:pos="255"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Total backlog was $4.1 billion and twelve-month backlog was $1.8 billion at </w:t>
      </w:r>
      <w:r>
        <w:rPr>
          <w:rFonts w:ascii="Times New Roman" w:cs="Times New Roman" w:eastAsia="Times New Roman" w:hAnsi="Times New Roman"/>
          <w:sz w:val="18"/>
          <w:szCs w:val="18"/>
          <w:color w:val="000000"/>
        </w:rPr>
        <w:t>June 30, 2024, compared with</w:t>
      </w:r>
      <w:r>
        <w:rPr>
          <w:rFonts w:ascii="Times New Roman" w:cs="Times New Roman" w:eastAsia="Times New Roman" w:hAnsi="Times New Roman"/>
          <w:sz w:val="18"/>
          <w:szCs w:val="18"/>
          <w:color w:val="222222"/>
        </w:rPr>
        <w:t xml:space="preserve"> $4.4 billion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22222"/>
        </w:rPr>
        <w:t xml:space="preserve"> $2.0 billion </w:t>
      </w:r>
      <w:r>
        <w:rPr>
          <w:rFonts w:ascii="Times New Roman" w:cs="Times New Roman" w:eastAsia="Times New Roman" w:hAnsi="Times New Roman"/>
          <w:sz w:val="18"/>
          <w:szCs w:val="18"/>
          <w:color w:val="000000"/>
        </w:rPr>
        <w:t>at June 30,</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six</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June 30, 2024 compared with the six months ended June 30, 2023</w:t>
      </w:r>
    </w:p>
    <w:p>
      <w:pPr>
        <w:spacing w:after="0" w:line="65" w:lineRule="exact"/>
        <w:rPr>
          <w:sz w:val="20"/>
          <w:szCs w:val="20"/>
          <w:color w:val="auto"/>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$1.2 billion compared with $1.0 billion in 2023, an increase of $176.8 million, or 17%</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34.3% compared with 31.9%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$17.2 million, or 6%,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Net income attributable to Itron, Inc. was $103.0 million compared with net income of $12.4 million in </w:t>
      </w:r>
      <w:r>
        <w:rPr>
          <w:rFonts w:ascii="Times New Roman" w:cs="Times New Roman" w:eastAsia="Times New Roman" w:hAnsi="Times New Roman"/>
          <w:sz w:val="18"/>
          <w:szCs w:val="18"/>
          <w:color w:val="222222"/>
        </w:rPr>
        <w:t>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increased by $1.95 to a diluted income per share of $2.22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w:t>
      </w:r>
      <w:r>
        <w:rPr>
          <w:rFonts w:ascii="Times New Roman" w:cs="Times New Roman" w:eastAsia="Times New Roman" w:hAnsi="Times New Roman"/>
          <w:sz w:val="18"/>
          <w:szCs w:val="18"/>
          <w:color w:val="000000"/>
        </w:rPr>
        <w:t>$113.4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$52.2 million</w:t>
      </w:r>
      <w:r>
        <w:rPr>
          <w:rFonts w:ascii="Times New Roman" w:cs="Times New Roman" w:eastAsia="Times New Roman" w:hAnsi="Times New Roman"/>
          <w:sz w:val="18"/>
          <w:szCs w:val="18"/>
          <w:color w:val="222222"/>
        </w:rPr>
        <w:t xml:space="preserve">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$2.44, an increase of $1.30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Adjusted EBITDA was $153.6 million compared with $88.8 million in </w:t>
      </w:r>
      <w:r>
        <w:rPr>
          <w:rFonts w:ascii="Times New Roman" w:cs="Times New Roman" w:eastAsia="Times New Roman" w:hAnsi="Times New Roman"/>
          <w:sz w:val="18"/>
          <w:szCs w:val="18"/>
          <w:color w:val="222222"/>
        </w:rPr>
        <w:t>2023</w:t>
      </w: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Amendment to 2018 credit facility</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14, 2024, we entered into an eighth amendment of the 2018 credit facility. In contemplation of the issuance of the 2024 convertible notes, this amendment to the Credit Agreement removed the $500 million maximum amount of convertible notes we could offer.</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(the 2024 Notes) in a private placement to qualified institutional buyers, resulting in net proceeds to us of $784 million. The 2024 Notes will accrue interest at a rate of 1.375% per annum, payable semi-annually in arrears on January 15 and July 15 of each year, beginning on January 15, 2025. The 2024 Notes will mature on July 15, 2030, unless earlier repurchased, redeemed, or converted in accordance with their terms. Refer to Item 1: Financial Statements (Unaudited), Note 6: Debt, and Note 13: Shareholders' Equity included in this Quarterly Report on Form 10-Q for additional information.</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2024, we repurchased 971,534 shares under the 2023 Stock Repurchase Program at an average price of $102.93 (excluding commissions) for a total of $100.0 million. This repurchase was completed in conjunction with the issuance of the convertible notes.</w:t>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Acquisition</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2024, we completed the acquisition of 100% of the shares of Elpis2, Inc. (Elpis Squared), a privately held software and services company. This acquisition provides value to Itron through the leverage of Elpis Squared's utility grid analytics, services, and operational software platforms to enhance Itron's Outcomes offerings. The acquisition was deemed a business acquisition. The sales, results of operations, and acquisition-related costs associated with the acquisition were not material. The purchase price for this acquisition is $34.1 million. The purchase price was allocated to assets acquired and liabilities assumed, primarily $15.0 million in finite-lived intangible assets and $19.7 million in goodwill. Since this was a stock acquisition, none of the goodwill is deductible for tax purposes. The purchase was funded through cash on hand.</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Global Geopolitical and Economic Supply Chain Risk</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costs and availability. Efforts continue with suppliers to improve supply resiliency, including the approval of alternate sources. Additionally, inflation in our raw materials and component costs, freight charges,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 For more information on risks associated with global economic challenges, please see our risk in Part I, Item 1A: Risk Factors in our 2023 Annual Report.</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and Israel, military actions globally and any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and/or supply disruptions are impossible to predict but could be substantial, and our management continues to monitor these events closely.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Endpoints Under Management: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7"/>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5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00" w:type="dxa"/>
            <w:vAlign w:val="bottom"/>
          </w:tcPr>
          <w:p>
            <w:pPr>
              <w:spacing w:after="0"/>
              <w:rPr>
                <w:sz w:val="18"/>
                <w:szCs w:val="18"/>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171"/>
        </w:trPr>
        <w:tc>
          <w:tcPr>
            <w:tcW w:w="20" w:type="dxa"/>
            <w:vAlign w:val="bottom"/>
          </w:tcPr>
          <w:p>
            <w:pPr>
              <w:spacing w:after="0"/>
              <w:rPr>
                <w:sz w:val="14"/>
                <w:szCs w:val="14"/>
                <w:color w:val="auto"/>
              </w:rPr>
            </w:pPr>
          </w:p>
        </w:tc>
        <w:tc>
          <w:tcPr>
            <w:tcW w:w="374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532,907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464,803</w:t>
            </w:r>
          </w:p>
        </w:tc>
        <w:tc>
          <w:tcPr>
            <w:tcW w:w="11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1,060,729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881,127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5"/>
              </w:rPr>
              <w:t>20%</w:t>
            </w:r>
          </w:p>
        </w:tc>
      </w:tr>
      <w:tr>
        <w:trPr>
          <w:trHeight w:val="213"/>
        </w:trPr>
        <w:tc>
          <w:tcPr>
            <w:tcW w:w="2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76,162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76,267</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151,782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154,561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w:t>
            </w:r>
          </w:p>
        </w:tc>
      </w:tr>
      <w:tr>
        <w:trPr>
          <w:trHeight w:val="212"/>
        </w:trPr>
        <w:tc>
          <w:tcPr>
            <w:tcW w:w="20" w:type="dxa"/>
            <w:vAlign w:val="bottom"/>
            <w:shd w:val="clear" w:color="auto" w:fill="CCEEFF"/>
          </w:tcPr>
          <w:p>
            <w:pPr>
              <w:spacing w:after="0"/>
              <w:rPr>
                <w:sz w:val="18"/>
                <w:szCs w:val="18"/>
                <w:color w:val="auto"/>
              </w:rPr>
            </w:pPr>
          </w:p>
        </w:tc>
        <w:tc>
          <w:tcPr>
            <w:tcW w:w="374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609,069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541,070</w:t>
            </w:r>
          </w:p>
        </w:tc>
        <w:tc>
          <w:tcPr>
            <w:tcW w:w="11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1,212,511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1,035,688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5"/>
              </w:rPr>
              <w:t>17%</w:t>
            </w:r>
          </w:p>
        </w:tc>
      </w:tr>
      <w:tr>
        <w:trPr>
          <w:trHeight w:val="256"/>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210,460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173,947</w:t>
            </w:r>
          </w:p>
        </w:tc>
        <w:tc>
          <w:tcPr>
            <w:tcW w:w="11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415,839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330,315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5"/>
              </w:rPr>
              <w:t>26%</w:t>
            </w:r>
          </w:p>
        </w:tc>
      </w:tr>
      <w:tr>
        <w:trPr>
          <w:trHeight w:val="213"/>
        </w:trPr>
        <w:tc>
          <w:tcPr>
            <w:tcW w:w="2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145,813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138,847</w:t>
            </w:r>
          </w:p>
        </w:tc>
        <w:tc>
          <w:tcPr>
            <w:tcW w:w="11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288,392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305,608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(6)%</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64,647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35,100</w:t>
            </w:r>
          </w:p>
        </w:tc>
        <w:tc>
          <w:tcPr>
            <w:tcW w:w="11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127,447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6"/>
              </w:rPr>
              <w:t>416%</w:t>
            </w:r>
          </w:p>
        </w:tc>
      </w:tr>
      <w:tr>
        <w:trPr>
          <w:trHeight w:val="213"/>
        </w:trPr>
        <w:tc>
          <w:tcPr>
            <w:tcW w:w="2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(802)</w:t>
            </w:r>
          </w:p>
        </w:tc>
        <w:tc>
          <w:tcPr>
            <w:tcW w:w="12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(9,195)</w:t>
            </w:r>
          </w:p>
        </w:tc>
        <w:tc>
          <w:tcPr>
            <w:tcW w:w="11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(28,609)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6"/>
              </w:rPr>
              <w:t>214%</w:t>
            </w:r>
          </w:p>
        </w:tc>
      </w:tr>
      <w:tr>
        <w:trPr>
          <w:trHeight w:val="213"/>
        </w:trPr>
        <w:tc>
          <w:tcPr>
            <w:tcW w:w="2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attributable to Itron, Inc.</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51,318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24,201</w:t>
            </w:r>
          </w:p>
        </w:tc>
        <w:tc>
          <w:tcPr>
            <w:tcW w:w="11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103,039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12,365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733%</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74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141,376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132,595</w:t>
            </w:r>
          </w:p>
        </w:tc>
        <w:tc>
          <w:tcPr>
            <w:tcW w:w="11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279,430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257,636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3"/>
              </w:rPr>
              <w:t>8%</w:t>
            </w:r>
          </w:p>
        </w:tc>
      </w:tr>
      <w:tr>
        <w:trPr>
          <w:trHeight w:val="213"/>
        </w:trPr>
        <w:tc>
          <w:tcPr>
            <w:tcW w:w="2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69,084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41,352</w:t>
            </w:r>
          </w:p>
        </w:tc>
        <w:tc>
          <w:tcPr>
            <w:tcW w:w="11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136,409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5"/>
              </w:rPr>
              <w:t>88%</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29,824</w:t>
            </w:r>
          </w:p>
        </w:tc>
        <w:tc>
          <w:tcPr>
            <w:tcW w:w="11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113,393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52,206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6"/>
              </w:rPr>
              <w:t>117%</w:t>
            </w:r>
          </w:p>
        </w:tc>
      </w:tr>
      <w:tr>
        <w:trPr>
          <w:trHeight w:val="213"/>
        </w:trPr>
        <w:tc>
          <w:tcPr>
            <w:tcW w:w="2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77,105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49,300</w:t>
            </w:r>
          </w:p>
        </w:tc>
        <w:tc>
          <w:tcPr>
            <w:tcW w:w="11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153,585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88,768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5"/>
              </w:rPr>
              <w:t>73%</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74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Earnings Per Share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74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 Earnings Per Share</w:t>
            </w:r>
            <w:r>
              <w:rPr>
                <w:rFonts w:ascii="Times New Roman" w:cs="Times New Roman" w:eastAsia="Times New Roman" w:hAnsi="Times New Roman"/>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ind w:left="340" w:right="20" w:hanging="332"/>
        <w:spacing w:after="0" w:line="225"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44-47 for information about these non-GAAP measures and reconciliations to the most comparable GAAP measures.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its behalf.</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endpoints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for which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is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of the strategic and operational direction of our Networked Solutions and Outcomes segments to serve clients for years following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3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10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16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94,458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
                <w:szCs w:val="2"/>
                <w:color w:val="auto"/>
              </w:rPr>
            </w:pPr>
          </w:p>
        </w:tc>
        <w:tc>
          <w:tcPr>
            <w:tcW w:w="12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67,999</w:t>
            </w:r>
          </w:p>
        </w:tc>
        <w:tc>
          <w:tcPr>
            <w:tcW w:w="0" w:type="dxa"/>
            <w:vAlign w:val="bottom"/>
          </w:tcPr>
          <w:p>
            <w:pPr>
              <w:spacing w:after="0"/>
              <w:rPr>
                <w:sz w:val="1"/>
                <w:szCs w:val="1"/>
                <w:color w:val="auto"/>
              </w:rPr>
            </w:pPr>
          </w:p>
        </w:tc>
      </w:tr>
      <w:tr>
        <w:trPr>
          <w:trHeight w:val="210"/>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36,513</w:t>
            </w:r>
          </w:p>
        </w:tc>
        <w:tc>
          <w:tcPr>
            <w:tcW w:w="0" w:type="dxa"/>
            <w:vAlign w:val="bottom"/>
          </w:tcPr>
          <w:p>
            <w:pPr>
              <w:spacing w:after="0"/>
              <w:rPr>
                <w:sz w:val="1"/>
                <w:szCs w:val="1"/>
                <w:color w:val="auto"/>
              </w:rPr>
            </w:pPr>
          </w:p>
        </w:tc>
      </w:tr>
      <w:tr>
        <w:trPr>
          <w:trHeight w:val="789"/>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
                <w:szCs w:val="2"/>
                <w:color w:val="auto"/>
              </w:rPr>
            </w:pPr>
          </w:p>
        </w:tc>
        <w:tc>
          <w:tcPr>
            <w:tcW w:w="12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1,212,511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176,823</w:t>
            </w:r>
          </w:p>
        </w:tc>
        <w:tc>
          <w:tcPr>
            <w:tcW w:w="0" w:type="dxa"/>
            <w:vAlign w:val="bottom"/>
          </w:tcPr>
          <w:p>
            <w:pPr>
              <w:spacing w:after="0"/>
              <w:rPr>
                <w:sz w:val="1"/>
                <w:szCs w:val="1"/>
                <w:color w:val="auto"/>
              </w:rPr>
            </w:pPr>
          </w:p>
        </w:tc>
      </w:tr>
      <w:tr>
        <w:trPr>
          <w:trHeight w:val="210"/>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85,524</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2024 vs. Three months ended June 30, 2023</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$68.0 million, or 13%, in the current 2024 quarter, compared with the same period in 2023. Product revenues increased by $68.1 million, and service revenues decreased $0.1 million. Device Solutions increased by $5.4 million; Networked Solutions increased by $51.8 million; and Outcomes increased by $10.8 million when compared with the same period last year. Changes in exchange rates unfavorably impacted total revenues by $1.7 million, of which $1.1 million impacted Device Solutions.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2024 vs. Six months ended June 30, 2023</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 xml:space="preserve">Total revenues increased $176.8 million, or 17%, compared with the same period in </w:t>
      </w:r>
      <w:r>
        <w:rPr>
          <w:rFonts w:ascii="Times New Roman" w:cs="Times New Roman" w:eastAsia="Times New Roman" w:hAnsi="Times New Roman"/>
          <w:sz w:val="18"/>
          <w:szCs w:val="18"/>
          <w:color w:val="000000"/>
        </w:rPr>
        <w:t>2023. Product revenues increased by $179.6 million, and service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revenues decreased by $2.8 million. </w:t>
      </w:r>
      <w:r>
        <w:rPr>
          <w:rFonts w:ascii="Times New Roman" w:cs="Times New Roman" w:eastAsia="Times New Roman" w:hAnsi="Times New Roman"/>
          <w:sz w:val="18"/>
          <w:szCs w:val="18"/>
          <w:color w:val="222222"/>
        </w:rPr>
        <w:t>Device Solutions increased by $13.9 million; Networked Solutions increased by</w:t>
      </w:r>
      <w:r>
        <w:rPr>
          <w:rFonts w:ascii="Times New Roman" w:cs="Times New Roman" w:eastAsia="Times New Roman" w:hAnsi="Times New Roman"/>
          <w:sz w:val="18"/>
          <w:szCs w:val="18"/>
          <w:color w:val="000000"/>
        </w:rPr>
        <w:t xml:space="preserve"> $145.8 million</w:t>
      </w:r>
      <w:r>
        <w:rPr>
          <w:rFonts w:ascii="Times New Roman" w:cs="Times New Roman" w:eastAsia="Times New Roman" w:hAnsi="Times New Roman"/>
          <w:sz w:val="18"/>
          <w:szCs w:val="18"/>
          <w:color w:val="222222"/>
        </w:rPr>
        <w:t>; and Outcomes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increased by $17.1 million when compared with the same period last year. C</w:t>
      </w:r>
      <w:r>
        <w:rPr>
          <w:rFonts w:ascii="Times New Roman" w:cs="Times New Roman" w:eastAsia="Times New Roman" w:hAnsi="Times New Roman"/>
          <w:sz w:val="18"/>
          <w:szCs w:val="18"/>
          <w:color w:val="000000"/>
        </w:rPr>
        <w:t>hanges in exchange rates unfavorably impacted total revenues by</w:t>
      </w:r>
      <w:r>
        <w:rPr>
          <w:rFonts w:ascii="Times New Roman" w:cs="Times New Roman" w:eastAsia="Times New Roman" w:hAnsi="Times New Roman"/>
          <w:sz w:val="18"/>
          <w:szCs w:val="18"/>
          <w:color w:val="222222"/>
        </w:rPr>
        <w:t xml:space="preserve"> $0.5 million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all of which impacted Networked Solutions.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2024 vs. Three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222222"/>
        </w:rPr>
        <w:t xml:space="preserve">Gross margin in the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period was 34.6%, compared with 32.1%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Product sales gross margin increased to 33.1% for the quarter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compared with 30.7%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Gross margin on service revenues increased to 45.0%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compared with 41.2%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2024 vs. Six months ended June 30,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222222"/>
        </w:rPr>
        <w:t xml:space="preserve">Gross margin was 34.3%, compared with 31.9%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Product sales gross margin increased to 32.7%, compared with 29.7%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and gross margin on service revenues increased to 45.2%, compared with 44.5%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2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07"/>
        </w:trPr>
        <w:tc>
          <w:tcPr>
            <w:tcW w:w="3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145,813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2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19,784</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(37,384)</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07"/>
        </w:trPr>
        <w:tc>
          <w:tcPr>
            <w:tcW w:w="3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288,392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305,608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(17,216)</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increased $7.0 million for the second quarter of 2024 as compared with the same period in 2023. This was primarily the result of an increase of $9.3 million in sales, general and administrative expenses, primarily driven by increased labor costs and professional services.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$17.2 million for the six months ended June 30, 2024 as compared with the same period in 2023. This was primarily the result of a $37.4 million decrease in restructuring costs and a $1.3 million decrease in amortization of intangible assets. The decrease was partially offset by an increase of $19.8 million in sales, general and administrative expenses and a $2.3 million increase in research and development expenses, both driven by increased labor costs and professional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For additional details, refer to Item 1: Financial Statements (Unaudited), Note 12: Restructuring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4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3"/>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3,326</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170%</w:t>
            </w:r>
          </w:p>
        </w:tc>
      </w:tr>
      <w:tr>
        <w:trPr>
          <w:trHeight w:val="207"/>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(1,820)</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3%</w:t>
            </w: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(1,046)</w:t>
            </w:r>
          </w:p>
        </w:tc>
        <w:tc>
          <w:tcPr>
            <w:tcW w:w="10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(2,214)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5%</w:t>
            </w:r>
          </w:p>
        </w:tc>
      </w:tr>
      <w:tr>
        <w:trPr>
          <w:trHeight w:val="20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(1,977)</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(4,034)</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4%</w:t>
            </w: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(1,808)</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09"/>
        </w:trPr>
        <w:tc>
          <w:tcPr>
            <w:tcW w:w="2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(2,516)</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
        </w:trPr>
        <w:tc>
          <w:tcPr>
            <w:tcW w:w="2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three and six months ended June 30, 2024 was income of $2.4 million and $4.8 million, compared with net expense of $0.8 million and $2.5 million in the same period in 2023.</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other income for the three months ended June 30, 2024, as compared with the same period in 2023, was primarily driven by the $3.6 million increase in interest income.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other income for the six months ended June 30, 2024, as compared with the same period in 2023, was primarily driven by the $5.6 million increase in interest income as well as increased other income driven by a $1.7 million foreign currency loss recognized in the six months ended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2024, our income tax expense was $15.2 million and $28.6 million, compared with income tax expense of $9.2 million and $9.1 million for the same periods in 2023. Our tax rate for the three and six months ended June 30, 2024 of 23% and 22% differed from the federal statutory rate of 21% due to the impact of valuation allowances on deferred tax assets, the forecasted mix of earnings in domestic and international jurisdictions, U.S. taxation of foreign earnings including GILTI (Global Intangible Low-Taxed Income), net of Section 250 deduction, Subpart F income, a benefit related to stock-based compensation, tax credits, state taxes, and uncertain tax positions. Our tax rate for the three and six months ended June 30, 2023 of 27% and 41%, differed from the federal statutory rate of 21% due to the impact of valuation allowances on deferred tax assets, the forecasted mix of earnings in domestic and international jurisdictions, U.S. taxation of foreign earnings including GILTI (Global Intangible Low Taxed Income), net of Section 250 deduction, Subpart F income, an expense related to stock-based compensation, tax credits, and uncertain tax positions.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year-end no such deferral has been passed. The income tax provision has been prepared according to currently enacted tax legislation, including the effect of guidance issued in December 2023 that provided clarity regarding research providers and recipients.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w:t>
      </w:r>
    </w:p>
    <w:p>
      <w:pPr>
        <w:jc w:val="both"/>
        <w:spacing w:after="0" w:line="292" w:lineRule="auto"/>
        <w:rPr>
          <w:sz w:val="20"/>
          <w:szCs w:val="20"/>
          <w:color w:val="auto"/>
        </w:rPr>
      </w:pPr>
      <w:r>
        <w:rPr>
          <w:rFonts w:ascii="Times New Roman" w:cs="Times New Roman" w:eastAsia="Times New Roman" w:hAnsi="Times New Roman"/>
          <w:sz w:val="18"/>
          <w:szCs w:val="18"/>
          <w:color w:val="auto"/>
        </w:rPr>
        <w:t>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Legislation is in various stages of adoption, from formal legislative proposals to passage into law, in most countries where Itron has significant operations, and is expected to take effect for calendar year 2024. The OECD continues to release more guidance on these rules and framework and we 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evaluating the impact to our financial position. These enactments or amendments could adversely affect our tax rate and ultimately result in a negative impact on our operating results and cash flows. Based upon forecast calculations for calendar year 2024, the Company expects to meet the safe harbors in most jurisdictions, and the remaining top-up tax is forecasted to be immaterial.</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5"/>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118,550</w:t>
            </w:r>
          </w:p>
        </w:tc>
        <w:tc>
          <w:tcPr>
            <w:tcW w:w="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609,069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1,212,511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1,035,688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2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6"/>
              </w:rPr>
              <w:t>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6"/>
              </w:rPr>
              <w:t>40.8%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34.9%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2"/>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210,460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32.1%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87,173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145,813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340" w:type="dxa"/>
            <w:vAlign w:val="bottom"/>
            <w:tcBorders>
              <w:top w:val="single" w:sz="8" w:color="CCEEFF"/>
            </w:tcBorders>
            <w:gridSpan w:val="5"/>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156"/>
        </w:trPr>
        <w:tc>
          <w:tcPr>
            <w:tcW w:w="25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b w:val="1"/>
                <w:bCs w:val="1"/>
                <w:i w:val="1"/>
                <w:iCs w:val="1"/>
                <w:color w:val="auto"/>
              </w:rPr>
              <w:t>Segment operating income and</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margin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6"/>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24.5%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28.5%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6"/>
              </w:rPr>
              <w:t>18.9%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(87,173)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(80,253)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(171,845)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(192,591)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6"/>
                <w:szCs w:val="16"/>
                <w:color w:val="auto"/>
              </w:rPr>
              <w:t>Total operating income and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5"/>
              </w:rPr>
              <w:t>6.5%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10.5%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margin</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
                <w:szCs w:val="2"/>
                <w:color w:val="auto"/>
              </w:rPr>
            </w:pPr>
          </w:p>
        </w:tc>
        <w:tc>
          <w:tcPr>
            <w:tcW w:w="12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
                <w:szCs w:val="2"/>
                <w:color w:val="auto"/>
              </w:rPr>
            </w:pPr>
          </w:p>
        </w:tc>
        <w:tc>
          <w:tcPr>
            <w:tcW w:w="12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13,888</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12,863</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2024 vs. Three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$5.4 million, or 5%. Changes in foreign currency exchange rates unfavorably impacted revenues by $1.1 million. The 2024 increase in revenues was driven primarily by increased smart water and electric product sales.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2024 vs. Six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$13.9 million, or 6%. Changes in foreign currency exchange rates unfavorably impacted revenues by $0.1 million. The 2024 increase in revenues was driven primarily by increased smart water and electric product sales.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2024 vs. Three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months ended June 30, 2024, gross margin was 26.3%, compared with 21.8% for the same period in 2023. The 450 basis point increase over the prior year was primarily due to an improved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2024 vs. Six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six months ended June 30, 2024, gross margin was 25.0%, compared with 20.9% for the same period in 2023. The 410 basis point increase over the prior year was primarily due to an improved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2024 vs. Three months ended June 30, 2023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decreased $3.1 million, or 29%, compared with 2023. The decrease was primarily due to lower product development costs.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2024 vs. Six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$4.4 million, or 22%, for the first six months of 2024, compared with the same period in 2023. The decrease was primarily due to lower product development costs.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
                <w:szCs w:val="2"/>
                <w:color w:val="auto"/>
              </w:rPr>
            </w:pPr>
          </w:p>
        </w:tc>
        <w:tc>
          <w:tcPr>
            <w:tcW w:w="12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51,774</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30,284</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0" w:type="dxa"/>
            <w:vAlign w:val="bottom"/>
          </w:tcPr>
          <w:p>
            <w:pPr>
              <w:spacing w:after="0"/>
              <w:rPr>
                <w:sz w:val="1"/>
                <w:szCs w:val="1"/>
                <w:color w:val="auto"/>
              </w:rPr>
            </w:pPr>
          </w:p>
        </w:tc>
      </w:tr>
      <w:tr>
        <w:trPr>
          <w:trHeight w:val="823"/>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
                <w:szCs w:val="2"/>
                <w:color w:val="auto"/>
              </w:rPr>
            </w:pPr>
          </w:p>
        </w:tc>
        <w:tc>
          <w:tcPr>
            <w:tcW w:w="12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145,822</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75,533</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2024 vs. Three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$51.8 million, or 14%, in 2024 compared with 2023. The increase was primarily from product revenues due to the ramp of ongoing and new project deployments and improved component supply enabling us to fulfill the previously constrained customer demand.</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2024 vs. Six months ended June 30, 2023</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increased $145.8 million, or 22%, for the first six months of 2024 compared with the same period in 2023. The increase was primarily from product revenues due to the ramp of ongoing and new project deployments and improved component supply enabling us to fulfill the previously constrained customer demand.</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2024 vs. Three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36.9% for the period ending June 30, 2024, compared with 33.8% in 2023. The 310 basis point increase was primarily related to favorable product and solutions volumes and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2024 vs. Six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37.0% for the 2024 period, compared with 33.8% in 2023. The 320 basis point increase was primarily related to favorable product and solutions volumes and mix as well as improved operational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2024 vs. Three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$1.4 million, or 4%, for the quarter in 2024, compared with the same period in 2023. The increase was primarily related to higher product development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2024 vs. Six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$5.0 million, or 8%, for the first six months of 2024, compared with the same period in 2023. The increase was primarily related to higher product development costs.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
                <w:szCs w:val="2"/>
                <w:color w:val="auto"/>
              </w:rPr>
            </w:pPr>
          </w:p>
        </w:tc>
        <w:tc>
          <w:tcPr>
            <w:tcW w:w="12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10,835</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0" w:type="dxa"/>
            <w:vAlign w:val="bottom"/>
          </w:tcPr>
          <w:p>
            <w:pPr>
              <w:spacing w:after="0"/>
              <w:rPr>
                <w:sz w:val="1"/>
                <w:szCs w:val="1"/>
                <w:color w:val="auto"/>
              </w:rPr>
            </w:pPr>
          </w:p>
        </w:tc>
      </w:tr>
      <w:tr>
        <w:trPr>
          <w:trHeight w:val="823"/>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
                <w:szCs w:val="2"/>
                <w:color w:val="auto"/>
              </w:rPr>
            </w:pPr>
          </w:p>
        </w:tc>
        <w:tc>
          <w:tcPr>
            <w:tcW w:w="12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17,113</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2024 vs. Three months ended June 30, 2023</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2024 period, revenues increased $10.8 million, or 16%, compared with the 2023 period. This increase was driven by growth in recurring managed services, delivery services, distributed energy management, and revenue for grid planning solutions from the recent acquisition of Elpis2, Inc (Elpis Squared).</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2024 vs. Six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$17.1 million, or 13%, for the first six months of 2024, compared with 2023. This increase was driven by growth in recurring managed services, delivery services, distributed energy management, and revenue for grid planning solutions from the Elpis Squared acquisition.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2024 vs. Three months ended June 30,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decreased to 34.8% for the second quarter of 2024, compared with 40.8% for the same period last year. The 600 basis point decrease was driven by increased services cost and lower software sales in the current period.</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2024 vs. Six months ended June 30,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decreased to 34.9% for the period ending in 2024, compared with 41.8% for last year. The 690 basis point decrease was driven by increased services cost and lower software sales in the current period.</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2024 vs. Three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2024 period increased $1.7 million, or 12%, compared with the same period last year. This was primarily related to increased product development investment.</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2024 vs. Six months ended June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first six months of 2024 increased $3.0 million, or 10%, compared with the same period last year. This was primarily related to increased product development investment.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June 30, 2024 vs. Three months ended June 30, 2023</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increased $6.9 million, or 9%, for the three months ended June 30, 2024 compared with the same period in 2023. This increase was primarily the result of $8.9 million increase in sales, general and administrative expenses, driven by increased labor costs and professional services. This increase was partially offset by a $1.0 million decrease in restructuring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Six months ended June 30, 2024 vs. Six months ended June 30, 2023</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first six months of 2024, Corporate unallocated expenses decreased $20.7 million, or 11%, compared with the 2023 period. This was primarily the result of a $37.4 million decrease in restructuring costs, as well as a $1.3 million decrease in amortization of intangible assets. The decreases were offset by a $18.4 million increase in sales, general and administrative expenses, primarily driven by increased labor costs and professional services.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may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620" w:type="dxa"/>
            <w:vAlign w:val="bottom"/>
            <w:vMerge w:val="restart"/>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Quarterly</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36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360" w:type="dxa"/>
            <w:vAlign w:val="bottom"/>
          </w:tcPr>
          <w:p>
            <w:pPr>
              <w:spacing w:after="0"/>
              <w:rPr>
                <w:sz w:val="14"/>
                <w:szCs w:val="14"/>
                <w:color w:val="auto"/>
              </w:rPr>
            </w:pPr>
          </w:p>
        </w:tc>
        <w:tc>
          <w:tcPr>
            <w:tcW w:w="1360" w:type="dxa"/>
            <w:vAlign w:val="bottom"/>
          </w:tcPr>
          <w:p>
            <w:pPr>
              <w:jc w:val="center"/>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vMerge w:val="continue"/>
          </w:tcPr>
          <w:p>
            <w:pPr>
              <w:spacing w:after="0"/>
              <w:rPr>
                <w:sz w:val="18"/>
                <w:szCs w:val="18"/>
                <w:color w:val="auto"/>
              </w:rPr>
            </w:pPr>
          </w:p>
        </w:tc>
        <w:tc>
          <w:tcPr>
            <w:tcW w:w="3620" w:type="dxa"/>
            <w:vAlign w:val="bottom"/>
            <w:tcBorders>
              <w:bottom w:val="single" w:sz="8" w:color="auto"/>
            </w:tcBorders>
          </w:tcPr>
          <w:p>
            <w:pPr>
              <w:jc w:val="center"/>
              <w:ind w:left="265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2024</w:t>
            </w:r>
          </w:p>
        </w:tc>
        <w:tc>
          <w:tcPr>
            <w:tcW w:w="362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447</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4,093</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2024</w:t>
            </w:r>
          </w:p>
        </w:tc>
        <w:tc>
          <w:tcPr>
            <w:tcW w:w="36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4,272</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36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839</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4,511</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2023</w:t>
            </w:r>
          </w:p>
        </w:tc>
        <w:tc>
          <w:tcPr>
            <w:tcW w:w="36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4,241</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2023</w:t>
            </w:r>
          </w:p>
        </w:tc>
        <w:tc>
          <w:tcPr>
            <w:tcW w:w="36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4,397</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42,989</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34"/>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618,590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were $920.6 million at June 30, 2024, compared with $302.0 million at December 31, 2023. The $618.6 million increase in cash and cash equivalents in the 2024 period was primarily the net proceeds provided by the convertible notes issuance and cash provided by operations as a result of higher earnings, partially offset by cash used in investing activities for the acquisition of Elpis Squared.</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during the six months in 2024 was $93.0 million compared with $43.0 million during the same period in 2023. The increase was primarily due to increased earnings and working capital conversion, partially offset by higher restructuring and variable compensation payouts in 2024.</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net cash used in investing activities was $47.8 million compared with $13.2 million in 2023, resulting in a change of $34.6 million. The increase in cash used was primarily the result of the acquisition of Elpis Squared for $34.1 million in 2024 and increase in property, plant, and equipment purchased of $1.8 million in 2024 compared with the same period in 2023.</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in 2024 was $576.8 million, compared with net cash provided of $0.8 million for the same period in 2023. The increase is due primarily to the issuance of convertible notes, net of total debt issuance cost, totaling $784 million, partially offset by the purchase of the capped call for the convertible offering of $109.0 million and common stock repurchase of $100.0 million.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June 30, 2024 was a decrease of $3.5 million, compared with an increase of $0.2 million for the same period in 2023.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93,025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42,989</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rPr>
              <w:t>(14,255)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rPr>
              <w:t>(12,498)</w:t>
            </w:r>
          </w:p>
        </w:tc>
      </w:tr>
      <w:tr>
        <w:trPr>
          <w:trHeight w:val="237"/>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78,770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30,491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fluctuated primarily as a result of changes in cash provided by increased earnings. See the cash flow discussion of operating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June 30, 2024 and December 31, 2023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originally entered into our credit facility on January 5, 2018 (together with the subsequent eight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At June 30, 2024, no amount was outstanding under the 2018 credit facility, and $46.8 million was utilized by outstanding standby letters of credit, resulting in $453.2 million available for borrowing or standby letters of credit under the revolver. At June 30, 2024, $253.2 million was available for additional standby letters of credit under the letter of credit sub-facility, and no amounts were outstanding under the swingline sub-facility. Amounts borrowed under the revolver may be repaid and reborrowed until the revolver's maturity on October 18, 2026, at which time all outstanding loans together with all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and unpaid interest must be repaid. However, that date may be advanced to December 14, 2025 if Itron does not settle or extend a sufficient portion of the outstanding 2021 convertible notes, as detailed in the seventh amendment.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21, 2024, we closed the sale of $805 million in convertible notes in a private placement to qualified institutional buyers. The convertible notes accrue interest at a rate of 1.375% per annum, payable semi-annually in arrears on January 15 and July 15 of each year, beginning on January 15, 2025. The notes will mature on July 15, 2030, unless earlier repurchased, redeemed, or converted in accordance with their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Utility Solutions, includes activities to drive reductions in certain locations and functional support areas. These projects are expected to be substantially complete by the end of 2024, with an estimated $20 million in cash payments remaining as of June 30, 2024 with cash outflows expected through 2025.</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 with an estimated $39 million in cash payments remaining as of June 30, 2024 with cash outflows expected through 2027.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we paid out $13.5 million related to all our restructuring projects. As of June 30, 2024, $57.7 million was accrued for these restructuring projects, of which $25.0 million is expected to be paid within the next 12 months.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 included in this Quarterly Report on Form 10-Q.</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$47 million in U.S federal taxes, $9 million in state taxes, and $27 million in local and foreign taxes during 2024. For a discussion of our tax provision and unrecognized tax benefits, see Item 1: Financial Statements (Unaudited), Note 10: Income Taxes included in this Quarterly Report on Form 10-Q.</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there was $52.2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June 30, 2024, $3.7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supply constraints, future business combinations, capital market fluctuations, international risks, and other factors described under Part I, Item 1A: Risk Factors of our 2023 Annual Report, as well as Part I, Item 3: Quantitative and Qualitative Disclosures About Market Risk included in this Quarterly Report on Form 10-Q.</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2023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(gain) loss on sale of business,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(gain) loss on sale of business, and acquisition and integration related expenses. We define non-GAAP operating income as operating income excluding the expenses related to the amortization of intangible assets, restructuring, (gain) loss on sale of business,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attributable to Itron, Inc. excluding the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amortization of intangible assets, amortization of debt placement fees, restructuring, (gain) loss on sale of business, acquisition and integration related expenses,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transactions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year and use the most recent AETR anytime it increases or decreases by 200 basis points or more from the prior interim period.</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(gain) loss on sale of business,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145,813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138,847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288,392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305,608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(37,483)</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141,376</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132,595</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279,430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257,636</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income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37,483</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69,084</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136,409</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72,679</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37,483</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(9,863)</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56,102</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29,824</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113,393</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52,206</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3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Non-GAAP weighted average common shares outstanding -</w:t>
            </w:r>
          </w:p>
        </w:tc>
        <w:tc>
          <w:tcPr>
            <w:tcW w:w="10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46,526</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45,781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46,441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45,677</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4"/>
        </w:trPr>
        <w:tc>
          <w:tcPr>
            <w:tcW w:w="4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09"/>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8"/>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income</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provision</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28,368</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Restructuring</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37,483</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13"/>
        </w:trPr>
        <w:tc>
          <w:tcPr>
            <w:tcW w:w="4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37"/>
        </w:trPr>
        <w:tc>
          <w:tcPr>
            <w:tcW w:w="4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Adjusted EBITDA</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77,105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153,585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88,768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51,717</w:t>
            </w:r>
          </w:p>
        </w:tc>
        <w:tc>
          <w:tcPr>
            <w:tcW w:w="120" w:type="dxa"/>
            <w:vAlign w:val="bottom"/>
          </w:tcPr>
          <w:p>
            <w:pPr>
              <w:spacing w:after="0"/>
              <w:rPr>
                <w:sz w:val="18"/>
                <w:szCs w:val="18"/>
                <w:color w:val="auto"/>
              </w:rPr>
            </w:pP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41,560</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93,025</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42,989</w:t>
            </w:r>
          </w:p>
        </w:tc>
      </w:tr>
      <w:tr>
        <w:trPr>
          <w:trHeight w:val="216"/>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(7,110)</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(12,498)</w:t>
            </w:r>
          </w:p>
        </w:tc>
      </w:tr>
      <w:tr>
        <w:trPr>
          <w:trHeight w:val="212"/>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Free Cash Flow</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44,607</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35,964</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78,770</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30,491</w:t>
            </w:r>
          </w:p>
        </w:tc>
      </w:tr>
      <w:tr>
        <w:trPr>
          <w:trHeight w:val="21"/>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our variable rate debt instruments, namely the multicurrency revolving line of credit. At June 30, 2024,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24% of total revenues for the three and six months ended June 30, 2024 compared with 24% and 25% for the same respective periods in 2023.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2024, a total of 41 contracts were offsetting our exposures from the euro, pound sterling, Indonesian rupiah, Canadian dollar, Australian dollar, and various other currencies, with notional amounts ranging from $103,000 to $39.1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2024,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June 30, 2024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2023, which was filed with the Securities and Exchange Commission on February 26, 2024.</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8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1820" w:type="dxa"/>
            <w:vAlign w:val="bottom"/>
            <w:gridSpan w:val="3"/>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Shares Purchased </w:t>
            </w:r>
            <w:r>
              <w:rPr>
                <w:rFonts w:ascii="Times New Roman" w:cs="Times New Roman" w:eastAsia="Times New Roman" w:hAnsi="Times New Roman"/>
                <w:sz w:val="21"/>
                <w:szCs w:val="21"/>
                <w:b w:val="1"/>
                <w:bCs w:val="1"/>
                <w:color w:val="auto"/>
                <w:w w:val="94"/>
                <w:vertAlign w:val="superscript"/>
              </w:rPr>
              <w:t>(1) (3)</w:t>
            </w:r>
          </w:p>
        </w:tc>
        <w:tc>
          <w:tcPr>
            <w:tcW w:w="156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208"/>
        </w:trPr>
        <w:tc>
          <w:tcPr>
            <w:tcW w:w="45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2024 through April 30, 2024</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2024 through May 31, 2024</w:t>
            </w:r>
          </w:p>
        </w:tc>
        <w:tc>
          <w:tcPr>
            <w:tcW w:w="18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2024 through June 30,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971,534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May 11, 2023, Itron's Board of Directors authorized a share repurchase program of up to $100 million of Itron's common stock over an 18-month period.</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50" w:lineRule="exact"/>
        <w:rPr>
          <w:rFonts w:ascii="Times New Roman" w:cs="Times New Roman" w:eastAsia="Times New Roman" w:hAnsi="Times New Roman"/>
          <w:sz w:val="21"/>
          <w:szCs w:val="21"/>
          <w:color w:val="auto"/>
          <w:vertAlign w:val="superscript"/>
        </w:rPr>
      </w:pPr>
    </w:p>
    <w:p>
      <w:pPr>
        <w:ind w:left="340" w:hanging="332"/>
        <w:spacing w:after="0" w:line="222"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purchased may include shares transferred to us by certain employees who vested in restricted stock units and used shares to pay all, or a portion of, the related taxes.</w:t>
      </w:r>
    </w:p>
    <w:p>
      <w:pPr>
        <w:spacing w:after="0" w:line="21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second quarter of 2024 that was not reported.</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June 30, 2024, the following Section 16 officers and directors, as defined in Rule 16a-1(f) of the Securities Exchange Act of 1934 (the Exchange Act), adopted, modified, or terminated Rule 10b5-1 trading arrangements (as defined in Item 408 of Regulation S-K of the Exchange Act):</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6, 2024, Thomas L. Deitrich, President and Chief Executive Officer, adopted a new written trading plan to sell up to 75,241 shares of Itron, Inc. common stock over a period ending on May 6, 2025, subject to certain conditions.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2024, Donald L. Reeves, Senior Vice President, Outcomes, adopted a new written trading plan to sell up to 7,510 shares of Itron, Inc. common stock over a period ending on May 9, 2025, subject to certain conditions.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80" w:type="dxa"/>
            <w:vAlign w:val="bottom"/>
          </w:tcPr>
          <w:p>
            <w:pPr>
              <w:spacing w:after="0"/>
              <w:rPr>
                <w:sz w:val="17"/>
                <w:szCs w:val="17"/>
                <w:color w:val="auto"/>
              </w:rPr>
            </w:pPr>
          </w:p>
        </w:tc>
        <w:tc>
          <w:tcPr>
            <w:tcW w:w="7380" w:type="dxa"/>
            <w:vAlign w:val="bottom"/>
            <w:gridSpan w:val="12"/>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80" w:type="dxa"/>
            <w:vAlign w:val="bottom"/>
          </w:tcPr>
          <w:p>
            <w:pPr>
              <w:spacing w:after="0"/>
              <w:rPr>
                <w:sz w:val="21"/>
                <w:szCs w:val="21"/>
                <w:color w:val="auto"/>
              </w:rPr>
            </w:pPr>
          </w:p>
        </w:tc>
        <w:tc>
          <w:tcPr>
            <w:tcW w:w="7380" w:type="dxa"/>
            <w:vAlign w:val="bottom"/>
            <w:gridSpan w:val="1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15"/>
                <w:szCs w:val="15"/>
                <w:color w:val="auto"/>
              </w:rPr>
            </w:pPr>
          </w:p>
        </w:tc>
        <w:tc>
          <w:tcPr>
            <w:tcW w:w="9860" w:type="dxa"/>
            <w:vAlign w:val="bottom"/>
            <w:tcBorders>
              <w:top w:val="single" w:sz="8" w:color="auto"/>
            </w:tcBorders>
            <w:gridSpan w:val="13"/>
          </w:tcPr>
          <w:p>
            <w:pPr>
              <w:ind w:left="20"/>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Indenture, dated as of June 21, 2024, by and between Itron, Inc. and U.S. Bank Trust Company, National Association, as trustee (Filed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5"/>
          </w:tcPr>
          <w:p>
            <w:pPr>
              <w:ind w:left="20"/>
              <w:spacing w:after="0" w:line="15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as Exhibit 4.1 to Itron, Inc.'s Current Report on Form 8-K, filed on June 21, 2024)</w:t>
              </w:r>
            </w:hyperlink>
          </w:p>
        </w:tc>
        <w:tc>
          <w:tcPr>
            <w:tcW w:w="39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24"/>
                <w:szCs w:val="24"/>
                <w:color w:val="auto"/>
              </w:rPr>
            </w:pPr>
          </w:p>
        </w:tc>
        <w:tc>
          <w:tcPr>
            <w:tcW w:w="9860" w:type="dxa"/>
            <w:vAlign w:val="bottom"/>
            <w:gridSpan w:val="13"/>
          </w:tcPr>
          <w:p>
            <w:pPr>
              <w:ind w:left="2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Form of 1.375% Convertible Senior Note due 2030 (included in Exhibit 4.1) (Filed as Exhibit 4.2 to Itron, Inc.'s Current Report 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Borders>
              <w:top w:val="single" w:sz="8" w:color="0000FF"/>
              <w:bottom w:val="single" w:sz="8" w:color="0000FF"/>
            </w:tcBorders>
          </w:tcPr>
          <w:p>
            <w:pPr>
              <w:ind w:left="20"/>
              <w:spacing w:after="0" w:line="156"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Form 8-K, filed on June 21, 2024)</w:t>
              </w:r>
            </w:hyperlink>
          </w:p>
        </w:tc>
        <w:tc>
          <w:tcPr>
            <w:tcW w:w="73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9860" w:type="dxa"/>
            <w:vAlign w:val="bottom"/>
            <w:gridSpan w:val="13"/>
          </w:tcPr>
          <w:p>
            <w:pPr>
              <w:ind w:left="2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Form of Capped Call Confirmation (Filed as Exhibit 10.1 to Itron, Inc.'s Current Report on Form 8-K, filed on June 21, 2024)</w:t>
              </w:r>
            </w:hyperlink>
          </w:p>
        </w:tc>
        <w:tc>
          <w:tcPr>
            <w:tcW w:w="0" w:type="dxa"/>
            <w:vAlign w:val="bottom"/>
          </w:tcPr>
          <w:p>
            <w:pPr>
              <w:spacing w:after="0"/>
              <w:rPr>
                <w:sz w:val="1"/>
                <w:szCs w:val="1"/>
                <w:color w:val="auto"/>
              </w:rPr>
            </w:pPr>
          </w:p>
        </w:tc>
      </w:tr>
      <w:tr>
        <w:trPr>
          <w:trHeight w:val="372"/>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906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Form of Amendment to Warrant Confirmation (Filed with this report)</w:t>
            </w:r>
          </w:p>
        </w:tc>
        <w:tc>
          <w:tcPr>
            <w:tcW w:w="8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9860" w:type="dxa"/>
            <w:vAlign w:val="bottom"/>
            <w:gridSpan w:val="13"/>
          </w:tcPr>
          <w:p>
            <w:pPr>
              <w:ind w:left="20"/>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Amendment No. 8, dated June 14, 2024, to the Credit Agreement, dated January 5, 2018 among Itron, Inc. and certain foreign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0" w:type="dxa"/>
            <w:vAlign w:val="bottom"/>
            <w:tcBorders>
              <w:top w:val="single" w:sz="8" w:color="0000FF"/>
            </w:tcBorders>
            <w:gridSpan w:val="10"/>
          </w:tcPr>
          <w:p>
            <w:pPr>
              <w:ind w:left="20"/>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borrowers, guarantors, lenders and issuing parties thereto, and Wells Fargo Bank, National Association, as administrative agent (Filed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80" w:type="dxa"/>
            <w:vAlign w:val="bottom"/>
            <w:tcBorders>
              <w:top w:val="single" w:sz="8" w:color="0000FF"/>
            </w:tcBorders>
            <w:gridSpan w:val="9"/>
          </w:tcPr>
          <w:p>
            <w:pPr>
              <w:ind w:left="20"/>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as Exhibit 10.2 to Itron, Inc.'s Current Report on Form 8-K, filed on June 21, 2024)</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600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Third Amended and Restated 2010 Stock Incentive Plan. (Filed with this report)</w:t>
            </w:r>
          </w:p>
        </w:tc>
        <w:tc>
          <w:tcPr>
            <w:tcW w:w="38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642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Third Amendment to the Executive Deferred Compensation Plan. (Filed with this report)</w:t>
            </w:r>
          </w:p>
        </w:tc>
        <w:tc>
          <w:tcPr>
            <w:tcW w:w="3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52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52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52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4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1440" w:right="20" w:hanging="939"/>
        <w:spacing w:after="0" w:line="224" w:lineRule="auto"/>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June 30, 2024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159" w:lineRule="exact"/>
        <w:rPr>
          <w:sz w:val="20"/>
          <w:szCs w:val="20"/>
          <w:color w:val="auto"/>
        </w:rPr>
      </w:pPr>
    </w:p>
    <w:p>
      <w:pPr>
        <w:ind w:left="1440" w:hanging="939"/>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1, 2024</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3" w:name="page54"/>
    <w:bookmarkEnd w:id="53"/>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 AMENDMENT AGREEMENT</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This Amendment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as of June [ ● ], 2024 by and between Itron, Inc., a Washington corporation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Dealer Name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Dealer</w:t>
      </w:r>
      <w:r>
        <w:rPr>
          <w:rFonts w:ascii="Times New Roman" w:cs="Times New Roman" w:eastAsia="Times New Roman" w:hAnsi="Times New Roman"/>
          <w:sz w:val="20"/>
          <w:szCs w:val="20"/>
          <w:color w:val="auto"/>
        </w:rPr>
        <w:t>”). Capitalized terms used but not otherwise defined in this Agreement shall have the meanings given to such terms in the Existing Warrant Confirmation.</w:t>
      </w:r>
    </w:p>
    <w:p>
      <w:pPr>
        <w:spacing w:after="0" w:line="18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WHEREAS, Company issued $460,000,000 principal amount of 0.00% Convertible Senior Notes due 2026 (the “</w:t>
      </w:r>
      <w:r>
        <w:rPr>
          <w:rFonts w:ascii="Times New Roman" w:cs="Times New Roman" w:eastAsia="Times New Roman" w:hAnsi="Times New Roman"/>
          <w:sz w:val="20"/>
          <w:szCs w:val="20"/>
          <w:b w:val="1"/>
          <w:bCs w:val="1"/>
          <w:i w:val="1"/>
          <w:iCs w:val="1"/>
          <w:color w:val="auto"/>
        </w:rPr>
        <w:t>Convertible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Notes</w:t>
      </w:r>
      <w:r>
        <w:rPr>
          <w:rFonts w:ascii="Times New Roman" w:cs="Times New Roman" w:eastAsia="Times New Roman" w:hAnsi="Times New Roman"/>
          <w:sz w:val="20"/>
          <w:szCs w:val="20"/>
          <w:color w:val="auto"/>
        </w:rPr>
        <w:t>”) pursuant to an indenture dated as of March 12, 2021 between Company and U.S. Bank Trust Company, National Association,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successor in interest to U.S. Bank National Association, as trustee;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in connection with the pricing of the Convertible Notes, Company and Dealer entered into a Base Note Hedge Transaction (the “</w:t>
      </w:r>
      <w:r>
        <w:rPr>
          <w:rFonts w:ascii="Times New Roman" w:cs="Times New Roman" w:eastAsia="Times New Roman" w:hAnsi="Times New Roman"/>
          <w:sz w:val="20"/>
          <w:szCs w:val="20"/>
          <w:b w:val="1"/>
          <w:bCs w:val="1"/>
          <w:i w:val="1"/>
          <w:iCs w:val="1"/>
          <w:color w:val="auto"/>
        </w:rPr>
        <w:t>Base Note Hedge Transaction</w:t>
      </w:r>
      <w:r>
        <w:rPr>
          <w:rFonts w:ascii="Times New Roman" w:cs="Times New Roman" w:eastAsia="Times New Roman" w:hAnsi="Times New Roman"/>
          <w:sz w:val="20"/>
          <w:szCs w:val="20"/>
          <w:color w:val="auto"/>
        </w:rPr>
        <w:t>”) pursuant to a confirmation dated as of March 9, 2021, and an Additional Note Hedge Transaction (the “</w:t>
      </w:r>
      <w:r>
        <w:rPr>
          <w:rFonts w:ascii="Times New Roman" w:cs="Times New Roman" w:eastAsia="Times New Roman" w:hAnsi="Times New Roman"/>
          <w:sz w:val="20"/>
          <w:szCs w:val="20"/>
          <w:b w:val="1"/>
          <w:bCs w:val="1"/>
          <w:i w:val="1"/>
          <w:iCs w:val="1"/>
          <w:color w:val="auto"/>
        </w:rPr>
        <w:t>Additional Note Hedge Transaction</w:t>
      </w:r>
      <w:r>
        <w:rPr>
          <w:rFonts w:ascii="Times New Roman" w:cs="Times New Roman" w:eastAsia="Times New Roman" w:hAnsi="Times New Roman"/>
          <w:sz w:val="20"/>
          <w:szCs w:val="20"/>
          <w:color w:val="auto"/>
        </w:rPr>
        <w:t>”, and together with the Base Note Hedge Transaction, the “</w:t>
      </w:r>
      <w:r>
        <w:rPr>
          <w:rFonts w:ascii="Times New Roman" w:cs="Times New Roman" w:eastAsia="Times New Roman" w:hAnsi="Times New Roman"/>
          <w:sz w:val="20"/>
          <w:szCs w:val="20"/>
          <w:b w:val="1"/>
          <w:bCs w:val="1"/>
          <w:i w:val="1"/>
          <w:iCs w:val="1"/>
          <w:color w:val="auto"/>
        </w:rPr>
        <w:t>Note Hedge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pursuant to a confirmation dated as of March 10, 2021;</w:t>
      </w:r>
    </w:p>
    <w:p>
      <w:pPr>
        <w:spacing w:after="0" w:line="21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in connection with the Note Hedge Transactions, Company entered into a Base Warrant Transaction pursuant to a confirmation dated as of March 9, 2021 (the “</w:t>
      </w:r>
      <w:r>
        <w:rPr>
          <w:rFonts w:ascii="Times New Roman" w:cs="Times New Roman" w:eastAsia="Times New Roman" w:hAnsi="Times New Roman"/>
          <w:sz w:val="20"/>
          <w:szCs w:val="20"/>
          <w:b w:val="1"/>
          <w:bCs w:val="1"/>
          <w:i w:val="1"/>
          <w:iCs w:val="1"/>
          <w:color w:val="auto"/>
        </w:rPr>
        <w:t>Base Warrant Confirmation</w:t>
      </w:r>
      <w:r>
        <w:rPr>
          <w:rFonts w:ascii="Times New Roman" w:cs="Times New Roman" w:eastAsia="Times New Roman" w:hAnsi="Times New Roman"/>
          <w:sz w:val="20"/>
          <w:szCs w:val="20"/>
          <w:color w:val="auto"/>
        </w:rPr>
        <w:t>”) and an Additional Warrant Transaction pursuant to a confirmation dated as of March 10, 2021 (the “</w:t>
      </w:r>
      <w:r>
        <w:rPr>
          <w:rFonts w:ascii="Times New Roman" w:cs="Times New Roman" w:eastAsia="Times New Roman" w:hAnsi="Times New Roman"/>
          <w:sz w:val="20"/>
          <w:szCs w:val="20"/>
          <w:b w:val="1"/>
          <w:bCs w:val="1"/>
          <w:i w:val="1"/>
          <w:iCs w:val="1"/>
          <w:color w:val="auto"/>
        </w:rPr>
        <w:t>Additional Warrant Confirmation</w:t>
      </w:r>
      <w:r>
        <w:rPr>
          <w:rFonts w:ascii="Times New Roman" w:cs="Times New Roman" w:eastAsia="Times New Roman" w:hAnsi="Times New Roman"/>
          <w:sz w:val="20"/>
          <w:szCs w:val="20"/>
          <w:color w:val="auto"/>
        </w:rPr>
        <w:t>”, together with the Base Warrant Confirmation, the “</w:t>
      </w:r>
      <w:r>
        <w:rPr>
          <w:rFonts w:ascii="Times New Roman" w:cs="Times New Roman" w:eastAsia="Times New Roman" w:hAnsi="Times New Roman"/>
          <w:sz w:val="20"/>
          <w:szCs w:val="20"/>
          <w:b w:val="1"/>
          <w:bCs w:val="1"/>
          <w:i w:val="1"/>
          <w:iCs w:val="1"/>
          <w:color w:val="auto"/>
        </w:rPr>
        <w:t>Existing Warrant Confirmations</w:t>
      </w:r>
      <w:r>
        <w:rPr>
          <w:rFonts w:ascii="Times New Roman" w:cs="Times New Roman" w:eastAsia="Times New Roman" w:hAnsi="Times New Roman"/>
          <w:sz w:val="20"/>
          <w:szCs w:val="20"/>
          <w:color w:val="auto"/>
        </w:rPr>
        <w:t>”); and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Company has requested and the Dealer agrees to make certain amendments to the Existing Warrant Confirmations.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Confirmations as set forth herein.</w:t>
      </w:r>
    </w:p>
    <w:p>
      <w:pPr>
        <w:spacing w:after="0" w:line="195" w:lineRule="exact"/>
        <w:rPr>
          <w:sz w:val="20"/>
          <w:szCs w:val="20"/>
          <w:color w:val="auto"/>
        </w:rPr>
      </w:pPr>
    </w:p>
    <w:p>
      <w:pPr>
        <w:ind w:left="340" w:hanging="332"/>
        <w:spacing w:after="0" w:line="283" w:lineRule="auto"/>
        <w:tabs>
          <w:tab w:leader="none" w:pos="3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Any capitalized term not otherwise defined herein shall have the meaning set forth for such term in the Existing Warrant Confirmations.</w:t>
      </w:r>
    </w:p>
    <w:p>
      <w:pPr>
        <w:spacing w:after="0" w:line="173" w:lineRule="exact"/>
        <w:rPr>
          <w:rFonts w:ascii="Times New Roman" w:cs="Times New Roman" w:eastAsia="Times New Roman" w:hAnsi="Times New Roman"/>
          <w:sz w:val="20"/>
          <w:szCs w:val="20"/>
          <w:color w:val="auto"/>
        </w:rPr>
      </w:pPr>
    </w:p>
    <w:p>
      <w:pPr>
        <w:jc w:val="both"/>
        <w:ind w:left="340" w:hanging="332"/>
        <w:spacing w:after="0" w:line="257" w:lineRule="auto"/>
        <w:tabs>
          <w:tab w:leader="none" w:pos="3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Existing Warrant Confirmations</w:t>
      </w:r>
      <w:r>
        <w:rPr>
          <w:rFonts w:ascii="Times New Roman" w:cs="Times New Roman" w:eastAsia="Times New Roman" w:hAnsi="Times New Roman"/>
          <w:sz w:val="20"/>
          <w:szCs w:val="20"/>
          <w:color w:val="auto"/>
        </w:rPr>
        <w:t>. Solely from the date of effectiveness of this Agreement to the date that is five Scheduled Trading Day following such time that Company has received the requisite approval from its shareholders to amend (following the proposal and recommendation of such amendment by the Company’s Board of Directors at its sole discretion) its Amended and Restated Articles of Incorporation, as currently in effect, to increase the number of authorized but unissued shares of its common stock, no par value (such approval, the “Requisite Stockholder Approval” and such date, the “</w:t>
      </w:r>
      <w:r>
        <w:rPr>
          <w:rFonts w:ascii="Times New Roman" w:cs="Times New Roman" w:eastAsia="Times New Roman" w:hAnsi="Times New Roman"/>
          <w:sz w:val="20"/>
          <w:szCs w:val="20"/>
          <w:b w:val="1"/>
          <w:bCs w:val="1"/>
          <w:i w:val="1"/>
          <w:iCs w:val="1"/>
          <w:color w:val="auto"/>
        </w:rPr>
        <w:t>Approval Date</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ind w:left="720" w:right="20" w:hanging="389"/>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 Section 9(p)(i) of the Base Warrant Confirmation shall be deemed amended by replacing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Base Original Number</w:t>
      </w:r>
      <w:r>
        <w:rPr>
          <w:rFonts w:ascii="Times New Roman" w:cs="Times New Roman" w:eastAsia="Times New Roman" w:hAnsi="Times New Roman"/>
          <w:sz w:val="20"/>
          <w:szCs w:val="20"/>
          <w:color w:val="auto"/>
        </w:rPr>
        <w:t>”) with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714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74" w:lineRule="exact"/>
        <w:rPr>
          <w:sz w:val="20"/>
          <w:szCs w:val="20"/>
          <w:color w:val="auto"/>
        </w:rPr>
      </w:pPr>
    </w:p>
    <w:p>
      <w:pPr>
        <w:ind w:left="140" w:hanging="132"/>
        <w:spacing w:after="0"/>
        <w:tabs>
          <w:tab w:leader="none" w:pos="14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i w:val="1"/>
          <w:iCs w:val="1"/>
          <w:color w:val="auto"/>
        </w:rPr>
        <w:t>Insert the number of shares currently in the confirmation.</w:t>
      </w:r>
    </w:p>
    <w:p>
      <w:pPr>
        <w:spacing w:after="0" w:line="56"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i w:val="1"/>
          <w:iCs w:val="1"/>
          <w:color w:val="auto"/>
        </w:rPr>
        <w:t>Insert the number equal to 5/8 of the number of shares currently in the confirmation.</w:t>
      </w:r>
    </w:p>
    <w:p>
      <w:pPr>
        <w:sectPr>
          <w:pgSz w:w="11900" w:h="16838" w:orient="portrait"/>
          <w:cols w:equalWidth="0" w:num="1">
            <w:col w:w="11240"/>
          </w:cols>
          <w:pgMar w:left="320" w:top="122" w:right="339" w:bottom="1440" w:gutter="0" w:footer="0" w:header="0"/>
        </w:sectPr>
      </w:pPr>
    </w:p>
    <w:bookmarkStart w:id="54" w:name="page55"/>
    <w:bookmarkEnd w:id="54"/>
    <w:p>
      <w:pPr>
        <w:spacing w:after="0" w:line="185" w:lineRule="exact"/>
        <w:rPr>
          <w:sz w:val="20"/>
          <w:szCs w:val="20"/>
          <w:color w:val="auto"/>
        </w:rPr>
      </w:pPr>
    </w:p>
    <w:p>
      <w:pPr>
        <w:ind w:left="720" w:hanging="388"/>
        <w:spacing w:after="0" w:line="239" w:lineRule="auto"/>
        <w:rPr>
          <w:sz w:val="20"/>
          <w:szCs w:val="20"/>
          <w:color w:val="auto"/>
        </w:rPr>
      </w:pPr>
      <w:r>
        <w:rPr>
          <w:rFonts w:ascii="Times New Roman" w:cs="Times New Roman" w:eastAsia="Times New Roman" w:hAnsi="Times New Roman"/>
          <w:sz w:val="20"/>
          <w:szCs w:val="20"/>
          <w:color w:val="auto"/>
        </w:rPr>
        <w:t>2.2. Section 9(p)(i) of the Additional Warrant Confirmation shall be deemed amended by replacing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Additional Original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Number</w:t>
      </w:r>
      <w:r>
        <w:rPr>
          <w:rFonts w:ascii="Times New Roman" w:cs="Times New Roman" w:eastAsia="Times New Roman" w:hAnsi="Times New Roman"/>
          <w:sz w:val="20"/>
          <w:szCs w:val="20"/>
          <w:color w:val="auto"/>
        </w:rPr>
        <w:t>”) with “[●]”.</w:t>
      </w:r>
      <w:r>
        <w:rPr>
          <w:rFonts w:ascii="Times New Roman" w:cs="Times New Roman" w:eastAsia="Times New Roman" w:hAnsi="Times New Roman"/>
          <w:sz w:val="25"/>
          <w:szCs w:val="25"/>
          <w:color w:val="auto"/>
          <w:vertAlign w:val="superscript"/>
        </w:rPr>
        <w:t>4</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from and after the date five Scheduled Trading Day following the Approval Date, Section 9(p)(i) of each of the Base Warrant Confirmation and the Additional Warrant Confirmation shall be deemed to reflect the Base Original Number and the Additional Original Number, as applicable.</w:t>
      </w:r>
    </w:p>
    <w:p>
      <w:pPr>
        <w:spacing w:after="0" w:line="20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Company</w:t>
      </w:r>
      <w:r>
        <w:rPr>
          <w:rFonts w:ascii="Times New Roman" w:cs="Times New Roman" w:eastAsia="Times New Roman" w:hAnsi="Times New Roman"/>
          <w:sz w:val="20"/>
          <w:szCs w:val="20"/>
          <w:color w:val="auto"/>
        </w:rPr>
        <w:t>. Company represents and warrants to Dealer on the date hereof that:</w:t>
      </w:r>
    </w:p>
    <w:p>
      <w:pPr>
        <w:spacing w:after="0" w:line="256" w:lineRule="exact"/>
        <w:rPr>
          <w:rFonts w:ascii="Times New Roman" w:cs="Times New Roman" w:eastAsia="Times New Roman" w:hAnsi="Times New Roman"/>
          <w:sz w:val="20"/>
          <w:szCs w:val="20"/>
          <w:color w:val="auto"/>
        </w:rPr>
      </w:pPr>
    </w:p>
    <w:p>
      <w:pPr>
        <w:jc w:val="both"/>
        <w:ind w:left="740" w:hanging="327"/>
        <w:spacing w:after="0" w:line="261" w:lineRule="auto"/>
        <w:tabs>
          <w:tab w:leader="none" w:pos="1011"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94" w:lineRule="exact"/>
        <w:rPr>
          <w:rFonts w:ascii="Times New Roman" w:cs="Times New Roman" w:eastAsia="Times New Roman" w:hAnsi="Times New Roman"/>
          <w:sz w:val="20"/>
          <w:szCs w:val="20"/>
          <w:color w:val="auto"/>
        </w:rPr>
      </w:pPr>
    </w:p>
    <w:p>
      <w:pPr>
        <w:jc w:val="both"/>
        <w:ind w:left="740" w:hanging="327"/>
        <w:spacing w:after="0" w:line="268" w:lineRule="auto"/>
        <w:tabs>
          <w:tab w:leader="none" w:pos="1111"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88" w:lineRule="exact"/>
        <w:rPr>
          <w:rFonts w:ascii="Times New Roman" w:cs="Times New Roman" w:eastAsia="Times New Roman" w:hAnsi="Times New Roman"/>
          <w:sz w:val="20"/>
          <w:szCs w:val="20"/>
          <w:color w:val="auto"/>
        </w:rPr>
      </w:pPr>
    </w:p>
    <w:p>
      <w:pPr>
        <w:ind w:left="740" w:hanging="327"/>
        <w:spacing w:after="0" w:line="283" w:lineRule="auto"/>
        <w:tabs>
          <w:tab w:leader="none" w:pos="1027"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173" w:lineRule="exact"/>
        <w:rPr>
          <w:rFonts w:ascii="Times New Roman" w:cs="Times New Roman" w:eastAsia="Times New Roman" w:hAnsi="Times New Roman"/>
          <w:sz w:val="20"/>
          <w:szCs w:val="20"/>
          <w:color w:val="auto"/>
        </w:rPr>
      </w:pPr>
    </w:p>
    <w:p>
      <w:pPr>
        <w:jc w:val="both"/>
        <w:ind w:left="740" w:hanging="327"/>
        <w:spacing w:after="0" w:line="258" w:lineRule="auto"/>
        <w:tabs>
          <w:tab w:leader="none" w:pos="103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212" w:lineRule="exact"/>
        <w:rPr>
          <w:rFonts w:ascii="Times New Roman" w:cs="Times New Roman" w:eastAsia="Times New Roman" w:hAnsi="Times New Roman"/>
          <w:sz w:val="20"/>
          <w:szCs w:val="20"/>
          <w:color w:val="auto"/>
        </w:rPr>
      </w:pPr>
    </w:p>
    <w:p>
      <w:pPr>
        <w:ind w:left="920" w:hanging="507"/>
        <w:spacing w:after="0"/>
        <w:tabs>
          <w:tab w:leader="none" w:pos="92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in possession of any material nonpublic information regarding Company or the Shares; and</w:t>
      </w:r>
    </w:p>
    <w:p>
      <w:pPr>
        <w:spacing w:after="0" w:line="242" w:lineRule="exact"/>
        <w:rPr>
          <w:rFonts w:ascii="Times New Roman" w:cs="Times New Roman" w:eastAsia="Times New Roman" w:hAnsi="Times New Roman"/>
          <w:sz w:val="20"/>
          <w:szCs w:val="20"/>
          <w:color w:val="auto"/>
        </w:rPr>
      </w:pPr>
    </w:p>
    <w:p>
      <w:pPr>
        <w:jc w:val="both"/>
        <w:ind w:left="740" w:hanging="327"/>
        <w:spacing w:after="0" w:line="258" w:lineRule="auto"/>
        <w:tabs>
          <w:tab w:leader="none" w:pos="943"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entering into this Agreement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Dealer</w:t>
      </w:r>
      <w:r>
        <w:rPr>
          <w:rFonts w:ascii="Times New Roman" w:cs="Times New Roman" w:eastAsia="Times New Roman" w:hAnsi="Times New Roman"/>
          <w:sz w:val="20"/>
          <w:szCs w:val="20"/>
          <w:color w:val="auto"/>
        </w:rPr>
        <w:t>. Dealer represents and warrants to Company on the date hereof that:</w:t>
      </w:r>
    </w:p>
    <w:p>
      <w:pPr>
        <w:spacing w:after="0" w:line="242" w:lineRule="exact"/>
        <w:rPr>
          <w:rFonts w:ascii="Times New Roman" w:cs="Times New Roman" w:eastAsia="Times New Roman" w:hAnsi="Times New Roman"/>
          <w:sz w:val="20"/>
          <w:szCs w:val="20"/>
          <w:color w:val="auto"/>
        </w:rPr>
      </w:pPr>
    </w:p>
    <w:p>
      <w:pPr>
        <w:ind w:left="740" w:right="20" w:hanging="327"/>
        <w:spacing w:after="0" w:line="283" w:lineRule="auto"/>
        <w:tabs>
          <w:tab w:leader="none" w:pos="1011"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power to execute this Agreement and any other documentation relating to this Agreement to which it is a party, to deliver this Agreement and to perform its obligations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714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4"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i w:val="1"/>
          <w:iCs w:val="1"/>
          <w:color w:val="auto"/>
        </w:rPr>
        <w:t>Insert the number of shares currently in the confirmation.</w:t>
      </w:r>
    </w:p>
    <w:p>
      <w:pPr>
        <w:spacing w:after="0" w:line="56"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i w:val="1"/>
          <w:iCs w:val="1"/>
          <w:color w:val="auto"/>
        </w:rPr>
        <w:t>Insert the number equal to 5/8 of the number of shares currently in the confirmation.</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Agreement and has taken all necessary action to authorize such execution, delivery and performance;</w:t>
      </w:r>
    </w:p>
    <w:p>
      <w:pPr>
        <w:spacing w:after="0" w:line="256" w:lineRule="exact"/>
        <w:rPr>
          <w:sz w:val="20"/>
          <w:szCs w:val="20"/>
          <w:color w:val="auto"/>
        </w:rPr>
      </w:pPr>
    </w:p>
    <w:p>
      <w:pPr>
        <w:jc w:val="both"/>
        <w:ind w:left="740" w:hanging="327"/>
        <w:spacing w:after="0" w:line="261" w:lineRule="auto"/>
        <w:tabs>
          <w:tab w:leader="none" w:pos="1111"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94" w:lineRule="exact"/>
        <w:rPr>
          <w:rFonts w:ascii="Times New Roman" w:cs="Times New Roman" w:eastAsia="Times New Roman" w:hAnsi="Times New Roman"/>
          <w:sz w:val="20"/>
          <w:szCs w:val="20"/>
          <w:color w:val="auto"/>
        </w:rPr>
      </w:pPr>
    </w:p>
    <w:p>
      <w:pPr>
        <w:ind w:left="740" w:hanging="327"/>
        <w:spacing w:after="0" w:line="283" w:lineRule="auto"/>
        <w:tabs>
          <w:tab w:leader="none" w:pos="102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186" w:lineRule="exact"/>
        <w:rPr>
          <w:rFonts w:ascii="Times New Roman" w:cs="Times New Roman" w:eastAsia="Times New Roman" w:hAnsi="Times New Roman"/>
          <w:sz w:val="20"/>
          <w:szCs w:val="20"/>
          <w:color w:val="auto"/>
        </w:rPr>
      </w:pPr>
    </w:p>
    <w:p>
      <w:pPr>
        <w:jc w:val="both"/>
        <w:ind w:left="740" w:hanging="327"/>
        <w:spacing w:after="0" w:line="254" w:lineRule="auto"/>
        <w:tabs>
          <w:tab w:leader="none" w:pos="103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214" w:lineRule="exact"/>
        <w:rPr>
          <w:rFonts w:ascii="Times New Roman" w:cs="Times New Roman" w:eastAsia="Times New Roman" w:hAnsi="Times New Roman"/>
          <w:sz w:val="20"/>
          <w:szCs w:val="20"/>
          <w:color w:val="auto"/>
        </w:rPr>
      </w:pPr>
    </w:p>
    <w:p>
      <w:pPr>
        <w:jc w:val="both"/>
        <w:ind w:left="340" w:hanging="332"/>
        <w:spacing w:after="0" w:line="253"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Amendment</w:t>
      </w:r>
      <w:r>
        <w:rPr>
          <w:rFonts w:ascii="Times New Roman" w:cs="Times New Roman" w:eastAsia="Times New Roman" w:hAnsi="Times New Roman"/>
          <w:sz w:val="20"/>
          <w:szCs w:val="20"/>
          <w:color w:val="auto"/>
        </w:rPr>
        <w:t>. Except as provided hereby, all of the representations, warranties, terms, covenants and conditions of the Existing Warrant Confirmations shall remain unamended and shall continue to be, and shall remain, in full force and effect in accordance with their respective terms. The provisions set forth herein shall be limited as provided for herein, and shall not be deemed to be a waiver of, amendment to, consent to or modification of any other term or provision of the Existing Warrant Confirmations or of any event, condition, or transaction on the part of Dealer or Company. The execution, delivery and effectiveness of this Agreement shall not, by implication or otherwise, limit, impair, waive or otherwise affect any right, power or remedy of Dealer under the Existing Warrant Confirmations.</w:t>
      </w:r>
    </w:p>
    <w:p>
      <w:pPr>
        <w:spacing w:after="0" w:line="206" w:lineRule="exact"/>
        <w:rPr>
          <w:rFonts w:ascii="Times New Roman" w:cs="Times New Roman" w:eastAsia="Times New Roman" w:hAnsi="Times New Roman"/>
          <w:sz w:val="20"/>
          <w:szCs w:val="20"/>
          <w:color w:val="auto"/>
        </w:rPr>
      </w:pPr>
    </w:p>
    <w:p>
      <w:pPr>
        <w:ind w:left="340" w:right="20" w:hanging="332"/>
        <w:spacing w:after="0" w:line="283"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any dispute arising hereunder shall be governed by and construed in accordance with the laws of the State of New York (without reference to choice of law doctrine).</w:t>
      </w:r>
    </w:p>
    <w:p>
      <w:pPr>
        <w:spacing w:after="0" w:line="173" w:lineRule="exact"/>
        <w:rPr>
          <w:rFonts w:ascii="Times New Roman" w:cs="Times New Roman" w:eastAsia="Times New Roman" w:hAnsi="Times New Roman"/>
          <w:sz w:val="20"/>
          <w:szCs w:val="20"/>
          <w:color w:val="auto"/>
        </w:rPr>
      </w:pPr>
    </w:p>
    <w:p>
      <w:pPr>
        <w:ind w:left="340" w:hanging="332"/>
        <w:spacing w:after="0" w:line="26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signed in any number of counterparts, each of which shall be an original, with the same effect as if all of the signatures thereto and hereto were upon the same instrument.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9"/>
          <w:szCs w:val="19"/>
          <w:color w:val="auto"/>
        </w:rPr>
        <w:t>IN WITNESS WHEREOF, each of the parties has caused this Agreement to be duly executed as of the date first above written.</w:t>
      </w:r>
    </w:p>
    <w:p>
      <w:pPr>
        <w:spacing w:after="0" w:line="30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7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48260</wp:posOffset>
            </wp:positionV>
            <wp:extent cx="32232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6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Title:</w:t>
      </w:r>
    </w:p>
    <w:p>
      <w:pPr>
        <w:spacing w:after="0" w:line="37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[DEALER]</w:t>
      </w:r>
      <w:r>
        <w:rPr>
          <w:rFonts w:ascii="Times New Roman" w:cs="Times New Roman" w:eastAsia="Times New Roman" w:hAnsi="Times New Roman"/>
          <w:sz w:val="20"/>
          <w:szCs w:val="20"/>
          <w:color w:val="auto"/>
        </w:rPr>
        <w:t>, as Dealer</w:t>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48260</wp:posOffset>
            </wp:positionV>
            <wp:extent cx="32232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6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Warrant Amendment Agreement</w:t>
      </w:r>
      <w:r>
        <w:rPr>
          <w:rFonts w:ascii="Times New Roman" w:cs="Times New Roman" w:eastAsia="Times New Roman" w:hAnsi="Times New Roman"/>
          <w:sz w:val="20"/>
          <w:szCs w:val="20"/>
          <w:color w:val="auto"/>
        </w:rPr>
        <w:t>]</w:t>
      </w:r>
    </w:p>
    <w:p>
      <w:pPr>
        <w:sectPr>
          <w:pgSz w:w="11900" w:h="16838" w:orient="portrait"/>
          <w:cols w:equalWidth="0" w:num="1">
            <w:col w:w="10060"/>
          </w:cols>
          <w:pgMar w:left="980" w:top="1413" w:right="8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2010 STOCK INCENTIVE PLAN</w:t>
      </w:r>
    </w:p>
    <w:p>
      <w:pPr>
        <w:spacing w:after="0" w:line="19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(As Amended and Restated, May 9, 2024)</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PURPOSE; EFFECTIVE DATE</w:t>
      </w:r>
    </w:p>
    <w:p>
      <w:pPr>
        <w:spacing w:after="0" w:line="219" w:lineRule="exact"/>
        <w:rPr>
          <w:sz w:val="20"/>
          <w:szCs w:val="20"/>
          <w:color w:val="auto"/>
        </w:rPr>
      </w:pPr>
    </w:p>
    <w:p>
      <w:pPr>
        <w:ind w:right="20"/>
        <w:spacing w:after="0" w:line="230" w:lineRule="auto"/>
        <w:rPr>
          <w:sz w:val="20"/>
          <w:szCs w:val="20"/>
          <w:color w:val="auto"/>
        </w:rPr>
      </w:pPr>
      <w:r>
        <w:rPr>
          <w:rFonts w:ascii="Calibri" w:cs="Calibri" w:eastAsia="Calibri" w:hAnsi="Calibri"/>
          <w:sz w:val="20"/>
          <w:szCs w:val="20"/>
          <w:color w:val="auto"/>
        </w:rPr>
        <w:t>The name of this Plan is the Itron, Inc. Third Amended and Restated 2010 Stock Incentve Plan (the “Plan”). The purpose of the Plan is to enhance the long-term shareholder value of Itron, Inc., a Washington corporaton (the “Company”), by ofering opportunites to selected persons to partcipate in the Company’s growth and success, and to encourage them to remain in the service of the Company and its Related Corporatons (as defned in Secton 2) and to acquire and maintain stock ownership in the Company.</w:t>
      </w:r>
    </w:p>
    <w:p>
      <w:pPr>
        <w:spacing w:after="0" w:line="225" w:lineRule="exact"/>
        <w:rPr>
          <w:sz w:val="20"/>
          <w:szCs w:val="20"/>
          <w:color w:val="auto"/>
        </w:rPr>
      </w:pPr>
    </w:p>
    <w:p>
      <w:pPr>
        <w:ind w:right="720"/>
        <w:spacing w:after="0" w:line="234" w:lineRule="auto"/>
        <w:rPr>
          <w:sz w:val="20"/>
          <w:szCs w:val="20"/>
          <w:color w:val="auto"/>
        </w:rPr>
      </w:pPr>
      <w:r>
        <w:rPr>
          <w:rFonts w:ascii="Calibri" w:cs="Calibri" w:eastAsia="Calibri" w:hAnsi="Calibri"/>
          <w:sz w:val="20"/>
          <w:szCs w:val="20"/>
          <w:color w:val="auto"/>
        </w:rPr>
        <w:t>The Plan is hereby amended and restated, efectve as of the date of approval by the shareholders of the Company at the annual shareholders meetng held in 2024 (the “Restatement Efectve Date”).</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DEFINITIONS</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color w:val="auto"/>
        </w:rPr>
        <w:t>For purposes of the Plan, the following terms shall be defned as set forth below:</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“Award” means any Opton, Stock Appreciaton Right, Stock Award or Performance Award granted pursuant to the provisions of the Plan.</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“Board” means the Board of Directors of the Company.</w:t>
      </w:r>
    </w:p>
    <w:p>
      <w:pPr>
        <w:spacing w:after="0" w:line="225" w:lineRule="exact"/>
        <w:rPr>
          <w:sz w:val="20"/>
          <w:szCs w:val="20"/>
          <w:color w:val="auto"/>
        </w:rPr>
      </w:pPr>
    </w:p>
    <w:p>
      <w:pPr>
        <w:ind w:right="180"/>
        <w:spacing w:after="0" w:line="231" w:lineRule="auto"/>
        <w:rPr>
          <w:sz w:val="20"/>
          <w:szCs w:val="20"/>
          <w:color w:val="auto"/>
        </w:rPr>
      </w:pPr>
      <w:r>
        <w:rPr>
          <w:rFonts w:ascii="Calibri" w:cs="Calibri" w:eastAsia="Calibri" w:hAnsi="Calibri"/>
          <w:sz w:val="20"/>
          <w:szCs w:val="20"/>
          <w:color w:val="auto"/>
        </w:rPr>
        <w:t>“Cause,” unless otherwise defned in the instrument evidencing the Award or in a writen employment or services agreement between the Partcipant and the Company or a Related Corporaton in connecton with an Award, means dishonesty, fraud, misconduct, unauthorized use or disclosure of confdental informaton or trade secrets (except in certain circumstances involving government agencies), or convicton or confession of a crime punishable by law (except minor violatons), in each case as determined by the Plan Administrator, and its determinaton shall be conclusive and binding.</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color w:val="auto"/>
        </w:rPr>
        <w:t>“Code” means the U.S. Internal Revenue Code of 1986, as amended from tme to tme.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“Common Stock” means the common stock, no par value per share, of the Company.</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“Change in Control Transacton” has the meaning set forth in Secton 16.2.1.</w:t>
      </w:r>
    </w:p>
    <w:p>
      <w:pPr>
        <w:spacing w:after="0" w:line="225" w:lineRule="exact"/>
        <w:rPr>
          <w:sz w:val="20"/>
          <w:szCs w:val="20"/>
          <w:color w:val="auto"/>
        </w:rPr>
      </w:pPr>
    </w:p>
    <w:p>
      <w:pPr>
        <w:ind w:right="280"/>
        <w:spacing w:after="0" w:line="231" w:lineRule="auto"/>
        <w:rPr>
          <w:sz w:val="20"/>
          <w:szCs w:val="20"/>
          <w:color w:val="auto"/>
        </w:rPr>
      </w:pPr>
      <w:r>
        <w:rPr>
          <w:rFonts w:ascii="Calibri" w:cs="Calibri" w:eastAsia="Calibri" w:hAnsi="Calibri"/>
          <w:sz w:val="20"/>
          <w:szCs w:val="20"/>
          <w:color w:val="auto"/>
        </w:rPr>
        <w:t>“Disability,” unless otherwise defned by the Plan Administrator, means that the Partcipant would qualify to receive beneft payments under the long-term disability plan or policy, as it may be amended from tme to tme, of the Company or, if diferent, the Related Corporaton that employs the Partcipant, regardless of whether Partcipant is covered by such policy.</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“Dividend Equivalent” has the meaning set forth in Secton 10.</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“Exchange Act” means the U.S. Securites Exchange Act of 1934, as amended.</w:t>
      </w:r>
    </w:p>
    <w:p>
      <w:pPr>
        <w:spacing w:after="0" w:line="225" w:lineRule="exact"/>
        <w:rPr>
          <w:sz w:val="20"/>
          <w:szCs w:val="20"/>
          <w:color w:val="auto"/>
        </w:rPr>
      </w:pPr>
    </w:p>
    <w:p>
      <w:pPr>
        <w:jc w:val="both"/>
        <w:ind w:right="600"/>
        <w:spacing w:after="0" w:line="231" w:lineRule="auto"/>
        <w:rPr>
          <w:sz w:val="20"/>
          <w:szCs w:val="20"/>
          <w:color w:val="auto"/>
        </w:rPr>
      </w:pPr>
      <w:r>
        <w:rPr>
          <w:rFonts w:ascii="Calibri" w:cs="Calibri" w:eastAsia="Calibri" w:hAnsi="Calibri"/>
          <w:sz w:val="20"/>
          <w:szCs w:val="20"/>
          <w:color w:val="auto"/>
        </w:rPr>
        <w:t>“Fair Market Value” shall be as established by the Plan Administrator actng in good faith to be reasonable and in compliance with Secton 409A of the Code or (a) if the Common Stock is listed on The NASDAQ Global Select Market, the closing sales price for the Common Stock as reported by the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22" w:right="339" w:bottom="1440" w:gutter="0" w:footer="0" w:header="0"/>
        </w:sectPr>
      </w:pPr>
    </w:p>
    <w:bookmarkStart w:id="58" w:name="page59"/>
    <w:bookmarkEnd w:id="58"/>
    <w:p>
      <w:pPr>
        <w:spacing w:after="0" w:line="188" w:lineRule="exact"/>
        <w:rPr>
          <w:sz w:val="20"/>
          <w:szCs w:val="20"/>
          <w:color w:val="auto"/>
        </w:rPr>
      </w:pPr>
    </w:p>
    <w:p>
      <w:pPr>
        <w:ind w:right="60"/>
        <w:spacing w:after="0" w:line="232" w:lineRule="auto"/>
        <w:rPr>
          <w:sz w:val="20"/>
          <w:szCs w:val="20"/>
          <w:color w:val="auto"/>
        </w:rPr>
      </w:pPr>
      <w:r>
        <w:rPr>
          <w:rFonts w:ascii="Calibri" w:cs="Calibri" w:eastAsia="Calibri" w:hAnsi="Calibri"/>
          <w:sz w:val="20"/>
          <w:szCs w:val="20"/>
          <w:color w:val="auto"/>
        </w:rPr>
        <w:t>Global Select Market for a single trading day or (b) if the Common Stock is listed on the New York Stock Exchange or the American Stock Exchange, the closing sales price for the Common Stock as such price is ofcially quoted in the composite tape of transactons on such exchange for a single trading day. If there is no such reported price for the Common Stock for the date in queston, then such price on the last preceding date for which such price exists shall be determinatve of Fair Market Value. Notwithstanding the foregoing, for income tax reportng and withholding purposes under U.S. federal, state, local or non-U.S. law and for such other purposes as the Plan Administrator deems appropriate, including, without limitaton, where Fair Market Value is used in reference to exercise, vestng, setlement or payout of an Award, the Fair Market Value shall be determined by the Plan Administrator in accordance with applicable law and uniform and nondiscriminatory standards adopted by it from tme to tme.</w:t>
      </w:r>
    </w:p>
    <w:p>
      <w:pPr>
        <w:spacing w:after="0" w:line="232"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“Grant Date” means the date on which the Plan Administrator completes the corporate acton authorizing the grant of an Award or such later date specifed by the Plan Administrator, and on which all conditons precedent to the grant have been satsfed, provided that conditons to the exercisability or vestng of Awards shall not defer the Grant Date.</w:t>
      </w:r>
    </w:p>
    <w:p>
      <w:pPr>
        <w:spacing w:after="0" w:line="227" w:lineRule="exact"/>
        <w:rPr>
          <w:sz w:val="20"/>
          <w:szCs w:val="20"/>
          <w:color w:val="auto"/>
        </w:rPr>
      </w:pPr>
    </w:p>
    <w:p>
      <w:pPr>
        <w:ind w:right="240"/>
        <w:spacing w:after="0" w:line="228" w:lineRule="auto"/>
        <w:rPr>
          <w:sz w:val="20"/>
          <w:szCs w:val="20"/>
          <w:color w:val="auto"/>
        </w:rPr>
      </w:pPr>
      <w:r>
        <w:rPr>
          <w:rFonts w:ascii="Calibri" w:cs="Calibri" w:eastAsia="Calibri" w:hAnsi="Calibri"/>
          <w:sz w:val="20"/>
          <w:szCs w:val="20"/>
          <w:color w:val="auto"/>
        </w:rPr>
        <w:t>“Incentve Stock Opton” means an Opton to purchase Common Stock granted under Secton 7 with the intenton that it qualify as an “incentve stock opton” as that term is defned in Secton 422 of the Code.</w:t>
      </w:r>
    </w:p>
    <w:p>
      <w:pPr>
        <w:spacing w:after="0" w:line="225"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“Nonqualifed Stock Opton” means an Opton to purchase Common Stock granted under Secton 7 other than an Incentve Stock Opton or that fail to qualify as an Incentve Stock Opton.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“Opton” means the right to purchase Common Stock granted under Secton 7.</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“Opton Term” has the meaning set forth in Secton 7.3.</w:t>
      </w:r>
    </w:p>
    <w:p>
      <w:pPr>
        <w:spacing w:after="0" w:line="211"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"Outstanding Qualifed Performance Based Awards” means an Award granted prior to November 3, 2017 and that is outstanding as of the Restatement Efectve Date and is intended to consttute “qualifed performance-based compensaton” as described in Secton 162(m)(4)(C) of the Code. In the interest of clarity, all provisions of the Plan governing Outstanding Qualifed Performance Based Awards that were in efect prior to the Restatement Efectve Date shall contnue in efect with respect to Outstanding Qualifed Performance Based Awards, notwithstanding the eliminaton of such provisions from the Plan.</w:t>
      </w:r>
    </w:p>
    <w:p>
      <w:pPr>
        <w:spacing w:after="0" w:line="229" w:lineRule="exact"/>
        <w:rPr>
          <w:sz w:val="20"/>
          <w:szCs w:val="20"/>
          <w:color w:val="auto"/>
        </w:rPr>
      </w:pPr>
    </w:p>
    <w:p>
      <w:pPr>
        <w:ind w:right="360"/>
        <w:spacing w:after="0" w:line="234" w:lineRule="auto"/>
        <w:rPr>
          <w:sz w:val="20"/>
          <w:szCs w:val="20"/>
          <w:color w:val="auto"/>
        </w:rPr>
      </w:pPr>
      <w:r>
        <w:rPr>
          <w:rFonts w:ascii="Calibri" w:cs="Calibri" w:eastAsia="Calibri" w:hAnsi="Calibri"/>
          <w:sz w:val="20"/>
          <w:szCs w:val="20"/>
          <w:color w:val="auto"/>
        </w:rPr>
        <w:t>“Parent,” except as otherwise provided in Secton 8.7 in connecton with Incentve Stock Optons, means any entty, whether now or hereafer existng, that directly or indirectly controls the Company.</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“Partcipant” means the person to whom an Award is granted.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“Performance Award” means any Award of Performance Shares or Performance Units granted pursuant to Secton 12.</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“Performance Share” has the meaning set forth in Secton 12.1.</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“Performance Unit” has the meaning set forth in Secton 12.2.</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“Plan Administrator” has the meaning set forth in Secton 3.1.</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“Prior Plan” means the Itron, Inc. Amended and Restated 2000 Stock Incentve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180"/>
          </w:cols>
          <w:pgMar w:left="320" w:top="1440" w:right="399" w:bottom="1440" w:gutter="0" w:footer="0" w:header="0"/>
        </w:sectPr>
      </w:pPr>
    </w:p>
    <w:bookmarkStart w:id="59" w:name="page60"/>
    <w:bookmarkEnd w:id="59"/>
    <w:p>
      <w:pPr>
        <w:spacing w:after="0" w:line="178" w:lineRule="exact"/>
        <w:rPr>
          <w:sz w:val="20"/>
          <w:szCs w:val="20"/>
          <w:color w:val="auto"/>
        </w:rPr>
      </w:pPr>
    </w:p>
    <w:p>
      <w:pPr>
        <w:spacing w:after="0"/>
        <w:rPr>
          <w:sz w:val="20"/>
          <w:szCs w:val="20"/>
          <w:color w:val="auto"/>
        </w:rPr>
      </w:pPr>
      <w:r>
        <w:rPr>
          <w:rFonts w:ascii="Calibri" w:cs="Calibri" w:eastAsia="Calibri" w:hAnsi="Calibri"/>
          <w:sz w:val="20"/>
          <w:szCs w:val="20"/>
          <w:color w:val="auto"/>
        </w:rPr>
        <w:t>“Related Corporaton” means any Parent or Subsidiary of the Company.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“Restricted Stock” has the meaning set forth in Secton 11.1.</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“Retrement” has the meaning assigned to it in the instrument evidencing the Award.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“Securites Act” means the U.S. Securites Act of 1933, as amended.</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“Stock Appreciaton Right” or “SAR” has the meaning set forth in Secton 9.</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“Stock Award” means Unrestricted Stock, Restricted Stock or Stock Units granted under Secton 11.</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“Stock Unit” has the meaning set forth in Secton 11.2.</w:t>
      </w:r>
    </w:p>
    <w:p>
      <w:pPr>
        <w:spacing w:after="0" w:line="211"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“Subsidiary,” except as otherwise provided in Secton 8.7 in connecton with Incentve Stock Optons, means any entty that is directly or indirectly controlled by the Company.</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“Successor Corporaton” has the meaning set forth in Secton 16.2.2.</w:t>
      </w:r>
    </w:p>
    <w:p>
      <w:pPr>
        <w:spacing w:after="0" w:line="225" w:lineRule="exact"/>
        <w:rPr>
          <w:sz w:val="20"/>
          <w:szCs w:val="20"/>
          <w:color w:val="auto"/>
        </w:rPr>
      </w:pPr>
    </w:p>
    <w:p>
      <w:pPr>
        <w:ind w:right="60"/>
        <w:spacing w:after="0" w:line="233" w:lineRule="auto"/>
        <w:rPr>
          <w:sz w:val="20"/>
          <w:szCs w:val="20"/>
          <w:color w:val="auto"/>
        </w:rPr>
      </w:pPr>
      <w:r>
        <w:rPr>
          <w:rFonts w:ascii="Calibri" w:cs="Calibri" w:eastAsia="Calibri" w:hAnsi="Calibri"/>
          <w:sz w:val="20"/>
          <w:szCs w:val="20"/>
          <w:color w:val="auto"/>
        </w:rPr>
        <w:t>“Tax-Related Items” means U.S. federal, state and/or local taxes, and/or taxes imposed by jurisdictons outside of the U.S. (including, but not limited to, income tax, social insurance contributons or similar contributons), payroll tax, fringe benefts tax, payment on account, employment tax obligatons, stamp taxes, and any other taxes or tax-related item that may be due) required by law to be withheld, including any employer liability shifed to the Partcipant under the terms of the instrument evidencing the Award or otherwise.</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“Terminaton Date” has the meaning set forth in Secton 7.6.</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“Unrestricted Stock” has the meaning set forth in Secton 11.1.</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tab/>
        <w:t>ADMINISTRATION</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3.1</w:t>
      </w:r>
      <w:r>
        <w:rPr>
          <w:sz w:val="20"/>
          <w:szCs w:val="20"/>
          <w:color w:val="auto"/>
        </w:rPr>
        <w:tab/>
      </w:r>
      <w:r>
        <w:rPr>
          <w:rFonts w:ascii="Arial" w:cs="Arial" w:eastAsia="Arial" w:hAnsi="Arial"/>
          <w:sz w:val="17"/>
          <w:szCs w:val="17"/>
          <w:b w:val="1"/>
          <w:bCs w:val="1"/>
          <w:color w:val="auto"/>
        </w:rPr>
        <w:t>Plan Administrator</w:t>
      </w:r>
    </w:p>
    <w:p>
      <w:pPr>
        <w:spacing w:after="0" w:line="211"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The Plan shall be administered by the Board and/or a commitee or commitees (which term includes subcommitees) appointed by, and consistng of, two or more members of the Board who meet the independence standards set forth by the NASDAQ Global Select Market (the “Plan Administrator”). If and so long as the Common Stock is registered under Secton 12(b) or 12(g) of the Exchange Act, the Board shall consider in selectng the members of any commitee actng as Plan Administrator, with respect to any Outstanding Qualifed Performance Based Awards, the requirements of “outside directors” as contemplated by Secton 162(m) of the Code, and with respect to persons subject or likely to become subject to Secton 16 of the Exchange Act, the requirements of “nonemployee directors” as contemplated by Rule 16b-3 under the Exchange Act. Notwithstanding the foregoing, the Board may delegate the responsibility for administering the Plan with respect to designated classes of eligible persons to diferent commitees consistng of two or more members of the Board, subject to such limitatons as the Board deems appropriate. Commitee members shall serve for such term as the Board may determine, subject to removal by the Board at any tme. To the extent consistent with applicable law, the Board may authorize one or more senior executve ofcers of the Company to grant Awards to designated classes of eligible persons, within the limits specifcally prescribed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7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3.2</w:t>
      </w:r>
      <w:r>
        <w:rPr>
          <w:sz w:val="20"/>
          <w:szCs w:val="20"/>
          <w:color w:val="auto"/>
        </w:rPr>
        <w:tab/>
      </w:r>
      <w:r>
        <w:rPr>
          <w:rFonts w:ascii="Arial" w:cs="Arial" w:eastAsia="Arial" w:hAnsi="Arial"/>
          <w:sz w:val="17"/>
          <w:szCs w:val="17"/>
          <w:b w:val="1"/>
          <w:bCs w:val="1"/>
          <w:color w:val="auto"/>
        </w:rPr>
        <w:t>Administration and Interpretation by Plan Administrator</w:t>
      </w:r>
    </w:p>
    <w:p>
      <w:pPr>
        <w:spacing w:after="0" w:line="225" w:lineRule="exact"/>
        <w:rPr>
          <w:sz w:val="20"/>
          <w:szCs w:val="20"/>
          <w:color w:val="auto"/>
        </w:rPr>
      </w:pPr>
    </w:p>
    <w:p>
      <w:pPr>
        <w:ind w:right="60"/>
        <w:spacing w:after="0" w:line="232" w:lineRule="auto"/>
        <w:rPr>
          <w:sz w:val="20"/>
          <w:szCs w:val="20"/>
          <w:color w:val="auto"/>
        </w:rPr>
      </w:pPr>
      <w:r>
        <w:rPr>
          <w:rFonts w:ascii="Calibri" w:cs="Calibri" w:eastAsia="Calibri" w:hAnsi="Calibri"/>
          <w:sz w:val="20"/>
          <w:szCs w:val="20"/>
          <w:color w:val="auto"/>
        </w:rPr>
        <w:t>Except for the terms and conditons explicitly set forth in the Plan, the Plan Administrator shall have exclusive authority, in its discreton, to determine all maters relatng to Awards under the Plan, including the selecton of individuals to be granted Awards, the type of Awards, the number of shares of Common Stock subject to an Award, all terms, conditons, restrictons and limitatons, if any, of an Award and the terms of any instrument that evidences the Award. The Plan Administrator shall also have exclusive authority to interpret the Plan and the terms of any instrument evidencing the Award and may from tme to tme adopt and change rules and regulatons of general applicaton for the Plan’s administraton. The Plan Administrator’s interpretaton of the Plan and its rules and regulatons, and all actons taken and determinatons made by the Plan Administrator pursuant to the Plan, shall be conclusive and binding on all partes involved or afected.</w:t>
      </w:r>
    </w:p>
    <w:p>
      <w:pPr>
        <w:spacing w:after="0" w:line="218"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In any event, however, (a) no Opton or SAR may be amended to reduce the exercise price of such Opton or SAR below the per share Fair Market Value of the Common Stock as of the date the Opton or SAR was granted, and (b) except as provided in Secton 16.1 and Secton 16.3 hereof, at any tme when the then-current fair market value of a share of Common Stock is less than the Fair Market Value of a share of Common Stock on the date that an outstanding Opton or SAR was granted, such outstanding Opton or SAR may not be cancelled or surrendered in exchange for (i) cash, (ii) an Opton or SAR having an exercise price that is less than the Fair Market Value of a share of Common Stock on the date that the original Opton or SAR was granted, or (iii) any other Award.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The Plan Administrator may delegate ministerial dutes to such of the Company’s ofcers as it so determines.</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STOCK SUBJECT TO THE PLAN</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4.1</w:t>
      </w:r>
      <w:r>
        <w:rPr>
          <w:sz w:val="20"/>
          <w:szCs w:val="20"/>
          <w:color w:val="auto"/>
        </w:rPr>
        <w:tab/>
      </w:r>
      <w:r>
        <w:rPr>
          <w:rFonts w:ascii="Arial" w:cs="Arial" w:eastAsia="Arial" w:hAnsi="Arial"/>
          <w:sz w:val="17"/>
          <w:szCs w:val="17"/>
          <w:b w:val="1"/>
          <w:bCs w:val="1"/>
          <w:color w:val="auto"/>
        </w:rPr>
        <w:t>Number of Shares</w:t>
      </w:r>
    </w:p>
    <w:p>
      <w:pPr>
        <w:spacing w:after="0" w:line="211" w:lineRule="exact"/>
        <w:rPr>
          <w:sz w:val="20"/>
          <w:szCs w:val="20"/>
          <w:color w:val="auto"/>
        </w:rPr>
      </w:pPr>
    </w:p>
    <w:p>
      <w:pPr>
        <w:ind w:right="60" w:firstLine="8"/>
        <w:spacing w:after="0" w:line="233" w:lineRule="auto"/>
        <w:tabs>
          <w:tab w:leader="none" w:pos="652"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Subject to adjustment from tme to tme as provided in Secton 16.1, the number of shares of Common Stock that shall be authorized for grant under the Plan shall be the sum of (i) 13,991,273, plus (ii) any shares subject to awards granted under the Prior Plan that are forfeited, expire or are otherwise cancelled or setled in cash afer the inital adopton of the Plan in 2010. A maximum of 13,375,000 shares of Common Stock may be granted as Incentve Stock Optons.</w:t>
      </w:r>
    </w:p>
    <w:p>
      <w:pPr>
        <w:spacing w:after="0" w:line="213"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Any shares of Common Stock that are subject to Optons or SARs shall be counted against this limit as one (1) share of Common Stock for every one (1) share of Common Stock granted, and any shares that are subject to Awards other than Optons or SARs shall be counted against this limit as 1.7 shares of Common Stock for every one (1) share of Common Stock granted.</w:t>
      </w:r>
    </w:p>
    <w:p>
      <w:pPr>
        <w:spacing w:after="0" w:line="211" w:lineRule="exact"/>
        <w:rPr>
          <w:sz w:val="20"/>
          <w:szCs w:val="20"/>
          <w:color w:val="auto"/>
        </w:rPr>
      </w:pPr>
    </w:p>
    <w:p>
      <w:pPr>
        <w:ind w:right="20" w:firstLine="8"/>
        <w:spacing w:after="0" w:line="232" w:lineRule="auto"/>
        <w:tabs>
          <w:tab w:leader="none" w:pos="648"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If (i) any shares of Common Stock subject to an Award are forfeited, an Award expires or an Award is setled for cash (in whole or in part), or (ii) any shares of Common Stock subject to an award under the Prior Plan are forfeited, or an award under the Prior Plan expires or is setled for cash (in whole or in part), the shares of Common Stock subject to such Award or award under the Prior Plan shall, to the extent of such forfeiture, expiraton or cash setlement, again be available for Awards under the Plan, in accordance with Secton 4.1(d) below. In the event that withholding liabilites for Tax-Related Items arising from an Award other than an Opton or Stock Appreciaton Right or an award other than an opton or stock appreciaton right under any Prior Plan are satsfed by surrendering of shares subject to the Award, the shares so surrendered shall be added to the shares available for Awards under the Plan in accordance with Secton 4.1(d) below. Notwithstanding anything to the contrary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88"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herein, the following shall not be added to the shares of Common Stock authorized for grant under Secton 4.1(a) above: (x) shares of Common Stock subject to an Opton or an Award surrendered in payment of the Opton exercise price or Award purchase price or shares of Common Stock subject to an opton or award granted under the Prior Plan surrendered in payment of the opton exercise price or award purchase price, or to satsfy any withholding obligaton for Tax-Related Items with respect to an Opton or SAR or an opton or stock appreciaton right granted under the Prior Plan, (y) shares of Common Stock that are not issued as a result of a net setlement of an Opton or SAR or an opton or stock appreciaton right granted under the Prior Plan, and (z) shares of Common Stock reacquired by the Company on the open market or otherwise using cash proceeds from the exercise of Optons or optons granted under the Prior Plan. For purposes of this Secton 4.1 and for the avoidance of any doubt, “surrendered” includes the tendering of shares held by the Partcipant or withheld from an Award voluntarily by the Partcipant or mandatorily by the Company.</w:t>
      </w:r>
    </w:p>
    <w:p>
      <w:pPr>
        <w:spacing w:after="0" w:line="216" w:lineRule="exact"/>
        <w:rPr>
          <w:sz w:val="20"/>
          <w:szCs w:val="20"/>
          <w:color w:val="auto"/>
        </w:rPr>
      </w:pPr>
    </w:p>
    <w:p>
      <w:pPr>
        <w:ind w:firstLine="8"/>
        <w:spacing w:after="0" w:line="233" w:lineRule="auto"/>
        <w:tabs>
          <w:tab w:leader="none" w:pos="640"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Substtute Awards granted pursuant to Secton 6.3 below shall not reduce the number of shares of Common Stock authorized for grant under the Plan. Additonally, and in accordance with applicable Nasdaq or other applicable stock exchange listng requirements, in the event that a company acquired by the Company or with which the Company combines has shares of stock available under a pre-existng plan approved by such company’s shareholders and not adopted in contemplaton of such acquisiton or combinaton, the shares available for grant pursuant to the terms of such pre-existng plan (as adjusted, to the extent appropriate, using the exchange rato or other adjustment or valuaton rato or formula used in such acquisiton or combinaton to determine the consideraton payable to the holders of common stock of the enttes party to such acquisiton or combinaton) may be used for Awards under the Plan and shall not reduce the shares of Common Stock authorized for grant under the Plan; provided that Awards using such available shares shall not be made afer the date awards or grants could have been made under the terms of the pre-existng plan, absent the acquisiton or combinaton, and shall only be made to individuals who were not employees or directors of the Company or a Related Corporaton prior to such acquisiton or combinaton.</w:t>
      </w:r>
    </w:p>
    <w:p>
      <w:pPr>
        <w:spacing w:after="0" w:line="227" w:lineRule="exact"/>
        <w:rPr>
          <w:rFonts w:ascii="Calibri" w:cs="Calibri" w:eastAsia="Calibri" w:hAnsi="Calibri"/>
          <w:sz w:val="20"/>
          <w:szCs w:val="20"/>
          <w:color w:val="auto"/>
        </w:rPr>
      </w:pPr>
    </w:p>
    <w:p>
      <w:pPr>
        <w:ind w:right="20" w:firstLine="8"/>
        <w:spacing w:after="0" w:line="233" w:lineRule="auto"/>
        <w:tabs>
          <w:tab w:leader="none" w:pos="648"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Any shares of Common Stock that again become available for grant pursuant to this Secton 4.1 shall be added back as (i) one (1) share of Common Stock if such shares were subject to Optons or SARs granted under the Plan or optons or stock appreciaton rights granted under the Prior Plan, and (ii) as 1.7 shares of Common Stock if such shares were subject to Awards other than Optons or SARs granted under the Plan or awards other than optons or stock appreciaton rights granted under the Prior Plan.</w:t>
      </w:r>
    </w:p>
    <w:p>
      <w:pPr>
        <w:spacing w:after="0" w:line="212" w:lineRule="exact"/>
        <w:rPr>
          <w:rFonts w:ascii="Calibri" w:cs="Calibri" w:eastAsia="Calibri" w:hAnsi="Calibri"/>
          <w:sz w:val="20"/>
          <w:szCs w:val="20"/>
          <w:color w:val="auto"/>
        </w:rPr>
      </w:pPr>
    </w:p>
    <w:p>
      <w:pPr>
        <w:ind w:right="20" w:firstLine="8"/>
        <w:spacing w:after="0" w:line="233" w:lineRule="auto"/>
        <w:tabs>
          <w:tab w:leader="none" w:pos="642"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Notwithstanding any other provision of the Plan to the contrary, the aggregate grant date fair value (computed as of the Grant Date in accordance with applicable fnancial accountng rules) of all Awards granted to any non-employee director plus the total of all cash paid or payable to such non-employee director for services rendered during any single calendar year shall not exceed $500,000. For the avoidance of doubt, any compensaton that is deferred shall be counted towards the foregoing limit for the year in which the compensaton is earned (and not counted in the year it is paid/setled), and no interest or other earnings on such compensaton shall count towards the limit.</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4.2</w:t>
      </w:r>
      <w:r>
        <w:rPr>
          <w:sz w:val="20"/>
          <w:szCs w:val="20"/>
          <w:color w:val="auto"/>
        </w:rPr>
        <w:tab/>
      </w:r>
      <w:r>
        <w:rPr>
          <w:rFonts w:ascii="Arial" w:cs="Arial" w:eastAsia="Arial" w:hAnsi="Arial"/>
          <w:sz w:val="17"/>
          <w:szCs w:val="17"/>
          <w:b w:val="1"/>
          <w:bCs w:val="1"/>
          <w:color w:val="auto"/>
        </w:rPr>
        <w:t>Character of Shares</w:t>
      </w:r>
    </w:p>
    <w:p>
      <w:pPr>
        <w:spacing w:after="0" w:line="211"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Any Shares issued hereunder may consist, in whole or in part, of authorized and unissued shares, treasury shares or shares purchased in the open market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00"/>
          </w:cols>
          <w:pgMar w:left="320" w:top="1440" w:right="379" w:bottom="1440" w:gutter="0" w:footer="0" w:header="0"/>
        </w:sectPr>
      </w:pPr>
    </w:p>
    <w:bookmarkStart w:id="62" w:name="page63"/>
    <w:bookmarkEnd w:id="62"/>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ELIGIBILITY</w:t>
      </w:r>
    </w:p>
    <w:p>
      <w:pPr>
        <w:spacing w:after="0" w:line="219"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Awards may be granted under the Plan to those ofcers, directors and employees of the Company and its Related Corporatons as the Plan Administrator from tme to tme selects. Awards may also be made to consultants, agents, advisors and independent contractors who provide services to the Company and its Related Corporatons; provided, however, that such Partcipants render bona fde services that are not in connecton with the ofer and sale of the Company’s securites in a capital-raising transacton and do not directly or indirectly promote or maintain a market for the Company’s securites.</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7"/>
          <w:szCs w:val="17"/>
          <w:b w:val="1"/>
          <w:bCs w:val="1"/>
          <w:color w:val="auto"/>
        </w:rPr>
        <w:t>AWARDS</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6.1</w:t>
      </w:r>
      <w:r>
        <w:rPr>
          <w:sz w:val="20"/>
          <w:szCs w:val="20"/>
          <w:color w:val="auto"/>
        </w:rPr>
        <w:tab/>
      </w:r>
      <w:r>
        <w:rPr>
          <w:rFonts w:ascii="Arial" w:cs="Arial" w:eastAsia="Arial" w:hAnsi="Arial"/>
          <w:sz w:val="17"/>
          <w:szCs w:val="17"/>
          <w:b w:val="1"/>
          <w:bCs w:val="1"/>
          <w:color w:val="auto"/>
        </w:rPr>
        <w:t>Form and Grant of Awards</w:t>
      </w:r>
    </w:p>
    <w:p>
      <w:pPr>
        <w:spacing w:after="0" w:line="225" w:lineRule="exact"/>
        <w:rPr>
          <w:sz w:val="20"/>
          <w:szCs w:val="20"/>
          <w:color w:val="auto"/>
        </w:rPr>
      </w:pPr>
    </w:p>
    <w:p>
      <w:pPr>
        <w:ind w:right="100"/>
        <w:spacing w:after="0" w:line="231" w:lineRule="auto"/>
        <w:rPr>
          <w:sz w:val="20"/>
          <w:szCs w:val="20"/>
          <w:color w:val="auto"/>
        </w:rPr>
      </w:pPr>
      <w:r>
        <w:rPr>
          <w:rFonts w:ascii="Calibri" w:cs="Calibri" w:eastAsia="Calibri" w:hAnsi="Calibri"/>
          <w:sz w:val="20"/>
          <w:szCs w:val="20"/>
          <w:color w:val="auto"/>
        </w:rPr>
        <w:t>The Plan Administrator shall have the authority, in its sole discreton, to determine the type or types of Awards to be made under the Plan. Such Awards may include, but are not limited to, Incentve Stock Optons, Nonqualifed Stock Optons, SARs, Dividend Equivalents, Stock Awards and Performance Awards. Awards may be granted singly or in combinaton.</w:t>
      </w:r>
    </w:p>
    <w:p>
      <w:pPr>
        <w:spacing w:after="0" w:line="20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6.2</w:t>
      </w:r>
      <w:r>
        <w:rPr>
          <w:sz w:val="20"/>
          <w:szCs w:val="20"/>
          <w:color w:val="auto"/>
        </w:rPr>
        <w:tab/>
      </w:r>
      <w:r>
        <w:rPr>
          <w:rFonts w:ascii="Arial" w:cs="Arial" w:eastAsia="Arial" w:hAnsi="Arial"/>
          <w:sz w:val="17"/>
          <w:szCs w:val="17"/>
          <w:b w:val="1"/>
          <w:bCs w:val="1"/>
          <w:color w:val="auto"/>
        </w:rPr>
        <w:t>Settlement of Awards</w:t>
      </w:r>
    </w:p>
    <w:p>
      <w:pPr>
        <w:spacing w:after="0" w:line="225"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The Company may setle Awards through the delivery of shares of Common Stock, the payment of a cash amount equal to or by reference to the Fair Market Value of the shares of Common Stock on the date of setlement of an Award other than an Opton or SAR, the grantng of replacement Awards, or any combinaton thereof as the Plan Administrator shall determine. Any Award setlement, including payment deferrals, may be subject to such conditons, restrictons and contngencies as the Plan Administrator shall determine. The Plan Administrator may permit or require the deferral of any Award payment, subject to such rules and procedures as it may establish, which may include provisions for the payment or creditng of interest, or Dividend Equivalents, including convertng such credits into deferred stock equivalents.</w:t>
      </w:r>
    </w:p>
    <w:p>
      <w:pPr>
        <w:spacing w:after="0" w:line="20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6.3</w:t>
      </w:r>
      <w:r>
        <w:rPr>
          <w:sz w:val="20"/>
          <w:szCs w:val="20"/>
          <w:color w:val="auto"/>
        </w:rPr>
        <w:tab/>
      </w:r>
      <w:r>
        <w:rPr>
          <w:rFonts w:ascii="Arial" w:cs="Arial" w:eastAsia="Arial" w:hAnsi="Arial"/>
          <w:sz w:val="17"/>
          <w:szCs w:val="17"/>
          <w:b w:val="1"/>
          <w:bCs w:val="1"/>
          <w:color w:val="auto"/>
        </w:rPr>
        <w:t>Acquired Company Awards</w:t>
      </w:r>
    </w:p>
    <w:p>
      <w:pPr>
        <w:spacing w:after="0" w:line="225" w:lineRule="exact"/>
        <w:rPr>
          <w:sz w:val="20"/>
          <w:szCs w:val="20"/>
          <w:color w:val="auto"/>
        </w:rPr>
      </w:pPr>
    </w:p>
    <w:p>
      <w:pPr>
        <w:ind w:right="20"/>
        <w:spacing w:after="0" w:line="232" w:lineRule="auto"/>
        <w:rPr>
          <w:sz w:val="20"/>
          <w:szCs w:val="20"/>
          <w:color w:val="auto"/>
        </w:rPr>
      </w:pPr>
      <w:r>
        <w:rPr>
          <w:rFonts w:ascii="Calibri" w:cs="Calibri" w:eastAsia="Calibri" w:hAnsi="Calibri"/>
          <w:sz w:val="20"/>
          <w:szCs w:val="20"/>
          <w:color w:val="auto"/>
        </w:rPr>
        <w:t>Notwithstanding anything in the Plan to the contrary, the Plan Administrator may grant Awards under the Plan in substtuton for awards issued under other plans, or assume under the Plan awards issued under other plans, if the other plans are or were plans of other acquired enttes (“Acquired Enttes”) (or the parent of the Acquired Entty) and the new Award is substtuted, or the old award is assumed, by reason of a merger, consolidaton, acquisiton of property or stock, reorganizaton or liquidaton (the “Acquisiton Transacton”). In the event that a writen agreement pursuant to which the Acquisiton Transacton is completed is approved by the Board and said agreement sets forth the terms and conditons of the substtuton for or assumpton of outstanding awards of the Acquired Entty, said terms and conditons shall be deemed to be the acton of the Plan Administrator without any further acton by the Plan Administrator, except as may be required for compliance with Rule 16b-3 under the Exchange Act, and the persons holding such awards shall be deemed to be Partcipants.</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6.4</w:t>
      </w:r>
      <w:r>
        <w:rPr>
          <w:sz w:val="20"/>
          <w:szCs w:val="20"/>
          <w:color w:val="auto"/>
        </w:rPr>
        <w:tab/>
      </w:r>
      <w:r>
        <w:rPr>
          <w:rFonts w:ascii="Arial" w:cs="Arial" w:eastAsia="Arial" w:hAnsi="Arial"/>
          <w:sz w:val="17"/>
          <w:szCs w:val="17"/>
          <w:b w:val="1"/>
          <w:bCs w:val="1"/>
          <w:color w:val="auto"/>
        </w:rPr>
        <w:t>Minimum Vesting Requirements</w:t>
      </w:r>
    </w:p>
    <w:p>
      <w:pPr>
        <w:spacing w:after="0" w:line="225" w:lineRule="exact"/>
        <w:rPr>
          <w:sz w:val="20"/>
          <w:szCs w:val="20"/>
          <w:color w:val="auto"/>
        </w:rPr>
      </w:pPr>
    </w:p>
    <w:p>
      <w:pPr>
        <w:jc w:val="both"/>
        <w:ind w:right="160"/>
        <w:spacing w:after="0" w:line="231" w:lineRule="auto"/>
        <w:rPr>
          <w:sz w:val="20"/>
          <w:szCs w:val="20"/>
          <w:color w:val="auto"/>
        </w:rPr>
      </w:pPr>
      <w:r>
        <w:rPr>
          <w:rFonts w:ascii="Calibri" w:cs="Calibri" w:eastAsia="Calibri" w:hAnsi="Calibri"/>
          <w:sz w:val="20"/>
          <w:szCs w:val="20"/>
          <w:color w:val="auto"/>
        </w:rPr>
        <w:t>Notwithstanding any other provision of the Plan, except in connecton with Awards that are substtuted pursuant to Secton 6.3 hereof, Awards that may be setled only in cash or an adjustment provided for in Secton 16, no porton of an Award may vest prior to the date that the Partcipant has completed one year of service measured from the Grant Date, subject to earlier vestng in whole or in part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88" w:lineRule="exact"/>
        <w:rPr>
          <w:sz w:val="20"/>
          <w:szCs w:val="20"/>
          <w:color w:val="auto"/>
        </w:rPr>
      </w:pPr>
    </w:p>
    <w:p>
      <w:pPr>
        <w:ind w:right="60"/>
        <w:spacing w:after="0" w:line="233" w:lineRule="auto"/>
        <w:rPr>
          <w:sz w:val="20"/>
          <w:szCs w:val="20"/>
          <w:color w:val="auto"/>
        </w:rPr>
      </w:pPr>
      <w:r>
        <w:rPr>
          <w:rFonts w:ascii="Calibri" w:cs="Calibri" w:eastAsia="Calibri" w:hAnsi="Calibri"/>
          <w:sz w:val="20"/>
          <w:szCs w:val="20"/>
          <w:color w:val="auto"/>
        </w:rPr>
        <w:t>connecton with a Change in Control Transacton or upon a Partcipant’s death or Disability; provided, however, that the Company may grant Awards with respect to up to fve percent (5%) of the number of shares of Common Stock reserved under Secton 4.1 without regard to the minimum vestng period set forth in this Secton 6.4. The Commitee may accelerate the vestng or exercisability of an Award in circumstances other than a Change in Control Transacton or a Partcipant’s death or Disability, provided that such acceleraton does not cause an Award that is subject to the minimum vestng requirements of this Secton 6.4 to vest or become exercisable prior to the frst anniversary of the Grant Date.</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w:t>
        <w:tab/>
        <w:t>OPTIONS</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7.1</w:t>
      </w:r>
      <w:r>
        <w:rPr>
          <w:sz w:val="20"/>
          <w:szCs w:val="20"/>
          <w:color w:val="auto"/>
        </w:rPr>
        <w:tab/>
      </w:r>
      <w:r>
        <w:rPr>
          <w:rFonts w:ascii="Arial" w:cs="Arial" w:eastAsia="Arial" w:hAnsi="Arial"/>
          <w:sz w:val="17"/>
          <w:szCs w:val="17"/>
          <w:b w:val="1"/>
          <w:bCs w:val="1"/>
          <w:color w:val="auto"/>
        </w:rPr>
        <w:t>Grant of Options</w:t>
      </w:r>
    </w:p>
    <w:p>
      <w:pPr>
        <w:spacing w:after="0" w:line="211"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The Plan Administrator is authorized under the Plan, in its sole discreton, to issue Optons as Incentve Stock Optons or as Nonqualifed Stock Optons, which shall be appropriately designated.</w:t>
      </w:r>
    </w:p>
    <w:p>
      <w:pPr>
        <w:spacing w:after="0" w:line="20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7.2</w:t>
      </w:r>
      <w:r>
        <w:rPr>
          <w:sz w:val="20"/>
          <w:szCs w:val="20"/>
          <w:color w:val="auto"/>
        </w:rPr>
        <w:tab/>
      </w:r>
      <w:r>
        <w:rPr>
          <w:rFonts w:ascii="Arial" w:cs="Arial" w:eastAsia="Arial" w:hAnsi="Arial"/>
          <w:sz w:val="17"/>
          <w:szCs w:val="17"/>
          <w:b w:val="1"/>
          <w:bCs w:val="1"/>
          <w:color w:val="auto"/>
        </w:rPr>
        <w:t>Option Exercise Price</w:t>
      </w:r>
    </w:p>
    <w:p>
      <w:pPr>
        <w:spacing w:after="0" w:line="225" w:lineRule="exact"/>
        <w:rPr>
          <w:sz w:val="20"/>
          <w:szCs w:val="20"/>
          <w:color w:val="auto"/>
        </w:rPr>
      </w:pPr>
    </w:p>
    <w:p>
      <w:pPr>
        <w:ind w:right="240"/>
        <w:spacing w:after="0" w:line="233" w:lineRule="auto"/>
        <w:rPr>
          <w:sz w:val="20"/>
          <w:szCs w:val="20"/>
          <w:color w:val="auto"/>
        </w:rPr>
      </w:pPr>
      <w:r>
        <w:rPr>
          <w:rFonts w:ascii="Calibri" w:cs="Calibri" w:eastAsia="Calibri" w:hAnsi="Calibri"/>
          <w:sz w:val="20"/>
          <w:szCs w:val="20"/>
          <w:color w:val="auto"/>
        </w:rPr>
        <w:t>The exercise price for shares purchased under an Opton shall be as determined by the Plan Administrator. Except in the case of a substtute or assumed opton pursuant to Secton 6.3 above, the exercise price shall not be less than 100% of the Fair Market Value of the Common Stock on the Grant Date. For Incentve Stock Optons granted to a more than 10% shareholder, the Opton exercise price shall be as specifed in Secton 8.2.</w:t>
      </w:r>
    </w:p>
    <w:p>
      <w:pPr>
        <w:spacing w:after="0" w:line="20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7.3</w:t>
      </w:r>
      <w:r>
        <w:rPr>
          <w:sz w:val="20"/>
          <w:szCs w:val="20"/>
          <w:color w:val="auto"/>
        </w:rPr>
        <w:tab/>
      </w:r>
      <w:r>
        <w:rPr>
          <w:rFonts w:ascii="Arial" w:cs="Arial" w:eastAsia="Arial" w:hAnsi="Arial"/>
          <w:sz w:val="17"/>
          <w:szCs w:val="17"/>
          <w:b w:val="1"/>
          <w:bCs w:val="1"/>
          <w:color w:val="auto"/>
        </w:rPr>
        <w:t>Term of Options</w:t>
      </w:r>
    </w:p>
    <w:p>
      <w:pPr>
        <w:spacing w:after="0" w:line="225"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The term of each Opton (the “Opton Term”) shall be as established by the Plan Administrator, but shall not exceed ten years from the Grant Date. For Incentve Stock Optons, the maximum Opton Term shall be as specifed in Sectons 8.2 and 8.4.</w:t>
      </w:r>
    </w:p>
    <w:p>
      <w:pPr>
        <w:spacing w:after="0" w:line="20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7.4</w:t>
      </w:r>
      <w:r>
        <w:rPr>
          <w:sz w:val="20"/>
          <w:szCs w:val="20"/>
          <w:color w:val="auto"/>
        </w:rPr>
        <w:tab/>
      </w:r>
      <w:r>
        <w:rPr>
          <w:rFonts w:ascii="Arial" w:cs="Arial" w:eastAsia="Arial" w:hAnsi="Arial"/>
          <w:sz w:val="17"/>
          <w:szCs w:val="17"/>
          <w:b w:val="1"/>
          <w:bCs w:val="1"/>
          <w:color w:val="auto"/>
        </w:rPr>
        <w:t>Vesting/Exercise of Options</w:t>
      </w:r>
    </w:p>
    <w:p>
      <w:pPr>
        <w:spacing w:after="0" w:line="22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The Plan Administrator shall establish and set forth in each instrument that evidences an Opton the tme at which, or the installments in which, the Opton shall vest and become exercisable, which provisions may be waived or modifed by the Plan Administrator at any tme. The Plan Administrator may adjust the vestng schedule of an Opton held by a Partcipant who works less than “full-tme” as that term is defned by the Plan Administrator (taking into consideraton defnitons under local law) or who takes a Company-approved leave of absence.</w:t>
      </w:r>
    </w:p>
    <w:p>
      <w:pPr>
        <w:spacing w:after="0" w:line="229" w:lineRule="exact"/>
        <w:rPr>
          <w:sz w:val="20"/>
          <w:szCs w:val="20"/>
          <w:color w:val="auto"/>
        </w:rPr>
      </w:pPr>
    </w:p>
    <w:p>
      <w:pPr>
        <w:ind w:right="240"/>
        <w:spacing w:after="0" w:line="232" w:lineRule="auto"/>
        <w:rPr>
          <w:sz w:val="20"/>
          <w:szCs w:val="20"/>
          <w:color w:val="auto"/>
        </w:rPr>
      </w:pPr>
      <w:r>
        <w:rPr>
          <w:rFonts w:ascii="Calibri" w:cs="Calibri" w:eastAsia="Calibri" w:hAnsi="Calibri"/>
          <w:sz w:val="20"/>
          <w:szCs w:val="20"/>
          <w:color w:val="auto"/>
        </w:rPr>
        <w:t>To the extent that an Opton has vested and become exercisable, the Opton may be exercised from tme to tme by delivery to the Company of a writen stock opton exercise agreement or notce, in a form and in accordance with procedures established by the Plan Administrator, setng forth the number of shares with respect to which the Opton is being exercised, the restrictons imposed on the shares purchased under such exercise agreement, if any, and such representatons and agreements as may be required by the Plan Administrator, accompanied by payment in full as described in Secton 7.5. Alternatvely, the Opton may be exercised electronically through a third-party stock plan service provider designated by the Company and according to such procedures established by the Company. An Opton may not be exercised for less than a reasonable number of shares at any one tme, as determined by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7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7.5</w:t>
      </w:r>
      <w:r>
        <w:rPr>
          <w:sz w:val="20"/>
          <w:szCs w:val="20"/>
          <w:color w:val="auto"/>
        </w:rPr>
        <w:tab/>
      </w:r>
      <w:r>
        <w:rPr>
          <w:rFonts w:ascii="Arial" w:cs="Arial" w:eastAsia="Arial" w:hAnsi="Arial"/>
          <w:sz w:val="17"/>
          <w:szCs w:val="17"/>
          <w:b w:val="1"/>
          <w:bCs w:val="1"/>
          <w:color w:val="auto"/>
        </w:rPr>
        <w:t>Payment of Exercise Price</w:t>
      </w:r>
    </w:p>
    <w:p>
      <w:pPr>
        <w:spacing w:after="0" w:line="225" w:lineRule="exact"/>
        <w:rPr>
          <w:sz w:val="20"/>
          <w:szCs w:val="20"/>
          <w:color w:val="auto"/>
        </w:rPr>
      </w:pPr>
    </w:p>
    <w:p>
      <w:pPr>
        <w:ind w:right="20"/>
        <w:spacing w:after="0" w:line="230" w:lineRule="auto"/>
        <w:rPr>
          <w:sz w:val="20"/>
          <w:szCs w:val="20"/>
          <w:color w:val="auto"/>
        </w:rPr>
      </w:pPr>
      <w:r>
        <w:rPr>
          <w:rFonts w:ascii="Calibri" w:cs="Calibri" w:eastAsia="Calibri" w:hAnsi="Calibri"/>
          <w:sz w:val="20"/>
          <w:szCs w:val="20"/>
          <w:color w:val="auto"/>
        </w:rPr>
        <w:t>The exercise price for shares purchased under an Opton shall be paid in full to the Company by delivery of consideraton equal to the product of the Opton exercise price and the number of shares purchased. Such consideraton must be paid in cash or by check or, unless the Plan Administrator in its sole discreton determines otherwise, either at the tme the Opton is granted or at any tme before it is exercised, in any combinaton of:</w:t>
      </w:r>
    </w:p>
    <w:p>
      <w:pPr>
        <w:spacing w:after="0" w:line="215" w:lineRule="exact"/>
        <w:rPr>
          <w:sz w:val="20"/>
          <w:szCs w:val="20"/>
          <w:color w:val="auto"/>
        </w:rPr>
      </w:pPr>
    </w:p>
    <w:p>
      <w:pPr>
        <w:ind w:left="660" w:hanging="652"/>
        <w:spacing w:after="0"/>
        <w:tabs>
          <w:tab w:leader="none" w:pos="660"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cash or check;</w:t>
      </w:r>
    </w:p>
    <w:p>
      <w:pPr>
        <w:spacing w:after="0" w:line="224" w:lineRule="exact"/>
        <w:rPr>
          <w:rFonts w:ascii="Calibri" w:cs="Calibri" w:eastAsia="Calibri" w:hAnsi="Calibri"/>
          <w:sz w:val="20"/>
          <w:szCs w:val="20"/>
          <w:color w:val="auto"/>
        </w:rPr>
      </w:pPr>
    </w:p>
    <w:p>
      <w:pPr>
        <w:jc w:val="both"/>
        <w:ind w:right="60" w:firstLine="8"/>
        <w:spacing w:after="0" w:line="230" w:lineRule="auto"/>
        <w:tabs>
          <w:tab w:leader="none" w:pos="648"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tendering (either actually or, if and so long as the Common Stock is registered under Secton 12(b) or 12(g) of the Exchange Act, by atestaton) shares of Common Stock already owned by the Partcipant (for the period necessary to avoid a charge to the Company’s earnings for fnancial reportng purposes) having a Fair Market Value on the day prior to the exercise date equal to the aggregate Opton exercise price;</w:t>
      </w:r>
    </w:p>
    <w:p>
      <w:pPr>
        <w:spacing w:after="0" w:line="225" w:lineRule="exact"/>
        <w:rPr>
          <w:rFonts w:ascii="Calibri" w:cs="Calibri" w:eastAsia="Calibri" w:hAnsi="Calibri"/>
          <w:sz w:val="20"/>
          <w:szCs w:val="20"/>
          <w:color w:val="auto"/>
        </w:rPr>
      </w:pPr>
    </w:p>
    <w:p>
      <w:pPr>
        <w:ind w:right="60" w:firstLine="8"/>
        <w:spacing w:after="0" w:line="231" w:lineRule="auto"/>
        <w:tabs>
          <w:tab w:leader="none" w:pos="640"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if and so long as the Common Stock is registered under Secton 12(b) or 12(g) of the Exchange Act, delivery of a properly executed exercise notce, together with irrevocable instructons, to (i) a brokerage frm designated by the Company to deliver promptly to the Company the aggregate amount of sale proceeds to pay the Opton exercise price and any withholding obligatons with respect to Tax-Related Items that may arise in connecton with the exercise and (ii) the Company to deliver the certfcates for such purchased shares directly to such brokerage frm, all in accordance with the regulatons of the Federal Reserve Board; or</w:t>
      </w:r>
    </w:p>
    <w:p>
      <w:pPr>
        <w:spacing w:after="0" w:line="219" w:lineRule="exact"/>
        <w:rPr>
          <w:rFonts w:ascii="Calibri" w:cs="Calibri" w:eastAsia="Calibri" w:hAnsi="Calibri"/>
          <w:sz w:val="20"/>
          <w:szCs w:val="20"/>
          <w:color w:val="auto"/>
        </w:rPr>
      </w:pPr>
    </w:p>
    <w:p>
      <w:pPr>
        <w:ind w:left="660" w:hanging="652"/>
        <w:spacing w:after="0"/>
        <w:tabs>
          <w:tab w:leader="none" w:pos="660"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such other consideraton as the Plan Administrator may permit.</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7.6</w:t>
      </w:r>
      <w:r>
        <w:rPr>
          <w:sz w:val="20"/>
          <w:szCs w:val="20"/>
          <w:color w:val="auto"/>
        </w:rPr>
        <w:tab/>
      </w:r>
      <w:r>
        <w:rPr>
          <w:rFonts w:ascii="Arial" w:cs="Arial" w:eastAsia="Arial" w:hAnsi="Arial"/>
          <w:sz w:val="17"/>
          <w:szCs w:val="17"/>
          <w:b w:val="1"/>
          <w:bCs w:val="1"/>
          <w:color w:val="auto"/>
        </w:rPr>
        <w:t>Post-Termination Exercises</w:t>
      </w:r>
    </w:p>
    <w:p>
      <w:pPr>
        <w:spacing w:after="0" w:line="211"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The Plan Administrator shall establish and set forth in each instrument that evidences an Opton whether the Opton shall contnue to be exercisable, and the terms and conditons of such exercise, if a Partcipant ceases to be employed by, or to provide services to, the Company or its Related Corporatons, which provisions may be waived or modifed by the Plan Administrator at any tme. If not so established in the instrument evidencing the Opton, the Opton shall be exercisable according to the following terms and conditons, which may be waived or modifed by the Plan Administrator at any tme:</w:t>
      </w:r>
    </w:p>
    <w:p>
      <w:pPr>
        <w:spacing w:after="0" w:line="229" w:lineRule="exact"/>
        <w:rPr>
          <w:sz w:val="20"/>
          <w:szCs w:val="20"/>
          <w:color w:val="auto"/>
        </w:rPr>
      </w:pPr>
    </w:p>
    <w:p>
      <w:pPr>
        <w:ind w:right="600" w:firstLine="8"/>
        <w:spacing w:after="0" w:line="234" w:lineRule="auto"/>
        <w:tabs>
          <w:tab w:leader="none" w:pos="652" w:val="left"/>
        </w:tabs>
        <w:numPr>
          <w:ilvl w:val="0"/>
          <w:numId w:val="28"/>
        </w:numPr>
        <w:rPr>
          <w:rFonts w:ascii="Calibri" w:cs="Calibri" w:eastAsia="Calibri" w:hAnsi="Calibri"/>
          <w:sz w:val="20"/>
          <w:szCs w:val="20"/>
          <w:color w:val="auto"/>
        </w:rPr>
      </w:pPr>
      <w:r>
        <w:rPr>
          <w:rFonts w:ascii="Calibri" w:cs="Calibri" w:eastAsia="Calibri" w:hAnsi="Calibri"/>
          <w:sz w:val="20"/>
          <w:szCs w:val="20"/>
          <w:color w:val="auto"/>
        </w:rPr>
        <w:t>Any porton of an Opton that is not vested and exercisable on the date of terminaton of the Partcipant’s employment or service relatonship (the “Terminaton Date”) shall expire on such date.</w:t>
      </w:r>
    </w:p>
    <w:p>
      <w:pPr>
        <w:spacing w:after="0" w:line="202" w:lineRule="exact"/>
        <w:rPr>
          <w:rFonts w:ascii="Calibri" w:cs="Calibri" w:eastAsia="Calibri" w:hAnsi="Calibri"/>
          <w:sz w:val="20"/>
          <w:szCs w:val="20"/>
          <w:color w:val="auto"/>
        </w:rPr>
      </w:pPr>
    </w:p>
    <w:p>
      <w:pPr>
        <w:ind w:left="660" w:hanging="652"/>
        <w:spacing w:after="0"/>
        <w:tabs>
          <w:tab w:leader="none" w:pos="660" w:val="left"/>
        </w:tabs>
        <w:numPr>
          <w:ilvl w:val="0"/>
          <w:numId w:val="28"/>
        </w:numPr>
        <w:rPr>
          <w:rFonts w:ascii="Calibri" w:cs="Calibri" w:eastAsia="Calibri" w:hAnsi="Calibri"/>
          <w:sz w:val="20"/>
          <w:szCs w:val="20"/>
          <w:color w:val="auto"/>
        </w:rPr>
      </w:pPr>
      <w:r>
        <w:rPr>
          <w:rFonts w:ascii="Calibri" w:cs="Calibri" w:eastAsia="Calibri" w:hAnsi="Calibri"/>
          <w:sz w:val="20"/>
          <w:szCs w:val="20"/>
          <w:color w:val="auto"/>
        </w:rPr>
        <w:t>Any porton of an Opton that is vested and exercisable on the Terminaton Date shall expire upon the earliest to occur of:</w:t>
      </w:r>
    </w:p>
    <w:p>
      <w:pPr>
        <w:spacing w:after="0" w:line="215" w:lineRule="exact"/>
        <w:rPr>
          <w:sz w:val="20"/>
          <w:szCs w:val="20"/>
          <w:color w:val="auto"/>
        </w:rPr>
      </w:pPr>
    </w:p>
    <w:p>
      <w:pPr>
        <w:ind w:left="360" w:hanging="352"/>
        <w:spacing w:after="0"/>
        <w:tabs>
          <w:tab w:leader="none" w:pos="360"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the last day of the Opton Term;</w:t>
      </w:r>
    </w:p>
    <w:p>
      <w:pPr>
        <w:spacing w:after="0" w:line="211" w:lineRule="exact"/>
        <w:rPr>
          <w:rFonts w:ascii="Calibri" w:cs="Calibri" w:eastAsia="Calibri" w:hAnsi="Calibri"/>
          <w:sz w:val="20"/>
          <w:szCs w:val="20"/>
          <w:color w:val="auto"/>
        </w:rPr>
      </w:pPr>
    </w:p>
    <w:p>
      <w:pPr>
        <w:ind w:right="800" w:firstLine="8"/>
        <w:spacing w:after="0" w:line="234" w:lineRule="auto"/>
        <w:tabs>
          <w:tab w:leader="none" w:pos="399"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if the Partcipant’s Terminaton Date occurs for reasons other than Cause, Retrement, death or Disability, the three-month anniversary of such Terminaton Date; and</w:t>
      </w:r>
    </w:p>
    <w:p>
      <w:pPr>
        <w:spacing w:after="0" w:line="225" w:lineRule="exact"/>
        <w:rPr>
          <w:rFonts w:ascii="Calibri" w:cs="Calibri" w:eastAsia="Calibri" w:hAnsi="Calibri"/>
          <w:sz w:val="20"/>
          <w:szCs w:val="20"/>
          <w:color w:val="auto"/>
        </w:rPr>
      </w:pPr>
    </w:p>
    <w:p>
      <w:pPr>
        <w:ind w:right="820" w:firstLine="8"/>
        <w:spacing w:after="0" w:line="228" w:lineRule="auto"/>
        <w:tabs>
          <w:tab w:leader="none" w:pos="445"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if the Partcipant’s Terminaton Date occurs by reason of Retrement, Disability or death, the one-year anniversary of such Terminaton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88" w:lineRule="exact"/>
        <w:rPr>
          <w:sz w:val="20"/>
          <w:szCs w:val="20"/>
          <w:color w:val="auto"/>
        </w:rPr>
      </w:pPr>
    </w:p>
    <w:p>
      <w:pPr>
        <w:ind w:right="160"/>
        <w:spacing w:after="0" w:line="231" w:lineRule="auto"/>
        <w:rPr>
          <w:sz w:val="20"/>
          <w:szCs w:val="20"/>
          <w:color w:val="auto"/>
        </w:rPr>
      </w:pPr>
      <w:r>
        <w:rPr>
          <w:rFonts w:ascii="Calibri" w:cs="Calibri" w:eastAsia="Calibri" w:hAnsi="Calibri"/>
          <w:sz w:val="20"/>
          <w:szCs w:val="20"/>
          <w:color w:val="auto"/>
        </w:rPr>
        <w:t>Notwithstanding the foregoing, if the Partcipant dies afer the Terminaton Date while the Opton is otherwise exercisable, the porton of the Opton that is vested and exercisable on such Terminaton Date shall expire upon the earlier to occur of (y) the last day of the Opton Term and (z) the frst anniversary of the date of death, unless the Plan Administrator determines otherwise.</w:t>
      </w:r>
    </w:p>
    <w:p>
      <w:pPr>
        <w:spacing w:after="0" w:line="227"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Also notwithstanding the foregoing, in case of terminaton of the Partcipant’s employment or service relatonship for Cause, the Opton shall automatcally expire upon frst notfcaton to the Partcipant of such terminaton, unless the Plan Administrator determines otherwise. If a Partcipant’s employment or service relatonship with the Company is suspended pending an investgaton of whether the Partcipant shall be terminated for Cause, all the Partcipant’s rights under any Opton likewise shall be suspended during the period of investgaton. If any facts that would consttute terminaton for Cause are discovered afer a Partcipant’s Terminaton Date, any Opton then held by the Partcipant may be immediately terminated by the Plan Administrator, in its sole discreton.</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INCENTIVE STOCK OPTION LIMITATIONS</w:t>
      </w:r>
    </w:p>
    <w:p>
      <w:pPr>
        <w:spacing w:after="0" w:line="219" w:lineRule="exact"/>
        <w:rPr>
          <w:sz w:val="20"/>
          <w:szCs w:val="20"/>
          <w:color w:val="auto"/>
        </w:rPr>
      </w:pPr>
    </w:p>
    <w:p>
      <w:pPr>
        <w:ind w:right="680"/>
        <w:spacing w:after="0" w:line="234" w:lineRule="auto"/>
        <w:rPr>
          <w:sz w:val="20"/>
          <w:szCs w:val="20"/>
          <w:color w:val="auto"/>
        </w:rPr>
      </w:pPr>
      <w:r>
        <w:rPr>
          <w:rFonts w:ascii="Calibri" w:cs="Calibri" w:eastAsia="Calibri" w:hAnsi="Calibri"/>
          <w:sz w:val="20"/>
          <w:szCs w:val="20"/>
          <w:color w:val="auto"/>
        </w:rPr>
        <w:t>To the extent required by Secton 422 of the Code, Incentve Stock Optons shall be subject to the following additonal terms and conditons:</w:t>
      </w:r>
    </w:p>
    <w:p>
      <w:pPr>
        <w:spacing w:after="0" w:line="216"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8.1</w:t>
      </w:r>
      <w:r>
        <w:rPr>
          <w:sz w:val="20"/>
          <w:szCs w:val="20"/>
          <w:color w:val="auto"/>
        </w:rPr>
        <w:tab/>
      </w:r>
      <w:r>
        <w:rPr>
          <w:rFonts w:ascii="Arial" w:cs="Arial" w:eastAsia="Arial" w:hAnsi="Arial"/>
          <w:sz w:val="17"/>
          <w:szCs w:val="17"/>
          <w:b w:val="1"/>
          <w:bCs w:val="1"/>
          <w:color w:val="auto"/>
        </w:rPr>
        <w:t>Dollar Limitation</w:t>
      </w:r>
    </w:p>
    <w:p>
      <w:pPr>
        <w:spacing w:after="0" w:line="211"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To the extent the aggregate Fair Market Value (determined as of the Grant Date) of Common Stock with respect to which Incentve Stock Optons are exercisable for the frst tme during any calendar year (under the Plan and all other stock opton plans of the Company) exceeds $100,000, such porton in excess of $100,000 shall be treated as a Nonqualifed Stock Opton. In the event the Partcipant holds two or more such Optons that become exercisable for the frst tme in the same calendar year, such limitaton shall be applied on the basis of the order in which such Optons are granted.</w:t>
      </w:r>
    </w:p>
    <w:p>
      <w:pPr>
        <w:spacing w:after="0" w:line="204"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8.2</w:t>
      </w:r>
      <w:r>
        <w:rPr>
          <w:sz w:val="20"/>
          <w:szCs w:val="20"/>
          <w:color w:val="auto"/>
        </w:rPr>
        <w:tab/>
      </w:r>
      <w:r>
        <w:rPr>
          <w:rFonts w:ascii="Arial" w:cs="Arial" w:eastAsia="Arial" w:hAnsi="Arial"/>
          <w:sz w:val="17"/>
          <w:szCs w:val="17"/>
          <w:b w:val="1"/>
          <w:bCs w:val="1"/>
          <w:color w:val="auto"/>
        </w:rPr>
        <w:t>More Than 10% Shareholders</w:t>
      </w:r>
    </w:p>
    <w:p>
      <w:pPr>
        <w:spacing w:after="0" w:line="225" w:lineRule="exact"/>
        <w:rPr>
          <w:sz w:val="20"/>
          <w:szCs w:val="20"/>
          <w:color w:val="auto"/>
        </w:rPr>
      </w:pPr>
    </w:p>
    <w:p>
      <w:pPr>
        <w:jc w:val="both"/>
        <w:ind w:right="320"/>
        <w:spacing w:after="0" w:line="230" w:lineRule="auto"/>
        <w:rPr>
          <w:sz w:val="20"/>
          <w:szCs w:val="20"/>
          <w:color w:val="auto"/>
        </w:rPr>
      </w:pPr>
      <w:r>
        <w:rPr>
          <w:rFonts w:ascii="Calibri" w:cs="Calibri" w:eastAsia="Calibri" w:hAnsi="Calibri"/>
          <w:sz w:val="20"/>
          <w:szCs w:val="20"/>
          <w:color w:val="auto"/>
        </w:rPr>
        <w:t>If an individual owns more than 10% of the total combined votng power of all classes of the stock of the Company or of its parent or subsidiary corporatons, then the exercise price per share of an Incentve Stock Opton shall not be less than 110% of the Fair Market Value of the Common Stock on the Grant Date and the Opton Term shall not exceed fve years. The determinaton of more than 10% ownership shall be made in accordance with Secton 422 of the Code.</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8.3</w:t>
      </w:r>
      <w:r>
        <w:rPr>
          <w:sz w:val="20"/>
          <w:szCs w:val="20"/>
          <w:color w:val="auto"/>
        </w:rPr>
        <w:tab/>
      </w:r>
      <w:r>
        <w:rPr>
          <w:rFonts w:ascii="Arial" w:cs="Arial" w:eastAsia="Arial" w:hAnsi="Arial"/>
          <w:sz w:val="17"/>
          <w:szCs w:val="17"/>
          <w:b w:val="1"/>
          <w:bCs w:val="1"/>
          <w:color w:val="auto"/>
        </w:rPr>
        <w:t>Eligible Employees</w:t>
      </w:r>
    </w:p>
    <w:p>
      <w:pPr>
        <w:spacing w:after="0" w:line="225" w:lineRule="exact"/>
        <w:rPr>
          <w:sz w:val="20"/>
          <w:szCs w:val="20"/>
          <w:color w:val="auto"/>
        </w:rPr>
      </w:pPr>
    </w:p>
    <w:p>
      <w:pPr>
        <w:ind w:right="420"/>
        <w:spacing w:after="0" w:line="228" w:lineRule="auto"/>
        <w:rPr>
          <w:sz w:val="20"/>
          <w:szCs w:val="20"/>
          <w:color w:val="auto"/>
        </w:rPr>
      </w:pPr>
      <w:r>
        <w:rPr>
          <w:rFonts w:ascii="Calibri" w:cs="Calibri" w:eastAsia="Calibri" w:hAnsi="Calibri"/>
          <w:sz w:val="20"/>
          <w:szCs w:val="20"/>
          <w:color w:val="auto"/>
        </w:rPr>
        <w:t>Individuals who are not employees of the Company or one of its parent corporatons or subsidiary corporatons may not be granted Incentve Stock Optons.</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8.4</w:t>
      </w:r>
      <w:r>
        <w:rPr>
          <w:sz w:val="20"/>
          <w:szCs w:val="20"/>
          <w:color w:val="auto"/>
        </w:rPr>
        <w:tab/>
      </w:r>
      <w:r>
        <w:rPr>
          <w:rFonts w:ascii="Arial" w:cs="Arial" w:eastAsia="Arial" w:hAnsi="Arial"/>
          <w:sz w:val="17"/>
          <w:szCs w:val="17"/>
          <w:b w:val="1"/>
          <w:bCs w:val="1"/>
          <w:color w:val="auto"/>
        </w:rPr>
        <w:t>Term</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Subject to Secton 8.2, the Opton Term shall not exceed ten years.</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8.5</w:t>
      </w:r>
      <w:r>
        <w:rPr>
          <w:sz w:val="20"/>
          <w:szCs w:val="20"/>
          <w:color w:val="auto"/>
        </w:rPr>
        <w:tab/>
      </w:r>
      <w:r>
        <w:rPr>
          <w:rFonts w:ascii="Arial" w:cs="Arial" w:eastAsia="Arial" w:hAnsi="Arial"/>
          <w:sz w:val="17"/>
          <w:szCs w:val="17"/>
          <w:b w:val="1"/>
          <w:bCs w:val="1"/>
          <w:color w:val="auto"/>
        </w:rPr>
        <w:t>Exercisability</w:t>
      </w:r>
    </w:p>
    <w:p>
      <w:pPr>
        <w:spacing w:after="0" w:line="225" w:lineRule="exact"/>
        <w:rPr>
          <w:sz w:val="20"/>
          <w:szCs w:val="20"/>
          <w:color w:val="auto"/>
        </w:rPr>
      </w:pPr>
    </w:p>
    <w:p>
      <w:pPr>
        <w:ind w:right="120"/>
        <w:spacing w:after="0" w:line="231" w:lineRule="auto"/>
        <w:rPr>
          <w:sz w:val="20"/>
          <w:szCs w:val="20"/>
          <w:color w:val="auto"/>
        </w:rPr>
      </w:pPr>
      <w:r>
        <w:rPr>
          <w:rFonts w:ascii="Calibri" w:cs="Calibri" w:eastAsia="Calibri" w:hAnsi="Calibri"/>
          <w:sz w:val="20"/>
          <w:szCs w:val="20"/>
          <w:color w:val="auto"/>
        </w:rPr>
        <w:t>An Opton designated as an Incentve Stock Opton shall cease to qualify for favorable tax treatment as an Incentve Stock Opton to the extent it is exercised (if permited by the terms of the Opton) (a) more than three months afer the Terminaton Date (including as a result of a terminaton that occurs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00"/>
          </w:cols>
          <w:pgMar w:left="320" w:top="1440" w:right="379" w:bottom="1440" w:gutter="0" w:footer="0" w:header="0"/>
        </w:sectPr>
      </w:pPr>
    </w:p>
    <w:bookmarkStart w:id="66" w:name="page67"/>
    <w:bookmarkEnd w:id="66"/>
    <w:p>
      <w:pPr>
        <w:spacing w:after="0" w:line="188"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the Partcipant has been on leave of absence for more than three months, unless the Partcipant’s reemployment rights are guaranteed by statute or contract) for reasons other than death or Disability, or (b) more than one year afer the Terminaton Date by reason of Disability.</w:t>
      </w:r>
    </w:p>
    <w:p>
      <w:pPr>
        <w:spacing w:after="0" w:line="21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8.6</w:t>
      </w:r>
      <w:r>
        <w:rPr>
          <w:sz w:val="20"/>
          <w:szCs w:val="20"/>
          <w:color w:val="auto"/>
        </w:rPr>
        <w:tab/>
      </w:r>
      <w:r>
        <w:rPr>
          <w:rFonts w:ascii="Arial" w:cs="Arial" w:eastAsia="Arial" w:hAnsi="Arial"/>
          <w:sz w:val="17"/>
          <w:szCs w:val="17"/>
          <w:b w:val="1"/>
          <w:bCs w:val="1"/>
          <w:color w:val="auto"/>
        </w:rPr>
        <w:t>Notification of Disqualifying Disposition</w:t>
      </w:r>
    </w:p>
    <w:p>
      <w:pPr>
        <w:spacing w:after="0" w:line="211" w:lineRule="exact"/>
        <w:rPr>
          <w:sz w:val="20"/>
          <w:szCs w:val="20"/>
          <w:color w:val="auto"/>
        </w:rPr>
      </w:pPr>
    </w:p>
    <w:p>
      <w:pPr>
        <w:ind w:right="480"/>
        <w:spacing w:after="0" w:line="236" w:lineRule="auto"/>
        <w:rPr>
          <w:sz w:val="20"/>
          <w:szCs w:val="20"/>
          <w:color w:val="auto"/>
        </w:rPr>
      </w:pPr>
      <w:r>
        <w:rPr>
          <w:rFonts w:ascii="Calibri" w:cs="Calibri" w:eastAsia="Calibri" w:hAnsi="Calibri"/>
          <w:sz w:val="20"/>
          <w:szCs w:val="20"/>
          <w:color w:val="auto"/>
        </w:rPr>
        <w:t>The Partcipant must promptly notfy the Company of any dispositon of the shares of Common Stock acquired upon exercise of an Incentve Stock Opton that occurs prior to the expiraton of the holding period required to receive the favorable tax treatment applicable to Incentve Stock Optons, which period shall be set forth in the instrument evidencing the Opton.</w:t>
      </w:r>
    </w:p>
    <w:p>
      <w:pPr>
        <w:spacing w:after="0" w:line="202"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8.7</w:t>
      </w:r>
      <w:r>
        <w:rPr>
          <w:sz w:val="20"/>
          <w:szCs w:val="20"/>
          <w:color w:val="auto"/>
        </w:rPr>
        <w:tab/>
      </w:r>
      <w:r>
        <w:rPr>
          <w:rFonts w:ascii="Arial" w:cs="Arial" w:eastAsia="Arial" w:hAnsi="Arial"/>
          <w:sz w:val="17"/>
          <w:szCs w:val="17"/>
          <w:b w:val="1"/>
          <w:bCs w:val="1"/>
          <w:color w:val="auto"/>
        </w:rPr>
        <w:t>Code Definitions</w:t>
      </w:r>
    </w:p>
    <w:p>
      <w:pPr>
        <w:spacing w:after="0" w:line="225" w:lineRule="exact"/>
        <w:rPr>
          <w:sz w:val="20"/>
          <w:szCs w:val="20"/>
          <w:color w:val="auto"/>
        </w:rPr>
      </w:pPr>
    </w:p>
    <w:p>
      <w:pPr>
        <w:ind w:right="80"/>
        <w:spacing w:after="0" w:line="228" w:lineRule="auto"/>
        <w:rPr>
          <w:sz w:val="20"/>
          <w:szCs w:val="20"/>
          <w:color w:val="auto"/>
        </w:rPr>
      </w:pPr>
      <w:r>
        <w:rPr>
          <w:rFonts w:ascii="Calibri" w:cs="Calibri" w:eastAsia="Calibri" w:hAnsi="Calibri"/>
          <w:sz w:val="20"/>
          <w:szCs w:val="20"/>
          <w:color w:val="auto"/>
        </w:rPr>
        <w:t>For purposes of this Secton 8, “parent corporaton” and “subsidiary corporaton” shall have the meanings atributed to those terms for purposes of Secton 422 of the Code.</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STOCK APPRECIATION RIGHTS</w:t>
      </w:r>
    </w:p>
    <w:p>
      <w:pPr>
        <w:spacing w:after="0" w:line="219"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The Plan Administrator is authorized to make Awards which shall enttle a Partcipant to exercise all or a specifed porton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(“Stock Appreciaton Rights” or “SARs”).</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color w:val="auto"/>
        </w:rPr>
        <w:t>SARs may be granted on such terms and conditons and subject to such restrictons (which may be based on contnuous service with the Company and/or a Related Corporaton or the achievement of performance goals) as the Plan Administrator shall determine, in its sole discreton, which terms, conditons and restrictons shall be set forth in the instrument evidencing the Award. The terms, conditons and restrictons that the Plan Administrator shall have the power to determine shall include, without limitaton, the conditons which must be satsfed prior to the exercise of the SAR, whether the SAR shall be payable in cash or in shares of Common Stock, and the circumstances under which forfeiture of the SAR shall occur by reason of terminaton of the Partcipant’s employment or service relatonship.</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The term of a SAR shall not exceed ten years.</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7"/>
          <w:szCs w:val="17"/>
          <w:b w:val="1"/>
          <w:bCs w:val="1"/>
          <w:color w:val="auto"/>
        </w:rPr>
        <w:t>DIVIDEND EQUIVALENTS/DIVIDENDS</w:t>
      </w:r>
    </w:p>
    <w:p>
      <w:pPr>
        <w:spacing w:after="0" w:line="219" w:lineRule="exact"/>
        <w:rPr>
          <w:sz w:val="20"/>
          <w:szCs w:val="20"/>
          <w:color w:val="auto"/>
        </w:rPr>
      </w:pPr>
    </w:p>
    <w:p>
      <w:pPr>
        <w:ind w:right="80"/>
        <w:spacing w:after="0" w:line="233" w:lineRule="auto"/>
        <w:rPr>
          <w:sz w:val="20"/>
          <w:szCs w:val="20"/>
          <w:color w:val="auto"/>
        </w:rPr>
      </w:pPr>
      <w:r>
        <w:rPr>
          <w:rFonts w:ascii="Calibri" w:cs="Calibri" w:eastAsia="Calibri" w:hAnsi="Calibri"/>
          <w:sz w:val="20"/>
          <w:szCs w:val="20"/>
          <w:color w:val="auto"/>
        </w:rPr>
        <w:t>The Plan Administrator is authorized to make Awards which shall enttle a Partcipant to receive credit based on dividends that would have been paid on shares of Common Stock subject to an Award if such shares had been held by the Partcipant at the tme such dividend was declared (“Dividend Equivalents”), provided, however, that Dividend Equivalents shall not be granted in connecton with Optons or SARs. Dividend Equivalents may be granted on such terms and conditons and subject to such restrictons as the Plan Administrator shall determine, in its sole discreton, which terms, conditons and restrictons shall be set forth in the instrument evidencing the underlying Award. Notwithstanding the provisions of this Secton 10, Dividend Equivalents granted with respect to any Award shall either be credited and accumulated and/or reinvested as additonal units or shares in a bookkeeping account or otherwise, and in all events shall be subject to restrictons and risk of forfeiture to the same extent as the underlying Award and shall not be paid unless and untl the underlying Award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160"/>
          </w:cols>
          <w:pgMar w:left="320" w:top="1440" w:right="419" w:bottom="1440" w:gutter="0" w:footer="0" w:header="0"/>
        </w:sectPr>
      </w:pPr>
    </w:p>
    <w:bookmarkStart w:id="67" w:name="page68"/>
    <w:bookmarkEnd w:id="67"/>
    <w:p>
      <w:pPr>
        <w:spacing w:after="0" w:line="188" w:lineRule="exact"/>
        <w:rPr>
          <w:sz w:val="20"/>
          <w:szCs w:val="20"/>
          <w:color w:val="auto"/>
        </w:rPr>
      </w:pPr>
    </w:p>
    <w:p>
      <w:pPr>
        <w:ind w:right="320"/>
        <w:spacing w:after="0" w:line="234" w:lineRule="auto"/>
        <w:rPr>
          <w:sz w:val="20"/>
          <w:szCs w:val="20"/>
          <w:color w:val="auto"/>
        </w:rPr>
      </w:pPr>
      <w:r>
        <w:rPr>
          <w:rFonts w:ascii="Calibri" w:cs="Calibri" w:eastAsia="Calibri" w:hAnsi="Calibri"/>
          <w:sz w:val="20"/>
          <w:szCs w:val="20"/>
          <w:color w:val="auto"/>
        </w:rPr>
        <w:t>Any dividends that are distributable with respect to Restricted Stock shall be credited/accumulated, subject to restrictons and risk of forfeiture to the same extent as the underlying Award, and shall not be paid unless and untl the underlying Award vests.</w:t>
      </w:r>
    </w:p>
    <w:p>
      <w:pPr>
        <w:spacing w:after="0" w:line="21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color w:val="auto"/>
        </w:rPr>
        <w:t>STOCK AWARDS</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11.1</w:t>
      </w:r>
      <w:r>
        <w:rPr>
          <w:sz w:val="20"/>
          <w:szCs w:val="20"/>
          <w:color w:val="auto"/>
        </w:rPr>
        <w:tab/>
      </w:r>
      <w:r>
        <w:rPr>
          <w:rFonts w:ascii="Arial" w:cs="Arial" w:eastAsia="Arial" w:hAnsi="Arial"/>
          <w:sz w:val="17"/>
          <w:szCs w:val="17"/>
          <w:b w:val="1"/>
          <w:bCs w:val="1"/>
          <w:color w:val="auto"/>
        </w:rPr>
        <w:t>Restricted and Unrestricted Stock</w:t>
      </w:r>
    </w:p>
    <w:p>
      <w:pPr>
        <w:spacing w:after="0" w:line="225"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The Plan Administrator is authorized to make Awards of Common Stock on such terms and conditons and subject to such restrictons (which may be based on contnuous service with the Company and/or a Related Corporaton or the achievement of performance goals) as the Plan Administrator shall determine, in its sole discreton, which terms, conditons and restrictons shall be set forth in the instrument evidencing the Award (“Restricted Stock”). The terms, conditons and restrictons that the Plan Administrator shall have the power to determine shall include, without limitaton, the manner in which shares of Restricted Stock are held during the periods they are subject to restrictons and the circumstances under which forfeiture of the Restricted Stock shall occur by reason of terminaton of the Partcipant’s employment or service relatonship, if any.</w:t>
      </w:r>
    </w:p>
    <w:p>
      <w:pPr>
        <w:spacing w:after="0" w:line="232"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The Plan Administrator is also authorized to make Awards of Common Stock as described above but without imposing any restrictons (whether based on contnuous service with the Company and/or a Related Corporaton or the achievement of performance goals) on the shares of Common Stock subject to the Award (“Unrestricted Stock”), subject to the provisions of Secton 6.4.</w:t>
      </w:r>
    </w:p>
    <w:p>
      <w:pPr>
        <w:spacing w:after="0" w:line="21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11.2</w:t>
      </w:r>
      <w:r>
        <w:rPr>
          <w:sz w:val="20"/>
          <w:szCs w:val="20"/>
          <w:color w:val="auto"/>
        </w:rPr>
        <w:tab/>
      </w:r>
      <w:r>
        <w:rPr>
          <w:rFonts w:ascii="Arial" w:cs="Arial" w:eastAsia="Arial" w:hAnsi="Arial"/>
          <w:sz w:val="17"/>
          <w:szCs w:val="17"/>
          <w:b w:val="1"/>
          <w:bCs w:val="1"/>
          <w:color w:val="auto"/>
        </w:rPr>
        <w:t>Stock Units</w:t>
      </w:r>
    </w:p>
    <w:p>
      <w:pPr>
        <w:spacing w:after="0" w:line="211"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The Plan Administrator is authorized to make Awards denominated in units of Common Stock (“Stock Units”) on such terms and conditons and subject to such restrictons (which may be based on contnuous service with the Company and/or a Related Corporaton or the achievement of performance goals) as the Plan Administrator shall determine, in its sole discreton, which terms, conditons and restrictons shall be set forth in the instrument evidencing the Award. The terms, conditons and restrictons that the Plan Administrator shall have the power to determine shall include, without limitaton, the conditons which must be satsfed prior to the issuance of the shares subject to the Stock Units to the Partcipant and the circumstances under which forfeiture of the Stock Units shall occur by reason of terminaton of the Partcipant’s employment or service relatonship.</w:t>
      </w:r>
    </w:p>
    <w:p>
      <w:pPr>
        <w:spacing w:after="0" w:line="20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11.3</w:t>
      </w:r>
      <w:r>
        <w:rPr>
          <w:sz w:val="20"/>
          <w:szCs w:val="20"/>
          <w:color w:val="auto"/>
        </w:rPr>
        <w:tab/>
      </w:r>
      <w:r>
        <w:rPr>
          <w:rFonts w:ascii="Arial" w:cs="Arial" w:eastAsia="Arial" w:hAnsi="Arial"/>
          <w:sz w:val="17"/>
          <w:szCs w:val="17"/>
          <w:b w:val="1"/>
          <w:bCs w:val="1"/>
          <w:color w:val="auto"/>
        </w:rPr>
        <w:t>Issuance of Shares</w:t>
      </w:r>
    </w:p>
    <w:p>
      <w:pPr>
        <w:spacing w:after="0" w:line="225" w:lineRule="exact"/>
        <w:rPr>
          <w:sz w:val="20"/>
          <w:szCs w:val="20"/>
          <w:color w:val="auto"/>
        </w:rPr>
      </w:pPr>
    </w:p>
    <w:p>
      <w:pPr>
        <w:ind w:right="100"/>
        <w:spacing w:after="0" w:line="233" w:lineRule="auto"/>
        <w:rPr>
          <w:sz w:val="20"/>
          <w:szCs w:val="20"/>
          <w:color w:val="auto"/>
        </w:rPr>
      </w:pPr>
      <w:r>
        <w:rPr>
          <w:rFonts w:ascii="Calibri" w:cs="Calibri" w:eastAsia="Calibri" w:hAnsi="Calibri"/>
          <w:sz w:val="20"/>
          <w:szCs w:val="20"/>
          <w:color w:val="auto"/>
        </w:rPr>
        <w:t>Upon the satsfacton of any terms, conditons and restrictons prescribed in respect to a Stock Award, or upon the Partcipant’s release from any terms, conditons and restrictons of a Stock Award, as determined by the Plan Administrator, the Company shall release, as soon as practcable, to the Partcipant or, in the case of the Partcipant’s death, to the personal representatve of the Partcipant’s estate or as the appropriate court directs, the appropriate number of shares of Common Stock.</w:t>
      </w:r>
    </w:p>
    <w:p>
      <w:pPr>
        <w:spacing w:after="0" w:line="20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11.4</w:t>
      </w:r>
      <w:r>
        <w:rPr>
          <w:sz w:val="20"/>
          <w:szCs w:val="20"/>
          <w:color w:val="auto"/>
        </w:rPr>
        <w:tab/>
      </w:r>
      <w:r>
        <w:rPr>
          <w:rFonts w:ascii="Arial" w:cs="Arial" w:eastAsia="Arial" w:hAnsi="Arial"/>
          <w:sz w:val="17"/>
          <w:szCs w:val="17"/>
          <w:b w:val="1"/>
          <w:bCs w:val="1"/>
          <w:color w:val="auto"/>
        </w:rPr>
        <w:t>Waiver of Restrictions</w:t>
      </w:r>
    </w:p>
    <w:p>
      <w:pPr>
        <w:spacing w:after="0" w:line="225" w:lineRule="exact"/>
        <w:rPr>
          <w:sz w:val="20"/>
          <w:szCs w:val="20"/>
          <w:color w:val="auto"/>
        </w:rPr>
      </w:pPr>
    </w:p>
    <w:p>
      <w:pPr>
        <w:ind w:right="140"/>
        <w:spacing w:after="0" w:line="233" w:lineRule="auto"/>
        <w:rPr>
          <w:sz w:val="20"/>
          <w:szCs w:val="20"/>
          <w:color w:val="auto"/>
        </w:rPr>
      </w:pPr>
      <w:r>
        <w:rPr>
          <w:rFonts w:ascii="Calibri" w:cs="Calibri" w:eastAsia="Calibri" w:hAnsi="Calibri"/>
          <w:sz w:val="20"/>
          <w:szCs w:val="20"/>
          <w:color w:val="auto"/>
        </w:rPr>
        <w:t>Notwithstanding any other provisions of the Plan, the Plan Administrator may, in its sole discreton, waive the forfeiture period and any other terms, conditons or restrictons on any Stock Award under such circumstances and subject to such terms and conditons as the Plan Administrator shall deem appropriate; provided, however, that the Plan Administrator may not adjust performance goals for any Outstanding Qualifed Performance-Based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PERFORMANCE AWARDS</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12.1</w:t>
      </w:r>
      <w:r>
        <w:rPr>
          <w:sz w:val="20"/>
          <w:szCs w:val="20"/>
          <w:color w:val="auto"/>
        </w:rPr>
        <w:tab/>
      </w:r>
      <w:r>
        <w:rPr>
          <w:rFonts w:ascii="Arial" w:cs="Arial" w:eastAsia="Arial" w:hAnsi="Arial"/>
          <w:sz w:val="17"/>
          <w:szCs w:val="17"/>
          <w:b w:val="1"/>
          <w:bCs w:val="1"/>
          <w:color w:val="auto"/>
        </w:rPr>
        <w:t>Performance Shares</w:t>
      </w:r>
    </w:p>
    <w:p>
      <w:pPr>
        <w:spacing w:after="0" w:line="225" w:lineRule="exact"/>
        <w:rPr>
          <w:sz w:val="20"/>
          <w:szCs w:val="20"/>
          <w:color w:val="auto"/>
        </w:rPr>
      </w:pPr>
    </w:p>
    <w:p>
      <w:pPr>
        <w:ind w:right="160"/>
        <w:spacing w:after="0" w:line="232" w:lineRule="auto"/>
        <w:rPr>
          <w:sz w:val="20"/>
          <w:szCs w:val="20"/>
          <w:color w:val="auto"/>
        </w:rPr>
      </w:pPr>
      <w:r>
        <w:rPr>
          <w:rFonts w:ascii="Calibri" w:cs="Calibri" w:eastAsia="Calibri" w:hAnsi="Calibri"/>
          <w:sz w:val="20"/>
          <w:szCs w:val="20"/>
          <w:color w:val="auto"/>
        </w:rPr>
        <w:t>The Plan Administrator may grant Awards of performance shares (“Performance Shares”) and designate the Partcipants to whom Performance Shares are to be awarded and determine the number of Performance Shares and the terms and conditons of each such Award. Performance Shares shall consist of a unit valued by reference to a designated number of shares of Common Stock, the value of which may be paid to the Partcipant by delivery of such property as the Plan Administrator shall determine, including, without limitaton, cash, shares of Common Stock, other property, or any combinaton thereof, upon the atainment of performance goals, as established by the Plan Administrator, and other terms and conditons specifed by the Plan Administrator. Notwithstanding the satsfacton of any performance goals, the amount to be paid under an Award of Performance Shares may be adjusted on the basis of such further consideraton as the Plan Administrator shall determine in its sole discreton.</w:t>
      </w:r>
    </w:p>
    <w:p>
      <w:pPr>
        <w:spacing w:after="0" w:line="20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12.2</w:t>
      </w:r>
      <w:r>
        <w:rPr>
          <w:sz w:val="20"/>
          <w:szCs w:val="20"/>
          <w:color w:val="auto"/>
        </w:rPr>
        <w:tab/>
      </w:r>
      <w:r>
        <w:rPr>
          <w:rFonts w:ascii="Arial" w:cs="Arial" w:eastAsia="Arial" w:hAnsi="Arial"/>
          <w:sz w:val="17"/>
          <w:szCs w:val="17"/>
          <w:b w:val="1"/>
          <w:bCs w:val="1"/>
          <w:color w:val="auto"/>
        </w:rPr>
        <w:t>Performance Units</w:t>
      </w:r>
    </w:p>
    <w:p>
      <w:pPr>
        <w:spacing w:after="0" w:line="225" w:lineRule="exact"/>
        <w:rPr>
          <w:sz w:val="20"/>
          <w:szCs w:val="20"/>
          <w:color w:val="auto"/>
        </w:rPr>
      </w:pPr>
    </w:p>
    <w:p>
      <w:pPr>
        <w:ind w:right="20"/>
        <w:spacing w:after="0" w:line="232" w:lineRule="auto"/>
        <w:rPr>
          <w:sz w:val="20"/>
          <w:szCs w:val="20"/>
          <w:color w:val="auto"/>
        </w:rPr>
      </w:pPr>
      <w:r>
        <w:rPr>
          <w:rFonts w:ascii="Calibri" w:cs="Calibri" w:eastAsia="Calibri" w:hAnsi="Calibri"/>
          <w:sz w:val="20"/>
          <w:szCs w:val="20"/>
          <w:color w:val="auto"/>
        </w:rPr>
        <w:t>The Plan Administrator may grant Awards of performance units (“Performance Units”) and designate the Partcipants to whom Performance Units are to be awarded and determine the number of Performance Units and the terms and conditons of each such Award. Performance Units shall consist of a unit valued by reference to a designated amount of property other than shares of Common Stock, which value may be paid to the Partcipant by delivery of such property as the Plan Administrator shall determine, including, without limitaton, cash, shares of Common Stock, other property, or any combinaton thereof, upon the atainment of performance goals, as established by the Plan Administrator, and other terms and conditons specifed by the Plan Administrator. Notwithstanding the satsfacton of any performance goals, the amount to be paid under an Award of Performance Units may be adjusted on the basis of such further consideraton as the Plan Administrator shall determine in its sole discreton.</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7"/>
          <w:szCs w:val="17"/>
          <w:b w:val="1"/>
          <w:bCs w:val="1"/>
          <w:color w:val="auto"/>
        </w:rPr>
        <w:t>PERFORMANCE GOALS AND RELATED ADJUSTMENTS</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13.1</w:t>
      </w:r>
      <w:r>
        <w:rPr>
          <w:sz w:val="20"/>
          <w:szCs w:val="20"/>
          <w:color w:val="auto"/>
        </w:rPr>
        <w:tab/>
      </w:r>
      <w:r>
        <w:rPr>
          <w:rFonts w:ascii="Arial" w:cs="Arial" w:eastAsia="Arial" w:hAnsi="Arial"/>
          <w:sz w:val="17"/>
          <w:szCs w:val="17"/>
          <w:b w:val="1"/>
          <w:bCs w:val="1"/>
          <w:color w:val="auto"/>
        </w:rPr>
        <w:t>Performance Goal Criteria</w:t>
      </w:r>
    </w:p>
    <w:p>
      <w:pPr>
        <w:spacing w:after="0" w:line="211"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Performance goals established by the Plan Administrator for purpose of Awards that vest based on performance conditons shall be based on the business criteria selected by the Plan Administrator that may including, either individually, alternatvely or in any combinaton, as reported or calculated by the Company: (i) earnings, including one or more of operatng income, earnings before or afer taxes, earnings before or afer interest, depreciaton, amortzaton, adjusted EBITDA, economic earnings, or extraordinary or special items or book value per share (which may exclude nonrecurring items); (ii) pre-tax income or afer-tax income; (iii) earnings per share (basic or diluted); (iv) operatng proft; (v) revenue, revenue growth or rate of revenue growth; (vi) return on assets (gross or net), return on investment, return on capital, or return on equity; (vii) returns on sales or revenues; (viii) operatng expenses; (ix) share price or total shareholder return; (x) cash fow, free cash fow, cash fow return on investment (discounted or otherwise), net cash provided by operatons, or cash fow in excess of cost of capital; (xi) implementaton or completon of critcal projects or processes; (xii) cumulatve earnings per share growth; (xiii) operatng margin or proft margin; (xiv) cost targets, reductons and savings, productvity and efciencies; (xv) strategic business criteria, consistng of one or more objectves based on meetng specifed market penetraton, product quality measures, geographic business expansion, customer satsfacton, employee satsfacton, human resources management, supervision of litgaton, informaton technology, and goals relatng to acquisitons, divesttures, joint ventures and similar transactons, and budget comparisons; (xvi) personal professional objectves, including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8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foregoing performance goals, the implementaton of policies and plans, the negotaton of transactons, the development of long term business goals, formaton of joint ventures, research or development collaboratons, and the completon of other corporate transactons;</w:t>
      </w:r>
    </w:p>
    <w:p>
      <w:pPr>
        <w:spacing w:after="0" w:line="1" w:lineRule="exact"/>
        <w:rPr>
          <w:sz w:val="20"/>
          <w:szCs w:val="20"/>
          <w:color w:val="auto"/>
        </w:rPr>
      </w:pPr>
    </w:p>
    <w:p>
      <w:pPr>
        <w:ind w:right="40" w:firstLine="8"/>
        <w:spacing w:after="0" w:line="233" w:lineRule="auto"/>
        <w:tabs>
          <w:tab w:leader="none" w:pos="441"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other measurable business drivers; and (xviii) any combinaton of, or a specifed increase in, any of the foregoing, any of which may be used to measure the performance of the Company as a whole or with respect to any business unit, Subsidiary or business segment of the Company, either individually, alternatvely or in any combinaton, and may be measured either annually or cumulatvely over a period of years or other period, on an absolute basis or relatve to a pre-established target, to previous period results or to a designated comparison group.</w:t>
      </w:r>
    </w:p>
    <w:p>
      <w:pPr>
        <w:spacing w:after="0" w:line="204"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13.2</w:t>
      </w:r>
      <w:r>
        <w:rPr>
          <w:sz w:val="20"/>
          <w:szCs w:val="20"/>
          <w:color w:val="auto"/>
        </w:rPr>
        <w:tab/>
      </w:r>
      <w:r>
        <w:rPr>
          <w:rFonts w:ascii="Arial" w:cs="Arial" w:eastAsia="Arial" w:hAnsi="Arial"/>
          <w:sz w:val="17"/>
          <w:szCs w:val="17"/>
          <w:b w:val="1"/>
          <w:bCs w:val="1"/>
          <w:color w:val="auto"/>
        </w:rPr>
        <w:t>Adjustments</w:t>
      </w:r>
    </w:p>
    <w:p>
      <w:pPr>
        <w:spacing w:after="0" w:line="225" w:lineRule="exact"/>
        <w:rPr>
          <w:sz w:val="20"/>
          <w:szCs w:val="20"/>
          <w:color w:val="auto"/>
        </w:rPr>
      </w:pPr>
    </w:p>
    <w:p>
      <w:pPr>
        <w:ind w:right="120"/>
        <w:spacing w:after="0"/>
        <w:rPr>
          <w:sz w:val="20"/>
          <w:szCs w:val="20"/>
          <w:color w:val="auto"/>
        </w:rPr>
      </w:pPr>
      <w:r>
        <w:rPr>
          <w:rFonts w:ascii="Calibri" w:cs="Calibri" w:eastAsia="Calibri" w:hAnsi="Calibri"/>
          <w:sz w:val="20"/>
          <w:szCs w:val="20"/>
          <w:color w:val="auto"/>
        </w:rPr>
        <w:t>Any performance goals that are fnancial metrics, may be determined in accordance with U.S. Generally Accepted Accountng Principles (“GAAP”), in accordance with accountng principles established by the Internatonal Accountng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without limitaton (a) restructurings, discontnued operatons, extraordinary items, and other unusual, infrequently occurring or non-recurring charges or events, (b) asset write-downs, (c) litgaton or claim judgments or setlements, (d) acquisitons or divesttures, (e) reorganizaton or change in the corporate structure or capital structure of the Company, (f) an event either not directly related to the operatons of the Company, Subsidiary, division, business segment or business unit or not within the reasonable control of management, (g) foreign exchange gains and losses, (h) a change in the fscal year of the Company, (i) the refnancing or repurchase of bank loans or debt securites, (j) unbudgeted capital expenditures, (k) the issuance or repurchase of equity securites and other changes in the number of outstanding shares, (l) conversion of some or all of convertble securites to common stock, (m) any business interrupton event (n) the cumulatve efects of tax or accountng changes in accordance with U.S. generally accepted accountng principles, or (o) the efect of changes in other laws or regulatory rules afectng reported results.</w:t>
      </w:r>
    </w:p>
    <w:p>
      <w:pPr>
        <w:spacing w:after="0" w:line="3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7"/>
          <w:szCs w:val="17"/>
          <w:b w:val="1"/>
          <w:bCs w:val="1"/>
          <w:color w:val="auto"/>
        </w:rPr>
        <w:t>WITHHOLDING</w:t>
      </w:r>
    </w:p>
    <w:p>
      <w:pPr>
        <w:spacing w:after="0" w:line="219" w:lineRule="exact"/>
        <w:rPr>
          <w:sz w:val="20"/>
          <w:szCs w:val="20"/>
          <w:color w:val="auto"/>
        </w:rPr>
      </w:pPr>
    </w:p>
    <w:p>
      <w:pPr>
        <w:ind w:right="80"/>
        <w:spacing w:after="0" w:line="233" w:lineRule="auto"/>
        <w:rPr>
          <w:sz w:val="20"/>
          <w:szCs w:val="20"/>
          <w:color w:val="auto"/>
        </w:rPr>
      </w:pPr>
      <w:r>
        <w:rPr>
          <w:rFonts w:ascii="Calibri" w:cs="Calibri" w:eastAsia="Calibri" w:hAnsi="Calibri"/>
          <w:sz w:val="20"/>
          <w:szCs w:val="20"/>
          <w:color w:val="auto"/>
        </w:rPr>
        <w:t>The Company or the Related Corporaton, as applicable, shall have the authority and right to deduct or withhold from any payments made to the Partcipant by the Company or the Related Corporaton, or require the Partcipant to pay to the Company or the Related Corporaton, the amount of any Tax-Related Items that the Company or a Related Corporaton determines is required to withhold with respect to any Award. Subject to the Plan and applicable law, the Plan Administrator may, in its sole discreton and in satsfacton of the foregoing requirement, in whole or in part, (a) allow a Partcipant to pay cash (by check or wire transfer), (b) allow the Company to withhold, or allow a Partcipant to elect to have the Company withhold, shares of Common Stock having a fair market value equal to the sums required to be withheld, which may be determined using rates of up to the maxim rates applicable in the applicable jurisdicton (with the fair market value of the shares to be withheld and the applicable rate of withholding for Tax-Related Items determined on the date that the amount of the Tax-Related Items to be withheld is to be determined), (c) allow the transfer to the Company shares of Common Stock (already owned by the Partcipant for the period necessary to avoid a charge to the Company’s earnings for fnancial reportng purposes), in such amounts as are equivalent to the fair market value of the withholding obligaton, (d) allow the Company or the Related Corporaton wot withhold from any cash compensaton otherwise due the Partcipant, (e) allow the Company or Related Corporaton to withhold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13</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88" w:lineRule="exact"/>
        <w:rPr>
          <w:sz w:val="20"/>
          <w:szCs w:val="20"/>
          <w:color w:val="auto"/>
        </w:rPr>
      </w:pPr>
    </w:p>
    <w:p>
      <w:pPr>
        <w:ind w:right="80"/>
        <w:spacing w:after="0" w:line="233" w:lineRule="auto"/>
        <w:rPr>
          <w:sz w:val="20"/>
          <w:szCs w:val="20"/>
          <w:color w:val="auto"/>
        </w:rPr>
      </w:pPr>
      <w:r>
        <w:rPr>
          <w:rFonts w:ascii="Calibri" w:cs="Calibri" w:eastAsia="Calibri" w:hAnsi="Calibri"/>
          <w:sz w:val="20"/>
          <w:szCs w:val="20"/>
          <w:color w:val="auto"/>
        </w:rPr>
        <w:t>from the proceeds of the sale of shares underlying an Award, either through a voluntary sale or a mandatory sale arranged by the Company or Related Corporaton on the Partcipant’s behalf, without need of further authorizaton, or (f) may permit any other method set forth in the instrument evidencing the Award. No Common Stock shall be delivered hereunder to any Partcipant or other person untl the Partcipant or such other person has made arrangements acceptable to the Plan Administrator for the satsfacton of these obligatons for Tax-Related Items with respect to any taxable event concerning the Partcipant or such other person arising as a result of Awards made under this Plan.</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7"/>
          <w:szCs w:val="17"/>
          <w:b w:val="1"/>
          <w:bCs w:val="1"/>
          <w:color w:val="auto"/>
        </w:rPr>
        <w:t>ASSIGNABILITY</w:t>
      </w:r>
    </w:p>
    <w:p>
      <w:pPr>
        <w:spacing w:after="0" w:line="219"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Except as provided below, Awards granted under the Plan and any interest therein may not be assigned, pledged or transferred by the Partcipant and may not be made subject to atachment or similar proceedings otherwise than by will or by the applicable laws of descent and distributon, except to the extent the instrument evidencing the Award provides that a Partcipant may designate a benefciary on a Company-approved form who may exercise the Award or receive payment under the Award afer the Partcipant’s death, and the Partcipant has made such a designaton. During a Partcipant’s lifetme, Awards may be exercised only by the Partcipant. To the extent permited by Secton 422 of the Code and under such terms and conditons as determined by the Plan Administrator and provided such transfer is consistent with securites oferings registered on a Form S-8, a Partcipant may assign or transfer an Award without consideraton (each transferee thereof, a “Permited Assignee”); provided that such Permited Assignee shall be bound by and subject to all of the terms and conditons of the Plan and the Award agreement relatng to the transferred Award and shall execute an agreement satsfactory to the Company evidencing such obligatons; and provided further that such Partcipant shall remain bound by the terms and conditons of the Plan.</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7"/>
          <w:szCs w:val="17"/>
          <w:b w:val="1"/>
          <w:bCs w:val="1"/>
          <w:color w:val="auto"/>
        </w:rPr>
        <w:t>ADJUSTMENTS</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16.1</w:t>
      </w:r>
      <w:r>
        <w:rPr>
          <w:sz w:val="20"/>
          <w:szCs w:val="20"/>
          <w:color w:val="auto"/>
        </w:rPr>
        <w:tab/>
      </w:r>
      <w:r>
        <w:rPr>
          <w:rFonts w:ascii="Arial" w:cs="Arial" w:eastAsia="Arial" w:hAnsi="Arial"/>
          <w:sz w:val="17"/>
          <w:szCs w:val="17"/>
          <w:b w:val="1"/>
          <w:bCs w:val="1"/>
          <w:color w:val="auto"/>
        </w:rPr>
        <w:t>Adjustment of Shares</w:t>
      </w:r>
    </w:p>
    <w:p>
      <w:pPr>
        <w:spacing w:after="0" w:line="225"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In the event that, at any tme or from tme to tme, a stock dividend, stock split, reverse stock split, reorganizaton, split-up, spin-of, combinaton, repurchase, or exchange of shares of Common Stock or other securites of the Company, recapitalizaton, merger, consolidaton, distributon to shareholders other than a normal cash dividend (whether in the form of cash, securites of the Company or other property), or other change in the Company’s corporate or capital structure afects the Common Stock or its value or results in (a) the outstanding shares, or any securites exchanged therefor or received in their place, being exchanged for a diferent number or class of securites of the Company or of any other corporaton or (b) new, diferent or additonal securites of the Company or of any other corporaton being received by the holders of shares of Common Stock of the Company, then the Plan Administrator shall make proportonal adjustments in (i) the maximum number and kind of securites that may be made subject to certain Awards as set forth in Secton 4.1 (including the number of shares that may be issued pursuant to the exercise of Incentve Stock Optons), (ii) the number and kind of securites that are subject to any outstanding Award and the per share price of such securites, without any change in the aggregate price to be paid therefor, and (iii) the number and kind of securites automatcally granted pursuant to a formula program established under the Plan. The determinaton by the Plan Administrator as to the terms of any of the foregoing adjustments shall be conclusive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14</w:t>
      </w:r>
    </w:p>
    <w:p>
      <w:pPr>
        <w:sectPr>
          <w:pgSz w:w="11900" w:h="16838" w:orient="portrait"/>
          <w:cols w:equalWidth="0" w:num="1">
            <w:col w:w="11200"/>
          </w:cols>
          <w:pgMar w:left="320" w:top="1440" w:right="379" w:bottom="1440" w:gutter="0" w:footer="0" w:header="0"/>
        </w:sectPr>
      </w:pPr>
    </w:p>
    <w:bookmarkStart w:id="71" w:name="page72"/>
    <w:bookmarkEnd w:id="71"/>
    <w:p>
      <w:pPr>
        <w:spacing w:after="0" w:line="17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16.2</w:t>
      </w:r>
      <w:r>
        <w:rPr>
          <w:sz w:val="20"/>
          <w:szCs w:val="20"/>
          <w:color w:val="auto"/>
        </w:rPr>
        <w:tab/>
      </w:r>
      <w:r>
        <w:rPr>
          <w:rFonts w:ascii="Arial" w:cs="Arial" w:eastAsia="Arial" w:hAnsi="Arial"/>
          <w:sz w:val="17"/>
          <w:szCs w:val="17"/>
          <w:b w:val="1"/>
          <w:bCs w:val="1"/>
          <w:color w:val="auto"/>
        </w:rPr>
        <w:t>Change in Control Transaction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16.2.1 Definitions</w:t>
      </w:r>
    </w:p>
    <w:p>
      <w:pPr>
        <w:spacing w:after="0" w:line="211" w:lineRule="exact"/>
        <w:rPr>
          <w:sz w:val="20"/>
          <w:szCs w:val="20"/>
          <w:color w:val="auto"/>
        </w:rPr>
      </w:pPr>
    </w:p>
    <w:p>
      <w:pPr>
        <w:ind w:right="220"/>
        <w:spacing w:after="0" w:line="234" w:lineRule="auto"/>
        <w:rPr>
          <w:sz w:val="20"/>
          <w:szCs w:val="20"/>
          <w:color w:val="auto"/>
        </w:rPr>
      </w:pPr>
      <w:r>
        <w:rPr>
          <w:rFonts w:ascii="Calibri" w:cs="Calibri" w:eastAsia="Calibri" w:hAnsi="Calibri"/>
          <w:sz w:val="20"/>
          <w:szCs w:val="20"/>
          <w:color w:val="auto"/>
        </w:rPr>
        <w:t>“Change in Control Transacton” shall be deemed to have occurred if any of the events set forth in any one of the following paragraphs shall have occurred:</w:t>
      </w:r>
    </w:p>
    <w:p>
      <w:pPr>
        <w:spacing w:after="0" w:line="212" w:lineRule="exact"/>
        <w:rPr>
          <w:sz w:val="20"/>
          <w:szCs w:val="20"/>
          <w:color w:val="auto"/>
        </w:rPr>
      </w:pPr>
    </w:p>
    <w:p>
      <w:pPr>
        <w:ind w:right="540" w:firstLine="8"/>
        <w:spacing w:after="0" w:line="233" w:lineRule="auto"/>
        <w:tabs>
          <w:tab w:leader="none" w:pos="652"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any Person is or becomes the Benefcial Owner (as such term is set forth in Rule 13d-3 under the Exchange Act), directly or indirectly, of securites of the Company representng 50% or more of either the then outstanding shares of common stock of the Company or the combined votng power of the Company’s then outstanding securites, excluding any Person who becomes such a Benefcial Owner in connecton with a transacton described in Secton 16.2.1(c)(i);</w:t>
      </w:r>
    </w:p>
    <w:p>
      <w:pPr>
        <w:spacing w:after="0" w:line="226" w:lineRule="exact"/>
        <w:rPr>
          <w:rFonts w:ascii="Calibri" w:cs="Calibri" w:eastAsia="Calibri" w:hAnsi="Calibri"/>
          <w:sz w:val="20"/>
          <w:szCs w:val="20"/>
          <w:color w:val="auto"/>
        </w:rPr>
      </w:pPr>
    </w:p>
    <w:p>
      <w:pPr>
        <w:ind w:right="40" w:firstLine="8"/>
        <w:spacing w:after="0"/>
        <w:tabs>
          <w:tab w:leader="none" w:pos="648"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a change in the compositon of the Board during any two-year period such that the individuals who, as of the date of this agreement, consttute the Board (the “Incumbent Board”) cease for any reason to consttute at least a majority of the Board; provided, however, that for purposes of this defniton, any individual who becomes a member of the Board subsequent to the beginning of the two-year period, whose electon, or nominaton for electon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inital assumpton of ofce occurs as a result of or in connecton with an actual or threatened solicitaton of proxies or consents by or on behalf of an Person other than the Board shall not be considered a member of the Incumbent Board;</w:t>
      </w:r>
    </w:p>
    <w:p>
      <w:pPr>
        <w:spacing w:after="0" w:line="395" w:lineRule="exact"/>
        <w:rPr>
          <w:rFonts w:ascii="Calibri" w:cs="Calibri" w:eastAsia="Calibri" w:hAnsi="Calibri"/>
          <w:sz w:val="20"/>
          <w:szCs w:val="20"/>
          <w:color w:val="auto"/>
        </w:rPr>
      </w:pPr>
    </w:p>
    <w:p>
      <w:pPr>
        <w:ind w:right="20" w:firstLine="8"/>
        <w:spacing w:after="0" w:line="233" w:lineRule="auto"/>
        <w:tabs>
          <w:tab w:leader="none" w:pos="640"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there is consummated a merger or consolidaton of the Company or any direct or indirect subsidiary of the Company with any other corporaton, other than (i) a merger or consolidaton immediately following which members of the Incumbent Board consttute a majority of the members of the board of directors (or similar body) of the surviving entty or, if the surviving entty is a subsidiary, any parent thereof, or (ii) a merger or consolidaton efected to implement a recapitalizaton of the Company (or similar transacton) in which no Person is or becomes the Benefcial Owner, directly or indirectly, of securites of the Company (not including in the securites Benefcially Owned by such Person any securites acquired directly from the Company or its Afliates (as such term is set forth in Rule</w:t>
      </w:r>
    </w:p>
    <w:p>
      <w:pPr>
        <w:ind w:right="20"/>
        <w:spacing w:after="0" w:line="232" w:lineRule="auto"/>
        <w:rPr>
          <w:rFonts w:ascii="Calibri" w:cs="Calibri" w:eastAsia="Calibri" w:hAnsi="Calibri"/>
          <w:sz w:val="20"/>
          <w:szCs w:val="20"/>
          <w:color w:val="auto"/>
        </w:rPr>
      </w:pPr>
      <w:r>
        <w:rPr>
          <w:rFonts w:ascii="Calibri" w:cs="Calibri" w:eastAsia="Calibri" w:hAnsi="Calibri"/>
          <w:sz w:val="20"/>
          <w:szCs w:val="20"/>
          <w:color w:val="auto"/>
        </w:rPr>
        <w:t>12b-2 promulgated under Secton 12 of the Exchange Act)) representng 50% more of the combined votng power of the Company’s then outstanding securites; or</w:t>
      </w:r>
    </w:p>
    <w:p>
      <w:pPr>
        <w:spacing w:after="0" w:line="225" w:lineRule="exact"/>
        <w:rPr>
          <w:rFonts w:ascii="Calibri" w:cs="Calibri" w:eastAsia="Calibri" w:hAnsi="Calibri"/>
          <w:sz w:val="20"/>
          <w:szCs w:val="20"/>
          <w:color w:val="auto"/>
        </w:rPr>
      </w:pPr>
    </w:p>
    <w:p>
      <w:pPr>
        <w:ind w:firstLine="8"/>
        <w:spacing w:after="0" w:line="231" w:lineRule="auto"/>
        <w:tabs>
          <w:tab w:leader="none" w:pos="648"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the shareholders of the Company approve a plan of complete liquidaton or dissoluton of the Company or the consummaton of a sale or dispositon by the Company of all or substantally all of the Company’s assets, other than a sale or dispositon by the Company of all or substantally all of the Company’s assets to an entty, at least 50% of the combined votng power of the votng securites of which are owned by shareholders of the Company in substantally the same proportons as their ownership of the Company immediately prior to such sale.</w:t>
      </w:r>
    </w:p>
    <w:p>
      <w:pPr>
        <w:spacing w:after="0" w:line="229"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For purposes of this Secton 16.2.1, “Person” shall have the meaning given in Secton 3(a)(9) of the Exchange Act, as modifed and used in Sectons 13(d) and 14(d) thereof, except that such term shall not include (i) the Company or any of its Subsidiaries, (ii) a trustee or other fduciary holding securites under an employee beneft plan of the Company or any of its Afliates, (iii) an underwriter temporarily holding securites pursuant to an ofering of such securites or (iv) a corporaton owned, directly or indirectly, by the shareholders of the Company in substantally the same proportons as their ownership of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15</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8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For clarity, a Change in Control Transacton shall not be deemed to have occurred in the event of a reorganizaton of the Company and/or any Related Corporatons nor in the event of a reincorporaton of the Company or any Related Corporaton in another jurisdicton.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16.2.2 Assumption of Awards</w:t>
      </w:r>
    </w:p>
    <w:p>
      <w:pPr>
        <w:spacing w:after="0" w:line="224"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Notwithstanding Secton 16.1 hereof, and except as provided in Secton 16.2.3 and as may otherwise be provided in the instrument evidencing the Award or in writen employment or services or other agreement between a Partcipant and the Company or a Related Corporaton in connecton with an Award, if in the event of a Change in Control Transacton a Partcipant’s Awards are not assumed, converted, contnued, replaced or an equivalent award is not substtuted for the Awards by the surviving corporaton, the successor corporaton or its parent corporaton, as applicable, (the “Successor Corporaton”), the Partcipant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assumpton or substtuton in the event of a Change in Control Transacton, the Plan Administrator shall notfy the Partcipant in writng or electronically that the Award shall be fully vested and exercisable for a specifed tme period afer the date of such notce, and the Award shall terminate upon the expiraton of such period, in each case conditoned on the consummaton of the Change in Control Transacton. For the purposes of this Secton 16.2.2, the Award shall be considered assumed if, following the Change in Control Transacton, the assumed right confers the right to purchase or receive, for each share of Common Stock subject to the Award immediately prior to the Change in Control Transacton, the consideraton (whether stock, cash, or other securites or property) received in the Change in Control Transacton by holders of Common Stock for each share held on the efectve date of the transacton (and if holders were ofered a choice of consideraton, the type of consideraton chosen by the holders of a majority of the outstanding shares); provided, however, that if such consideraton received in the Change in Control Transacton is not solely common stock of the Successor Corporaton, the Plan Administrator may, with the consent of the Successor Corporaton, provide for the consideraton to be received upon the setlement or exercise of the Award, for each share of Common Stock subject thereto, to be solely common stock of the Successor Corporaton equal in fair market value to the per share consideraton received by holders of Common Stock in the Change in Control Transacton. The Plan Administrator may provide that Awards shall terminate and cease to remain outstanding immediately prior to the consummaton of the Change in Control Transacton, except to the extent assumed by the Successor Corporaton. The porton of any Incentve Stock Opton accelerated in connecton with a Change in Control Transacton shall remain exercisable as an Incentve Stock Opton only to the extent the applicable One Hundred Thousand Dollar ($100,000) limitaton is not exceeded. To the extent such dollar limitaton is exceeded, the accelerated porton of such Opton shall be exercisable as a Nonqualifed Stock Opton.</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16.2.3 Performance Awards</w:t>
      </w:r>
    </w:p>
    <w:p>
      <w:pPr>
        <w:spacing w:after="0" w:line="224" w:lineRule="exact"/>
        <w:rPr>
          <w:sz w:val="20"/>
          <w:szCs w:val="20"/>
          <w:color w:val="auto"/>
        </w:rPr>
      </w:pPr>
    </w:p>
    <w:p>
      <w:pPr>
        <w:ind w:right="300"/>
        <w:spacing w:after="0" w:line="231" w:lineRule="auto"/>
        <w:rPr>
          <w:sz w:val="20"/>
          <w:szCs w:val="20"/>
          <w:color w:val="auto"/>
        </w:rPr>
      </w:pPr>
      <w:r>
        <w:rPr>
          <w:rFonts w:ascii="Calibri" w:cs="Calibri" w:eastAsia="Calibri" w:hAnsi="Calibri"/>
          <w:sz w:val="20"/>
          <w:szCs w:val="20"/>
          <w:color w:val="auto"/>
        </w:rPr>
        <w:t>In the event of a Change in Control Transacton, the vestng and payout of Performance Awards shall be as provided in the instrument evidencing the Award or in a writen employment or services agreement between a Partcipant and the Company or a Related Corporaton.</w:t>
      </w:r>
    </w:p>
    <w:p>
      <w:pPr>
        <w:spacing w:after="0" w:line="21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16.3</w:t>
      </w:r>
      <w:r>
        <w:rPr>
          <w:sz w:val="20"/>
          <w:szCs w:val="20"/>
          <w:color w:val="auto"/>
        </w:rPr>
        <w:tab/>
      </w:r>
      <w:r>
        <w:rPr>
          <w:rFonts w:ascii="Arial" w:cs="Arial" w:eastAsia="Arial" w:hAnsi="Arial"/>
          <w:sz w:val="17"/>
          <w:szCs w:val="17"/>
          <w:b w:val="1"/>
          <w:bCs w:val="1"/>
          <w:color w:val="auto"/>
        </w:rPr>
        <w:t>Further Adjustment of Awards</w:t>
      </w:r>
    </w:p>
    <w:p>
      <w:pPr>
        <w:spacing w:after="0" w:line="211" w:lineRule="exact"/>
        <w:rPr>
          <w:sz w:val="20"/>
          <w:szCs w:val="20"/>
          <w:color w:val="auto"/>
        </w:rPr>
      </w:pPr>
    </w:p>
    <w:p>
      <w:pPr>
        <w:ind w:right="120"/>
        <w:spacing w:after="0" w:line="231" w:lineRule="auto"/>
        <w:rPr>
          <w:sz w:val="20"/>
          <w:szCs w:val="20"/>
          <w:color w:val="auto"/>
        </w:rPr>
      </w:pPr>
      <w:r>
        <w:rPr>
          <w:rFonts w:ascii="Calibri" w:cs="Calibri" w:eastAsia="Calibri" w:hAnsi="Calibri"/>
          <w:sz w:val="20"/>
          <w:szCs w:val="20"/>
          <w:color w:val="auto"/>
        </w:rPr>
        <w:t>Subject to Secton 16.2, the Plan Administrator shall have the discreton, exercisable at any tme before a Change in Control Transacton, as defned by the Plan Administrator, to take such further acton as it determines to be necessary or advisable with respect to Awards. The Plan Administrator may take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16</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8" w:lineRule="exact"/>
        <w:rPr>
          <w:sz w:val="20"/>
          <w:szCs w:val="20"/>
          <w:color w:val="auto"/>
        </w:rPr>
      </w:pPr>
    </w:p>
    <w:p>
      <w:pPr>
        <w:ind w:right="120"/>
        <w:spacing w:after="0" w:line="231" w:lineRule="auto"/>
        <w:rPr>
          <w:sz w:val="20"/>
          <w:szCs w:val="20"/>
          <w:color w:val="auto"/>
        </w:rPr>
      </w:pPr>
      <w:r>
        <w:rPr>
          <w:rFonts w:ascii="Calibri" w:cs="Calibri" w:eastAsia="Calibri" w:hAnsi="Calibri"/>
          <w:sz w:val="20"/>
          <w:szCs w:val="20"/>
          <w:color w:val="auto"/>
        </w:rPr>
        <w:t>acton before or afer grantng Awards to which the acton relates and before or afer any public announcement with respect to such Change in Control Transacton that is the reason for such acton. Such authorized acton may include (but shall not be limited to) the following, and the Plan Administrator may take such actons with respect to all Partcipants, to certain categories of Partcipants or only to individual Partcipants; provided, however, that any vestng acceleraton of outstanding Awards shall in all cases be subject to the consummaton of the sale, merger, other similar transacton or change in control:</w:t>
      </w:r>
    </w:p>
    <w:p>
      <w:pPr>
        <w:spacing w:after="0" w:line="229" w:lineRule="exact"/>
        <w:rPr>
          <w:sz w:val="20"/>
          <w:szCs w:val="20"/>
          <w:color w:val="auto"/>
        </w:rPr>
      </w:pPr>
    </w:p>
    <w:p>
      <w:pPr>
        <w:ind w:right="500" w:firstLine="8"/>
        <w:spacing w:after="0" w:line="234" w:lineRule="auto"/>
        <w:tabs>
          <w:tab w:leader="none" w:pos="652" w:val="left"/>
        </w:tabs>
        <w:numPr>
          <w:ilvl w:val="0"/>
          <w:numId w:val="32"/>
        </w:numPr>
        <w:rPr>
          <w:rFonts w:ascii="Calibri" w:cs="Calibri" w:eastAsia="Calibri" w:hAnsi="Calibri"/>
          <w:sz w:val="20"/>
          <w:szCs w:val="20"/>
          <w:color w:val="auto"/>
        </w:rPr>
      </w:pPr>
      <w:r>
        <w:rPr>
          <w:rFonts w:ascii="Calibri" w:cs="Calibri" w:eastAsia="Calibri" w:hAnsi="Calibri"/>
          <w:sz w:val="20"/>
          <w:szCs w:val="20"/>
          <w:color w:val="auto"/>
        </w:rPr>
        <w:t>establishing, amending or waiving the type, terms, conditons or duraton of, or restrictons on, Awards so as to provide for earlier, later, extended or additonal tme for exercise, lifing restrictons and other modifcatons;</w:t>
      </w:r>
    </w:p>
    <w:p>
      <w:pPr>
        <w:spacing w:after="0" w:line="212" w:lineRule="exact"/>
        <w:rPr>
          <w:rFonts w:ascii="Calibri" w:cs="Calibri" w:eastAsia="Calibri" w:hAnsi="Calibri"/>
          <w:sz w:val="20"/>
          <w:szCs w:val="20"/>
          <w:color w:val="auto"/>
        </w:rPr>
      </w:pPr>
    </w:p>
    <w:p>
      <w:pPr>
        <w:ind w:right="20" w:firstLine="8"/>
        <w:spacing w:after="0" w:line="233" w:lineRule="auto"/>
        <w:tabs>
          <w:tab w:leader="none" w:pos="648" w:val="left"/>
        </w:tabs>
        <w:numPr>
          <w:ilvl w:val="0"/>
          <w:numId w:val="32"/>
        </w:numPr>
        <w:rPr>
          <w:rFonts w:ascii="Calibri" w:cs="Calibri" w:eastAsia="Calibri" w:hAnsi="Calibri"/>
          <w:sz w:val="20"/>
          <w:szCs w:val="20"/>
          <w:color w:val="auto"/>
        </w:rPr>
      </w:pPr>
      <w:r>
        <w:rPr>
          <w:rFonts w:ascii="Calibri" w:cs="Calibri" w:eastAsia="Calibri" w:hAnsi="Calibri"/>
          <w:sz w:val="20"/>
          <w:szCs w:val="20"/>
          <w:color w:val="auto"/>
        </w:rPr>
        <w:t>providing for either (i) terminaton of any such Award in exchange for an amount of cash, if any, equal to the amount that would have been atained upon the exercise of such Award or realizaton of the Partcipant’s rights (and, for the avoidance of doubt, if as of the date of the occurrence of the transacton or event described in this Secton 16.3 the Plan Administrator determines in good faith that no amount would have been atained upon the exercise of such Award or realizaton of the Partcipant’s rights, then such Award may be terminated by the Company without payment) or (ii) the replacement of such Award with other rights or property selected by the Plan Administrator in its sole discreton;</w:t>
      </w:r>
    </w:p>
    <w:p>
      <w:pPr>
        <w:spacing w:after="0" w:line="224" w:lineRule="exact"/>
        <w:rPr>
          <w:rFonts w:ascii="Calibri" w:cs="Calibri" w:eastAsia="Calibri" w:hAnsi="Calibri"/>
          <w:sz w:val="20"/>
          <w:szCs w:val="20"/>
          <w:color w:val="auto"/>
        </w:rPr>
      </w:pPr>
    </w:p>
    <w:p>
      <w:pPr>
        <w:ind w:right="80" w:firstLine="8"/>
        <w:spacing w:after="0" w:line="228" w:lineRule="auto"/>
        <w:tabs>
          <w:tab w:leader="none" w:pos="640" w:val="left"/>
        </w:tabs>
        <w:numPr>
          <w:ilvl w:val="0"/>
          <w:numId w:val="32"/>
        </w:numPr>
        <w:rPr>
          <w:rFonts w:ascii="Calibri" w:cs="Calibri" w:eastAsia="Calibri" w:hAnsi="Calibri"/>
          <w:sz w:val="20"/>
          <w:szCs w:val="20"/>
          <w:color w:val="auto"/>
        </w:rPr>
      </w:pPr>
      <w:r>
        <w:rPr>
          <w:rFonts w:ascii="Calibri" w:cs="Calibri" w:eastAsia="Calibri" w:hAnsi="Calibri"/>
          <w:sz w:val="20"/>
          <w:szCs w:val="20"/>
          <w:color w:val="auto"/>
        </w:rPr>
        <w:t>making adjustments in the number and type of shares of Common Stock (or other securites or property) subject to outstanding Awards, and/or in the terms and conditons of (including the grant or exercise price), and the criteria included in, outstanding Awards;</w:t>
      </w:r>
    </w:p>
    <w:p>
      <w:pPr>
        <w:spacing w:after="0" w:line="224" w:lineRule="exact"/>
        <w:rPr>
          <w:rFonts w:ascii="Calibri" w:cs="Calibri" w:eastAsia="Calibri" w:hAnsi="Calibri"/>
          <w:sz w:val="20"/>
          <w:szCs w:val="20"/>
          <w:color w:val="auto"/>
        </w:rPr>
      </w:pPr>
    </w:p>
    <w:p>
      <w:pPr>
        <w:ind w:right="280" w:firstLine="8"/>
        <w:spacing w:after="0" w:line="234" w:lineRule="auto"/>
        <w:tabs>
          <w:tab w:leader="none" w:pos="648" w:val="left"/>
        </w:tabs>
        <w:numPr>
          <w:ilvl w:val="0"/>
          <w:numId w:val="32"/>
        </w:numPr>
        <w:rPr>
          <w:rFonts w:ascii="Calibri" w:cs="Calibri" w:eastAsia="Calibri" w:hAnsi="Calibri"/>
          <w:sz w:val="20"/>
          <w:szCs w:val="20"/>
          <w:color w:val="auto"/>
        </w:rPr>
      </w:pPr>
      <w:r>
        <w:rPr>
          <w:rFonts w:ascii="Calibri" w:cs="Calibri" w:eastAsia="Calibri" w:hAnsi="Calibri"/>
          <w:sz w:val="20"/>
          <w:szCs w:val="20"/>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202" w:lineRule="exact"/>
        <w:rPr>
          <w:rFonts w:ascii="Calibri" w:cs="Calibri" w:eastAsia="Calibri" w:hAnsi="Calibri"/>
          <w:sz w:val="20"/>
          <w:szCs w:val="20"/>
          <w:color w:val="auto"/>
        </w:rPr>
      </w:pPr>
    </w:p>
    <w:p>
      <w:pPr>
        <w:ind w:left="640" w:hanging="632"/>
        <w:spacing w:after="0"/>
        <w:tabs>
          <w:tab w:leader="none" w:pos="640" w:val="left"/>
        </w:tabs>
        <w:numPr>
          <w:ilvl w:val="0"/>
          <w:numId w:val="32"/>
        </w:numPr>
        <w:rPr>
          <w:rFonts w:ascii="Calibri" w:cs="Calibri" w:eastAsia="Calibri" w:hAnsi="Calibri"/>
          <w:sz w:val="20"/>
          <w:szCs w:val="20"/>
          <w:color w:val="auto"/>
        </w:rPr>
      </w:pPr>
      <w:r>
        <w:rPr>
          <w:rFonts w:ascii="Calibri" w:cs="Calibri" w:eastAsia="Calibri" w:hAnsi="Calibri"/>
          <w:sz w:val="20"/>
          <w:szCs w:val="20"/>
          <w:color w:val="auto"/>
        </w:rPr>
        <w:t>to provide that the Award cannot vest, be exercised or become payable afer such event.</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16.4</w:t>
      </w:r>
      <w:r>
        <w:rPr>
          <w:sz w:val="20"/>
          <w:szCs w:val="20"/>
          <w:color w:val="auto"/>
        </w:rPr>
        <w:tab/>
      </w:r>
      <w:r>
        <w:rPr>
          <w:rFonts w:ascii="Arial" w:cs="Arial" w:eastAsia="Arial" w:hAnsi="Arial"/>
          <w:sz w:val="17"/>
          <w:szCs w:val="17"/>
          <w:b w:val="1"/>
          <w:bCs w:val="1"/>
          <w:color w:val="auto"/>
        </w:rPr>
        <w:t>Limitations</w:t>
      </w:r>
    </w:p>
    <w:p>
      <w:pPr>
        <w:spacing w:after="0" w:line="211"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The grant of Awards shall in no way afect the Company’s right to adjust, reclassify, reorganize or otherwise change its capital or business structure or to merge, consolidate, dissolve, liquidate or sell or transfer all or any part of its business or assets.</w:t>
      </w:r>
    </w:p>
    <w:p>
      <w:pPr>
        <w:spacing w:after="0" w:line="20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16.5</w:t>
      </w:r>
      <w:r>
        <w:rPr>
          <w:sz w:val="20"/>
          <w:szCs w:val="20"/>
          <w:color w:val="auto"/>
        </w:rPr>
        <w:tab/>
      </w:r>
      <w:r>
        <w:rPr>
          <w:rFonts w:ascii="Arial" w:cs="Arial" w:eastAsia="Arial" w:hAnsi="Arial"/>
          <w:sz w:val="17"/>
          <w:szCs w:val="17"/>
          <w:b w:val="1"/>
          <w:bCs w:val="1"/>
          <w:color w:val="auto"/>
        </w:rPr>
        <w:t>Fractional Shares</w:t>
      </w:r>
    </w:p>
    <w:p>
      <w:pPr>
        <w:spacing w:after="0" w:line="225" w:lineRule="exact"/>
        <w:rPr>
          <w:sz w:val="20"/>
          <w:szCs w:val="20"/>
          <w:color w:val="auto"/>
        </w:rPr>
      </w:pPr>
    </w:p>
    <w:p>
      <w:pPr>
        <w:ind w:right="460"/>
        <w:spacing w:after="0" w:line="234" w:lineRule="auto"/>
        <w:rPr>
          <w:sz w:val="20"/>
          <w:szCs w:val="20"/>
          <w:color w:val="auto"/>
        </w:rPr>
      </w:pPr>
      <w:r>
        <w:rPr>
          <w:rFonts w:ascii="Calibri" w:cs="Calibri" w:eastAsia="Calibri" w:hAnsi="Calibri"/>
          <w:sz w:val="20"/>
          <w:szCs w:val="20"/>
          <w:color w:val="auto"/>
        </w:rPr>
        <w:t>In the event of any adjustment in the number of shares covered by any Award, each such Award shall cover only the number of full shares resultng from such adjustment.</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7"/>
          <w:szCs w:val="17"/>
          <w:b w:val="1"/>
          <w:bCs w:val="1"/>
          <w:color w:val="auto"/>
        </w:rPr>
        <w:t>AMENDMENT AND TERMINATION OF PLAN</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17.1</w:t>
      </w:r>
      <w:r>
        <w:rPr>
          <w:sz w:val="20"/>
          <w:szCs w:val="20"/>
          <w:color w:val="auto"/>
        </w:rPr>
        <w:tab/>
      </w:r>
      <w:r>
        <w:rPr>
          <w:rFonts w:ascii="Arial" w:cs="Arial" w:eastAsia="Arial" w:hAnsi="Arial"/>
          <w:sz w:val="17"/>
          <w:szCs w:val="17"/>
          <w:b w:val="1"/>
          <w:bCs w:val="1"/>
          <w:color w:val="auto"/>
        </w:rPr>
        <w:t>Amendment of Plan</w:t>
      </w:r>
    </w:p>
    <w:p>
      <w:pPr>
        <w:spacing w:after="0" w:line="225" w:lineRule="exact"/>
        <w:rPr>
          <w:sz w:val="20"/>
          <w:szCs w:val="20"/>
          <w:color w:val="auto"/>
        </w:rPr>
      </w:pPr>
    </w:p>
    <w:p>
      <w:pPr>
        <w:ind w:right="120"/>
        <w:spacing w:after="0" w:line="233" w:lineRule="auto"/>
        <w:rPr>
          <w:sz w:val="20"/>
          <w:szCs w:val="20"/>
          <w:color w:val="auto"/>
        </w:rPr>
      </w:pPr>
      <w:r>
        <w:rPr>
          <w:rFonts w:ascii="Calibri" w:cs="Calibri" w:eastAsia="Calibri" w:hAnsi="Calibri"/>
          <w:sz w:val="20"/>
          <w:szCs w:val="20"/>
          <w:color w:val="auto"/>
        </w:rPr>
        <w:t>The Plan may be amended only by the Board in such respects as it shall deem advisable; provided, however, that to the extent required for compliance with Secton 422 of the Code or any applicable law or regulaton, shareholder approval shall be required for any amendment that would (a) increase the total number of shares available for issuance under the Plan, (b) modify the class of persons eligible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17</w:t>
      </w:r>
    </w:p>
    <w:p>
      <w:pPr>
        <w:sectPr>
          <w:pgSz w:w="11900" w:h="16838" w:orient="portrait"/>
          <w:cols w:equalWidth="0" w:num="1">
            <w:col w:w="11200"/>
          </w:cols>
          <w:pgMar w:left="320" w:top="1440" w:right="379" w:bottom="1440" w:gutter="0" w:footer="0" w:header="0"/>
        </w:sectPr>
      </w:pPr>
    </w:p>
    <w:bookmarkStart w:id="74" w:name="page75"/>
    <w:bookmarkEnd w:id="74"/>
    <w:p>
      <w:pPr>
        <w:spacing w:after="0" w:line="178" w:lineRule="exact"/>
        <w:rPr>
          <w:sz w:val="20"/>
          <w:szCs w:val="20"/>
          <w:color w:val="auto"/>
        </w:rPr>
      </w:pPr>
    </w:p>
    <w:p>
      <w:pPr>
        <w:spacing w:after="0"/>
        <w:rPr>
          <w:sz w:val="20"/>
          <w:szCs w:val="20"/>
          <w:color w:val="auto"/>
        </w:rPr>
      </w:pPr>
      <w:r>
        <w:rPr>
          <w:rFonts w:ascii="Calibri" w:cs="Calibri" w:eastAsia="Calibri" w:hAnsi="Calibri"/>
          <w:sz w:val="20"/>
          <w:szCs w:val="20"/>
          <w:color w:val="auto"/>
        </w:rPr>
        <w:t>receive Awards, or (c) otherwise require shareholder approval under any applicable law, regulaton or stock exchange rules.</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17.2</w:t>
      </w:r>
      <w:r>
        <w:rPr>
          <w:sz w:val="20"/>
          <w:szCs w:val="20"/>
          <w:color w:val="auto"/>
        </w:rPr>
        <w:tab/>
      </w:r>
      <w:r>
        <w:rPr>
          <w:rFonts w:ascii="Arial" w:cs="Arial" w:eastAsia="Arial" w:hAnsi="Arial"/>
          <w:sz w:val="17"/>
          <w:szCs w:val="17"/>
          <w:b w:val="1"/>
          <w:bCs w:val="1"/>
          <w:color w:val="auto"/>
        </w:rPr>
        <w:t>Suspension or Termination of Plan</w:t>
      </w:r>
    </w:p>
    <w:p>
      <w:pPr>
        <w:spacing w:after="0" w:line="211" w:lineRule="exact"/>
        <w:rPr>
          <w:sz w:val="20"/>
          <w:szCs w:val="20"/>
          <w:color w:val="auto"/>
        </w:rPr>
      </w:pPr>
    </w:p>
    <w:p>
      <w:pPr>
        <w:jc w:val="both"/>
        <w:ind w:right="460"/>
        <w:spacing w:after="0" w:line="233" w:lineRule="auto"/>
        <w:rPr>
          <w:sz w:val="20"/>
          <w:szCs w:val="20"/>
          <w:color w:val="auto"/>
        </w:rPr>
      </w:pPr>
      <w:r>
        <w:rPr>
          <w:rFonts w:ascii="Calibri" w:cs="Calibri" w:eastAsia="Calibri" w:hAnsi="Calibri"/>
          <w:sz w:val="20"/>
          <w:szCs w:val="20"/>
          <w:color w:val="auto"/>
        </w:rPr>
        <w:t>The Board may suspend or terminate the Plan at any tme. The Plan shall have no fxed expiraton date; provided, however, that no Incentve Stock Optons may be granted more than ten years afer the later of (a) the Second Amended 2010 Plan's adopton by the Board and (b) the adopton by the Board of any amendment to the Plan that consttutes the adopton of a new plan for purposes of Secton 422 of the Code.</w:t>
      </w:r>
    </w:p>
    <w:p>
      <w:pPr>
        <w:spacing w:after="0" w:line="21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17.3</w:t>
      </w:r>
      <w:r>
        <w:rPr>
          <w:sz w:val="20"/>
          <w:szCs w:val="20"/>
          <w:color w:val="auto"/>
        </w:rPr>
        <w:tab/>
      </w:r>
      <w:r>
        <w:rPr>
          <w:rFonts w:ascii="Arial" w:cs="Arial" w:eastAsia="Arial" w:hAnsi="Arial"/>
          <w:sz w:val="17"/>
          <w:szCs w:val="17"/>
          <w:b w:val="1"/>
          <w:bCs w:val="1"/>
          <w:color w:val="auto"/>
        </w:rPr>
        <w:t>Consent of Participant</w:t>
      </w:r>
    </w:p>
    <w:p>
      <w:pPr>
        <w:spacing w:after="0" w:line="211" w:lineRule="exact"/>
        <w:rPr>
          <w:sz w:val="20"/>
          <w:szCs w:val="20"/>
          <w:color w:val="auto"/>
        </w:rPr>
      </w:pPr>
    </w:p>
    <w:p>
      <w:pPr>
        <w:ind w:right="100"/>
        <w:spacing w:after="0" w:line="233" w:lineRule="auto"/>
        <w:rPr>
          <w:sz w:val="20"/>
          <w:szCs w:val="20"/>
          <w:color w:val="auto"/>
        </w:rPr>
      </w:pPr>
      <w:r>
        <w:rPr>
          <w:rFonts w:ascii="Calibri" w:cs="Calibri" w:eastAsia="Calibri" w:hAnsi="Calibri"/>
          <w:sz w:val="20"/>
          <w:szCs w:val="20"/>
          <w:color w:val="auto"/>
        </w:rPr>
        <w:t>The suspension, amendment or terminaton of the Plan or a porton thereof or the amendment of an outstanding Award shall not, without the Partcipant’s consent, impair or diminish any rights or obligatons under any Award theretofore granted to the Partcipant under the Plan. Any change or adjustment to an outstanding Incentve Stock Opton shall not, without the consent of the Partcipant, be made in a manner so as to consttute a “modifcaton” that would cause such Incentve Stock Opton to fail to contnue to qualify as an Incentve Stock Opton. Notwithstanding the foregoing, any adjustments made pursuant to Secton 16 and any amendment or other acton contemplated under Secton 18.9 or as may necessary or advisable to facilitate compliance with applicable law, as determined in the sole discreton of the Plan Administrator, shall not be subject to these restrictons.</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7"/>
          <w:szCs w:val="17"/>
          <w:b w:val="1"/>
          <w:bCs w:val="1"/>
          <w:color w:val="auto"/>
        </w:rPr>
        <w:t>GENERAL</w:t>
      </w:r>
    </w:p>
    <w:p>
      <w:pPr>
        <w:spacing w:after="0" w:line="21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18.1</w:t>
      </w:r>
      <w:r>
        <w:rPr>
          <w:sz w:val="20"/>
          <w:szCs w:val="20"/>
          <w:color w:val="auto"/>
        </w:rPr>
        <w:tab/>
      </w:r>
      <w:r>
        <w:rPr>
          <w:rFonts w:ascii="Arial" w:cs="Arial" w:eastAsia="Arial" w:hAnsi="Arial"/>
          <w:sz w:val="17"/>
          <w:szCs w:val="17"/>
          <w:b w:val="1"/>
          <w:bCs w:val="1"/>
          <w:color w:val="auto"/>
        </w:rPr>
        <w:t>Evidence of Awards</w:t>
      </w:r>
    </w:p>
    <w:p>
      <w:pPr>
        <w:spacing w:after="0" w:line="225" w:lineRule="exact"/>
        <w:rPr>
          <w:sz w:val="20"/>
          <w:szCs w:val="20"/>
          <w:color w:val="auto"/>
        </w:rPr>
      </w:pPr>
    </w:p>
    <w:p>
      <w:pPr>
        <w:jc w:val="both"/>
        <w:ind w:right="40"/>
        <w:spacing w:after="0" w:line="234" w:lineRule="auto"/>
        <w:rPr>
          <w:sz w:val="20"/>
          <w:szCs w:val="20"/>
          <w:color w:val="auto"/>
        </w:rPr>
      </w:pPr>
      <w:r>
        <w:rPr>
          <w:rFonts w:ascii="Calibri" w:cs="Calibri" w:eastAsia="Calibri" w:hAnsi="Calibri"/>
          <w:sz w:val="20"/>
          <w:szCs w:val="20"/>
          <w:color w:val="auto"/>
        </w:rPr>
        <w:t>Awards granted under the Plan shall be evidenced by a writen instrument (which may also be in electronic form) that shall contain such terms, conditons, limitatons and restrictons as the Plan Administrator shall deem advisable and that are not inconsistent with the Plan.</w:t>
      </w:r>
    </w:p>
    <w:p>
      <w:pPr>
        <w:spacing w:after="0" w:line="20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18.2</w:t>
      </w:r>
      <w:r>
        <w:rPr>
          <w:sz w:val="20"/>
          <w:szCs w:val="20"/>
          <w:color w:val="auto"/>
        </w:rPr>
        <w:tab/>
      </w:r>
      <w:r>
        <w:rPr>
          <w:rFonts w:ascii="Arial" w:cs="Arial" w:eastAsia="Arial" w:hAnsi="Arial"/>
          <w:sz w:val="17"/>
          <w:szCs w:val="17"/>
          <w:b w:val="1"/>
          <w:bCs w:val="1"/>
          <w:color w:val="auto"/>
        </w:rPr>
        <w:t>No Individual Rights</w:t>
      </w:r>
    </w:p>
    <w:p>
      <w:pPr>
        <w:spacing w:after="0" w:line="225" w:lineRule="exact"/>
        <w:rPr>
          <w:sz w:val="20"/>
          <w:szCs w:val="20"/>
          <w:color w:val="auto"/>
        </w:rPr>
      </w:pPr>
    </w:p>
    <w:p>
      <w:pPr>
        <w:ind w:right="20"/>
        <w:spacing w:after="0" w:line="230" w:lineRule="auto"/>
        <w:rPr>
          <w:sz w:val="20"/>
          <w:szCs w:val="20"/>
          <w:color w:val="auto"/>
        </w:rPr>
      </w:pPr>
      <w:r>
        <w:rPr>
          <w:rFonts w:ascii="Calibri" w:cs="Calibri" w:eastAsia="Calibri" w:hAnsi="Calibri"/>
          <w:sz w:val="20"/>
          <w:szCs w:val="20"/>
          <w:color w:val="auto"/>
        </w:rPr>
        <w:t>Nothing in the Plan or any Award granted under the Plan shall be deemed to consttute an employment contract or confer or be deemed to confer on any Partcipant any right to contnue in the employ of, or to contnue any other relatonship with, the Company or any Related Corporaton or limit in any way the right of the Company or any Related Corporaton to terminate a Partcipant’s employment or other relatonship at any tme, with or without Cause.</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18.3</w:t>
      </w:r>
      <w:r>
        <w:rPr>
          <w:sz w:val="20"/>
          <w:szCs w:val="20"/>
          <w:color w:val="auto"/>
        </w:rPr>
        <w:tab/>
      </w:r>
      <w:r>
        <w:rPr>
          <w:rFonts w:ascii="Arial" w:cs="Arial" w:eastAsia="Arial" w:hAnsi="Arial"/>
          <w:sz w:val="17"/>
          <w:szCs w:val="17"/>
          <w:b w:val="1"/>
          <w:bCs w:val="1"/>
          <w:color w:val="auto"/>
        </w:rPr>
        <w:t>Transfer of Employment or Service Relationship; Leaves of Absence</w:t>
      </w:r>
    </w:p>
    <w:p>
      <w:pPr>
        <w:spacing w:after="0" w:line="225"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A Partcipant’s transfer of employment or service relatonship between or among the Company and its Related Corporatons, or a change in status from an employee to a consultant, agent, advisor or independent contractor or vice versa, shall not be considered a terminaton of employment or service relatonship for purposes of the Plan.</w:t>
      </w:r>
    </w:p>
    <w:p>
      <w:pPr>
        <w:spacing w:after="0" w:line="213" w:lineRule="exact"/>
        <w:rPr>
          <w:sz w:val="20"/>
          <w:szCs w:val="20"/>
          <w:color w:val="auto"/>
        </w:rPr>
      </w:pPr>
    </w:p>
    <w:p>
      <w:pPr>
        <w:ind w:right="940"/>
        <w:spacing w:after="0" w:line="234" w:lineRule="auto"/>
        <w:rPr>
          <w:sz w:val="20"/>
          <w:szCs w:val="20"/>
          <w:color w:val="auto"/>
        </w:rPr>
      </w:pPr>
      <w:r>
        <w:rPr>
          <w:rFonts w:ascii="Calibri" w:cs="Calibri" w:eastAsia="Calibri" w:hAnsi="Calibri"/>
          <w:sz w:val="20"/>
          <w:szCs w:val="20"/>
          <w:color w:val="auto"/>
        </w:rPr>
        <w:t>The efect of a Company-approved leave of absence on the terms and conditons of an Award shall be determined by the Plan Administrator, in its sole discreton.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18</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18.4</w:t>
      </w:r>
      <w:r>
        <w:rPr>
          <w:sz w:val="20"/>
          <w:szCs w:val="20"/>
          <w:color w:val="auto"/>
        </w:rPr>
        <w:tab/>
      </w:r>
      <w:r>
        <w:rPr>
          <w:rFonts w:ascii="Arial" w:cs="Arial" w:eastAsia="Arial" w:hAnsi="Arial"/>
          <w:sz w:val="17"/>
          <w:szCs w:val="17"/>
          <w:b w:val="1"/>
          <w:bCs w:val="1"/>
          <w:color w:val="auto"/>
        </w:rPr>
        <w:t>Compliance with Law</w:t>
      </w:r>
    </w:p>
    <w:p>
      <w:pPr>
        <w:spacing w:after="0" w:line="225" w:lineRule="exact"/>
        <w:rPr>
          <w:sz w:val="20"/>
          <w:szCs w:val="20"/>
          <w:color w:val="auto"/>
        </w:rPr>
      </w:pPr>
    </w:p>
    <w:p>
      <w:pPr>
        <w:ind w:right="60"/>
        <w:spacing w:after="0" w:line="231" w:lineRule="auto"/>
        <w:rPr>
          <w:sz w:val="20"/>
          <w:szCs w:val="20"/>
          <w:color w:val="auto"/>
        </w:rPr>
      </w:pPr>
      <w:r>
        <w:rPr>
          <w:rFonts w:ascii="Calibri" w:cs="Calibri" w:eastAsia="Calibri" w:hAnsi="Calibri"/>
          <w:sz w:val="20"/>
          <w:szCs w:val="20"/>
          <w:color w:val="auto"/>
        </w:rPr>
        <w:t>Notwithstanding any other provision of the Plan, the Company shall have no obligaton to issue or deliver any shares of Common Stock under the Plan or make any other distributon of benefts under the Plan unless such issuance, delivery or distributon would comply with all applicable laws (including, without limitaton, the requirements of the Securites Act, exchange control law), and the applicable requirements of any securites exchange, similar entty or other governmental regulatory body, or prior to obtaining any approval or other clearance from any governmental authority, which compliance or approval the Company shall, in its absolute discreton, deem necessary or advisable; provided, however, that the Company shall have no any obligaton to register or qualify the Common Stock with, or to seek approval or clearance from any, governmental authority for the issuance, sale or delivery of Common Stock.</w:t>
      </w:r>
    </w:p>
    <w:p>
      <w:pPr>
        <w:spacing w:after="0" w:line="232"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The Company shall be under no obligaton to any Partcipant to register for ofering or resale or to qualify for exempton under the Securites Act, or to register or qualify under state securites laws or any non-U.S. securites laws, any shares of Common Stock, security or interest in a security paid or issued under, or created by, the Plan, to contnue in efect any such registratons or qualifcatons if made, or to seek approval or clearance from any governmental authority for the issuance, sale or delivery of Common Stock. The Company may issue certfcates for shares with such legends and subject to such restrictons on transfer and stop-transfer instructons as counsel for the Company deems necessary or desirable for compliance by the Company with federal and state securites laws.</w:t>
      </w:r>
    </w:p>
    <w:p>
      <w:pPr>
        <w:spacing w:after="0" w:line="211" w:lineRule="exact"/>
        <w:rPr>
          <w:sz w:val="20"/>
          <w:szCs w:val="20"/>
          <w:color w:val="auto"/>
        </w:rPr>
      </w:pPr>
    </w:p>
    <w:p>
      <w:pPr>
        <w:ind w:right="160"/>
        <w:spacing w:after="0" w:line="236" w:lineRule="auto"/>
        <w:rPr>
          <w:sz w:val="20"/>
          <w:szCs w:val="20"/>
          <w:color w:val="auto"/>
        </w:rPr>
      </w:pPr>
      <w:r>
        <w:rPr>
          <w:rFonts w:ascii="Calibri" w:cs="Calibri" w:eastAsia="Calibri" w:hAnsi="Calibri"/>
          <w:sz w:val="20"/>
          <w:szCs w:val="20"/>
          <w:color w:val="auto"/>
        </w:rPr>
        <w:t>To the extent that the Plan or any instrument evidencing an Award provides for issuance of stock certfcates to refect the issuance of shares of Common Stock, the issuance may be efected on a noncertfcated basis, to the extent not prohibited by applicable law or the applicable rules of any stock exchange.</w:t>
      </w:r>
    </w:p>
    <w:p>
      <w:pPr>
        <w:spacing w:after="0" w:line="202"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18.5</w:t>
      </w:r>
      <w:r>
        <w:rPr>
          <w:sz w:val="20"/>
          <w:szCs w:val="20"/>
          <w:color w:val="auto"/>
        </w:rPr>
        <w:tab/>
      </w:r>
      <w:r>
        <w:rPr>
          <w:rFonts w:ascii="Arial" w:cs="Arial" w:eastAsia="Arial" w:hAnsi="Arial"/>
          <w:sz w:val="17"/>
          <w:szCs w:val="17"/>
          <w:b w:val="1"/>
          <w:bCs w:val="1"/>
          <w:color w:val="auto"/>
        </w:rPr>
        <w:t>No Rights as a Shareholder</w:t>
      </w:r>
    </w:p>
    <w:p>
      <w:pPr>
        <w:spacing w:after="0" w:line="225" w:lineRule="exact"/>
        <w:rPr>
          <w:sz w:val="20"/>
          <w:szCs w:val="20"/>
          <w:color w:val="auto"/>
        </w:rPr>
      </w:pPr>
    </w:p>
    <w:p>
      <w:pPr>
        <w:ind w:right="160"/>
        <w:spacing w:after="0" w:line="228" w:lineRule="auto"/>
        <w:rPr>
          <w:sz w:val="20"/>
          <w:szCs w:val="20"/>
          <w:color w:val="auto"/>
        </w:rPr>
      </w:pPr>
      <w:r>
        <w:rPr>
          <w:rFonts w:ascii="Calibri" w:cs="Calibri" w:eastAsia="Calibri" w:hAnsi="Calibri"/>
          <w:sz w:val="20"/>
          <w:szCs w:val="20"/>
          <w:color w:val="auto"/>
        </w:rPr>
        <w:t>No Opton, SAR, Stock Unit or Performance Unit shall enttle the Partcipant to any cash dividend, votng or other right of a shareholder unless and untl the date of issuance under the Plan of the shares that are the subject of such Award.</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18.6</w:t>
      </w:r>
      <w:r>
        <w:rPr>
          <w:sz w:val="20"/>
          <w:szCs w:val="20"/>
          <w:color w:val="auto"/>
        </w:rPr>
        <w:tab/>
      </w:r>
      <w:r>
        <w:rPr>
          <w:rFonts w:ascii="Arial" w:cs="Arial" w:eastAsia="Arial" w:hAnsi="Arial"/>
          <w:sz w:val="17"/>
          <w:szCs w:val="17"/>
          <w:b w:val="1"/>
          <w:bCs w:val="1"/>
          <w:color w:val="auto"/>
        </w:rPr>
        <w:t>Interpretive Authority</w:t>
      </w:r>
    </w:p>
    <w:p>
      <w:pPr>
        <w:spacing w:after="0" w:line="211"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Notwithstanding anything in the Plan to the contrary, the Plan Administrator, in its sole discreton, may bifurcate the Plan so as to restrict, limit or conditon the use of any provision of the Plan to Partcipants who are ofcers or directors subject to Secton 16 of the Exchange Act without so restrictng, limitng or conditoning the Plan with respect to other Partcipants. Additonally, in interpretng and applying the provisions of the Plan, any Opton granted as an Incentve Stock Opton pursuant to the Plan shall, to the extent permited by law, be construed as an “incentve stock opton” within the meaning of Secton 422 of the Code.</w:t>
      </w:r>
    </w:p>
    <w:p>
      <w:pPr>
        <w:spacing w:after="0" w:line="204"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18.7</w:t>
      </w:r>
      <w:r>
        <w:rPr>
          <w:sz w:val="20"/>
          <w:szCs w:val="20"/>
          <w:color w:val="auto"/>
        </w:rPr>
        <w:tab/>
      </w:r>
      <w:r>
        <w:rPr>
          <w:rFonts w:ascii="Arial" w:cs="Arial" w:eastAsia="Arial" w:hAnsi="Arial"/>
          <w:sz w:val="17"/>
          <w:szCs w:val="17"/>
          <w:b w:val="1"/>
          <w:bCs w:val="1"/>
          <w:color w:val="auto"/>
        </w:rPr>
        <w:t>Participants in Non–U.S. Countries</w:t>
      </w:r>
    </w:p>
    <w:p>
      <w:pPr>
        <w:spacing w:after="0" w:line="225"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To facilitate compliance with the laws in non-U.S. countries in which the Company and its Related Corporatons operate or have Partcipants and/or to take advantage of specifc tax treatment for Awards granted to Partcipants in such countries, the Plan Administrator shall have the power and authority to: (i) modify the terms and conditons of any Award; (ii) establish subplans and modify exercise procedures and other terms and procedures, to the extent such actons may be necessary or desirable,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19</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88"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adopton of rules, procedures or sub-plans applicable to partcular Related Corporatons or Partcipants residing in partcular locatons; provided, however, that no such subplans and/or modifcatons shall increase the share limitatons contained in Sectons 4 of the Plan; and (iii) take any acton, before or afer an Award is made, that it deems advisable to obtain approval or comply with any necessary local governmental regulatory exemptons or approvals. Notwithstanding the foregoing, the Plan Administrator may not take any actons hereunder, and no Awards shall be granted, that would violate the Exchange Act, the Code, any securites law or governing statute or any other law applicable to the Common Stock or the issuance of Common Stock under the Plan.</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18.8</w:t>
      </w:r>
      <w:r>
        <w:rPr>
          <w:sz w:val="20"/>
          <w:szCs w:val="20"/>
          <w:color w:val="auto"/>
        </w:rPr>
        <w:tab/>
      </w:r>
      <w:r>
        <w:rPr>
          <w:rFonts w:ascii="Arial" w:cs="Arial" w:eastAsia="Arial" w:hAnsi="Arial"/>
          <w:sz w:val="17"/>
          <w:szCs w:val="17"/>
          <w:b w:val="1"/>
          <w:bCs w:val="1"/>
          <w:color w:val="auto"/>
        </w:rPr>
        <w:t>No Trust or Fund</w:t>
      </w:r>
    </w:p>
    <w:p>
      <w:pPr>
        <w:spacing w:after="0" w:line="211" w:lineRule="exact"/>
        <w:rPr>
          <w:sz w:val="20"/>
          <w:szCs w:val="20"/>
          <w:color w:val="auto"/>
        </w:rPr>
      </w:pPr>
    </w:p>
    <w:p>
      <w:pPr>
        <w:ind w:right="140"/>
        <w:spacing w:after="0" w:line="233" w:lineRule="auto"/>
        <w:rPr>
          <w:sz w:val="20"/>
          <w:szCs w:val="20"/>
          <w:color w:val="auto"/>
        </w:rPr>
      </w:pPr>
      <w:r>
        <w:rPr>
          <w:rFonts w:ascii="Calibri" w:cs="Calibri" w:eastAsia="Calibri" w:hAnsi="Calibri"/>
          <w:sz w:val="20"/>
          <w:szCs w:val="20"/>
          <w:color w:val="auto"/>
        </w:rPr>
        <w:t>The Plan is intended to consttute an “unfunded” plan. Nothing contained herein shall require the Company to segregate any monies or other property, or shares of Common Stock, or to create any trusts, or to make any special deposits for any immediate or deferred amounts payable to any Partcipant, and no Partcipant shall have any rights that are greater than those of a general unsecured creditor of the Company.</w:t>
      </w:r>
    </w:p>
    <w:p>
      <w:pPr>
        <w:spacing w:after="0" w:line="21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18.9</w:t>
      </w:r>
      <w:r>
        <w:rPr>
          <w:sz w:val="20"/>
          <w:szCs w:val="20"/>
          <w:color w:val="auto"/>
        </w:rPr>
        <w:tab/>
      </w:r>
      <w:r>
        <w:rPr>
          <w:rFonts w:ascii="Arial" w:cs="Arial" w:eastAsia="Arial" w:hAnsi="Arial"/>
          <w:sz w:val="17"/>
          <w:szCs w:val="17"/>
          <w:b w:val="1"/>
          <w:bCs w:val="1"/>
          <w:color w:val="auto"/>
        </w:rPr>
        <w:t>Section 409A</w:t>
      </w:r>
    </w:p>
    <w:p>
      <w:pPr>
        <w:spacing w:after="0" w:line="211"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To the extent that the Plan Administrator determines that any Award granted under the Plan is subject to Secton 409A of the Code, the writen instrument evidencing such Award shall incorporate the terms and conditons required by Secton 409A of the Code. To the extent applicable, the Plan and any writen instrument evidencing any Award shall be interpreted in accordance with Secton 409A of the Code and U.S. Department of Treasury regulatons and other interpretve guidance issued thereunder, including without limitaton any such regulatons or other guidance that may be issued afer the Restatement Efectve Date. Notwithstanding any provision of the Plan to the contrary, in the event that following the Restatement Efectve Date the Plan Administrator determines that any Award may be subject to Secton 409A of the Code and related U.S. Department of Treasury guidance (including such U.S. Department of Treasury guidance as may be issued afer the Restatement Efectve Date), the Plan Administrator may, without consent of the Partcipant, adopt such amendments to the Plan and the applicable writen instrument evidencing the Award or adopt other policies and procedures (including amendments, policies and procedures with retroactve efect), or take any other actons, including amendments or actons that would result in a reducton to the benefts payable under an Award, in each case, without the consent of the Partcipant, that the Plan Administrator determines are necessary or appropriate to (a) exempt the Award from Secton 409A of the Code and/or preserve the intended tax treatment of the benefts provided with respect to the Award, or (b) comply with the requirements of Secton 409A of the Code and related U.S. Department of Treasury guidance and thereby avoid the applicaton of any penalty taxes under such Secton or mitgate any additonal tax, interest, and/or penaltes or other adverse tax consequences that may apply under Secton 409A of the Code if compliance is not practcal. Notwithstanding the foregoing, the Company makes no representaton or covenant to ensure that the Awards and the payment are exempt from or compliant with Secton 409A of the Code and will have no liability to the Partcipants or any other party if the Awards or payment of the Awards that are intended to be exempt from, or compliant with, Secton 409A of the Code, are not so exempt or compliant or for any acton taken by the Plan Administrator with respect thereto.</w:t>
      </w:r>
    </w:p>
    <w:p>
      <w:pPr>
        <w:spacing w:after="0" w:line="212"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18.10</w:t>
      </w:r>
      <w:r>
        <w:rPr>
          <w:sz w:val="20"/>
          <w:szCs w:val="20"/>
          <w:color w:val="auto"/>
        </w:rPr>
        <w:tab/>
      </w:r>
      <w:r>
        <w:rPr>
          <w:rFonts w:ascii="Arial" w:cs="Arial" w:eastAsia="Arial" w:hAnsi="Arial"/>
          <w:sz w:val="18"/>
          <w:szCs w:val="18"/>
          <w:b w:val="1"/>
          <w:bCs w:val="1"/>
          <w:color w:val="auto"/>
        </w:rPr>
        <w:t>Severability</w:t>
      </w:r>
    </w:p>
    <w:p>
      <w:pPr>
        <w:spacing w:after="0" w:line="225" w:lineRule="exact"/>
        <w:rPr>
          <w:sz w:val="20"/>
          <w:szCs w:val="20"/>
          <w:color w:val="auto"/>
        </w:rPr>
      </w:pPr>
    </w:p>
    <w:p>
      <w:pPr>
        <w:ind w:right="220"/>
        <w:spacing w:after="0" w:line="234" w:lineRule="auto"/>
        <w:rPr>
          <w:sz w:val="20"/>
          <w:szCs w:val="20"/>
          <w:color w:val="auto"/>
        </w:rPr>
      </w:pPr>
      <w:r>
        <w:rPr>
          <w:rFonts w:ascii="Calibri" w:cs="Calibri" w:eastAsia="Calibri" w:hAnsi="Calibri"/>
          <w:sz w:val="20"/>
          <w:szCs w:val="20"/>
          <w:color w:val="auto"/>
        </w:rPr>
        <w:t>If any provision of the Plan or any Award is determined to be invalid, illegal or unenforceable in any jurisdicton, or as to any person, or would disqualify the Plan or any Award under any law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20</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88" w:lineRule="exact"/>
        <w:rPr>
          <w:sz w:val="20"/>
          <w:szCs w:val="20"/>
          <w:color w:val="auto"/>
        </w:rPr>
      </w:pPr>
    </w:p>
    <w:p>
      <w:pPr>
        <w:ind w:right="120"/>
        <w:spacing w:after="0" w:line="233" w:lineRule="auto"/>
        <w:rPr>
          <w:sz w:val="20"/>
          <w:szCs w:val="20"/>
          <w:color w:val="auto"/>
        </w:rPr>
      </w:pPr>
      <w:r>
        <w:rPr>
          <w:rFonts w:ascii="Calibri" w:cs="Calibri" w:eastAsia="Calibri" w:hAnsi="Calibri"/>
          <w:sz w:val="20"/>
          <w:szCs w:val="20"/>
          <w:color w:val="auto"/>
        </w:rPr>
        <w:t>applicable by the Plan Administrator, such provision shall be construed or deemed amended to conform to applicable laws, or, if it cannot be so construed or deemed amended without, in the Plan Administrator’s determinaton, materially altering the intent of the Plan or the Award, such provision shall be stricken as to such jurisdicton, person or Award, and the remainder of the Plan and any such Award shall remain in full force and efect.</w:t>
      </w:r>
    </w:p>
    <w:p>
      <w:pPr>
        <w:spacing w:after="0" w:line="20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18.11</w:t>
      </w:r>
      <w:r>
        <w:rPr>
          <w:sz w:val="20"/>
          <w:szCs w:val="20"/>
          <w:color w:val="auto"/>
        </w:rPr>
        <w:tab/>
      </w:r>
      <w:r>
        <w:rPr>
          <w:rFonts w:ascii="Arial" w:cs="Arial" w:eastAsia="Arial" w:hAnsi="Arial"/>
          <w:sz w:val="17"/>
          <w:szCs w:val="17"/>
          <w:b w:val="1"/>
          <w:bCs w:val="1"/>
          <w:color w:val="auto"/>
        </w:rPr>
        <w:t>Choice of Law</w:t>
      </w:r>
    </w:p>
    <w:p>
      <w:pPr>
        <w:spacing w:after="0" w:line="225" w:lineRule="exact"/>
        <w:rPr>
          <w:sz w:val="20"/>
          <w:szCs w:val="20"/>
          <w:color w:val="auto"/>
        </w:rPr>
      </w:pPr>
    </w:p>
    <w:p>
      <w:pPr>
        <w:ind w:right="540"/>
        <w:spacing w:after="0" w:line="234" w:lineRule="auto"/>
        <w:rPr>
          <w:sz w:val="20"/>
          <w:szCs w:val="20"/>
          <w:color w:val="auto"/>
        </w:rPr>
      </w:pPr>
      <w:r>
        <w:rPr>
          <w:rFonts w:ascii="Calibri" w:cs="Calibri" w:eastAsia="Calibri" w:hAnsi="Calibri"/>
          <w:sz w:val="20"/>
          <w:szCs w:val="20"/>
          <w:color w:val="auto"/>
        </w:rPr>
        <w:t>The Plan and all determinatons made and actons taken pursuant hereto, to the extent not otherwise governed by the laws of the United States, shall be governed by the laws of the State of Washington without giving efect to confict of laws principles.</w:t>
      </w:r>
    </w:p>
    <w:p>
      <w:pPr>
        <w:spacing w:after="0" w:line="20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18.12</w:t>
      </w:r>
      <w:r>
        <w:rPr>
          <w:sz w:val="20"/>
          <w:szCs w:val="20"/>
          <w:color w:val="auto"/>
        </w:rPr>
        <w:tab/>
      </w:r>
      <w:r>
        <w:rPr>
          <w:rFonts w:ascii="Arial" w:cs="Arial" w:eastAsia="Arial" w:hAnsi="Arial"/>
          <w:sz w:val="17"/>
          <w:szCs w:val="17"/>
          <w:b w:val="1"/>
          <w:bCs w:val="1"/>
          <w:color w:val="auto"/>
        </w:rPr>
        <w:t>No Representation or Warranty Regarding Tax Treatment</w:t>
      </w:r>
      <w:r>
        <w:rPr>
          <w:rFonts w:ascii="Arial" w:cs="Arial" w:eastAsia="Arial" w:hAnsi="Arial"/>
          <w:sz w:val="17"/>
          <w:szCs w:val="17"/>
          <w:color w:val="auto"/>
        </w:rPr>
        <w:t>.</w:t>
      </w:r>
    </w:p>
    <w:p>
      <w:pPr>
        <w:spacing w:after="0" w:line="225" w:lineRule="exact"/>
        <w:rPr>
          <w:sz w:val="20"/>
          <w:szCs w:val="20"/>
          <w:color w:val="auto"/>
        </w:rPr>
      </w:pPr>
    </w:p>
    <w:p>
      <w:pPr>
        <w:ind w:right="200"/>
        <w:spacing w:after="0" w:line="228" w:lineRule="auto"/>
        <w:rPr>
          <w:sz w:val="20"/>
          <w:szCs w:val="20"/>
          <w:color w:val="auto"/>
        </w:rPr>
      </w:pPr>
      <w:r>
        <w:rPr>
          <w:rFonts w:ascii="Calibri" w:cs="Calibri" w:eastAsia="Calibri" w:hAnsi="Calibri"/>
          <w:sz w:val="20"/>
          <w:szCs w:val="20"/>
          <w:color w:val="auto"/>
        </w:rPr>
        <w:t>Notwithstanding any language contained in the Plan or any Award, the Company does not represent or warrant that any partcular tax treatment will be achieved.</w:t>
      </w:r>
    </w:p>
    <w:p>
      <w:pPr>
        <w:spacing w:after="0" w:line="215"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18.13</w:t>
      </w:r>
      <w:r>
        <w:rPr>
          <w:sz w:val="20"/>
          <w:szCs w:val="20"/>
          <w:color w:val="auto"/>
        </w:rPr>
        <w:tab/>
      </w:r>
      <w:r>
        <w:rPr>
          <w:rFonts w:ascii="Arial" w:cs="Arial" w:eastAsia="Arial" w:hAnsi="Arial"/>
          <w:sz w:val="17"/>
          <w:szCs w:val="17"/>
          <w:b w:val="1"/>
          <w:bCs w:val="1"/>
          <w:color w:val="auto"/>
        </w:rPr>
        <w:t>Fractional Shares.</w:t>
      </w:r>
    </w:p>
    <w:p>
      <w:pPr>
        <w:spacing w:after="0" w:line="225" w:lineRule="exact"/>
        <w:rPr>
          <w:sz w:val="20"/>
          <w:szCs w:val="20"/>
          <w:color w:val="auto"/>
        </w:rPr>
      </w:pPr>
    </w:p>
    <w:p>
      <w:pPr>
        <w:ind w:right="380"/>
        <w:spacing w:after="0" w:line="230" w:lineRule="auto"/>
        <w:rPr>
          <w:sz w:val="20"/>
          <w:szCs w:val="20"/>
          <w:color w:val="auto"/>
        </w:rPr>
      </w:pPr>
      <w:r>
        <w:rPr>
          <w:rFonts w:ascii="Calibri" w:cs="Calibri" w:eastAsia="Calibri" w:hAnsi="Calibri"/>
          <w:sz w:val="20"/>
          <w:szCs w:val="20"/>
          <w:color w:val="auto"/>
        </w:rPr>
        <w:t>Unless the Plan Administrator provides otherwise, no fractonal shares shall be issuable by the Company pursuant to the exercise or setlement of Awards under the Plan. The Plan Administrator shall also have the authority to determine whether fractonal shares subject to an Award shall be rounded down to the nearest whole share of Common Stock or a cash payment shall be made in lieu of fractonal shares.</w:t>
      </w:r>
    </w:p>
    <w:p>
      <w:pPr>
        <w:spacing w:after="0" w:line="2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7"/>
          <w:szCs w:val="17"/>
          <w:b w:val="1"/>
          <w:bCs w:val="1"/>
          <w:color w:val="auto"/>
        </w:rPr>
        <w:t>CLAWBACK/RECOVERY</w:t>
      </w:r>
    </w:p>
    <w:p>
      <w:pPr>
        <w:spacing w:after="0" w:line="219"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All Awards granted under the Plan will be subject to recoupment in accordance with any clawback policy that the Company adopts pursuant to the listng standards of any natonal securites exchange or associaton on which the Company’s securites are listed or as is otherwise required by the Dodd-Frank Wall Street Reform and Consumer Protecton Act, including any implementng rules adopted under the Exchange Act and by the Nasdaq or other applicable law. In additon, the Plan Administrator may impose such other clawback, recovery or recoupment provisions on an Award as the Plan Administrator determines necessary or appropriate, including, but not limited to, a reacquisiton right in respect of previously acquired shares of Common Stock or other cash or property upon the occurrence of cause (as determined by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21</w:t>
      </w:r>
    </w:p>
    <w:p>
      <w:pPr>
        <w:sectPr>
          <w:pgSz w:w="11900" w:h="16838" w:orient="portrait"/>
          <w:cols w:equalWidth="0" w:num="1">
            <w:col w:w="11200"/>
          </w:cols>
          <w:pgMar w:left="320" w:top="1440" w:right="37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THIRD AMENDMENT TO THE</w:t>
      </w:r>
    </w:p>
    <w:p>
      <w:pPr>
        <w:spacing w:after="0" w:line="20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ITRON, INC. EXECUTIVE DEFERRED COMPENSATION PLAN</w:t>
      </w:r>
    </w:p>
    <w:p>
      <w:pPr>
        <w:spacing w:after="0" w:line="20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As Amended and Restated Effective January 1, 2012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Itron, Inc. (the “Company”) has adopted, and currently maintains, the Itron, Inc. Executive Deferred</w:t>
      </w:r>
    </w:p>
    <w:p>
      <w:pPr>
        <w:spacing w:after="0" w:line="179" w:lineRule="exact"/>
        <w:rPr>
          <w:sz w:val="20"/>
          <w:szCs w:val="20"/>
          <w:color w:val="auto"/>
        </w:rPr>
      </w:pPr>
    </w:p>
    <w:p>
      <w:pPr>
        <w:ind w:right="2780"/>
        <w:spacing w:after="0" w:line="427" w:lineRule="auto"/>
        <w:rPr>
          <w:sz w:val="20"/>
          <w:szCs w:val="20"/>
          <w:color w:val="auto"/>
        </w:rPr>
      </w:pPr>
      <w:r>
        <w:rPr>
          <w:rFonts w:ascii="Times New Roman" w:cs="Times New Roman" w:eastAsia="Times New Roman" w:hAnsi="Times New Roman"/>
          <w:sz w:val="20"/>
          <w:szCs w:val="20"/>
          <w:color w:val="auto"/>
        </w:rPr>
        <w:t>Compensation Plan (the “Plan”), pursuant to which a select group of management and highly compensated employees may defer compensation and equity compensation awards; and</w:t>
      </w:r>
    </w:p>
    <w:p>
      <w:pPr>
        <w:spacing w:after="0" w:line="1"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effective as of January 1, 2012, the Plan permits non-employee members of the Company’s Board of Directors (the “Board”)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defer directors fees and equity compensation awards; and</w:t>
      </w:r>
    </w:p>
    <w:p>
      <w:pPr>
        <w:spacing w:after="0" w:line="98"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 the terms of the Plan are designed to satisfy the tax requirements of the U.S. but not other jurisdictions, only U.S.-based non-employee members of the Board presently participate in the Plan.</w:t>
      </w:r>
    </w:p>
    <w:p>
      <w:pPr>
        <w:spacing w:after="0" w:line="98"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Compensation Committee of the Board (the “Compensation Committee”), pursuant to its authority under the Plan,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the Plan to authorize the adoption of addenda setting forth terms and conditions that shall apply to participants located outside of the United States to facilitate compliance with local applicable legal requirements and/or to accommodate local tax considerations for the participants,</w:t>
      </w:r>
    </w:p>
    <w:p>
      <w:pPr>
        <w:spacing w:after="0" w:line="132"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Compensation Committee, pursuant to its authority under the Plan and the amendment contemplated pursuant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foregoing recital, has adopted an addendum to the Plan to permit non-employee members of the Board residing in Canada to participate in the Plan in accordance with the terms set forth therein (the “Canada Addendum”).</w:t>
      </w:r>
    </w:p>
    <w:p>
      <w:pPr>
        <w:spacing w:after="0" w:line="115" w:lineRule="exact"/>
        <w:rPr>
          <w:sz w:val="20"/>
          <w:szCs w:val="20"/>
          <w:color w:val="auto"/>
        </w:rPr>
      </w:pPr>
    </w:p>
    <w:p>
      <w:pPr>
        <w:ind w:right="580"/>
        <w:spacing w:after="0" w:line="31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Compensation Committee has authorized the Company to document the amendments to the Plan contemplated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foregoing recital; and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desires to document the amendments to the Plan contemplated in the foregoing recitals.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Plan is amended as follows, as of May 8,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Non-U.S. Participants</w:t>
      </w:r>
    </w:p>
    <w:p>
      <w:pPr>
        <w:spacing w:after="0" w:line="206" w:lineRule="exact"/>
        <w:rPr>
          <w:sz w:val="20"/>
          <w:szCs w:val="20"/>
          <w:color w:val="auto"/>
        </w:rPr>
      </w:pPr>
    </w:p>
    <w:p>
      <w:pPr>
        <w:ind w:left="860" w:hanging="528"/>
        <w:spacing w:after="0"/>
        <w:tabs>
          <w:tab w:leader="none" w:pos="8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12.12 is added to read as follows:</w:t>
      </w:r>
    </w:p>
    <w:p>
      <w:pPr>
        <w:spacing w:after="0" w:line="202"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20"/>
          <w:szCs w:val="20"/>
          <w:color w:val="auto"/>
        </w:rPr>
        <w:t>“The Plan shall be subject to any special terms and conditions set forth in any addendum to the Plan. Moreover, if a Participant relocates to one of the countries included in an addendum, the terms and conditions for such country shall apply to the Participant, to the extent the Administrator determines, in its sole discretion, that the application of such terms and conditions is necessary or advisable for legal, tax or administrative reasons. Any addendum shall constitute part of the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 Addendum</w:t>
      </w:r>
    </w:p>
    <w:p>
      <w:pPr>
        <w:spacing w:after="0" w:line="202" w:lineRule="exact"/>
        <w:rPr>
          <w:sz w:val="20"/>
          <w:szCs w:val="20"/>
          <w:color w:val="auto"/>
        </w:rPr>
      </w:pPr>
    </w:p>
    <w:p>
      <w:pPr>
        <w:ind w:left="660" w:right="40" w:hanging="328"/>
        <w:spacing w:after="0" w:line="315"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Section 12.12 of the Plan, the Canada Addendum that is attached hereto as </w:t>
      </w:r>
      <w:r>
        <w:rPr>
          <w:rFonts w:ascii="Times New Roman" w:cs="Times New Roman" w:eastAsia="Times New Roman" w:hAnsi="Times New Roman"/>
          <w:sz w:val="20"/>
          <w:szCs w:val="20"/>
          <w:b w:val="1"/>
          <w:bCs w:val="1"/>
          <w:u w:val="single" w:color="auto"/>
          <w:color w:val="auto"/>
        </w:rPr>
        <w:t>Attachment A</w:t>
      </w:r>
      <w:r>
        <w:rPr>
          <w:rFonts w:ascii="Times New Roman" w:cs="Times New Roman" w:eastAsia="Times New Roman" w:hAnsi="Times New Roman"/>
          <w:sz w:val="20"/>
          <w:szCs w:val="20"/>
          <w:color w:val="auto"/>
        </w:rPr>
        <w:t xml:space="preserve"> shall be made an addendum to the Plan.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as amended above, the provisions of the Plan shall continue in full force and effect.</w:t>
      </w:r>
    </w:p>
    <w:p>
      <w:pPr>
        <w:sectPr>
          <w:pgSz w:w="11900" w:h="16838" w:orient="portrait"/>
          <w:cols w:equalWidth="0" w:num="1">
            <w:col w:w="11240"/>
          </w:cols>
          <w:pgMar w:left="320" w:top="100" w:right="339" w:bottom="1440" w:gutter="0" w:footer="0" w:header="0"/>
        </w:sectPr>
      </w:pPr>
    </w:p>
    <w:bookmarkStart w:id="79" w:name="page80"/>
    <w:bookmarkEnd w:id="79"/>
    <w:p>
      <w:pPr>
        <w:spacing w:after="0" w:line="3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IN WITNESS WHEREOF, the Company, by its duly authorized officer, has caused this Amendment to be executed as of the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May 2024.</w:t>
      </w:r>
    </w:p>
    <w:p>
      <w:pPr>
        <w:spacing w:after="0" w:line="200" w:lineRule="exact"/>
        <w:rPr>
          <w:sz w:val="20"/>
          <w:szCs w:val="20"/>
          <w:color w:val="auto"/>
        </w:rPr>
      </w:pPr>
    </w:p>
    <w:p>
      <w:pPr>
        <w:spacing w:after="0" w:line="36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Christopher E. Ware</w:t>
      </w:r>
    </w:p>
    <w:p>
      <w:pPr>
        <w:spacing w:after="0" w:line="20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Christopher E. Ware</w:t>
      </w:r>
    </w:p>
    <w:p>
      <w:pPr>
        <w:spacing w:after="0" w:line="202" w:lineRule="exact"/>
        <w:rPr>
          <w:sz w:val="20"/>
          <w:szCs w:val="20"/>
          <w:color w:val="auto"/>
        </w:rPr>
      </w:pPr>
    </w:p>
    <w:p>
      <w:pPr>
        <w:ind w:left="4220"/>
        <w:spacing w:after="0"/>
        <w:tabs>
          <w:tab w:leader="none" w:pos="4860" w:val="left"/>
        </w:tabs>
        <w:rPr>
          <w:sz w:val="20"/>
          <w:szCs w:val="20"/>
          <w:color w:val="auto"/>
        </w:rPr>
      </w:pPr>
      <w:r>
        <w:rPr>
          <w:rFonts w:ascii="Times New Roman" w:cs="Times New Roman" w:eastAsia="Times New Roman" w:hAnsi="Times New Roman"/>
          <w:sz w:val="20"/>
          <w:szCs w:val="20"/>
          <w:color w:val="auto"/>
        </w:rPr>
        <w:t>Title:</w:t>
        <w:tab/>
        <w:t>Senior Vice President, General Counsel &amp;</w:t>
      </w:r>
    </w:p>
    <w:p>
      <w:pPr>
        <w:spacing w:after="0" w:line="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Corporate Secretary</w:t>
      </w:r>
    </w:p>
    <w:p>
      <w:pPr>
        <w:sectPr>
          <w:pgSz w:w="11900" w:h="16838" w:orient="portrait"/>
          <w:cols w:equalWidth="0" w:num="1">
            <w:col w:w="11080"/>
          </w:cols>
          <w:pgMar w:left="320" w:top="1440" w:right="49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Attachment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to the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Deferred Compensation Plan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January 1, 2012</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Dated as of May 8, 2024)</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Eligible Directors in Canada</w:t>
      </w:r>
    </w:p>
    <w:p>
      <w:pPr>
        <w:spacing w:after="0" w:line="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addition to the terms and conditions of the Plan, as may be amended from time to time, to the extent the Eligible Director resides and is employed or provides service primarily in Canada, or to the extent the Administrator determines, or as otherwise set out herein, any deferral of compensation shall be subject to the following additional terms and conditions as set forth in this addendum, as may be amended from time to time, unless otherwise determined by the Administrator, (the “</w:t>
      </w:r>
      <w:r>
        <w:rPr>
          <w:rFonts w:ascii="Times New Roman" w:cs="Times New Roman" w:eastAsia="Times New Roman" w:hAnsi="Times New Roman"/>
          <w:sz w:val="22"/>
          <w:szCs w:val="22"/>
          <w:b w:val="1"/>
          <w:bCs w:val="1"/>
          <w:color w:val="auto"/>
        </w:rPr>
        <w:t>Canada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Capitalized terms used in this Canada Addendum but not defined herein shall have the same meaning as assigned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such terms in the Plan. If there is an inconsistency between this Canada Addendum and the Plan, the applicable terms of this Canada Addendum shall prevail.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4.1 Salary Deferrals. </w:t>
      </w:r>
      <w:r>
        <w:rPr>
          <w:rFonts w:ascii="Times New Roman" w:cs="Times New Roman" w:eastAsia="Times New Roman" w:hAnsi="Times New Roman"/>
          <w:sz w:val="22"/>
          <w:szCs w:val="22"/>
          <w:color w:val="auto"/>
        </w:rPr>
        <w:t>Section 4.1 of the Plan shall be deleted in its entirety and of no further force or effect.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4.2 Bonus Deferrals. </w:t>
      </w:r>
      <w:r>
        <w:rPr>
          <w:rFonts w:ascii="Times New Roman" w:cs="Times New Roman" w:eastAsia="Times New Roman" w:hAnsi="Times New Roman"/>
          <w:sz w:val="22"/>
          <w:szCs w:val="22"/>
          <w:color w:val="auto"/>
        </w:rPr>
        <w:t>Section 4.2 of the Plan shall be deleted in its entirety and of no further force or effect.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4.3 Director Fees Deferrals. </w:t>
      </w:r>
      <w:r>
        <w:rPr>
          <w:rFonts w:ascii="Times New Roman" w:cs="Times New Roman" w:eastAsia="Times New Roman" w:hAnsi="Times New Roman"/>
          <w:sz w:val="22"/>
          <w:szCs w:val="22"/>
          <w:color w:val="auto"/>
        </w:rPr>
        <w:t>The following provision replaces Section 4.3 of the Plan:</w:t>
      </w:r>
    </w:p>
    <w:p>
      <w:pPr>
        <w:spacing w:after="0" w:line="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Effective for Directors Fees payable in the form of shares of common stock of the Company that are earned on or after January 1, 2024 (the “Equity Director Fees”), an Eligible Director may elect to defer receipt of up to one hundred percent (100%) of any Equity Director Fees that he or she anticipates receiving. Such election shall be made by filing a Deferral Agreement with the Company in the manner and by the time specified by the Administrator; provided, however, that such Deferral Agreement must be filed with the Company prior to the first day of the first calendar year for which it is to be effective and shall become irrevocable with respect to a calendar year on the last day of the calendar year immediately preceding such calendar year (or such earlier date as the Administrator may prescribe). Notwithstanding the foregoing, (i) an Eligible Director who was eligible to participate in the Plan as of the date this Canada Addendum became effective may elect to defer Equity Director Fees that have not yet been earned in calendar year 2024 and for which the service period has not yet commenced (as of the date his or her Deferral Agreement is filed with the Company) prior to the date the service period corresponding to the Director Fees commences, and (ii) an Eligible Director who first becomes eligible to participate in the Plan during a calendar year may elect to defer Equity Director Fees that have not yet been earned in that calendar year and for which the service period has not yet commenced (as of the date his or her Deferral Agreement is filed with the Company) within thirty (30) days after becoming eligible to participate in the Plan. For the avoidance of doubt, an Eligible Director may not elect to defer any Director Fees that are payable in cash.</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8.1 Timing of Distribution. </w:t>
      </w:r>
      <w:r>
        <w:rPr>
          <w:rFonts w:ascii="Times New Roman" w:cs="Times New Roman" w:eastAsia="Times New Roman" w:hAnsi="Times New Roman"/>
          <w:sz w:val="22"/>
          <w:szCs w:val="22"/>
          <w:color w:val="auto"/>
        </w:rPr>
        <w:t>The following provision replaces Section 8.1 of the Plan:</w:t>
      </w:r>
    </w:p>
    <w:p>
      <w:pPr>
        <w:sectPr>
          <w:pgSz w:w="11900" w:h="16838" w:orient="portrait"/>
          <w:cols w:equalWidth="0" w:num="1">
            <w:col w:w="11240"/>
          </w:cols>
          <w:pgMar w:left="320" w:top="1355" w:right="339" w:bottom="1440" w:gutter="0" w:footer="0" w:header="0"/>
        </w:sectPr>
      </w:pPr>
    </w:p>
    <w:bookmarkStart w:id="81" w:name="page82"/>
    <w:bookmarkEnd w:id="81"/>
    <w:p>
      <w:pPr>
        <w:jc w:val="both"/>
        <w:spacing w:after="0" w:line="275" w:lineRule="auto"/>
        <w:rPr>
          <w:sz w:val="20"/>
          <w:szCs w:val="20"/>
          <w:color w:val="auto"/>
        </w:rPr>
      </w:pPr>
      <w:r>
        <w:rPr>
          <w:rFonts w:ascii="Times New Roman" w:cs="Times New Roman" w:eastAsia="Times New Roman" w:hAnsi="Times New Roman"/>
          <w:sz w:val="21"/>
          <w:szCs w:val="21"/>
          <w:color w:val="auto"/>
        </w:rPr>
        <w:t>With respect to deferrals made by Director-Participants, and except as provided otherwise in this Article VIII, a Participant’s Account shall commence to be distributed to the Participant within ninety (90) days after the Participant’s Termination and shall be distributed to the Participant no later than the end of the first calendar year commencing after the Participant’s Termination.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8.2 Form of Distribution. </w:t>
      </w:r>
      <w:r>
        <w:rPr>
          <w:rFonts w:ascii="Times New Roman" w:cs="Times New Roman" w:eastAsia="Times New Roman" w:hAnsi="Times New Roman"/>
          <w:sz w:val="22"/>
          <w:szCs w:val="22"/>
          <w:color w:val="auto"/>
        </w:rPr>
        <w:t>Section 8.2 of the Plan shall be deleted in its entirety and of no further force or effect.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8.3 Unforeseeable Emergency. </w:t>
      </w:r>
      <w:r>
        <w:rPr>
          <w:rFonts w:ascii="Times New Roman" w:cs="Times New Roman" w:eastAsia="Times New Roman" w:hAnsi="Times New Roman"/>
          <w:sz w:val="22"/>
          <w:szCs w:val="22"/>
          <w:color w:val="auto"/>
        </w:rPr>
        <w:t>Section 8.3 of the Plan shall be deleted in its entirety and of no further force or effect.</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8.6 Distribution of Small Account Balances. </w:t>
      </w:r>
      <w:r>
        <w:rPr>
          <w:rFonts w:ascii="Times New Roman" w:cs="Times New Roman" w:eastAsia="Times New Roman" w:hAnsi="Times New Roman"/>
          <w:sz w:val="22"/>
          <w:szCs w:val="22"/>
          <w:color w:val="auto"/>
        </w:rPr>
        <w:t>Section 8.6 of the Plan shall be deleted in its entirety and of no further force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w:t>
      </w:r>
    </w:p>
    <w:p>
      <w:pPr>
        <w:spacing w:after="0" w:line="1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8.8 Delay Due to Non-Deductibility under Section 162(m). </w:t>
      </w:r>
      <w:r>
        <w:rPr>
          <w:rFonts w:ascii="Times New Roman" w:cs="Times New Roman" w:eastAsia="Times New Roman" w:hAnsi="Times New Roman"/>
          <w:sz w:val="22"/>
          <w:szCs w:val="22"/>
          <w:color w:val="auto"/>
        </w:rPr>
        <w:t>Section 8.8 of the Plan shall be deleted in its entirety and of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force or effect.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8.9 Distribution in Event of Taxation. </w:t>
      </w:r>
      <w:r>
        <w:rPr>
          <w:rFonts w:ascii="Times New Roman" w:cs="Times New Roman" w:eastAsia="Times New Roman" w:hAnsi="Times New Roman"/>
          <w:sz w:val="22"/>
          <w:szCs w:val="22"/>
          <w:color w:val="auto"/>
        </w:rPr>
        <w:t>Section 8.9 of the Plan shall be deleted in its entirety and of no further force or effect.</w:t>
      </w:r>
    </w:p>
    <w:p>
      <w:pPr>
        <w:sectPr>
          <w:pgSz w:w="11900" w:h="16838" w:orient="portrait"/>
          <w:cols w:equalWidth="0" w:num="1">
            <w:col w:w="11240"/>
          </w:cols>
          <w:pgMar w:left="320" w:top="134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June 30, 2024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2024</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2024</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80"/>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lowerLetter"/>
      <w:start w:val="1"/>
    </w:lvl>
    <w:lvl w:ilvl="1">
      <w:lvlJc w:val="left"/>
      <w:lvlText w:val="•"/>
      <w:numFmt w:val="bullet"/>
      <w:start w:val="1"/>
    </w:lvl>
  </w:abstractNum>
  <w:abstractNum w:abstractNumId="13">
    <w:nsid w:val="4353D0CD"/>
    <w:multiLevelType w:val="hybridMultilevel"/>
    <w:lvl w:ilvl="0">
      <w:lvlJc w:val="left"/>
      <w:lvlText w:val="%1"/>
      <w:numFmt w:val="decimal"/>
      <w:start w:val="101"/>
    </w:lvl>
  </w:abstractNum>
  <w:abstractNum w:abstractNumId="14">
    <w:nsid w:val="B03E0C6"/>
    <w:multiLevelType w:val="hybridMultilevel"/>
    <w:lvl w:ilvl="0">
      <w:lvlJc w:val="left"/>
      <w:lvlText w:val="%1"/>
      <w:numFmt w:val="decimal"/>
      <w:start w:val="104"/>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bullet"/>
      <w:start w:val="1"/>
    </w:lvl>
  </w:abstractNum>
  <w:abstractNum w:abstractNumId="17">
    <w:nsid w:val="71F32454"/>
    <w:multiLevelType w:val="hybridMultilevel"/>
    <w:lvl w:ilvl="0">
      <w:lvlJc w:val="left"/>
      <w:lvlText w:val="2"/>
      <w:numFmt w:val="bullet"/>
      <w:start w:val="1"/>
    </w:lvl>
  </w:abstractNum>
  <w:abstractNum w:abstractNumId="18">
    <w:nsid w:val="2CA88611"/>
    <w:multiLevelType w:val="hybridMultilevel"/>
    <w:lvl w:ilvl="0">
      <w:lvlJc w:val="left"/>
      <w:lvlText w:val="%1."/>
      <w:numFmt w:val="decimal"/>
      <w:start w:val="3"/>
    </w:lvl>
    <w:lvl w:ilvl="1">
      <w:lvlJc w:val="left"/>
      <w:lvlText w:val="(%2)"/>
      <w:numFmt w:val="lowerLetter"/>
      <w:start w:val="1"/>
    </w:lvl>
  </w:abstractNum>
  <w:abstractNum w:abstractNumId="19">
    <w:nsid w:val="836C40E"/>
    <w:multiLevelType w:val="hybridMultilevel"/>
    <w:lvl w:ilvl="0">
      <w:lvlJc w:val="left"/>
      <w:lvlText w:val="3"/>
      <w:numFmt w:val="bullet"/>
      <w:start w:val="1"/>
    </w:lvl>
  </w:abstractNum>
  <w:abstractNum w:abstractNumId="20">
    <w:nsid w:val="2901D82"/>
    <w:multiLevelType w:val="hybridMultilevel"/>
    <w:lvl w:ilvl="0">
      <w:lvlJc w:val="left"/>
      <w:lvlText w:val="4"/>
      <w:numFmt w:val="bullet"/>
      <w:start w:val="1"/>
    </w:lvl>
  </w:abstractNum>
  <w:abstractNum w:abstractNumId="21">
    <w:nsid w:val="3A95F874"/>
    <w:multiLevelType w:val="hybridMultilevel"/>
    <w:lvl w:ilvl="0">
      <w:lvlJc w:val="left"/>
      <w:lvlText w:val="%1"/>
      <w:numFmt w:val="decimal"/>
      <w:start w:val="1"/>
    </w:lvl>
    <w:lvl w:ilvl="1">
      <w:lvlJc w:val="left"/>
      <w:lvlText w:val="(%2)"/>
      <w:numFmt w:val="lowerLetter"/>
      <w:start w:val="2"/>
    </w:lvl>
  </w:abstractNum>
  <w:abstractNum w:abstractNumId="22">
    <w:nsid w:val="8138641"/>
    <w:multiLevelType w:val="hybridMultilevel"/>
    <w:lvl w:ilvl="0">
      <w:lvlJc w:val="left"/>
      <w:lvlText w:val="%1."/>
      <w:numFmt w:val="decimal"/>
      <w:start w:val="5"/>
    </w:lvl>
    <w:lvl w:ilvl="1">
      <w:lvlJc w:val="left"/>
      <w:lvlText w:val="%2"/>
      <w:numFmt w:val="lowerLetter"/>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2"/>
    </w:lvl>
  </w:abstractNum>
  <w:abstractNum w:abstractNumId="25">
    <w:nsid w:val="737B8DDC"/>
    <w:multiLevelType w:val="hybridMultilevel"/>
    <w:lvl w:ilvl="0">
      <w:lvlJc w:val="left"/>
      <w:lvlText w:val="(%1)"/>
      <w:numFmt w:val="lowerLetter"/>
      <w:start w:val="3"/>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lowerRoman"/>
      <w:start w:val="17"/>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4" Type="http://schemas.openxmlformats.org/officeDocument/2006/relationships/hyperlink" Target="https://www.sec.gov/Archives/edgar/data/780571/000119312524165689/d124505dex41.htm" TargetMode="External"/><Relationship Id="rId65" Type="http://schemas.openxmlformats.org/officeDocument/2006/relationships/hyperlink" Target="https://www.sec.gov/Archives/edgar/data/780571/000119312524165689/d124505dex101.htm" TargetMode="External"/><Relationship Id="rId66" Type="http://schemas.openxmlformats.org/officeDocument/2006/relationships/hyperlink" Target="https://www.sec.gov/Archives/edgar/data/780571/000119312524165689/d12450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2024-08-01T10:42:46Z</dcterms:created>
  <dcterms:modified xsi:type="dcterms:W3CDTF">2024-08-01T10:42:46Z</dcterms:modified>
</cp:coreProperties>
</file>