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ITRON INC COM</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465741106</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October 30, 2003</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8</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CUSIP No.  465741106</w:t>
            </w:r>
          </w:p>
        </w:tc>
        <w:tc>
          <w:tcPr>
            <w:tcW w:w="1160" w:type="dxa"/>
            <w:vAlign w:val="bottom"/>
          </w:tcPr>
          <w:p>
            <w:pPr>
              <w:ind w:left="84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4"/>
          <w:szCs w:val="24"/>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(on behalf of Merrill Lynch Investment Managers (MLIM"))**</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BENEFICALLY OWNED BY EACH REPORTING PERSON WITH</w:t>
      </w:r>
    </w:p>
    <w:p>
      <w:pPr>
        <w:sectPr>
          <w:pgSz w:w="11900" w:h="16855" w:orient="portrait"/>
          <w:cols w:equalWidth="0" w:num="1">
            <w:col w:w="10219"/>
          </w:cols>
          <w:pgMar w:left="240" w:top="244" w:right="1440" w:bottom="0" w:gutter="0" w:footer="0" w:header="0"/>
        </w:sectPr>
      </w:pPr>
    </w:p>
    <w:bookmarkStart w:id="1" w:name="page2"/>
    <w:bookmarkEnd w:id="1"/>
    <w:p>
      <w:pPr>
        <w:ind w:right="809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11" w:lineRule="exact"/>
        <w:rPr>
          <w:rFonts w:ascii="Courier New" w:cs="Courier New" w:eastAsia="Courier New" w:hAnsi="Courier New"/>
          <w:sz w:val="18"/>
          <w:szCs w:val="18"/>
          <w:color w:val="auto"/>
        </w:rPr>
      </w:pPr>
    </w:p>
    <w:p>
      <w:pPr>
        <w:ind w:right="789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2,451,800</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2,451,800</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2,451,800 (ownership disclaimed pursuant to Section 13d-4 of the 1934 Act)</w:t>
      </w:r>
    </w:p>
    <w:p>
      <w:pPr>
        <w:spacing w:after="0" w:line="218"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11.97%</w:t>
      </w:r>
    </w:p>
    <w:p>
      <w:pPr>
        <w:spacing w:after="0" w:line="207" w:lineRule="exact"/>
        <w:rPr>
          <w:sz w:val="20"/>
          <w:szCs w:val="20"/>
          <w:color w:val="auto"/>
        </w:rPr>
      </w:pPr>
    </w:p>
    <w:p>
      <w:pPr>
        <w:ind w:right="7159" w:firstLine="8"/>
        <w:spacing w:after="0" w:line="470"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*SEE INSTRUCTION BEFORE FILING OUT!</w:t>
      </w:r>
    </w:p>
    <w:p>
      <w:pPr>
        <w:ind w:left="420"/>
        <w:spacing w:after="0" w:line="238" w:lineRule="auto"/>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Page 3 of</w:t>
            </w:r>
          </w:p>
        </w:tc>
        <w:tc>
          <w:tcPr>
            <w:tcW w:w="19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8</w:t>
            </w:r>
          </w:p>
        </w:tc>
        <w:tc>
          <w:tcPr>
            <w:tcW w:w="1160" w:type="dxa"/>
            <w:vAlign w:val="bottom"/>
          </w:tcPr>
          <w:p>
            <w:pPr>
              <w:spacing w:after="0"/>
              <w:rPr>
                <w:sz w:val="17"/>
                <w:szCs w:val="17"/>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9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465741106</w:t>
            </w:r>
          </w:p>
        </w:tc>
        <w:tc>
          <w:tcPr>
            <w:tcW w:w="1160" w:type="dxa"/>
            <w:vAlign w:val="bottom"/>
          </w:tcPr>
          <w:p>
            <w:pPr>
              <w:ind w:left="84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0"/>
          <w:szCs w:val="20"/>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MASTER SMALL CAP VALUE TRUST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0"/>
          <w:szCs w:val="20"/>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hanging="312"/>
        <w:spacing w:after="0"/>
        <w:tabs>
          <w:tab w:leader="none" w:pos="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899" w:firstLine="8"/>
        <w:spacing w:after="0" w:line="470" w:lineRule="auto"/>
        <w:tabs>
          <w:tab w:leader="none" w:pos="31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1,698,400</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1,698,400</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1,698,400 (ownership disclaimed pursuant to Section 13d-4 of the 1934 Act)</w:t>
      </w:r>
    </w:p>
    <w:p>
      <w:pPr>
        <w:spacing w:after="0" w:line="218"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ectPr>
          <w:pgSz w:w="11900" w:h="16838" w:orient="portrait"/>
          <w:cols w:equalWidth="0" w:num="1">
            <w:col w:w="10219"/>
          </w:cols>
          <w:pgMar w:left="240" w:top="344"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8.29%</w:t>
      </w:r>
    </w:p>
    <w:p>
      <w:pPr>
        <w:spacing w:after="0" w:line="207" w:lineRule="exact"/>
        <w:rPr>
          <w:sz w:val="20"/>
          <w:szCs w:val="20"/>
          <w:color w:val="auto"/>
        </w:rPr>
      </w:pPr>
    </w:p>
    <w:p>
      <w:pPr>
        <w:ind w:right="7159" w:firstLine="8"/>
        <w:spacing w:after="0" w:line="470"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*SEE INSTRUCTION BEFORE FILING OUT!</w:t>
      </w:r>
    </w:p>
    <w:p>
      <w:pPr>
        <w:ind w:left="420"/>
        <w:spacing w:after="0" w:line="238" w:lineRule="auto"/>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8</w:t>
      </w:r>
    </w:p>
    <w:p>
      <w:pPr>
        <w:spacing w:after="0" w:line="207" w:lineRule="exact"/>
        <w:rPr>
          <w:sz w:val="20"/>
          <w:szCs w:val="20"/>
          <w:color w:val="auto"/>
        </w:rPr>
      </w:pPr>
    </w:p>
    <w:p>
      <w:pPr>
        <w:ind w:right="2419" w:firstLine="8"/>
        <w:spacing w:after="0" w:line="235" w:lineRule="auto"/>
        <w:tabs>
          <w:tab w:leader="none" w:pos="4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0"/>
          <w:szCs w:val="20"/>
          <w:color w:val="auto"/>
        </w:rPr>
      </w:pPr>
    </w:p>
    <w:p>
      <w:pPr>
        <w:jc w:val="both"/>
        <w:ind w:left="640" w:right="7679"/>
        <w:spacing w:after="0" w:line="279" w:lineRule="auto"/>
        <w:tabs>
          <w:tab w:leader="none" w:pos="106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(a) Name of Issuer: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tabs>
          <w:tab w:leader="none" w:pos="2620" w:val="left"/>
        </w:tabs>
        <w:rPr>
          <w:sz w:val="20"/>
          <w:szCs w:val="20"/>
          <w:color w:val="auto"/>
        </w:rPr>
      </w:pPr>
      <w:r>
        <w:rPr>
          <w:rFonts w:ascii="Courier New" w:cs="Courier New" w:eastAsia="Courier New" w:hAnsi="Courier New"/>
          <w:sz w:val="18"/>
          <w:szCs w:val="18"/>
          <w:color w:val="auto"/>
        </w:rPr>
        <w:t>ITRON INC COM</w:t>
      </w:r>
      <w:r>
        <w:rPr>
          <w:sz w:val="20"/>
          <w:szCs w:val="20"/>
          <w:color w:val="auto"/>
        </w:rPr>
        <w:tab/>
      </w:r>
      <w:r>
        <w:rPr>
          <w:rFonts w:ascii="Courier New" w:cs="Courier New" w:eastAsia="Courier New" w:hAnsi="Courier New"/>
          <w:sz w:val="16"/>
          <w:szCs w:val="16"/>
          <w:color w:val="auto"/>
        </w:rPr>
        <w:t>(the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2818 North Sullivan Road</w:t>
      </w:r>
    </w:p>
    <w:p>
      <w:pPr>
        <w:ind w:left="1060"/>
        <w:spacing w:after="0" w:line="238" w:lineRule="auto"/>
        <w:rPr>
          <w:sz w:val="20"/>
          <w:szCs w:val="20"/>
          <w:color w:val="auto"/>
        </w:rPr>
      </w:pPr>
      <w:r>
        <w:rPr>
          <w:rFonts w:ascii="Courier New" w:cs="Courier New" w:eastAsia="Courier New" w:hAnsi="Courier New"/>
          <w:sz w:val="18"/>
          <w:szCs w:val="18"/>
          <w:color w:val="auto"/>
        </w:rPr>
        <w:t>Spokane, WA</w:t>
      </w:r>
    </w:p>
    <w:p>
      <w:pPr>
        <w:ind w:left="1060"/>
        <w:spacing w:after="0"/>
        <w:rPr>
          <w:sz w:val="20"/>
          <w:szCs w:val="20"/>
          <w:color w:val="auto"/>
        </w:rPr>
      </w:pPr>
      <w:r>
        <w:rPr>
          <w:rFonts w:ascii="Courier New" w:cs="Courier New" w:eastAsia="Courier New" w:hAnsi="Courier New"/>
          <w:sz w:val="18"/>
          <w:szCs w:val="18"/>
          <w:color w:val="auto"/>
        </w:rPr>
        <w:t>99216-1879</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(a) Name of Persons Filing:</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Merrill Lynch &amp; Co., Inc.</w:t>
      </w:r>
    </w:p>
    <w:p>
      <w:pPr>
        <w:ind w:left="1060"/>
        <w:spacing w:after="0" w:line="237" w:lineRule="auto"/>
        <w:rPr>
          <w:sz w:val="20"/>
          <w:szCs w:val="20"/>
          <w:color w:val="auto"/>
        </w:rPr>
      </w:pPr>
      <w:r>
        <w:rPr>
          <w:rFonts w:ascii="Courier New" w:cs="Courier New" w:eastAsia="Courier New" w:hAnsi="Courier New"/>
          <w:sz w:val="18"/>
          <w:szCs w:val="18"/>
          <w:color w:val="auto"/>
        </w:rPr>
        <w:t>(On behalf of Merrill Lynch Investment Managers ("MLIM")</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MASTER SMALL CAP VALUE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(b) Address of Principal Business Office or, if none, Residence: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(on behalf of Merrill Lynch Investment Managers ("MLIM"))</w:t>
      </w:r>
    </w:p>
    <w:p>
      <w:pPr>
        <w:spacing w:after="0"/>
        <w:rPr>
          <w:sz w:val="20"/>
          <w:szCs w:val="20"/>
          <w:color w:val="auto"/>
        </w:rPr>
      </w:pPr>
      <w:r>
        <w:rPr>
          <w:rFonts w:ascii="Courier New" w:cs="Courier New" w:eastAsia="Courier New" w:hAnsi="Courier New"/>
          <w:sz w:val="18"/>
          <w:szCs w:val="18"/>
          <w:color w:val="auto"/>
        </w:rPr>
        <w:t>World Financial Center, North Tower</w:t>
      </w:r>
    </w:p>
    <w:p>
      <w:pPr>
        <w:spacing w:after="0" w:line="237" w:lineRule="auto"/>
        <w:rPr>
          <w:sz w:val="20"/>
          <w:szCs w:val="20"/>
          <w:color w:val="auto"/>
        </w:rPr>
      </w:pPr>
      <w:r>
        <w:rPr>
          <w:rFonts w:ascii="Courier New" w:cs="Courier New" w:eastAsia="Courier New" w:hAnsi="Courier New"/>
          <w:sz w:val="18"/>
          <w:szCs w:val="18"/>
          <w:color w:val="auto"/>
        </w:rPr>
        <w:t>250 Vesey Street</w:t>
      </w:r>
    </w:p>
    <w:p>
      <w:pPr>
        <w:spacing w:after="0" w:line="238" w:lineRule="auto"/>
        <w:rPr>
          <w:sz w:val="20"/>
          <w:szCs w:val="20"/>
          <w:color w:val="auto"/>
        </w:rPr>
      </w:pPr>
      <w:r>
        <w:rPr>
          <w:rFonts w:ascii="Courier New" w:cs="Courier New" w:eastAsia="Courier New" w:hAnsi="Courier New"/>
          <w:sz w:val="18"/>
          <w:szCs w:val="18"/>
          <w:color w:val="auto"/>
        </w:rPr>
        <w:t>New York, NY 10381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MASTER SMALL CAP VALUE TRUST</w:t>
      </w:r>
    </w:p>
    <w:p>
      <w:pPr>
        <w:spacing w:after="0" w:line="238" w:lineRule="auto"/>
        <w:rPr>
          <w:sz w:val="20"/>
          <w:szCs w:val="20"/>
          <w:color w:val="auto"/>
        </w:rPr>
      </w:pPr>
      <w:r>
        <w:rPr>
          <w:rFonts w:ascii="Courier New" w:cs="Courier New" w:eastAsia="Courier New" w:hAnsi="Courier New"/>
          <w:sz w:val="18"/>
          <w:szCs w:val="18"/>
          <w:color w:val="auto"/>
        </w:rPr>
        <w:t>800 Scudders Mill Road</w:t>
      </w:r>
    </w:p>
    <w:p>
      <w:pPr>
        <w:spacing w:after="0"/>
        <w:rPr>
          <w:sz w:val="20"/>
          <w:szCs w:val="20"/>
          <w:color w:val="auto"/>
        </w:rPr>
      </w:pPr>
      <w:r>
        <w:rPr>
          <w:rFonts w:ascii="Courier New" w:cs="Courier New" w:eastAsia="Courier New" w:hAnsi="Courier New"/>
          <w:sz w:val="18"/>
          <w:szCs w:val="18"/>
          <w:color w:val="auto"/>
        </w:rPr>
        <w:t>Plainsboro, NJ 08536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(c) Citizenship:</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See Item 4 of Cover Pages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(d) Title of Class Securities: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(e) CUSIP NUMBER: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619" w:firstLine="316"/>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13d-2(c), check whether the person filing is a:</w:t>
      </w:r>
    </w:p>
    <w:p>
      <w:pPr>
        <w:spacing w:after="0" w:line="203" w:lineRule="exact"/>
        <w:rPr>
          <w:sz w:val="20"/>
          <w:szCs w:val="20"/>
          <w:color w:val="auto"/>
        </w:rPr>
      </w:pPr>
    </w:p>
    <w:p>
      <w:pPr>
        <w:ind w:left="420" w:hanging="412"/>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420" w:hanging="412"/>
        <w:spacing w:after="0" w:line="238" w:lineRule="auto"/>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w:t>
      </w:r>
    </w:p>
    <w:p>
      <w:pPr>
        <w:ind w:left="420" w:hanging="412"/>
        <w:spacing w:after="0" w:line="238" w:lineRule="auto"/>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ind w:left="420" w:hanging="412"/>
        <w:spacing w:after="0" w:line="238" w:lineRule="auto"/>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w:t>
      </w:r>
    </w:p>
    <w:p>
      <w:pPr>
        <w:sectPr>
          <w:pgSz w:w="11900" w:h="16838" w:orient="portrait"/>
          <w:cols w:equalWidth="0" w:num="1">
            <w:col w:w="10219"/>
          </w:cols>
          <w:pgMar w:left="240" w:top="339"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Company Act of 1940,</w:t>
      </w:r>
    </w:p>
    <w:p>
      <w:pPr>
        <w:spacing w:after="0" w:line="4" w:lineRule="exact"/>
        <w:rPr>
          <w:sz w:val="20"/>
          <w:szCs w:val="20"/>
          <w:color w:val="auto"/>
        </w:rPr>
      </w:pPr>
    </w:p>
    <w:p>
      <w:pPr>
        <w:ind w:left="420" w:hanging="412"/>
        <w:spacing w:after="0"/>
        <w:tabs>
          <w:tab w:leader="none" w:pos="4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Investment Adviser in accordance with Rule 13d-1(b) (1) (ii) (E),</w:t>
      </w:r>
    </w:p>
    <w:p>
      <w:pPr>
        <w:spacing w:after="0" w:line="16"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or Endowment Fund in accordance with</w:t>
      </w:r>
    </w:p>
    <w:p>
      <w:pPr>
        <w:spacing w:after="0" w:line="207" w:lineRule="exact"/>
        <w:rPr>
          <w:sz w:val="20"/>
          <w:szCs w:val="20"/>
          <w:color w:val="auto"/>
        </w:rPr>
      </w:pPr>
    </w:p>
    <w:p>
      <w:pPr>
        <w:ind w:left="860" w:right="3159" w:hanging="852"/>
        <w:spacing w:after="0" w:line="235" w:lineRule="auto"/>
        <w:tabs>
          <w:tab w:leader="none" w:pos="43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or Control Person in accordance with Rule 13d-1(b) (ii) (G); see Item 7,</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3039" w:hanging="852"/>
        <w:spacing w:after="0" w:line="236" w:lineRule="auto"/>
        <w:tabs>
          <w:tab w:leader="none" w:pos="43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 (14) of the Investment Company Act of 1940,</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 (1) (ii) (J).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540" w:right="6939" w:hanging="532"/>
        <w:spacing w:after="0" w:line="536" w:lineRule="auto"/>
        <w:tabs>
          <w:tab w:leader="none" w:pos="5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of Cover Pages.</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11 of Cover Pages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960" w:right="4939" w:hanging="425"/>
        <w:spacing w:after="0" w:line="470" w:lineRule="auto"/>
        <w:tabs>
          <w:tab w:leader="none" w:pos="9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Cover pages</w:t>
      </w:r>
    </w:p>
    <w:p>
      <w:pPr>
        <w:spacing w:after="0" w:line="11" w:lineRule="exact"/>
        <w:rPr>
          <w:rFonts w:ascii="Courier New" w:cs="Courier New" w:eastAsia="Courier New" w:hAnsi="Courier New"/>
          <w:sz w:val="18"/>
          <w:szCs w:val="18"/>
          <w:color w:val="auto"/>
        </w:rPr>
      </w:pPr>
    </w:p>
    <w:p>
      <w:pPr>
        <w:ind w:left="960" w:right="4739" w:hanging="531"/>
        <w:spacing w:after="0" w:line="470" w:lineRule="auto"/>
        <w:tabs>
          <w:tab w:leader="none" w:pos="9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Item 6 of Cover pages</w:t>
      </w:r>
    </w:p>
    <w:p>
      <w:pPr>
        <w:spacing w:after="0" w:line="11" w:lineRule="exact"/>
        <w:rPr>
          <w:rFonts w:ascii="Courier New" w:cs="Courier New" w:eastAsia="Courier New" w:hAnsi="Courier New"/>
          <w:sz w:val="18"/>
          <w:szCs w:val="18"/>
          <w:color w:val="auto"/>
        </w:rPr>
      </w:pPr>
    </w:p>
    <w:p>
      <w:pPr>
        <w:ind w:left="960" w:right="3579" w:hanging="636"/>
        <w:spacing w:after="0" w:line="470" w:lineRule="auto"/>
        <w:tabs>
          <w:tab w:leader="none" w:pos="9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of Cover pages</w:t>
      </w:r>
    </w:p>
    <w:p>
      <w:pPr>
        <w:spacing w:after="0" w:line="11" w:lineRule="exact"/>
        <w:rPr>
          <w:rFonts w:ascii="Courier New" w:cs="Courier New" w:eastAsia="Courier New" w:hAnsi="Courier New"/>
          <w:sz w:val="18"/>
          <w:szCs w:val="18"/>
          <w:color w:val="auto"/>
        </w:rPr>
      </w:pPr>
    </w:p>
    <w:p>
      <w:pPr>
        <w:ind w:left="960" w:right="3359" w:hanging="531"/>
        <w:spacing w:after="0" w:line="470" w:lineRule="auto"/>
        <w:tabs>
          <w:tab w:leader="none" w:pos="9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Item 8 of Cover pages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 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If this statment is being filed to report the fact that as of the date hereof the reporting person has ceased to be the beneficial owner of more than five percent of the class of securities, check the following: [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839" w:firstLine="316"/>
        <w:spacing w:after="0" w:line="237" w:lineRule="auto"/>
        <w:rPr>
          <w:sz w:val="20"/>
          <w:szCs w:val="20"/>
          <w:color w:val="auto"/>
        </w:rPr>
      </w:pPr>
      <w:r>
        <w:rPr>
          <w:rFonts w:ascii="Courier New" w:cs="Courier New" w:eastAsia="Courier New" w:hAnsi="Courier New"/>
          <w:sz w:val="18"/>
          <w:szCs w:val="18"/>
          <w:color w:val="auto"/>
        </w:rPr>
        <w:t>Merrill Lynch &amp; Co., Inc. ("ML&amp;Co.") is a parent holding company. Merrill Lynch Investment Managers ("MLIM") is an operating division of ML&amp;Co.'s indirectly owned asset management subsidiaries. Certain of these subsidiaries hold certain shares of the security which is the subject of this report. (See Item 7).</w:t>
      </w:r>
    </w:p>
    <w:p>
      <w:pPr>
        <w:spacing w:after="0" w:line="209" w:lineRule="exact"/>
        <w:rPr>
          <w:sz w:val="20"/>
          <w:szCs w:val="20"/>
          <w:color w:val="auto"/>
        </w:rPr>
      </w:pPr>
    </w:p>
    <w:p>
      <w:pPr>
        <w:ind w:left="220" w:right="2739" w:hanging="210"/>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839" w:firstLine="421"/>
        <w:spacing w:after="0" w:line="273" w:lineRule="auto"/>
        <w:rPr>
          <w:sz w:val="20"/>
          <w:szCs w:val="20"/>
          <w:color w:val="auto"/>
        </w:rPr>
      </w:pPr>
      <w:r>
        <w:rPr>
          <w:rFonts w:ascii="Courier New" w:cs="Courier New" w:eastAsia="Courier New" w:hAnsi="Courier New"/>
          <w:sz w:val="16"/>
          <w:szCs w:val="16"/>
          <w:color w:val="auto"/>
        </w:rPr>
        <w:t>Merrill Lynch &amp; Co., Inc. ("ML&amp;Co.") is a parent holding company. Merrill Lynch Investment Managers ("MLIM") is an operating division of ML&amp;Co. consisting of ML&amp;Co.'s indirectly-owned asset management subsidiaries. The following asset management subsidiaries hold certain shares of the common stock, which is the subject of this 13G filing:</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FAM D/B/A MERCURY ADVISORS (SUB)</w:t>
      </w:r>
    </w:p>
    <w:p>
      <w:pPr>
        <w:spacing w:after="0" w:line="238" w:lineRule="auto"/>
        <w:rPr>
          <w:sz w:val="20"/>
          <w:szCs w:val="20"/>
          <w:color w:val="auto"/>
        </w:rPr>
      </w:pPr>
      <w:r>
        <w:rPr>
          <w:rFonts w:ascii="Courier New" w:cs="Courier New" w:eastAsia="Courier New" w:hAnsi="Courier New"/>
          <w:sz w:val="18"/>
          <w:szCs w:val="18"/>
          <w:color w:val="auto"/>
        </w:rPr>
        <w:t>FUND ASSET MANAGEMENT, L.P.</w:t>
      </w:r>
    </w:p>
    <w:p>
      <w:pPr>
        <w:spacing w:after="0"/>
        <w:rPr>
          <w:sz w:val="20"/>
          <w:szCs w:val="20"/>
          <w:color w:val="auto"/>
        </w:rPr>
      </w:pPr>
      <w:r>
        <w:rPr>
          <w:rFonts w:ascii="Courier New" w:cs="Courier New" w:eastAsia="Courier New" w:hAnsi="Courier New"/>
          <w:sz w:val="18"/>
          <w:szCs w:val="18"/>
          <w:color w:val="auto"/>
        </w:rPr>
        <w:t>MERRILL LYNCH INVESTMENT MANAGERS LIMITED</w:t>
      </w:r>
    </w:p>
    <w:p>
      <w:pPr>
        <w:spacing w:after="0" w:line="237" w:lineRule="auto"/>
        <w:rPr>
          <w:sz w:val="20"/>
          <w:szCs w:val="20"/>
          <w:color w:val="auto"/>
        </w:rPr>
      </w:pPr>
      <w:r>
        <w:rPr>
          <w:rFonts w:ascii="Courier New" w:cs="Courier New" w:eastAsia="Courier New" w:hAnsi="Courier New"/>
          <w:sz w:val="18"/>
          <w:szCs w:val="18"/>
          <w:color w:val="auto"/>
        </w:rPr>
        <w:t>MERRILL LYNCH INVESTMENT MANAGERS, CO. LTD</w:t>
      </w:r>
    </w:p>
    <w:p>
      <w:pPr>
        <w:spacing w:after="0" w:line="238" w:lineRule="auto"/>
        <w:rPr>
          <w:sz w:val="20"/>
          <w:szCs w:val="20"/>
          <w:color w:val="auto"/>
        </w:rPr>
      </w:pPr>
      <w:r>
        <w:rPr>
          <w:rFonts w:ascii="Courier New" w:cs="Courier New" w:eastAsia="Courier New" w:hAnsi="Courier New"/>
          <w:sz w:val="18"/>
          <w:szCs w:val="18"/>
          <w:color w:val="auto"/>
        </w:rPr>
        <w:t>MERRILL LYNCH INVESTMENT MANAGERS, L.P.</w:t>
      </w:r>
    </w:p>
    <w:p>
      <w:pPr>
        <w:spacing w:after="0"/>
        <w:rPr>
          <w:sz w:val="20"/>
          <w:szCs w:val="20"/>
          <w:color w:val="auto"/>
        </w:rPr>
      </w:pPr>
      <w:r>
        <w:rPr>
          <w:rFonts w:ascii="Courier New" w:cs="Courier New" w:eastAsia="Courier New" w:hAnsi="Courier New"/>
          <w:sz w:val="18"/>
          <w:szCs w:val="18"/>
          <w:color w:val="auto"/>
        </w:rPr>
        <w:t>MERRILL LYNCH INVESTMENT MANAGERS, LLC</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739" w:firstLine="316"/>
        <w:spacing w:after="0" w:line="279" w:lineRule="auto"/>
        <w:rPr>
          <w:sz w:val="20"/>
          <w:szCs w:val="20"/>
          <w:color w:val="auto"/>
        </w:rPr>
      </w:pPr>
      <w:r>
        <w:rPr>
          <w:rFonts w:ascii="Courier New" w:cs="Courier New" w:eastAsia="Courier New" w:hAnsi="Courier New"/>
          <w:sz w:val="16"/>
          <w:szCs w:val="16"/>
          <w:color w:val="auto"/>
        </w:rPr>
        <w:t>By signing below each of the undersigned certifies that, to the best Of their knowledge and belief, the securities referred to above were acquired and are held in the ordinary course of business and were not</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 of 8</w:t>
      </w:r>
    </w:p>
    <w:p>
      <w:pPr>
        <w:spacing w:after="0" w:line="207"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acquired and are not held for the purpose of or with the effect of changing or influencing the control of the issuer of such securities and were not acquired and are not held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739" w:firstLine="31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28, 2003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(on behalf of Merrill Lynch Investment Managers ("MLIM"))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Thomas D. Jones, III</w:t>
      </w:r>
    </w:p>
    <w:p>
      <w:pPr>
        <w:ind w:left="220" w:hanging="212"/>
        <w:spacing w:after="0" w:line="238" w:lineRule="auto"/>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Thomas D. Jones, III</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MASTER SMALL CAP VALUE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Thomas D. Jones, III</w:t>
      </w:r>
    </w:p>
    <w:p>
      <w:pPr>
        <w:ind w:left="220" w:hanging="212"/>
        <w:spacing w:after="0" w:line="238" w:lineRule="auto"/>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Thomas D. Jones, III</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25, 1999, included as Exhibit B to Schedule 13G filed with the Securities and Exchange Commission by Merrill Lynch &amp; Co, Inc. (on behalf of Merrill Lynch Asset Management Group ("AMG")) - now known as Merrill Lynch Investment Managers ("MLIM")</w:t>
      </w:r>
    </w:p>
    <w:p>
      <w:pPr>
        <w:spacing w:after="0" w:line="209"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**Signed pursuant to a power of attorney, dated January 21, 2000, included as Exhibit B to Schedule 13G filed with the Securities and Exchange Commission by Merrill Lynch &amp; Co, Inc. (on behalf of Merrill Lynch</w:t>
      </w:r>
    </w:p>
    <w:p>
      <w:pPr>
        <w:spacing w:after="0" w:line="1"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Asset Management Group ("AMG")) - now known as Merrill Lynch Investment Managers ("MLIM")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8 of 8</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339" w:right="1440" w:bottom="0" w:gutter="0" w:footer="0" w:header="0"/>
        </w:sectPr>
      </w:pPr>
    </w:p>
    <w:bookmarkStart w:id="5" w:name="page6"/>
    <w:bookmarkEnd w:id="5"/>
    <w:p>
      <w:pPr>
        <w:ind w:right="1879"/>
        <w:spacing w:after="0" w:line="269" w:lineRule="auto"/>
        <w:rPr>
          <w:sz w:val="20"/>
          <w:szCs w:val="20"/>
          <w:color w:val="auto"/>
        </w:rPr>
      </w:pPr>
      <w:r>
        <w:rPr>
          <w:rFonts w:ascii="Courier New" w:cs="Courier New" w:eastAsia="Courier New" w:hAnsi="Courier New"/>
          <w:sz w:val="16"/>
          <w:szCs w:val="16"/>
          <w:color w:val="auto"/>
        </w:rPr>
        <w:t>Merrill Lynch Investment Managers ("MLIM") of ML&amp;Co. is comprised of the following legal entities: Merrill Lynch Investment Managers, L.P. ("MLIMLP"), doing business as Merrill Lynch Investment Managers; QA Advisers, LLC ("QA") doing business as Merrill Lynch Investment Managers Quantitative Advisers; Fund Asset Management, L.P., doing business as Fund Asset Management ("FAM"); Merrill Lynch Asset Management U.K. Limited ("MLAM UK"); Merrill Lynch (Suisse) Investment Management Limited ("MLS"); Merrill Lynch Investment Managers International Limited ("MLIMI"); Merrill Lynch Investment Managers, Ltd. Merrill Lynch Investment Managers (Asia Pacific Limited); Merrill Lynch Investment Managers Limited (Australia); Merrill Lynch Investment Managers (Isle of Man) Limited; Merrill Lynch Investment Managers Asia Limited; Merrill Lynch Investment Managers Kapitalanlagegesellschaft MBH; Munich London Investment Management, Ltd.; Merrill Lynch Investment Managers Ltda.; Merrill Lynch Investment Managers Japan Limited; Merrill Lynch Investment Managers Canada, Inc.; DSP Merrill Lynch Asset Management(India) Limited; PT Merrill Lynch Indonesia; Merrill Lynch Phatra Securities Co., Ltd.; Merrill Lynch Global Asset Management, Limited; Merrill Lynch Investment Managers Channel Islands Limited; Mercury Asset Management International Channel Islands Limited ("MAMCI"); Grosvenor Venture Managers Limited; and Merrill Lynch Fund Managers Limited. Each of MLIM LP, FAM, MLAM UK, MAMCI, QA, MLS, and MLIMI is an investment adviser registered under Section 203 of the Investment Advisers Act of 1940, which acts as investment adviser operating under the laws of a jurisdiction other than the United States. The investment advisers that comprise MLIM exercise voting and investment powers over portfolio securities independently from other direct and indirect subsidiaries of ML&amp;Co.</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lowerLetter"/>
      <w:start w:val="1"/>
    </w:lvl>
  </w:abstractNum>
  <w:abstractNum w:abstractNumId="6">
    <w:nsid w:val="41A7C4C9"/>
    <w:multiLevelType w:val="hybridMultilevel"/>
    <w:lvl w:ilvl="0">
      <w:lvlJc w:val="left"/>
      <w:lvlText w:val="%1."/>
      <w:numFmt w:val="decimal"/>
      <w:start w:val="3"/>
    </w:lvl>
  </w:abstractNum>
  <w:abstractNum w:abstractNumId="7">
    <w:nsid w:val="6B68079A"/>
    <w:multiLevelType w:val="hybridMultilevel"/>
    <w:lvl w:ilvl="0">
      <w:lvlJc w:val="left"/>
      <w:lvlText w:val="%1."/>
      <w:numFmt w:val="decimal"/>
      <w:start w:val="5"/>
    </w:lvl>
  </w:abstractNum>
  <w:abstractNum w:abstractNumId="8">
    <w:nsid w:val="4E6AFB66"/>
    <w:multiLevelType w:val="hybridMultilevel"/>
    <w:lvl w:ilvl="0">
      <w:lvlJc w:val="left"/>
      <w:lvlText w:val="%1."/>
      <w:numFmt w:val="decimal"/>
      <w:start w:val="10"/>
    </w:lvl>
  </w:abstractNum>
  <w:abstractNum w:abstractNumId="9">
    <w:nsid w:val="25E45D32"/>
    <w:multiLevelType w:val="hybridMultilevel"/>
    <w:lvl w:ilvl="0">
      <w:lvlJc w:val="left"/>
      <w:lvlText w:val="%1."/>
      <w:numFmt w:val="decimal"/>
      <w:start w:val="12"/>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lowerLetter"/>
      <w:start w:val="1"/>
    </w:lvl>
  </w:abstractNum>
  <w:abstractNum w:abstractNumId="12">
    <w:nsid w:val="3F2DBA31"/>
    <w:multiLevelType w:val="hybridMultilevel"/>
    <w:lvl w:ilvl="0">
      <w:lvlJc w:val="left"/>
      <w:lvlText w:val="%1."/>
      <w:numFmt w:val="decimal"/>
      <w:start w:val="3"/>
    </w:lvl>
  </w:abstractNum>
  <w:abstractNum w:abstractNumId="13">
    <w:nsid w:val="7C83E458"/>
    <w:multiLevelType w:val="hybridMultilevel"/>
    <w:lvl w:ilvl="0">
      <w:lvlJc w:val="left"/>
      <w:lvlText w:val="%1."/>
      <w:numFmt w:val="decimal"/>
      <w:start w:val="6"/>
    </w:lvl>
  </w:abstractNum>
  <w:abstractNum w:abstractNumId="14">
    <w:nsid w:val="257130A3"/>
    <w:multiLevelType w:val="hybridMultilevel"/>
    <w:lvl w:ilvl="0">
      <w:lvlJc w:val="left"/>
      <w:lvlText w:val="%1."/>
      <w:numFmt w:val="decimal"/>
      <w:start w:val="10"/>
    </w:lvl>
  </w:abstractNum>
  <w:abstractNum w:abstractNumId="15">
    <w:nsid w:val="62BBD95A"/>
    <w:multiLevelType w:val="hybridMultilevel"/>
    <w:lvl w:ilvl="0">
      <w:lvlJc w:val="left"/>
      <w:lvlText w:val="%1."/>
      <w:numFmt w:val="decimal"/>
      <w:start w:val="12"/>
    </w:lvl>
  </w:abstractNum>
  <w:abstractNum w:abstractNumId="16">
    <w:nsid w:val="436C6125"/>
    <w:multiLevelType w:val="hybridMultilevel"/>
    <w:lvl w:ilvl="0">
      <w:lvlJc w:val="left"/>
      <w:lvlText w:val="%1."/>
      <w:numFmt w:val="decimal"/>
      <w:start w:val="14"/>
    </w:lvl>
  </w:abstractNum>
  <w:abstractNum w:abstractNumId="17">
    <w:nsid w:val="628C895D"/>
    <w:multiLevelType w:val="hybridMultilevel"/>
    <w:lvl w:ilvl="0">
      <w:lvlJc w:val="left"/>
      <w:lvlText w:val="[%1]"/>
      <w:numFmt w:val="upperLetter"/>
      <w:start w:val="24"/>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lowerLetter"/>
      <w:start w:val="5"/>
    </w:lvl>
  </w:abstractNum>
  <w:abstractNum w:abstractNumId="20">
    <w:nsid w:val="2443A858"/>
    <w:multiLevelType w:val="hybridMultilevel"/>
    <w:lvl w:ilvl="0">
      <w:lvlJc w:val="left"/>
      <w:lvlText w:val="(%1)"/>
      <w:numFmt w:val="lowerLetter"/>
      <w:start w:val="7"/>
    </w:lvl>
  </w:abstractNum>
  <w:abstractNum w:abstractNumId="21">
    <w:nsid w:val="2D1D5AE9"/>
    <w:multiLevelType w:val="hybridMultilevel"/>
    <w:lvl w:ilvl="0">
      <w:lvlJc w:val="left"/>
      <w:lvlText w:val="(%1)"/>
      <w:numFmt w:val="lowerLetter"/>
      <w:start w:val="1"/>
    </w:lvl>
    <w:lvl w:ilvl="1">
      <w:lvlJc w:val="left"/>
      <w:lvlText w:val="(%2)"/>
      <w:numFmt w:val="lowerRoman"/>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2019-12-13T15:48:57Z</dcterms:created>
  <dcterms:modified xsi:type="dcterms:W3CDTF">2019-12-13T15:48:57Z</dcterms:modified>
</cp:coreProperties>
</file>