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354965</wp:posOffset>
            </wp:positionV>
            <wp:extent cx="70580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1714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158750</wp:posOffset>
            </wp:positionV>
            <wp:extent cx="1037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4" w:lineRule="exact"/>
        <w:rPr>
          <w:sz w:val="24"/>
          <w:szCs w:val="24"/>
          <w:color w:val="auto"/>
        </w:rPr>
      </w:pPr>
    </w:p>
    <w:p>
      <w:pPr>
        <w:ind w:left="660" w:right="1540" w:hanging="611"/>
        <w:spacing w:after="0" w:line="279" w:lineRule="auto"/>
        <w:tabs>
          <w:tab w:leader="none" w:pos="741"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2019</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ind w:left="740" w:hanging="691"/>
        <w:spacing w:after="0" w:line="204" w:lineRule="auto"/>
        <w:tabs>
          <w:tab w:leader="none" w:pos="7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26" w:lineRule="exact"/>
        <w:rPr>
          <w:sz w:val="24"/>
          <w:szCs w:val="24"/>
          <w:color w:val="auto"/>
        </w:rPr>
      </w:pPr>
    </w:p>
    <w:p>
      <w:pPr>
        <w:ind w:left="660"/>
        <w:spacing w:after="0"/>
        <w:tabs>
          <w:tab w:leader="none" w:pos="35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000-22418</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ITRON,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420"/>
          </w:cols>
          <w:pgMar w:left="240" w:top="606" w:right="239" w:bottom="1440" w:gutter="0" w:footer="0" w:header="0"/>
        </w:sectPr>
      </w:pPr>
    </w:p>
    <w:p>
      <w:pPr>
        <w:spacing w:after="0" w:line="148"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Washington</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91-1011792</w:t>
      </w:r>
    </w:p>
    <w:p>
      <w:pPr>
        <w:spacing w:after="0" w:line="75" w:lineRule="exact"/>
        <w:rPr>
          <w:sz w:val="24"/>
          <w:szCs w:val="24"/>
          <w:color w:val="auto"/>
        </w:rPr>
      </w:pPr>
    </w:p>
    <w:p>
      <w:pPr>
        <w:sectPr>
          <w:pgSz w:w="11900" w:h="16838" w:orient="portrait"/>
          <w:cols w:equalWidth="0" w:num="2">
            <w:col w:w="7440" w:space="720"/>
            <w:col w:w="3260"/>
          </w:cols>
          <w:pgMar w:left="240" w:top="606" w:right="23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8"/>
          <w:szCs w:val="18"/>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(I.R.S. Employer Identification Number)</w:t>
      </w:r>
    </w:p>
    <w:p>
      <w:pPr>
        <w:spacing w:after="0" w:line="198" w:lineRule="exact"/>
        <w:rPr>
          <w:sz w:val="24"/>
          <w:szCs w:val="24"/>
          <w:color w:val="auto"/>
        </w:rPr>
      </w:pPr>
    </w:p>
    <w:p>
      <w:pPr>
        <w:sectPr>
          <w:pgSz w:w="11900" w:h="16838" w:orient="portrait"/>
          <w:cols w:equalWidth="0" w:num="2">
            <w:col w:w="6300" w:space="720"/>
            <w:col w:w="4400"/>
          </w:cols>
          <w:pgMar w:left="240" w:top="606"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2111 N Molter Road, Liberty Lake, Washington </w:t>
      </w:r>
      <w:r>
        <w:rPr>
          <w:rFonts w:ascii="Times New Roman" w:cs="Times New Roman" w:eastAsia="Times New Roman" w:hAnsi="Times New Roman"/>
          <w:sz w:val="18"/>
          <w:szCs w:val="18"/>
          <w:color w:val="auto"/>
        </w:rPr>
        <w:t>99019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1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(Address and telephone number of registrant's principal executive offices)</w:t>
      </w:r>
    </w:p>
    <w:p>
      <w:pPr>
        <w:spacing w:after="0" w:line="291"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-431800</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51"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260" w:type="dxa"/>
        <w:tblCellMar>
          <w:top w:w="0" w:type="dxa"/>
          <w:left w:w="0" w:type="dxa"/>
          <w:bottom w:w="0" w:type="dxa"/>
          <w:right w:w="0" w:type="dxa"/>
        </w:tblCellMar>
      </w:tblPr>
      <w:tr>
        <w:trPr>
          <w:trHeight w:val="28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spacing w:after="0"/>
              <w:rPr>
                <w:sz w:val="24"/>
                <w:szCs w:val="24"/>
                <w:color w:val="auto"/>
              </w:rPr>
            </w:pPr>
          </w:p>
        </w:tc>
        <w:tc>
          <w:tcPr>
            <w:tcW w:w="31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31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1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5"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8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7"/>
        </w:trPr>
        <w:tc>
          <w:tcPr>
            <w:tcW w:w="4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ITRI</w:t>
            </w: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July 31, 2019, there were outstanding 39,458,595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148590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62865</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0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9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7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3080" w:type="dxa"/>
            <w:vAlign w:val="bottom"/>
            <w:gridSpan w:val="3"/>
            <w:vMerge w:val="restart"/>
          </w:tcPr>
          <w:p>
            <w:pPr>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PART I: FINANCIAL INFORMATION</w:t>
              </w:r>
            </w:hyperlink>
          </w:p>
        </w:tc>
        <w:tc>
          <w:tcPr>
            <w:tcW w:w="7280" w:type="dxa"/>
            <w:vAlign w:val="bottom"/>
            <w:gridSpan w:val="7"/>
            <w:vMerge w:val="restart"/>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080" w:type="dxa"/>
            <w:vAlign w:val="bottom"/>
            <w:tcBorders>
              <w:bottom w:val="single" w:sz="8" w:color="0000EE"/>
            </w:tcBorders>
            <w:gridSpan w:val="3"/>
            <w:vMerge w:val="continue"/>
          </w:tcPr>
          <w:p>
            <w:pPr>
              <w:spacing w:after="0"/>
              <w:rPr>
                <w:sz w:val="15"/>
                <w:szCs w:val="15"/>
                <w:color w:val="auto"/>
              </w:rPr>
            </w:pPr>
          </w:p>
        </w:tc>
        <w:tc>
          <w:tcPr>
            <w:tcW w:w="7280" w:type="dxa"/>
            <w:vAlign w:val="bottom"/>
            <w:gridSpan w:val="7"/>
            <w:vMerge w:val="continue"/>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6"/>
        </w:trPr>
        <w:tc>
          <w:tcPr>
            <w:tcW w:w="10360" w:type="dxa"/>
            <w:vAlign w:val="bottom"/>
            <w:gridSpan w:val="10"/>
          </w:tcPr>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1: </w:t>
            </w:r>
            <w:hyperlink w:anchor="page3">
              <w:r>
                <w:rPr>
                  <w:rFonts w:ascii="Times New Roman" w:cs="Times New Roman" w:eastAsia="Times New Roman" w:hAnsi="Times New Roman"/>
                  <w:sz w:val="18"/>
                  <w:szCs w:val="18"/>
                  <w:color w:val="0000EE"/>
                </w:rPr>
                <w:t>Financial Statements (Unaudited)</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60" w:type="dxa"/>
            <w:vAlign w:val="bottom"/>
            <w:gridSpan w:val="8"/>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Statements of Operations</w:t>
              </w:r>
            </w:hyperlink>
          </w:p>
        </w:tc>
        <w:tc>
          <w:tcPr>
            <w:tcW w:w="76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Statements of Comprehensive Income (Loss)</w:t>
              </w:r>
            </w:hyperlink>
          </w:p>
        </w:tc>
        <w:tc>
          <w:tcPr>
            <w:tcW w:w="5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60" w:type="dxa"/>
            <w:vAlign w:val="bottom"/>
            <w:gridSpan w:val="8"/>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Balance Sheets</w:t>
              </w:r>
            </w:hyperlink>
          </w:p>
        </w:tc>
        <w:tc>
          <w:tcPr>
            <w:tcW w:w="76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3</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Consolidated Statements of Equity</w:t>
              </w:r>
            </w:hyperlink>
          </w:p>
        </w:tc>
        <w:tc>
          <w:tcPr>
            <w:tcW w:w="686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60" w:type="dxa"/>
            <w:vAlign w:val="bottom"/>
            <w:gridSpan w:val="8"/>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Consolidated Statements of Cash Flows</w:t>
              </w:r>
            </w:hyperlink>
          </w:p>
        </w:tc>
        <w:tc>
          <w:tcPr>
            <w:tcW w:w="76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6</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5"/>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60" w:type="dxa"/>
            <w:vAlign w:val="bottom"/>
            <w:gridSpan w:val="8"/>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Condensed Consolidated Financial Statements</w:t>
              </w:r>
            </w:hyperlink>
          </w:p>
        </w:tc>
        <w:tc>
          <w:tcPr>
            <w:tcW w:w="76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7</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2: </w:t>
      </w:r>
      <w:hyperlink w:anchor="page33">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p>
      <w:pPr>
        <w:ind w:left="1096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31</w:t>
        </w:r>
      </w:hyperlink>
    </w:p>
    <w:p>
      <w:pPr>
        <w:spacing w:after="0" w:line="200" w:lineRule="exact"/>
        <w:rPr>
          <w:sz w:val="20"/>
          <w:szCs w:val="20"/>
          <w:color w:val="auto"/>
        </w:rPr>
      </w:pPr>
    </w:p>
    <w:p>
      <w:pPr>
        <w:spacing w:after="0" w:line="223" w:lineRule="exact"/>
        <w:rPr>
          <w:sz w:val="20"/>
          <w:szCs w:val="20"/>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3: </w:t>
      </w:r>
      <w:hyperlink w:anchor="page51">
        <w:r>
          <w:rPr>
            <w:rFonts w:ascii="Times New Roman" w:cs="Times New Roman" w:eastAsia="Times New Roman" w:hAnsi="Times New Roman"/>
            <w:sz w:val="18"/>
            <w:szCs w:val="18"/>
            <w:u w:val="single" w:color="auto"/>
            <w:color w:val="0000EE"/>
          </w:rPr>
          <w:t>Quantitative and Qualitative Disclosures About Market Risk</w:t>
        </w:r>
      </w:hyperlink>
    </w:p>
    <w:p>
      <w:pPr>
        <w:ind w:left="10960"/>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49</w:t>
        </w:r>
      </w:hyperlink>
    </w:p>
    <w:p>
      <w:pPr>
        <w:spacing w:after="0" w:line="200" w:lineRule="exact"/>
        <w:rPr>
          <w:sz w:val="20"/>
          <w:szCs w:val="20"/>
          <w:color w:val="auto"/>
        </w:rPr>
      </w:pPr>
    </w:p>
    <w:p>
      <w:pPr>
        <w:spacing w:after="0" w:line="223" w:lineRule="exact"/>
        <w:rPr>
          <w:sz w:val="20"/>
          <w:szCs w:val="20"/>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4: </w:t>
      </w:r>
      <w:hyperlink w:anchor="page53">
        <w:r>
          <w:rPr>
            <w:rFonts w:ascii="Times New Roman" w:cs="Times New Roman" w:eastAsia="Times New Roman" w:hAnsi="Times New Roman"/>
            <w:sz w:val="18"/>
            <w:szCs w:val="18"/>
            <w:u w:val="single" w:color="auto"/>
            <w:color w:val="0000EE"/>
          </w:rPr>
          <w:t>Controls and Procedures</w:t>
        </w:r>
      </w:hyperlink>
    </w:p>
    <w:p>
      <w:pPr>
        <w:ind w:left="10960"/>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51</w:t>
        </w:r>
      </w:hyperlink>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rFonts w:ascii="Times New Roman" w:cs="Times New Roman" w:eastAsia="Times New Roman" w:hAnsi="Times New Roman"/>
          <w:sz w:val="18"/>
          <w:szCs w:val="18"/>
          <w:b w:val="1"/>
          <w:bCs w:val="1"/>
          <w:u w:val="single" w:color="auto"/>
          <w:color w:val="0000EE"/>
        </w:rPr>
      </w:pPr>
      <w:hyperlink w:anchor="page54">
        <w:r>
          <w:rPr>
            <w:rFonts w:ascii="Times New Roman" w:cs="Times New Roman" w:eastAsia="Times New Roman" w:hAnsi="Times New Roman"/>
            <w:sz w:val="18"/>
            <w:szCs w:val="18"/>
            <w:b w:val="1"/>
            <w:bCs w:val="1"/>
            <w:u w:val="single" w:color="auto"/>
            <w:color w:val="0000EE"/>
          </w:rPr>
          <w:t>PART II: OTHER INFORMATION</w:t>
        </w:r>
      </w:hyperlink>
    </w:p>
    <w:p>
      <w:pPr>
        <w:spacing w:after="0" w:line="200" w:lineRule="exact"/>
        <w:rPr>
          <w:sz w:val="20"/>
          <w:szCs w:val="20"/>
          <w:color w:val="auto"/>
        </w:rPr>
      </w:pPr>
    </w:p>
    <w:p>
      <w:pPr>
        <w:spacing w:after="0" w:line="247" w:lineRule="exact"/>
        <w:rPr>
          <w:sz w:val="20"/>
          <w:szCs w:val="20"/>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1: </w:t>
      </w:r>
      <w:hyperlink w:anchor="page54">
        <w:r>
          <w:rPr>
            <w:rFonts w:ascii="Times New Roman" w:cs="Times New Roman" w:eastAsia="Times New Roman" w:hAnsi="Times New Roman"/>
            <w:sz w:val="18"/>
            <w:szCs w:val="18"/>
            <w:u w:val="single" w:color="auto"/>
            <w:color w:val="0000EE"/>
          </w:rPr>
          <w:t>Legal Proceedings</w:t>
        </w:r>
      </w:hyperlink>
    </w:p>
    <w:p>
      <w:pPr>
        <w:ind w:left="1096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52</w:t>
        </w:r>
      </w:hyperlink>
    </w:p>
    <w:p>
      <w:pPr>
        <w:spacing w:after="0" w:line="200" w:lineRule="exact"/>
        <w:rPr>
          <w:sz w:val="20"/>
          <w:szCs w:val="20"/>
          <w:color w:val="auto"/>
        </w:rPr>
      </w:pPr>
    </w:p>
    <w:p>
      <w:pPr>
        <w:spacing w:after="0" w:line="223" w:lineRule="exact"/>
        <w:rPr>
          <w:sz w:val="20"/>
          <w:szCs w:val="20"/>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1A: </w:t>
      </w:r>
      <w:hyperlink w:anchor="page54">
        <w:r>
          <w:rPr>
            <w:rFonts w:ascii="Times New Roman" w:cs="Times New Roman" w:eastAsia="Times New Roman" w:hAnsi="Times New Roman"/>
            <w:sz w:val="18"/>
            <w:szCs w:val="18"/>
            <w:u w:val="single" w:color="auto"/>
            <w:color w:val="0000EE"/>
          </w:rPr>
          <w:t>Risk Factors</w:t>
        </w:r>
      </w:hyperlink>
    </w:p>
    <w:p>
      <w:pPr>
        <w:ind w:left="1096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52</w:t>
        </w:r>
      </w:hyperlink>
    </w:p>
    <w:p>
      <w:pPr>
        <w:spacing w:after="0" w:line="200" w:lineRule="exact"/>
        <w:rPr>
          <w:sz w:val="20"/>
          <w:szCs w:val="20"/>
          <w:color w:val="auto"/>
        </w:rPr>
      </w:pPr>
    </w:p>
    <w:p>
      <w:pPr>
        <w:spacing w:after="0" w:line="223" w:lineRule="exact"/>
        <w:rPr>
          <w:sz w:val="20"/>
          <w:szCs w:val="20"/>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2: </w:t>
      </w:r>
      <w:hyperlink w:anchor="page54">
        <w:r>
          <w:rPr>
            <w:rFonts w:ascii="Times New Roman" w:cs="Times New Roman" w:eastAsia="Times New Roman" w:hAnsi="Times New Roman"/>
            <w:sz w:val="18"/>
            <w:szCs w:val="18"/>
            <w:u w:val="single" w:color="auto"/>
            <w:color w:val="0000EE"/>
          </w:rPr>
          <w:t>Unregistered Sales of Equity Securities and Use of Proceeds</w:t>
        </w:r>
      </w:hyperlink>
    </w:p>
    <w:p>
      <w:pPr>
        <w:ind w:left="1096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52</w:t>
        </w:r>
      </w:hyperlink>
    </w:p>
    <w:p>
      <w:pPr>
        <w:spacing w:after="0" w:line="200" w:lineRule="exact"/>
        <w:rPr>
          <w:sz w:val="20"/>
          <w:szCs w:val="20"/>
          <w:color w:val="auto"/>
        </w:rPr>
      </w:pPr>
    </w:p>
    <w:p>
      <w:pPr>
        <w:spacing w:after="0" w:line="223" w:lineRule="exact"/>
        <w:rPr>
          <w:sz w:val="20"/>
          <w:szCs w:val="20"/>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5: </w:t>
      </w:r>
      <w:hyperlink w:anchor="page54">
        <w:r>
          <w:rPr>
            <w:rFonts w:ascii="Times New Roman" w:cs="Times New Roman" w:eastAsia="Times New Roman" w:hAnsi="Times New Roman"/>
            <w:sz w:val="18"/>
            <w:szCs w:val="18"/>
            <w:u w:val="single" w:color="auto"/>
            <w:color w:val="0000EE"/>
          </w:rPr>
          <w:t>Other Information</w:t>
        </w:r>
      </w:hyperlink>
    </w:p>
    <w:p>
      <w:pPr>
        <w:ind w:left="1096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52</w:t>
        </w:r>
      </w:hyperlink>
    </w:p>
    <w:p>
      <w:pPr>
        <w:spacing w:after="0" w:line="200" w:lineRule="exact"/>
        <w:rPr>
          <w:sz w:val="20"/>
          <w:szCs w:val="20"/>
          <w:color w:val="auto"/>
        </w:rPr>
      </w:pPr>
    </w:p>
    <w:p>
      <w:pPr>
        <w:spacing w:after="0" w:line="223" w:lineRule="exact"/>
        <w:rPr>
          <w:sz w:val="20"/>
          <w:szCs w:val="20"/>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6: </w:t>
      </w:r>
      <w:hyperlink w:anchor="page55">
        <w:r>
          <w:rPr>
            <w:rFonts w:ascii="Times New Roman" w:cs="Times New Roman" w:eastAsia="Times New Roman" w:hAnsi="Times New Roman"/>
            <w:sz w:val="18"/>
            <w:szCs w:val="18"/>
            <w:u w:val="single" w:color="auto"/>
            <w:color w:val="0000EE"/>
          </w:rPr>
          <w:t>Exhibits</w:t>
        </w:r>
      </w:hyperlink>
    </w:p>
    <w:p>
      <w:pPr>
        <w:ind w:left="10960"/>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53</w:t>
        </w:r>
      </w:hyperlink>
    </w:p>
    <w:p>
      <w:pPr>
        <w:sectPr>
          <w:pgSz w:w="11900" w:h="16838" w:orient="portrait"/>
          <w:cols w:equalWidth="0" w:num="1">
            <w:col w:w="11160"/>
          </w:cols>
          <w:pgMar w:left="240" w:top="1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tabs>
          <w:tab w:leader="none" w:pos="109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b w:val="1"/>
          <w:bCs w:val="1"/>
          <w:u w:val="single" w:color="auto"/>
          <w:color w:val="0000EE"/>
        </w:rPr>
        <w:t>SIGNATURE</w:t>
      </w:r>
      <w:r>
        <w:rPr>
          <w:sz w:val="20"/>
          <w:szCs w:val="20"/>
          <w:color w:val="auto"/>
        </w:rPr>
        <w:tab/>
      </w:r>
      <w:hyperlink w:anchor="page56">
        <w:r>
          <w:rPr>
            <w:rFonts w:ascii="Times New Roman" w:cs="Times New Roman" w:eastAsia="Times New Roman" w:hAnsi="Times New Roman"/>
            <w:sz w:val="17"/>
            <w:szCs w:val="17"/>
            <w:u w:val="single" w:color="auto"/>
            <w:color w:val="0000EE"/>
          </w:rPr>
          <w:t>54</w:t>
        </w:r>
      </w:hyperlink>
    </w:p>
    <w:p>
      <w:pPr>
        <w:sectPr>
          <w:pgSz w:w="11900" w:h="16838" w:orient="portrait"/>
          <w:cols w:equalWidth="0" w:num="1">
            <w:col w:w="11160"/>
          </w:cols>
          <w:pgMar w:left="240" w:top="121" w:right="499" w:bottom="1440" w:gutter="0" w:footer="0" w:header="0"/>
          <w:type w:val="continuous"/>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1:</w:t>
        <w:tab/>
        <w:t>Financial Statements (Unaudited)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00" w:type="dxa"/>
            <w:vAlign w:val="bottom"/>
          </w:tcPr>
          <w:p>
            <w:pPr>
              <w:spacing w:after="0"/>
              <w:rPr>
                <w:sz w:val="20"/>
                <w:szCs w:val="20"/>
                <w:color w:val="auto"/>
              </w:rPr>
            </w:pPr>
          </w:p>
        </w:tc>
        <w:tc>
          <w:tcPr>
            <w:tcW w:w="31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Product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566,047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515,914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1,110,897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1,053,024</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Service revenues</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68,990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138,716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140,087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635,037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585,890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1,249,613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1,193,111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Product cost of revenues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401,033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366,542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787,135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749,392</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Service cost of revenues</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42,790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84,001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87,287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cost of revenues</w:t>
            </w:r>
          </w:p>
        </w:tc>
        <w:tc>
          <w:tcPr>
            <w:tcW w:w="3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443,823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409,313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871,136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836,679</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191,214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176,577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378,477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356,432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88,259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88,863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180,974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243,277</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49,449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99,939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115,059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35,739</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82,242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147,656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156,014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314,096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476,317</w:t>
            </w:r>
          </w:p>
        </w:tc>
        <w:tc>
          <w:tcPr>
            <w:tcW w:w="0" w:type="dxa"/>
            <w:vAlign w:val="bottom"/>
          </w:tcPr>
          <w:p>
            <w:pPr>
              <w:spacing w:after="0"/>
              <w:rPr>
                <w:sz w:val="1"/>
                <w:szCs w:val="1"/>
                <w:color w:val="auto"/>
              </w:rPr>
            </w:pPr>
          </w:p>
        </w:tc>
      </w:tr>
      <w:tr>
        <w:trPr>
          <w:trHeight w:val="291"/>
        </w:trPr>
        <w:tc>
          <w:tcPr>
            <w:tcW w:w="42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43,558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64,381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7"/>
        </w:trPr>
        <w:tc>
          <w:tcPr>
            <w:tcW w:w="4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28,536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(148,904)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7,407</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20,117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3,773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19,968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(141,497)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Itron, Inc.</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19,446</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17,539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(143,009)</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per common share - Basic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67"/>
        </w:trPr>
        <w:tc>
          <w:tcPr>
            <w:tcW w:w="42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Net income (loss) per common share - 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39,095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39,686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39,789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39,095</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00" w:type="dxa"/>
            <w:vAlign w:val="bottom"/>
          </w:tcPr>
          <w:p>
            <w:pPr>
              <w:spacing w:after="0"/>
              <w:rPr>
                <w:sz w:val="20"/>
                <w:szCs w:val="20"/>
                <w:color w:val="auto"/>
              </w:rPr>
            </w:pPr>
          </w:p>
        </w:tc>
        <w:tc>
          <w:tcPr>
            <w:tcW w:w="31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4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(141,497)</w:t>
            </w:r>
          </w:p>
        </w:tc>
        <w:tc>
          <w:tcPr>
            <w:tcW w:w="0" w:type="dxa"/>
            <w:vAlign w:val="bottom"/>
          </w:tcPr>
          <w:p>
            <w:pPr>
              <w:spacing w:after="0"/>
              <w:rPr>
                <w:sz w:val="1"/>
                <w:szCs w:val="1"/>
                <w:color w:val="auto"/>
              </w:rPr>
            </w:pPr>
          </w:p>
        </w:tc>
      </w:tr>
      <w:tr>
        <w:trPr>
          <w:trHeight w:val="297"/>
        </w:trPr>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5,187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unrealized gain (loss) on derivative instruments,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designated as cash flow hedges</w:t>
            </w:r>
          </w:p>
        </w:tc>
        <w:tc>
          <w:tcPr>
            <w:tcW w:w="3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Pension benefit obligation adjustment</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3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3,736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(15,390)</w:t>
            </w:r>
          </w:p>
        </w:tc>
        <w:tc>
          <w:tcPr>
            <w:tcW w:w="0" w:type="dxa"/>
            <w:vAlign w:val="bottom"/>
          </w:tcPr>
          <w:p>
            <w:pPr>
              <w:spacing w:after="0"/>
              <w:rPr>
                <w:sz w:val="1"/>
                <w:szCs w:val="1"/>
                <w:color w:val="auto"/>
              </w:rPr>
            </w:pPr>
          </w:p>
        </w:tc>
      </w:tr>
      <w:tr>
        <w:trPr>
          <w:trHeight w:val="291"/>
        </w:trPr>
        <w:tc>
          <w:tcPr>
            <w:tcW w:w="42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 (loss), net of tax</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23,853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21,924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(156,887)</w:t>
            </w:r>
          </w:p>
        </w:tc>
        <w:tc>
          <w:tcPr>
            <w:tcW w:w="0" w:type="dxa"/>
            <w:vAlign w:val="bottom"/>
          </w:tcPr>
          <w:p>
            <w:pPr>
              <w:spacing w:after="0"/>
              <w:rPr>
                <w:sz w:val="1"/>
                <w:szCs w:val="1"/>
                <w:color w:val="auto"/>
              </w:rPr>
            </w:pPr>
          </w:p>
        </w:tc>
      </w:tr>
      <w:tr>
        <w:trPr>
          <w:trHeight w:val="291"/>
        </w:trPr>
        <w:tc>
          <w:tcPr>
            <w:tcW w:w="42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Comprehensive income (loss) attributable to</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 net of tax</w:t>
            </w:r>
          </w:p>
        </w:tc>
        <w:tc>
          <w:tcPr>
            <w:tcW w:w="3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Itron, Inc.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23,182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19,495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(158,399)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9720" w:type="dxa"/>
            <w:vAlign w:val="bottom"/>
            <w:gridSpan w:val="10"/>
          </w:tcPr>
          <w:p>
            <w:pPr>
              <w:ind w:left="21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57"/>
        </w:trPr>
        <w:tc>
          <w:tcPr>
            <w:tcW w:w="1280" w:type="dxa"/>
            <w:vAlign w:val="bottom"/>
            <w:tcBorders>
              <w:top w:val="single" w:sz="8" w:color="0000EE"/>
            </w:tcBorders>
          </w:tcPr>
          <w:p>
            <w:pPr>
              <w:spacing w:after="0"/>
              <w:rPr>
                <w:sz w:val="24"/>
                <w:szCs w:val="24"/>
                <w:color w:val="auto"/>
              </w:rPr>
            </w:pPr>
          </w:p>
        </w:tc>
        <w:tc>
          <w:tcPr>
            <w:tcW w:w="5460" w:type="dxa"/>
            <w:vAlign w:val="bottom"/>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rPr>
              <w:t>ITRON, INC.</w:t>
            </w: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040" w:type="dxa"/>
            <w:vAlign w:val="bottom"/>
            <w:gridSpan w:val="2"/>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5460" w:type="dxa"/>
            <w:vAlign w:val="bottom"/>
          </w:tcPr>
          <w:p>
            <w:pPr>
              <w:jc w:val="center"/>
              <w:ind w:left="33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80" w:type="dxa"/>
            <w:vAlign w:val="bottom"/>
          </w:tcPr>
          <w:p>
            <w:pPr>
              <w:spacing w:after="0"/>
              <w:rPr>
                <w:sz w:val="24"/>
                <w:szCs w:val="24"/>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128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70"/>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135,736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120,221</w:t>
            </w: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466,366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437,161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229,910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220,674</w:t>
            </w: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130,584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118,085</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962,596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896,141</w:t>
            </w:r>
          </w:p>
        </w:tc>
      </w:tr>
      <w:tr>
        <w:trPr>
          <w:trHeight w:val="216"/>
        </w:trPr>
        <w:tc>
          <w:tcPr>
            <w:tcW w:w="1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228,513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226,551</w:t>
            </w: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tax assets, net</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60,977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64,830</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2,056</w:t>
            </w: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long-term assets</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45,288</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221,767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257,583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1,110,061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1,116,533</w:t>
            </w:r>
          </w:p>
        </w:tc>
      </w:tr>
      <w:tr>
        <w:trPr>
          <w:trHeight w:val="237"/>
        </w:trPr>
        <w:tc>
          <w:tcPr>
            <w:tcW w:w="67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5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2,706,354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2,608,982</w:t>
            </w:r>
          </w:p>
        </w:tc>
      </w:tr>
      <w:tr>
        <w:trPr>
          <w:trHeight w:val="67"/>
        </w:trPr>
        <w:tc>
          <w:tcPr>
            <w:tcW w:w="1280" w:type="dxa"/>
            <w:vAlign w:val="bottom"/>
            <w:tcBorders>
              <w:bottom w:val="single" w:sz="8" w:color="CCEEFF"/>
            </w:tcBorders>
          </w:tcPr>
          <w:p>
            <w:pPr>
              <w:spacing w:after="0"/>
              <w:rPr>
                <w:sz w:val="5"/>
                <w:szCs w:val="5"/>
                <w:color w:val="auto"/>
              </w:rPr>
            </w:pPr>
          </w:p>
        </w:tc>
        <w:tc>
          <w:tcPr>
            <w:tcW w:w="546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r>
      <w:tr>
        <w:trPr>
          <w:trHeight w:val="197"/>
        </w:trPr>
        <w:tc>
          <w:tcPr>
            <w:tcW w:w="1280" w:type="dxa"/>
            <w:vAlign w:val="bottom"/>
            <w:shd w:val="clear" w:color="auto" w:fill="CCEEFF"/>
          </w:tcPr>
          <w:p>
            <w:pPr>
              <w:spacing w:after="0"/>
              <w:rPr>
                <w:sz w:val="17"/>
                <w:szCs w:val="17"/>
                <w:color w:val="auto"/>
              </w:rPr>
            </w:pPr>
          </w:p>
        </w:tc>
        <w:tc>
          <w:tcPr>
            <w:tcW w:w="5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r>
      <w:tr>
        <w:trPr>
          <w:trHeight w:val="243"/>
        </w:trPr>
        <w:tc>
          <w:tcPr>
            <w:tcW w:w="1280" w:type="dxa"/>
            <w:vAlign w:val="bottom"/>
          </w:tcPr>
          <w:p>
            <w:pPr>
              <w:spacing w:after="0"/>
              <w:rPr>
                <w:sz w:val="21"/>
                <w:szCs w:val="21"/>
                <w:color w:val="auto"/>
              </w:rPr>
            </w:pPr>
          </w:p>
        </w:tc>
        <w:tc>
          <w:tcPr>
            <w:tcW w:w="546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5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320,582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309,951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70,136</w:t>
            </w: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Wages and benefits payable</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102,577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88,603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Taxes payable</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14,753</w:t>
            </w: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Current portion of debt</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28,438</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portion of warranty</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47,205</w:t>
            </w: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Unearned revenue</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95,197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93,621</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670,160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652,707</w:t>
            </w:r>
          </w:p>
        </w:tc>
      </w:tr>
      <w:tr>
        <w:trPr>
          <w:trHeight w:val="216"/>
        </w:trPr>
        <w:tc>
          <w:tcPr>
            <w:tcW w:w="1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969,710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988,185</w:t>
            </w: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warranty</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13,238</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benefit obligation</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91,522</w:t>
            </w: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68,387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139,786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127,739</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1,959,755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1,874,934</w:t>
            </w:r>
          </w:p>
        </w:tc>
      </w:tr>
      <w:tr>
        <w:trPr>
          <w:trHeight w:val="189"/>
        </w:trPr>
        <w:tc>
          <w:tcPr>
            <w:tcW w:w="128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16"/>
        </w:trPr>
        <w:tc>
          <w:tcPr>
            <w:tcW w:w="1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 issued or outstanding</w:t>
            </w:r>
          </w:p>
        </w:tc>
        <w:tc>
          <w:tcPr>
            <w:tcW w:w="58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5"/>
        </w:trPr>
        <w:tc>
          <w:tcPr>
            <w:tcW w:w="6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no par value, 75,000 shares authorized, 39,395 and 39,498 shares</w:t>
            </w:r>
          </w:p>
        </w:tc>
        <w:tc>
          <w:tcPr>
            <w:tcW w:w="5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41"/>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issued and outstanding</w:t>
            </w:r>
          </w:p>
        </w:tc>
        <w:tc>
          <w:tcPr>
            <w:tcW w:w="5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1,325,508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1,334,364</w:t>
            </w:r>
          </w:p>
        </w:tc>
      </w:tr>
      <w:tr>
        <w:trPr>
          <w:trHeight w:val="243"/>
        </w:trPr>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5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(196,305)</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5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(425,396)</w:t>
            </w:r>
          </w:p>
        </w:tc>
      </w:tr>
      <w:tr>
        <w:trPr>
          <w:trHeight w:val="237"/>
        </w:trPr>
        <w:tc>
          <w:tcPr>
            <w:tcW w:w="67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Itron, Inc. shareholders' equity</w:t>
            </w:r>
          </w:p>
        </w:tc>
        <w:tc>
          <w:tcPr>
            <w:tcW w:w="5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723,302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712,663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5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23,297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21,385</w:t>
            </w:r>
          </w:p>
        </w:tc>
      </w:tr>
      <w:tr>
        <w:trPr>
          <w:trHeight w:val="237"/>
        </w:trPr>
        <w:tc>
          <w:tcPr>
            <w:tcW w:w="67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5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746,599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734,048</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2,706,354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2,608,982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008"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08" w:right="239" w:bottom="1008"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2000" w:type="dxa"/>
            <w:vAlign w:val="bottom"/>
            <w:gridSpan w:val="3"/>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Itron, Inc.</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gridSpan w:val="3"/>
            <w:vMerge w:val="restart"/>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4"/>
                <w:szCs w:val="4"/>
                <w:color w:val="auto"/>
              </w:rPr>
            </w:pPr>
          </w:p>
        </w:tc>
        <w:tc>
          <w:tcPr>
            <w:tcW w:w="1180" w:type="dxa"/>
            <w:vAlign w:val="bottom"/>
            <w:gridSpan w:val="2"/>
            <w:vMerge w:val="restart"/>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4"/>
                <w:szCs w:val="4"/>
                <w:color w:val="auto"/>
              </w:rPr>
            </w:pPr>
          </w:p>
        </w:tc>
        <w:tc>
          <w:tcPr>
            <w:tcW w:w="1220" w:type="dxa"/>
            <w:vAlign w:val="bottom"/>
            <w:gridSpan w:val="2"/>
            <w:vMerge w:val="restart"/>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5"/>
                <w:szCs w:val="5"/>
                <w:color w:val="auto"/>
              </w:rPr>
            </w:pPr>
          </w:p>
        </w:tc>
        <w:tc>
          <w:tcPr>
            <w:tcW w:w="10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5"/>
        </w:trPr>
        <w:tc>
          <w:tcPr>
            <w:tcW w:w="27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Balances at January 1, 2019</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39,498</w:t>
            </w:r>
          </w:p>
        </w:tc>
        <w:tc>
          <w:tcPr>
            <w:tcW w:w="1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$1,334,364</w:t>
            </w:r>
          </w:p>
        </w:tc>
        <w:tc>
          <w:tcPr>
            <w:tcW w:w="540" w:type="dxa"/>
            <w:vAlign w:val="bottom"/>
            <w:gridSpan w:val="2"/>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(196,305)</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(425,396)</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712,663</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21,385</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734,048</w:t>
            </w:r>
          </w:p>
        </w:tc>
        <w:tc>
          <w:tcPr>
            <w:tcW w:w="0" w:type="dxa"/>
            <w:vAlign w:val="bottom"/>
          </w:tcPr>
          <w:p>
            <w:pPr>
              <w:spacing w:after="0"/>
              <w:rPr>
                <w:sz w:val="1"/>
                <w:szCs w:val="1"/>
                <w:color w:val="auto"/>
              </w:rPr>
            </w:pPr>
          </w:p>
        </w:tc>
      </w:tr>
      <w:tr>
        <w:trPr>
          <w:trHeight w:val="64"/>
        </w:trPr>
        <w:tc>
          <w:tcPr>
            <w:tcW w:w="274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540" w:type="dxa"/>
            <w:vAlign w:val="bottom"/>
            <w:gridSpan w:val="2"/>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68"/>
        </w:trPr>
        <w:tc>
          <w:tcPr>
            <w:tcW w:w="2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4"/>
          <w:szCs w:val="14"/>
          <w:color w:val="auto"/>
        </w:rPr>
        <w:t>Stock issues and repurchases:</w:t>
      </w:r>
    </w:p>
    <w:p>
      <w:pPr>
        <w:sectPr>
          <w:pgSz w:w="11900" w:h="16838" w:orient="portrait"/>
          <w:cols w:equalWidth="0" w:num="1">
            <w:col w:w="11420"/>
          </w:cols>
          <w:pgMar w:left="240" w:top="121" w:right="239" w:bottom="1440" w:gutter="0" w:footer="0" w:header="0"/>
        </w:sectPr>
      </w:pP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Options exercised</w:t>
      </w:r>
    </w:p>
    <w:p>
      <w:pPr>
        <w:spacing w:after="0" w:line="109" w:lineRule="exact"/>
        <w:rPr>
          <w:sz w:val="20"/>
          <w:szCs w:val="20"/>
          <w:color w:val="auto"/>
        </w:rPr>
      </w:pPr>
    </w:p>
    <w:p>
      <w:pPr>
        <w:ind w:left="380" w:right="80"/>
        <w:spacing w:after="0" w:line="261" w:lineRule="auto"/>
        <w:rPr>
          <w:sz w:val="20"/>
          <w:szCs w:val="20"/>
          <w:color w:val="auto"/>
        </w:rPr>
      </w:pPr>
      <w:r>
        <w:rPr>
          <w:rFonts w:ascii="Times New Roman" w:cs="Times New Roman" w:eastAsia="Times New Roman" w:hAnsi="Times New Roman"/>
          <w:sz w:val="14"/>
          <w:szCs w:val="14"/>
          <w:color w:val="auto"/>
        </w:rPr>
        <w:t>Restricted stock awards released net of repurchased shares for taxes</w:t>
      </w:r>
    </w:p>
    <w:p>
      <w:pPr>
        <w:spacing w:after="0" w:line="1" w:lineRule="exact"/>
        <w:rPr>
          <w:sz w:val="20"/>
          <w:szCs w:val="20"/>
          <w:color w:val="auto"/>
        </w:rPr>
      </w:pPr>
    </w:p>
    <w:p>
      <w:pPr>
        <w:ind w:left="380" w:right="120"/>
        <w:spacing w:after="0" w:line="261" w:lineRule="auto"/>
        <w:rPr>
          <w:sz w:val="20"/>
          <w:szCs w:val="20"/>
          <w:color w:val="auto"/>
        </w:rPr>
      </w:pPr>
      <w:r>
        <w:rPr>
          <w:rFonts w:ascii="Times New Roman" w:cs="Times New Roman" w:eastAsia="Times New Roman" w:hAnsi="Times New Roman"/>
          <w:sz w:val="14"/>
          <w:szCs w:val="14"/>
          <w:color w:val="auto"/>
        </w:rPr>
        <w:t>Issuance of stock-based compensation awards</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Employee stock purchase plan</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Shares repurchased</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Balances at March 31, 2019</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 (loss)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comprehensive income (loss), net of tax</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Distributions to noncontrolling interests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Stock issues and repurchases: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889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889</w:t>
            </w:r>
          </w:p>
        </w:tc>
      </w:tr>
      <w:tr>
        <w:trPr>
          <w:trHeight w:val="351"/>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r>
      <w:tr>
        <w:trPr>
          <w:trHeight w:val="351"/>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157</w:t>
            </w:r>
          </w:p>
        </w:tc>
      </w:tr>
      <w:tr>
        <w:trPr>
          <w:trHeight w:val="270"/>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869</w:t>
            </w: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7,048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7,048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7,048</w:t>
            </w:r>
          </w:p>
        </w:tc>
      </w:tr>
      <w:tr>
        <w:trPr>
          <w:trHeight w:val="275"/>
        </w:trPr>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(7,814)</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(7,814)</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(7,814)</w:t>
            </w:r>
          </w:p>
        </w:tc>
      </w:tr>
      <w:tr>
        <w:trPr>
          <w:trHeight w:val="245"/>
        </w:trPr>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39,693</w:t>
            </w:r>
          </w:p>
        </w:tc>
        <w:tc>
          <w:tcPr>
            <w:tcW w:w="12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1,334,793</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(198,085)</w:t>
            </w:r>
          </w:p>
        </w:tc>
        <w:tc>
          <w:tcPr>
            <w:tcW w:w="120" w:type="dxa"/>
            <w:vAlign w:val="bottom"/>
          </w:tcPr>
          <w:p>
            <w:pPr>
              <w:spacing w:after="0"/>
              <w:rPr>
                <w:sz w:val="21"/>
                <w:szCs w:val="21"/>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(427,303)</w:t>
            </w:r>
          </w:p>
        </w:tc>
        <w:tc>
          <w:tcPr>
            <w:tcW w:w="10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709,405</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22,626</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732,031</w:t>
            </w: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19,446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19,446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20,117</w:t>
            </w: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3,736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3,736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3,736</w:t>
            </w:r>
          </w:p>
        </w:tc>
      </w:tr>
      <w:tr>
        <w:trPr>
          <w:trHeight w:val="270"/>
        </w:trPr>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-1639570</wp:posOffset>
            </wp:positionV>
            <wp:extent cx="724662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-1193800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-850900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-507365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-164465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0" w:lineRule="exact"/>
        <w:rPr>
          <w:sz w:val="20"/>
          <w:szCs w:val="20"/>
          <w:color w:val="auto"/>
        </w:rPr>
      </w:pPr>
    </w:p>
    <w:p>
      <w:pPr>
        <w:sectPr>
          <w:pgSz w:w="11900" w:h="16838" w:orient="portrait"/>
          <w:cols w:equalWidth="0" w:num="2">
            <w:col w:w="2700" w:space="40"/>
            <w:col w:w="868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Options exercised</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1,501</w:t>
            </w:r>
          </w:p>
        </w:tc>
        <w:tc>
          <w:tcPr>
            <w:tcW w:w="0" w:type="dxa"/>
            <w:vAlign w:val="bottom"/>
          </w:tcPr>
          <w:p>
            <w:pPr>
              <w:spacing w:after="0"/>
              <w:rPr>
                <w:sz w:val="1"/>
                <w:szCs w:val="1"/>
                <w:color w:val="auto"/>
              </w:rPr>
            </w:pPr>
          </w:p>
        </w:tc>
      </w:tr>
      <w:tr>
        <w:trPr>
          <w:trHeight w:val="62"/>
        </w:trPr>
        <w:tc>
          <w:tcPr>
            <w:tcW w:w="274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74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color w:val="auto"/>
              </w:rPr>
              <w:t>Restricted stock awards released net of</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(920)</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repurchased shares for taxes</w:t>
            </w: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740" w:type="dxa"/>
            <w:vAlign w:val="bottom"/>
            <w:shd w:val="clear" w:color="auto" w:fill="CCEEFF"/>
          </w:tcPr>
          <w:p>
            <w:pPr>
              <w:ind w:left="380"/>
              <w:spacing w:after="0" w:line="158" w:lineRule="exact"/>
              <w:rPr>
                <w:sz w:val="20"/>
                <w:szCs w:val="20"/>
                <w:color w:val="auto"/>
              </w:rPr>
            </w:pPr>
            <w:r>
              <w:rPr>
                <w:rFonts w:ascii="Times New Roman" w:cs="Times New Roman" w:eastAsia="Times New Roman" w:hAnsi="Times New Roman"/>
                <w:sz w:val="14"/>
                <w:szCs w:val="14"/>
                <w:color w:val="auto"/>
              </w:rPr>
              <w:t>Issuance of stock-based compensation</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awards</w:t>
            </w: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742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742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742</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6,420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6,420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6,420</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Shares repurchased</w:t>
            </w: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(364)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(17,186)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(17,186)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(17,186)</w:t>
            </w:r>
          </w:p>
        </w:tc>
        <w:tc>
          <w:tcPr>
            <w:tcW w:w="0" w:type="dxa"/>
            <w:vAlign w:val="bottom"/>
          </w:tcPr>
          <w:p>
            <w:pPr>
              <w:spacing w:after="0"/>
              <w:rPr>
                <w:sz w:val="1"/>
                <w:szCs w:val="1"/>
                <w:color w:val="auto"/>
              </w:rPr>
            </w:pPr>
          </w:p>
        </w:tc>
      </w:tr>
      <w:tr>
        <w:trPr>
          <w:trHeight w:val="73"/>
        </w:trPr>
        <w:tc>
          <w:tcPr>
            <w:tcW w:w="274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Balances at June 30, 2019</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39,395</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1,325,508</w:t>
            </w:r>
          </w:p>
        </w:tc>
        <w:tc>
          <w:tcPr>
            <w:tcW w:w="1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(194,349)</w:t>
            </w:r>
          </w:p>
        </w:tc>
        <w:tc>
          <w:tcPr>
            <w:tcW w:w="12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(407,857)</w:t>
            </w:r>
          </w:p>
        </w:tc>
        <w:tc>
          <w:tcPr>
            <w:tcW w:w="1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723,302</w:t>
            </w:r>
          </w:p>
        </w:tc>
        <w:tc>
          <w:tcPr>
            <w:tcW w:w="1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23,297</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746,599</w:t>
            </w:r>
          </w:p>
        </w:tc>
        <w:tc>
          <w:tcPr>
            <w:tcW w:w="0" w:type="dxa"/>
            <w:vAlign w:val="bottom"/>
          </w:tcPr>
          <w:p>
            <w:pPr>
              <w:spacing w:after="0"/>
              <w:rPr>
                <w:sz w:val="1"/>
                <w:szCs w:val="1"/>
                <w:color w:val="auto"/>
              </w:rPr>
            </w:pPr>
          </w:p>
        </w:tc>
      </w:tr>
      <w:tr>
        <w:trPr>
          <w:trHeight w:val="59"/>
        </w:trPr>
        <w:tc>
          <w:tcPr>
            <w:tcW w:w="274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vMerge w:val="continue"/>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21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Itron, Inc.</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gridSpan w:val="3"/>
            <w:vMerge w:val="restart"/>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4"/>
                <w:szCs w:val="4"/>
                <w:color w:val="auto"/>
              </w:rPr>
            </w:pPr>
          </w:p>
        </w:tc>
        <w:tc>
          <w:tcPr>
            <w:tcW w:w="1180" w:type="dxa"/>
            <w:vAlign w:val="bottom"/>
            <w:gridSpan w:val="2"/>
            <w:vMerge w:val="restart"/>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4"/>
                <w:szCs w:val="4"/>
                <w:color w:val="auto"/>
              </w:rPr>
            </w:pPr>
          </w:p>
        </w:tc>
        <w:tc>
          <w:tcPr>
            <w:tcW w:w="122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4"/>
                <w:szCs w:val="4"/>
                <w:color w:val="auto"/>
              </w:rPr>
            </w:pPr>
          </w:p>
        </w:tc>
        <w:tc>
          <w:tcPr>
            <w:tcW w:w="122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5"/>
        </w:trPr>
        <w:tc>
          <w:tcPr>
            <w:tcW w:w="274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5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2018</w:t>
            </w:r>
          </w:p>
        </w:tc>
        <w:tc>
          <w:tcPr>
            <w:tcW w:w="82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38,771</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$1,294,767</w:t>
            </w:r>
          </w:p>
        </w:tc>
        <w:tc>
          <w:tcPr>
            <w:tcW w:w="1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(170,478)</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(337,873)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786,416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19,216</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805,632</w:t>
            </w:r>
          </w:p>
        </w:tc>
        <w:tc>
          <w:tcPr>
            <w:tcW w:w="0" w:type="dxa"/>
            <w:vAlign w:val="bottom"/>
          </w:tcPr>
          <w:p>
            <w:pPr>
              <w:spacing w:after="0"/>
              <w:rPr>
                <w:sz w:val="1"/>
                <w:szCs w:val="1"/>
                <w:color w:val="auto"/>
              </w:rPr>
            </w:pPr>
          </w:p>
        </w:tc>
      </w:tr>
      <w:tr>
        <w:trPr>
          <w:trHeight w:val="64"/>
        </w:trPr>
        <w:tc>
          <w:tcPr>
            <w:tcW w:w="274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(145,666)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(145,666)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396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(145,270)</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effect of accounting change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11,727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11,727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11,727</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17,883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17,883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17,883</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issues and repurchases: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Options exercised</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2,883</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2,883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2,883</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Restricted stock awards released</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740" w:type="dxa"/>
            <w:vAlign w:val="bottom"/>
            <w:shd w:val="clear" w:color="auto" w:fill="CCEEFF"/>
          </w:tcPr>
          <w:p>
            <w:pPr>
              <w:ind w:left="380"/>
              <w:spacing w:after="0" w:line="158" w:lineRule="exact"/>
              <w:rPr>
                <w:sz w:val="20"/>
                <w:szCs w:val="20"/>
                <w:color w:val="auto"/>
              </w:rPr>
            </w:pPr>
            <w:r>
              <w:rPr>
                <w:rFonts w:ascii="Times New Roman" w:cs="Times New Roman" w:eastAsia="Times New Roman" w:hAnsi="Times New Roman"/>
                <w:sz w:val="14"/>
                <w:szCs w:val="14"/>
                <w:color w:val="auto"/>
              </w:rPr>
              <w:t>Issuance of stock-based compensation</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awards</w:t>
            </w: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7,888</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7,888</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Registration fee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SSNI acquisition adjustments, net</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4,140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4,140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4,140</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March 31, 2018</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39,181</w:t>
            </w:r>
          </w:p>
        </w:tc>
        <w:tc>
          <w:tcPr>
            <w:tcW w:w="120" w:type="dxa"/>
            <w:vAlign w:val="bottom"/>
          </w:tcPr>
          <w:p>
            <w:pPr>
              <w:spacing w:after="0"/>
              <w:rPr>
                <w:sz w:val="15"/>
                <w:szCs w:val="15"/>
                <w:color w:val="auto"/>
              </w:rPr>
            </w:pP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1,310,379</w:t>
            </w:r>
          </w:p>
        </w:tc>
        <w:tc>
          <w:tcPr>
            <w:tcW w:w="120" w:type="dxa"/>
            <w:vAlign w:val="bottom"/>
          </w:tcPr>
          <w:p>
            <w:pPr>
              <w:spacing w:after="0"/>
              <w:rPr>
                <w:sz w:val="15"/>
                <w:szCs w:val="15"/>
                <w:color w:val="auto"/>
              </w:rPr>
            </w:pPr>
          </w:p>
        </w:tc>
        <w:tc>
          <w:tcPr>
            <w:tcW w:w="4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(152,595)</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(471,812)</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685,972</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18,631</w:t>
            </w:r>
          </w:p>
        </w:tc>
        <w:tc>
          <w:tcPr>
            <w:tcW w:w="1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704,603</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2,657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3,773</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(33,273)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(33,273)</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 from noncontrolling interests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481</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issues and repurchases: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Options exercised</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655</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655</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Restricted stock awards released</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740" w:type="dxa"/>
            <w:vAlign w:val="bottom"/>
            <w:shd w:val="clear" w:color="auto" w:fill="CCEEFF"/>
          </w:tcPr>
          <w:p>
            <w:pPr>
              <w:ind w:left="380"/>
              <w:spacing w:after="0" w:line="158" w:lineRule="exact"/>
              <w:rPr>
                <w:sz w:val="20"/>
                <w:szCs w:val="20"/>
                <w:color w:val="auto"/>
              </w:rPr>
            </w:pPr>
            <w:r>
              <w:rPr>
                <w:rFonts w:ascii="Times New Roman" w:cs="Times New Roman" w:eastAsia="Times New Roman" w:hAnsi="Times New Roman"/>
                <w:sz w:val="14"/>
                <w:szCs w:val="14"/>
                <w:color w:val="auto"/>
              </w:rPr>
              <w:t>Issuance of stock-based compensation</w:t>
            </w:r>
          </w:p>
        </w:tc>
        <w:tc>
          <w:tcPr>
            <w:tcW w:w="8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awards</w:t>
            </w: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627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627</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8,317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8,317</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Registration Fee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73"/>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SSNI acquisition adjustments, net</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June 30, 2018</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39,279</w:t>
            </w:r>
          </w:p>
        </w:tc>
        <w:tc>
          <w:tcPr>
            <w:tcW w:w="120" w:type="dxa"/>
            <w:vAlign w:val="bottom"/>
          </w:tcPr>
          <w:p>
            <w:pPr>
              <w:spacing w:after="0"/>
              <w:rPr>
                <w:sz w:val="15"/>
                <w:szCs w:val="15"/>
                <w:color w:val="auto"/>
              </w:rPr>
            </w:pP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1,317,781</w:t>
            </w:r>
          </w:p>
        </w:tc>
        <w:tc>
          <w:tcPr>
            <w:tcW w:w="120" w:type="dxa"/>
            <w:vAlign w:val="bottom"/>
          </w:tcPr>
          <w:p>
            <w:pPr>
              <w:spacing w:after="0"/>
              <w:rPr>
                <w:sz w:val="15"/>
                <w:szCs w:val="15"/>
                <w:color w:val="auto"/>
              </w:rPr>
            </w:pPr>
          </w:p>
        </w:tc>
        <w:tc>
          <w:tcPr>
            <w:tcW w:w="4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(185,868)</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(469,155)</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662,758</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20,228</w:t>
            </w:r>
          </w:p>
        </w:tc>
        <w:tc>
          <w:tcPr>
            <w:tcW w:w="1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682,986</w:t>
            </w:r>
          </w:p>
        </w:tc>
        <w:tc>
          <w:tcPr>
            <w:tcW w:w="0" w:type="dxa"/>
            <w:vAlign w:val="bottom"/>
          </w:tcPr>
          <w:p>
            <w:pPr>
              <w:spacing w:after="0"/>
              <w:rPr>
                <w:sz w:val="1"/>
                <w:szCs w:val="1"/>
                <w:color w:val="auto"/>
              </w:rPr>
            </w:pPr>
          </w:p>
        </w:tc>
      </w:tr>
      <w:tr>
        <w:trPr>
          <w:trHeight w:val="64"/>
        </w:trPr>
        <w:tc>
          <w:tcPr>
            <w:tcW w:w="2740" w:type="dxa"/>
            <w:vAlign w:val="bottom"/>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bottom w:val="single" w:sz="8" w:color="auto"/>
            </w:tcBorders>
            <w:vMerge w:val="continue"/>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7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1"/>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Operating activities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income (loss)</w:t>
            </w:r>
          </w:p>
        </w:tc>
        <w:tc>
          <w:tcPr>
            <w:tcW w:w="40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19,968</w:t>
            </w:r>
          </w:p>
        </w:tc>
        <w:tc>
          <w:tcPr>
            <w:tcW w:w="12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(141,497)</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Depreciation and amortization of intangible assets</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57,068</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61,979</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Amortization of operating lease right-of-use assets</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9,481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Stock-based compensation</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13,783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16,619</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Amortization of prepaid debt fees</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2,402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4,602</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Deferred taxes, net</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2,076</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(15,319)</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Restructuring, non-cash</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(5,295)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624</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Other adjustments, net</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1,205</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Accounts receivable</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(29,121)</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12,804</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Inventories</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(9,202)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3,385</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current assets</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long-term assets</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6,616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4,514</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Accounts payable, other current liabilities, and taxes payable</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(16,994)</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Wages and benefits payable</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13,484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762</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Unearned revenue</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14,961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31,156</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Warranty</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3,756</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operating, net</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5,797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51,204</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90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400" w:type="dxa"/>
            <w:vAlign w:val="bottom"/>
          </w:tcPr>
          <w:p>
            <w:pPr>
              <w:spacing w:after="0"/>
              <w:rPr>
                <w:sz w:val="15"/>
                <w:szCs w:val="15"/>
                <w:color w:val="auto"/>
              </w:rPr>
            </w:pP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78,063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16,879</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79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Investing activities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Acquisitions of property, plant, and equipment</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(26,511)</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(29,309)</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Business acquisitions, net of cash equivalents acquired</w:t>
            </w:r>
          </w:p>
        </w:tc>
        <w:tc>
          <w:tcPr>
            <w:tcW w:w="400" w:type="dxa"/>
            <w:vAlign w:val="bottom"/>
          </w:tcPr>
          <w:p>
            <w:pPr>
              <w:spacing w:after="0"/>
              <w:rPr>
                <w:sz w:val="16"/>
                <w:szCs w:val="16"/>
                <w:color w:val="auto"/>
              </w:rPr>
            </w:pPr>
          </w:p>
        </w:tc>
        <w:tc>
          <w:tcPr>
            <w:tcW w:w="14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(802,488)</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investing, net</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9,773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90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4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(16,738)</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(832,340)</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79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Financing activities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Proceeds from borrowings</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761,938</w:t>
            </w:r>
          </w:p>
        </w:tc>
        <w:tc>
          <w:tcPr>
            <w:tcW w:w="0" w:type="dxa"/>
            <w:vAlign w:val="bottom"/>
          </w:tcPr>
          <w:p>
            <w:pPr>
              <w:spacing w:after="0"/>
              <w:rPr>
                <w:sz w:val="1"/>
                <w:szCs w:val="1"/>
                <w:color w:val="auto"/>
              </w:rPr>
            </w:pPr>
          </w:p>
        </w:tc>
      </w:tr>
      <w:tr>
        <w:trPr>
          <w:trHeight w:val="193"/>
        </w:trPr>
        <w:tc>
          <w:tcPr>
            <w:tcW w:w="7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Payments on debt</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(72,188)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(242,234)</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Issuance of common stock</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4,001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4,927</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Prepaid debt fees</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(24,042)</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financing, net</w:t>
            </w:r>
          </w:p>
        </w:tc>
        <w:tc>
          <w:tcPr>
            <w:tcW w:w="40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(3,165)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0" w:type="dxa"/>
            <w:vAlign w:val="bottom"/>
          </w:tcPr>
          <w:p>
            <w:pPr>
              <w:spacing w:after="0"/>
              <w:rPr>
                <w:sz w:val="1"/>
                <w:szCs w:val="1"/>
                <w:color w:val="auto"/>
              </w:rPr>
            </w:pPr>
          </w:p>
        </w:tc>
      </w:tr>
      <w:tr>
        <w:trPr>
          <w:trHeight w:val="73"/>
        </w:trPr>
        <w:tc>
          <w:tcPr>
            <w:tcW w:w="79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7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(46,527)</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498,009</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Effect of foreign exchange rate changes on cash, cash equivalents, and restricted cash</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(4,841)</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Increase (decrease) in cash, cash equivalents, and restricted cash</w:t>
            </w:r>
          </w:p>
        </w:tc>
        <w:tc>
          <w:tcPr>
            <w:tcW w:w="400" w:type="dxa"/>
            <w:vAlign w:val="bottom"/>
          </w:tcPr>
          <w:p>
            <w:pPr>
              <w:spacing w:after="0"/>
              <w:rPr>
                <w:sz w:val="15"/>
                <w:szCs w:val="15"/>
                <w:color w:val="auto"/>
              </w:rPr>
            </w:pP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15,525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(322,293)</w:t>
            </w:r>
          </w:p>
        </w:tc>
        <w:tc>
          <w:tcPr>
            <w:tcW w:w="0" w:type="dxa"/>
            <w:vAlign w:val="bottom"/>
          </w:tcPr>
          <w:p>
            <w:pPr>
              <w:spacing w:after="0"/>
              <w:rPr>
                <w:sz w:val="1"/>
                <w:szCs w:val="1"/>
                <w:color w:val="auto"/>
              </w:rPr>
            </w:pPr>
          </w:p>
        </w:tc>
      </w:tr>
      <w:tr>
        <w:trPr>
          <w:trHeight w:val="73"/>
        </w:trPr>
        <w:tc>
          <w:tcPr>
            <w:tcW w:w="79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122,328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487,335</w:t>
            </w:r>
          </w:p>
        </w:tc>
        <w:tc>
          <w:tcPr>
            <w:tcW w:w="0" w:type="dxa"/>
            <w:vAlign w:val="bottom"/>
          </w:tcPr>
          <w:p>
            <w:pPr>
              <w:spacing w:after="0"/>
              <w:rPr>
                <w:sz w:val="1"/>
                <w:szCs w:val="1"/>
                <w:color w:val="auto"/>
              </w:rPr>
            </w:pPr>
          </w:p>
        </w:tc>
      </w:tr>
      <w:tr>
        <w:trPr>
          <w:trHeight w:val="78"/>
        </w:trPr>
        <w:tc>
          <w:tcPr>
            <w:tcW w:w="79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4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137,853</w:t>
            </w:r>
          </w:p>
        </w:tc>
        <w:tc>
          <w:tcPr>
            <w:tcW w:w="120" w:type="dxa"/>
            <w:vAlign w:val="bottom"/>
          </w:tcPr>
          <w:p>
            <w:pPr>
              <w:spacing w:after="0"/>
              <w:rPr>
                <w:sz w:val="15"/>
                <w:szCs w:val="15"/>
                <w:color w:val="auto"/>
              </w:rPr>
            </w:pPr>
          </w:p>
        </w:tc>
        <w:tc>
          <w:tcPr>
            <w:tcW w:w="4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165,042</w:t>
            </w:r>
          </w:p>
        </w:tc>
        <w:tc>
          <w:tcPr>
            <w:tcW w:w="0" w:type="dxa"/>
            <w:vAlign w:val="bottom"/>
          </w:tcPr>
          <w:p>
            <w:pPr>
              <w:spacing w:after="0"/>
              <w:rPr>
                <w:sz w:val="1"/>
                <w:szCs w:val="1"/>
                <w:color w:val="auto"/>
              </w:rPr>
            </w:pPr>
          </w:p>
        </w:tc>
      </w:tr>
      <w:tr>
        <w:trPr>
          <w:trHeight w:val="99"/>
        </w:trPr>
        <w:tc>
          <w:tcPr>
            <w:tcW w:w="790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13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12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79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420"/>
          </w:cols>
          <w:pgMar w:left="240" w:top="121" w:right="239" w:bottom="1062" w:gutter="0" w:footer="0" w:header="0"/>
        </w:sectPr>
      </w:pPr>
    </w:p>
    <w:p>
      <w:pPr>
        <w:ind w:left="40"/>
        <w:spacing w:after="0"/>
        <w:rPr>
          <w:sz w:val="20"/>
          <w:szCs w:val="20"/>
          <w:color w:val="auto"/>
        </w:rPr>
      </w:pPr>
      <w:r>
        <w:rPr>
          <w:rFonts w:ascii="Times New Roman" w:cs="Times New Roman" w:eastAsia="Times New Roman" w:hAnsi="Times New Roman"/>
          <w:sz w:val="14"/>
          <w:szCs w:val="14"/>
          <w:i w:val="1"/>
          <w:iCs w:val="1"/>
          <w:color w:val="auto"/>
        </w:rPr>
        <w:t>Supplemental disclosure of cash flow information:</w:t>
      </w:r>
    </w:p>
    <w:p>
      <w:pPr>
        <w:spacing w:after="0" w:line="1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Cash paid during the period for:</w:t>
      </w:r>
    </w:p>
    <w:p>
      <w:pPr>
        <w:spacing w:after="0" w:line="1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Income taxes, net</w:t>
      </w:r>
    </w:p>
    <w:p>
      <w:pPr>
        <w:spacing w:after="0" w:line="1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6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6,571</w:t>
            </w:r>
          </w:p>
        </w:tc>
        <w:tc>
          <w:tcPr>
            <w:tcW w:w="7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w:t>
            </w:r>
          </w:p>
        </w:tc>
      </w:tr>
      <w:tr>
        <w:trPr>
          <w:trHeight w:val="270"/>
        </w:trPr>
        <w:tc>
          <w:tcPr>
            <w:tcW w:w="640" w:type="dxa"/>
            <w:vAlign w:val="bottom"/>
          </w:tcPr>
          <w:p>
            <w:pPr>
              <w:spacing w:after="0"/>
              <w:rPr>
                <w:sz w:val="23"/>
                <w:szCs w:val="23"/>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23,333</w:t>
            </w:r>
          </w:p>
        </w:tc>
        <w:tc>
          <w:tcPr>
            <w:tcW w:w="7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-507365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-164465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00" w:space="720"/>
            <w:col w:w="3500"/>
          </w:cols>
          <w:pgMar w:left="240" w:top="121" w:right="239" w:bottom="1062" w:gutter="0" w:footer="0" w:header="0"/>
          <w:type w:val="continuous"/>
        </w:sectPr>
      </w:pP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ectPr>
          <w:pgSz w:w="11900" w:h="16838" w:orient="portrait"/>
          <w:cols w:equalWidth="0" w:num="1">
            <w:col w:w="11420"/>
          </w:cols>
          <w:pgMar w:left="240" w:top="121" w:right="239" w:bottom="1062" w:gutter="0" w:footer="0" w:header="0"/>
          <w:type w:val="continuous"/>
        </w:sect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062" w:gutter="0" w:footer="0" w:header="0"/>
          <w:type w:val="continuous"/>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ITRON,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the terms "we," "us," "our," "Itron," and the "Company" refer to Itron, Inc.</w:t>
      </w:r>
    </w:p>
    <w:p>
      <w:pPr>
        <w:spacing w:after="0" w:line="22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Financial Statement Preparation</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condensed consolidated financial statements presented in this Quarterly Report on Form 10-Q are unaudited and reflect entries necessary for the fair presentation of the Consolidated Statements of Operations, the Consolidated Statements of Comprehensive Income (Loss), Consolidated Statements of Equity, and Consolidated Statements of Cash Flows for the three and six months ended June 30, 2019 and 2018, and the Consolidated Balance Sheets as of June 30, 2019 and December 31, 2018, of Itron, Inc. and its subsidiaries. All entries required for the fair presentation of the financial statements are of a normal recurring nature, except as disclosed. The results of operations for the three and six months ended June 30, 2019 are not necessarily indicative of the results expected for the full year or for any other period.</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Certain information and notes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consolidated financial statements and the notes thereto for the fiscal year ended December 31, 2018 filed with the SEC in our Annual Report on Form 10-K on February 28, 2019 (2018 Annual Report). There have been no significant changes in financial statement preparation or significant accounting policies since December 31, 2018 other than the adoption of Accounting Standards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Cash and Cash Equivalents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that are contractually restricted from operating use are classified as restricted cash and cash equivalents.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20"/>
                <w:szCs w:val="20"/>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2019</w:t>
            </w:r>
          </w:p>
        </w:tc>
        <w:tc>
          <w:tcPr>
            <w:tcW w:w="18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260" w:type="dxa"/>
            <w:vAlign w:val="bottom"/>
          </w:tcPr>
          <w:p>
            <w:pPr>
              <w:spacing w:after="0"/>
              <w:rPr>
                <w:sz w:val="20"/>
                <w:szCs w:val="20"/>
                <w:color w:val="auto"/>
              </w:rPr>
            </w:pPr>
          </w:p>
        </w:tc>
        <w:tc>
          <w:tcPr>
            <w:tcW w:w="15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 2018</w:t>
            </w:r>
          </w:p>
        </w:tc>
      </w:tr>
      <w:tr>
        <w:trPr>
          <w:trHeight w:val="27"/>
        </w:trPr>
        <w:tc>
          <w:tcPr>
            <w:tcW w:w="5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135,736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120,221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162,882</w:t>
            </w:r>
          </w:p>
        </w:tc>
      </w:tr>
      <w:tr>
        <w:trPr>
          <w:trHeight w:val="237"/>
        </w:trPr>
        <w:tc>
          <w:tcPr>
            <w:tcW w:w="5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cash included in other current assets</w:t>
            </w:r>
          </w:p>
        </w:tc>
        <w:tc>
          <w:tcPr>
            <w:tcW w:w="280" w:type="dxa"/>
            <w:vAlign w:val="bottom"/>
          </w:tcPr>
          <w:p>
            <w:pPr>
              <w:spacing w:after="0"/>
              <w:rPr>
                <w:sz w:val="20"/>
                <w:szCs w:val="20"/>
                <w:color w:val="auto"/>
              </w:rPr>
            </w:pPr>
          </w:p>
        </w:tc>
        <w:tc>
          <w:tcPr>
            <w:tcW w:w="15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r>
      <w:tr>
        <w:trPr>
          <w:trHeight w:val="33"/>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restricted cash</w:t>
            </w:r>
          </w:p>
        </w:tc>
        <w:tc>
          <w:tcPr>
            <w:tcW w:w="2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2,109</w:t>
            </w:r>
          </w:p>
        </w:tc>
      </w:tr>
      <w:tr>
        <w:trPr>
          <w:trHeight w:val="244"/>
        </w:trPr>
        <w:tc>
          <w:tcPr>
            <w:tcW w:w="5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137,853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122,328</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165,042</w:t>
            </w:r>
          </w:p>
        </w:tc>
      </w:tr>
      <w:tr>
        <w:trPr>
          <w:trHeight w:val="20"/>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Subsequent to the issuance of our June 30, 2018 consolidated financial statements, we determined $150 million of proceeds from borrowings and payments on debt, originally transacted during the first quarter of 2018, had been improperly netted within the financing activities section of the Consolidated Statements of Cash Flows for the first three quarters of 2018. We corrected this presentation for the 2018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accompanying Consolidated Statement of Cash Flows for the six months ended June 30, 2018 has been revised from amounts previously reported to separately present the $150 million of proceeds from borrowings and the payments on debt. We assessed the significance of the misstatement and concluded that it was not material to any prior periods. There were no changes to net cash flows from operating, investing, or financing activities as a result of this change.</w:t>
      </w:r>
    </w:p>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determine if an arrangement is a lease at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("ROU") assets, other current liabilities, and operating lease liabilities on our Consolidated Balance Sheets. Finance leases are included in property, plant, and equipment, other current liabilities, and other long-term obligations on our Consolidated Balance Sheets.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We use the implicit rate when readily determinable. As most of our leases do not provide an implicit rate, we use our incremental borrowing rate based on the information available at the commencement date in determining the present value of lease payments. The Operating lease ROU asset also includes any lease payments made and excludes lease incentives received and initial direct costs incurred. Our lease terms may include options to extend or terminate the lease when it is reasonably certain that we will exercise that option. Lease expense for operating lease payments is recognized on a straight-line basis over the lease term.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lease agreements, which include lease and nonlease components. For each of our existing asset classes, we have elected the practical expedient to account for the lease and nonlease components as a single lease component when the nonlease components are fixed.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not elected to utilize the short-term lease exemption for any leased asset class. All leases with a lease term that is greater than one month will be subject to recognition and measurement on the balance sheet.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Lease expense for variable lease payments, where the timing or amount of the payment is not fixed, are recognized when the obligation is incurred. Variable lease payments generally arise in our net lease arrangements where executory and other lease-related costs are billed to Itron when incurred by the lessor.</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which required substantially all leases be recognized by lessees on their balance sheet as a right-of-use asset and corresponding lease liability, including leases previously accounted for as operating leases. The new standard also resulted in enhanced quantitative and qualitative disclosures, including significant judgments made by management, to provide greater insight into the extent of revenue and expense recognized and expected to be recognized from existing leases. The standard required modified retrospective adoption and was effective for annual reporting periods beginning after December 15, 2018, with early adoption permitted. We adopted ASC 842, as amended, on January 1, 2019, and it resulted in an increase to operating lease right-of-use assets, other current liabilities, and operating lease liabilities of $74.6 million, $14.5 million, and $61.5 million, respectively, and a decrease in other current assets and other long-term obligations of $1.5 million and $2.9 million, respectively.</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Customer's Accounting for Implementation Costs Incurred in a Cloud Computing Arrangement That Is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Service Contract. </w:t>
      </w:r>
      <w:r>
        <w:rPr>
          <w:rFonts w:ascii="Times New Roman" w:cs="Times New Roman" w:eastAsia="Times New Roman" w:hAnsi="Times New Roman"/>
          <w:sz w:val="18"/>
          <w:szCs w:val="18"/>
          <w:color w:val="auto"/>
        </w:rPr>
        <w:t>The amendments in this ASU align the requirements for capitalizing implementation costs incurred in a hosting arrangement that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contract with the requirements for capitalizing implementation costs incurred to develop or obtain internal-use software (and hosting arrangements that include an internal-use software license). Accordingly, the amendments require an entity (customer) in a hosting arrangement that is a service contract to follow the guidance in Subtopic 350-40 to determine which implementation costs to capitalize as an asset related to the service contract and which costs to expense. The amendments also require us to expense the capitalized implementation costs of a hosting arrangement that is a service contract over the term of the hosting arrangement, which includes reasonably certain renewals. We adopted ASU 2018-15 as of January 1, 2019, and it did not have a material impact on our financial condition, results of operations, or cash flows.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October 2018, the FASB issued ASU 2018-16, </w:t>
      </w:r>
      <w:r>
        <w:rPr>
          <w:rFonts w:ascii="Times New Roman" w:cs="Times New Roman" w:eastAsia="Times New Roman" w:hAnsi="Times New Roman"/>
          <w:sz w:val="18"/>
          <w:szCs w:val="18"/>
          <w:i w:val="1"/>
          <w:iCs w:val="1"/>
          <w:color w:val="auto"/>
        </w:rPr>
        <w:t>Inclusion of the Secured Overnight Financing Rate (SOFR) Overnight Index Swap (OIS) Rate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Benchmark Interest Rate for Hedge Accounting Purposes</w:t>
      </w:r>
      <w:r>
        <w:rPr>
          <w:rFonts w:ascii="Times New Roman" w:cs="Times New Roman" w:eastAsia="Times New Roman" w:hAnsi="Times New Roman"/>
          <w:sz w:val="18"/>
          <w:szCs w:val="18"/>
          <w:color w:val="auto"/>
        </w:rPr>
        <w:t>. We adopted this standard on January 1, 2019, and it did not materially impact our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This update establishes OIS rates based on SOFR as an approved benchmark interest rate in addition to existing rates such as the LIBOR swap rate.</w:t>
      </w:r>
    </w:p>
    <w:p>
      <w:pPr>
        <w:spacing w:after="0" w:line="1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(ASU 2016-13), which replaces the incurred loss impairment methodology in current GAAP with a methodology based on expected credit losses. This estimate of expected credit losses uses a broader range of reasonable and supportable information. This change will result in earlier recognition of credit losses. ASU 2016-13, as amended, will be effective as of January 1, 2020 for us. We are currently evaluating the impact of this standard on our consolidated financial statements, as well as our accounting policies, processes, and systems.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Disclosure Framework-Changes to the Disclosure Requirements for Fair Value Measurement</w:t>
      </w:r>
      <w:r>
        <w:rPr>
          <w:rFonts w:ascii="Times New Roman" w:cs="Times New Roman" w:eastAsia="Times New Roman" w:hAnsi="Times New Roman"/>
          <w:sz w:val="18"/>
          <w:szCs w:val="18"/>
          <w:color w:val="auto"/>
        </w:rPr>
        <w:t xml:space="preserve"> (ASU 2018-13), which amends the disclosure requirements under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ASU 2018-13 is effective for us beginning with our interim financial reports for the first quarter of 2020. We are currently evaluating the impact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standard will have on our consolidated financial statement disclosures related to assets and liabilities subject to fair value measurement.</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August 2018, the FASB issued ASU 2018-14, </w:t>
      </w:r>
      <w:r>
        <w:rPr>
          <w:rFonts w:ascii="Times New Roman" w:cs="Times New Roman" w:eastAsia="Times New Roman" w:hAnsi="Times New Roman"/>
          <w:sz w:val="18"/>
          <w:szCs w:val="18"/>
          <w:i w:val="1"/>
          <w:iCs w:val="1"/>
          <w:color w:val="auto"/>
        </w:rPr>
        <w:t>Disclosure Framework-Changes to the Disclosure Requirements for Defined Benefit Plans</w:t>
      </w:r>
      <w:r>
        <w:rPr>
          <w:rFonts w:ascii="Times New Roman" w:cs="Times New Roman" w:eastAsia="Times New Roman" w:hAnsi="Times New Roman"/>
          <w:sz w:val="18"/>
          <w:szCs w:val="18"/>
          <w:color w:val="auto"/>
        </w:rPr>
        <w:t xml:space="preserve"> (ASU 2018-14), which amends the disclosure requirements under ASC 715-20, </w:t>
      </w:r>
      <w:r>
        <w:rPr>
          <w:rFonts w:ascii="Times New Roman" w:cs="Times New Roman" w:eastAsia="Times New Roman" w:hAnsi="Times New Roman"/>
          <w:sz w:val="18"/>
          <w:szCs w:val="18"/>
          <w:i w:val="1"/>
          <w:iCs w:val="1"/>
          <w:color w:val="auto"/>
        </w:rPr>
        <w:t>Compensation-Retirement Benefits-Defined Benefit Plans</w:t>
      </w:r>
      <w:r>
        <w:rPr>
          <w:rFonts w:ascii="Times New Roman" w:cs="Times New Roman" w:eastAsia="Times New Roman" w:hAnsi="Times New Roman"/>
          <w:sz w:val="18"/>
          <w:szCs w:val="18"/>
          <w:color w:val="auto"/>
        </w:rPr>
        <w:t>. ASU 2018-14 is effective for our financial reporting in 2020. We are currently evaluating the impact this standard will have on our financial statement disclosures for our defined benefit plans.</w:t>
      </w:r>
    </w:p>
    <w:p>
      <w:pPr>
        <w:spacing w:after="0" w:line="17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share (EPS):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28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33"/>
        </w:trPr>
        <w:tc>
          <w:tcPr>
            <w:tcW w:w="44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4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available to common shareholders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19,446</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2,657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17,539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(143,009)</w:t>
            </w:r>
          </w:p>
        </w:tc>
      </w:tr>
      <w:tr>
        <w:trPr>
          <w:trHeight w:val="297"/>
        </w:trPr>
        <w:tc>
          <w:tcPr>
            <w:tcW w:w="4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39,389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39,243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39,523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39,095</w:t>
            </w:r>
          </w:p>
        </w:tc>
      </w:tr>
      <w:tr>
        <w:trPr>
          <w:trHeight w:val="237"/>
        </w:trPr>
        <w:tc>
          <w:tcPr>
            <w:tcW w:w="4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Dilutive effect of stock-based awards</w:t>
            </w:r>
          </w:p>
        </w:tc>
        <w:tc>
          <w:tcPr>
            <w:tcW w:w="10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4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39,686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39,789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39,875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39,095</w:t>
            </w:r>
          </w:p>
        </w:tc>
      </w:tr>
      <w:tr>
        <w:trPr>
          <w:trHeight w:val="284"/>
        </w:trPr>
        <w:tc>
          <w:tcPr>
            <w:tcW w:w="4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income (loss) per common share - Basic</w:t>
            </w: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0.49</w:t>
            </w:r>
          </w:p>
        </w:tc>
        <w:tc>
          <w:tcPr>
            <w:tcW w:w="120" w:type="dxa"/>
            <w:vAlign w:val="bottom"/>
            <w:tcBorders>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0.44</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per common share - Diluted</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0.49</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0"/>
        </w:trPr>
        <w:tc>
          <w:tcPr>
            <w:tcW w:w="4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Awards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and the future compensation cost associated with the stock award. Approximately 0.5 million and 0.6 million stock-based awards were excluded from the calculation of diluted EPS for the three and six months ended June 30, 2019 because they were anti-dilutive. Approximately 0.7 million and 1.1 million stock-based awards were excluded from the calculation of diluted EPS for the three and six months ended June 30, 2018 because they were anti-dilutive. These stock-based awards could be dilutive in future periods.</w:t>
      </w:r>
    </w:p>
    <w:p>
      <w:pPr>
        <w:spacing w:after="0" w:line="18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Certain Balance Sheet Components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accounts receivable from contracts with customers is as follows: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18"/>
                <w:szCs w:val="18"/>
                <w:color w:val="auto"/>
              </w:rPr>
            </w:pPr>
          </w:p>
        </w:tc>
        <w:tc>
          <w:tcPr>
            <w:tcW w:w="20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June 30, 2019</w:t>
            </w:r>
          </w:p>
        </w:tc>
        <w:tc>
          <w:tcPr>
            <w:tcW w:w="2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6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 receivables (net of allowance of $4,360 and $6,331)</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426,936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416,503</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Unbilled receivables</w:t>
            </w:r>
          </w:p>
        </w:tc>
        <w:tc>
          <w:tcPr>
            <w:tcW w:w="3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39,430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20,658</w:t>
            </w:r>
          </w:p>
        </w:tc>
      </w:tr>
      <w:tr>
        <w:trPr>
          <w:trHeight w:val="33"/>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466,366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437,161</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Allowance for doubtful accounts activity</w:t>
            </w:r>
          </w:p>
        </w:tc>
        <w:tc>
          <w:tcPr>
            <w:tcW w:w="298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8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580" w:type="dxa"/>
            <w:vAlign w:val="bottom"/>
          </w:tcPr>
          <w:p>
            <w:pPr>
              <w:spacing w:after="0"/>
              <w:rPr>
                <w:sz w:val="20"/>
                <w:szCs w:val="20"/>
                <w:color w:val="auto"/>
              </w:rPr>
            </w:pPr>
          </w:p>
        </w:tc>
      </w:tr>
      <w:tr>
        <w:trPr>
          <w:trHeight w:val="33"/>
        </w:trPr>
        <w:tc>
          <w:tcPr>
            <w:tcW w:w="4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4,046</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4,774</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6,331</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3,957</w:t>
            </w: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Provision for doubtful accounts, net</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1,254</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written-off</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Ending balance</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4,360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4,552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4,360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4,552</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Pr>
          <w:p>
            <w:pPr>
              <w:spacing w:after="0"/>
              <w:rPr>
                <w:sz w:val="18"/>
                <w:szCs w:val="18"/>
                <w:color w:val="auto"/>
              </w:rPr>
            </w:pPr>
          </w:p>
        </w:tc>
        <w:tc>
          <w:tcPr>
            <w:tcW w:w="19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2019</w:t>
            </w:r>
          </w:p>
        </w:tc>
        <w:tc>
          <w:tcPr>
            <w:tcW w:w="260" w:type="dxa"/>
            <w:vAlign w:val="bottom"/>
          </w:tcPr>
          <w:p>
            <w:pPr>
              <w:spacing w:after="0"/>
              <w:rPr>
                <w:sz w:val="18"/>
                <w:szCs w:val="18"/>
                <w:color w:val="auto"/>
              </w:rPr>
            </w:pPr>
          </w:p>
        </w:tc>
        <w:tc>
          <w:tcPr>
            <w:tcW w:w="18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6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Materials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127,219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133,398</w:t>
            </w:r>
          </w:p>
        </w:tc>
      </w:tr>
      <w:tr>
        <w:trPr>
          <w:trHeight w:val="237"/>
        </w:trPr>
        <w:tc>
          <w:tcPr>
            <w:tcW w:w="6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Work in process</w:t>
            </w:r>
          </w:p>
        </w:tc>
        <w:tc>
          <w:tcPr>
            <w:tcW w:w="36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10,888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9,744</w:t>
            </w:r>
          </w:p>
        </w:tc>
      </w:tr>
      <w:tr>
        <w:trPr>
          <w:trHeight w:val="33"/>
        </w:trPr>
        <w:tc>
          <w:tcPr>
            <w:tcW w:w="6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91,803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77,532</w:t>
            </w:r>
          </w:p>
        </w:tc>
      </w:tr>
      <w:tr>
        <w:trPr>
          <w:trHeight w:val="244"/>
        </w:trPr>
        <w:tc>
          <w:tcPr>
            <w:tcW w:w="69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inventories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229,910</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220,674</w:t>
            </w:r>
          </w:p>
        </w:tc>
      </w:tr>
      <w:tr>
        <w:trPr>
          <w:trHeight w:val="20"/>
        </w:trPr>
        <w:tc>
          <w:tcPr>
            <w:tcW w:w="6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Pr>
          <w:p>
            <w:pPr>
              <w:spacing w:after="0"/>
              <w:rPr>
                <w:sz w:val="18"/>
                <w:szCs w:val="18"/>
                <w:color w:val="auto"/>
              </w:rPr>
            </w:pPr>
          </w:p>
        </w:tc>
        <w:tc>
          <w:tcPr>
            <w:tcW w:w="20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June 30, 2019</w:t>
            </w:r>
          </w:p>
        </w:tc>
        <w:tc>
          <w:tcPr>
            <w:tcW w:w="2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6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Machinery and equipment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321,155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315,974</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Computers and software</w:t>
            </w:r>
          </w:p>
        </w:tc>
        <w:tc>
          <w:tcPr>
            <w:tcW w:w="3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108,110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104,290</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Buildings, furniture, and improvements</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148,026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146,071</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Land</w:t>
            </w:r>
          </w:p>
        </w:tc>
        <w:tc>
          <w:tcPr>
            <w:tcW w:w="3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14,980</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Construction in progress, including purchased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51,100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49,682</w:t>
            </w:r>
          </w:p>
        </w:tc>
      </w:tr>
      <w:tr>
        <w:trPr>
          <w:trHeight w:val="21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cost</w:t>
            </w:r>
          </w:p>
        </w:tc>
        <w:tc>
          <w:tcPr>
            <w:tcW w:w="3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643,592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630,997</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(415,079)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(404,446)</w:t>
            </w:r>
          </w:p>
        </w:tc>
      </w:tr>
      <w:tr>
        <w:trPr>
          <w:trHeight w:val="244"/>
        </w:trPr>
        <w:tc>
          <w:tcPr>
            <w:tcW w:w="67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228,513</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226,551</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Depreciation expense</w:t>
            </w:r>
          </w:p>
        </w:tc>
        <w:tc>
          <w:tcPr>
            <w:tcW w:w="28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2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20" w:type="dxa"/>
            <w:vAlign w:val="bottom"/>
          </w:tcPr>
          <w:p>
            <w:pPr>
              <w:spacing w:after="0"/>
              <w:rPr>
                <w:sz w:val="20"/>
                <w:szCs w:val="20"/>
                <w:color w:val="auto"/>
              </w:rPr>
            </w:pPr>
          </w:p>
        </w:tc>
      </w:tr>
      <w:tr>
        <w:trPr>
          <w:trHeight w:val="33"/>
        </w:trPr>
        <w:tc>
          <w:tcPr>
            <w:tcW w:w="4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Depreciation expense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12,594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12,908</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24,978</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26,240</w:t>
            </w:r>
          </w:p>
        </w:tc>
      </w:tr>
      <w:tr>
        <w:trPr>
          <w:trHeight w:val="33"/>
        </w:trPr>
        <w:tc>
          <w:tcPr>
            <w:tcW w:w="4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Intangible Assets and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amortization (accretion) of our intangible assets and liabilities, other than goodwill,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June 30, 2019</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7"/>
        </w:trPr>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3"/>
        </w:trPr>
        <w:tc>
          <w:tcPr>
            <w:tcW w:w="2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2"/>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Accretion</w:t>
            </w:r>
          </w:p>
        </w:tc>
        <w:tc>
          <w:tcPr>
            <w:tcW w:w="30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Net</w:t>
            </w:r>
          </w:p>
        </w:tc>
        <w:tc>
          <w:tcPr>
            <w:tcW w:w="2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Accretion</w:t>
            </w:r>
          </w:p>
        </w:tc>
        <w:tc>
          <w:tcPr>
            <w:tcW w:w="30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33"/>
        </w:trPr>
        <w:tc>
          <w:tcPr>
            <w:tcW w:w="2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Intangible Assets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Core-developed technology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511,967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(446,653)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65,314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507,100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77,145</w:t>
            </w: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382,397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(233,664)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148,733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379,614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(212,538)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167,076</w:t>
            </w:r>
          </w:p>
        </w:tc>
      </w:tr>
      <w:tr>
        <w:trPr>
          <w:trHeight w:val="33"/>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79,123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78,746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8,867</w:t>
            </w: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1,395</w:t>
            </w:r>
          </w:p>
        </w:tc>
      </w:tr>
      <w:tr>
        <w:trPr>
          <w:trHeight w:val="33"/>
        </w:trPr>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2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intangible assets subject to</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3"/>
        </w:trPr>
        <w:tc>
          <w:tcPr>
            <w:tcW w:w="28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amortization</w:t>
            </w:r>
          </w:p>
        </w:tc>
        <w:tc>
          <w:tcPr>
            <w:tcW w:w="2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985,509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(763,742)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221,767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978,060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(723,577)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254,483</w:t>
            </w:r>
          </w:p>
        </w:tc>
      </w:tr>
      <w:tr>
        <w:trPr>
          <w:trHeight w:val="216"/>
        </w:trPr>
        <w:tc>
          <w:tcPr>
            <w:tcW w:w="28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In-process research and</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28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development</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3,100</w:t>
            </w:r>
          </w:p>
        </w:tc>
      </w:tr>
      <w:tr>
        <w:trPr>
          <w:trHeight w:val="33"/>
        </w:trPr>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intangible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985,509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(763,742)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221,767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981,160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(723,577)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257,583</w:t>
            </w:r>
          </w:p>
        </w:tc>
      </w:tr>
      <w:tr>
        <w:trPr>
          <w:trHeight w:val="20"/>
        </w:trPr>
        <w:tc>
          <w:tcPr>
            <w:tcW w:w="2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4"/>
        </w:trPr>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Intangible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50"/>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Customer contracts and relationships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9,333</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(14,567)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5,217</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(18,683)</w:t>
            </w:r>
          </w:p>
        </w:tc>
      </w:tr>
      <w:tr>
        <w:trPr>
          <w:trHeight w:val="20"/>
        </w:trPr>
        <w:tc>
          <w:tcPr>
            <w:tcW w:w="2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intangible assets and liabilities activity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7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 intangible assets, gross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981,160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769,851</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Intangible assets acquired</w:t>
            </w:r>
          </w:p>
        </w:tc>
        <w:tc>
          <w:tcPr>
            <w:tcW w:w="40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241,539</w:t>
            </w: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4,349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(18,883)</w:t>
            </w: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Ending balance, intangible assets, gross</w:t>
            </w: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985,509</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992,507</w:t>
            </w:r>
          </w:p>
        </w:tc>
      </w:tr>
      <w:tr>
        <w:trPr>
          <w:trHeight w:val="73"/>
        </w:trPr>
        <w:tc>
          <w:tcPr>
            <w:tcW w:w="79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78"/>
        </w:trPr>
        <w:tc>
          <w:tcPr>
            <w:tcW w:w="79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Beginning balance, intangible liabilities, gross</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Intangible liabilities acquired</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40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Ending balance, intangible liabilities, gross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5, 2018, we completed our acquisition of Silver Spring Networks, Inc. (SSNI) by purchasing 100% of the voting stock. Acquired intangible assets include in-process research and development (IPR&amp;D), which is not amortized until such time as the associated development projects are completed. Of these projects, $3.1 million were completed during the first half of 2019 and are included in core-developed technology. Acquired intangible liabilities reflect the present value of the projected cash outflows for an existing contract where remaining costs are expected to exceed projected revenues.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annual amortization (accretion)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Estimated Annual</w:t>
            </w:r>
          </w:p>
        </w:tc>
      </w:tr>
      <w:tr>
        <w:trPr>
          <w:trHeight w:val="212"/>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8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Accretion</w:t>
            </w:r>
          </w:p>
        </w:tc>
        <w:tc>
          <w:tcPr>
            <w:tcW w:w="140" w:type="dxa"/>
            <w:vAlign w:val="bottom"/>
          </w:tcPr>
          <w:p>
            <w:pPr>
              <w:spacing w:after="0"/>
              <w:rPr>
                <w:sz w:val="18"/>
                <w:szCs w:val="18"/>
                <w:color w:val="auto"/>
              </w:rPr>
            </w:pPr>
          </w:p>
        </w:tc>
        <w:tc>
          <w:tcPr>
            <w:tcW w:w="14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Amortization, net</w:t>
            </w:r>
          </w:p>
        </w:tc>
      </w:tr>
      <w:tr>
        <w:trPr>
          <w:trHeight w:val="33"/>
        </w:trPr>
        <w:tc>
          <w:tcPr>
            <w:tcW w:w="6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1"/>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 (amount remaining at June 30, 2019)</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36,345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32,228</w:t>
            </w:r>
          </w:p>
        </w:tc>
      </w:tr>
      <w:tr>
        <w:trPr>
          <w:trHeight w:val="237"/>
        </w:trPr>
        <w:tc>
          <w:tcPr>
            <w:tcW w:w="6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53,126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45,098</w:t>
            </w: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37,772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35,809</w:t>
            </w:r>
          </w:p>
        </w:tc>
      </w:tr>
      <w:tr>
        <w:trPr>
          <w:trHeight w:val="237"/>
        </w:trPr>
        <w:tc>
          <w:tcPr>
            <w:tcW w:w="6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27,407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26,948</w:t>
            </w: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19,825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19,825</w:t>
            </w:r>
          </w:p>
        </w:tc>
      </w:tr>
      <w:tr>
        <w:trPr>
          <w:trHeight w:val="237"/>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Beyond 2023</w:t>
            </w:r>
          </w:p>
        </w:tc>
        <w:tc>
          <w:tcPr>
            <w:tcW w:w="240" w:type="dxa"/>
            <w:vAlign w:val="bottom"/>
          </w:tcPr>
          <w:p>
            <w:pPr>
              <w:spacing w:after="0"/>
              <w:rPr>
                <w:sz w:val="20"/>
                <w:szCs w:val="20"/>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47,292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47,292</w:t>
            </w:r>
          </w:p>
        </w:tc>
      </w:tr>
      <w:tr>
        <w:trPr>
          <w:trHeight w:val="33"/>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intangible assets subject to amortization (accretion)</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221,767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207,200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recognized $16.1 million and $18.0 million of net amortization of intangible assets for the three months ended June 30, 2019 and 2018, respectively, and $32.1 million and $35.7 million for the six months ended June 30, 2019 and 2018, respectively, within operating expenses in the Consolidated Statement of Operations. These expenses relate to intangible assets and liabilities acquired as part of business combinations.</w:t>
      </w:r>
    </w:p>
    <w:p>
      <w:pPr>
        <w:spacing w:after="0" w:line="25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goodwill allocated to each reporting unit: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Device Solutions</w:t>
            </w: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Networked Solutions</w:t>
            </w:r>
          </w:p>
        </w:tc>
        <w:tc>
          <w:tcPr>
            <w:tcW w:w="260" w:type="dxa"/>
            <w:vAlign w:val="bottom"/>
          </w:tcPr>
          <w:p>
            <w:pPr>
              <w:spacing w:after="0"/>
              <w:rPr>
                <w:sz w:val="18"/>
                <w:szCs w:val="18"/>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Outcomes</w:t>
            </w:r>
          </w:p>
        </w:tc>
        <w:tc>
          <w:tcPr>
            <w:tcW w:w="180" w:type="dxa"/>
            <w:vAlign w:val="bottom"/>
          </w:tcPr>
          <w:p>
            <w:pPr>
              <w:spacing w:after="0"/>
              <w:rPr>
                <w:sz w:val="18"/>
                <w:szCs w:val="18"/>
                <w:color w:val="auto"/>
              </w:rPr>
            </w:pPr>
          </w:p>
        </w:tc>
        <w:tc>
          <w:tcPr>
            <w:tcW w:w="14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Company</w:t>
            </w:r>
          </w:p>
        </w:tc>
      </w:tr>
      <w:tr>
        <w:trPr>
          <w:trHeight w:val="33"/>
        </w:trPr>
        <w:tc>
          <w:tcPr>
            <w:tcW w:w="4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 balance at January 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55,259</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918,495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142,779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1,116,533</w:t>
            </w:r>
          </w:p>
        </w:tc>
      </w:tr>
      <w:tr>
        <w:trPr>
          <w:trHeight w:val="297"/>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Measurement period adjustments to goodwill acquired</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(5,978)</w:t>
            </w:r>
          </w:p>
        </w:tc>
      </w:tr>
      <w:tr>
        <w:trPr>
          <w:trHeight w:val="237"/>
        </w:trPr>
        <w:tc>
          <w:tcPr>
            <w:tcW w:w="47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91"/>
        </w:trPr>
        <w:tc>
          <w:tcPr>
            <w:tcW w:w="4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24"/>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 balance at June 30, 2019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55,235</w:t>
            </w:r>
          </w:p>
        </w:tc>
        <w:tc>
          <w:tcPr>
            <w:tcW w:w="120" w:type="dxa"/>
            <w:vAlign w:val="bottom"/>
          </w:tcPr>
          <w:p>
            <w:pPr>
              <w:spacing w:after="0"/>
              <w:rPr>
                <w:sz w:val="19"/>
                <w:szCs w:val="19"/>
                <w:color w:val="auto"/>
              </w:rPr>
            </w:pP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913,150</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141,676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1,110,061</w:t>
            </w:r>
          </w:p>
        </w:tc>
      </w:tr>
      <w:tr>
        <w:trPr>
          <w:trHeight w:val="33"/>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Silver Spring Networks, Inc. Acquisition</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5, 2018, we completed the acquisition of SSNI by purchasing 100% of SSNI's outstanding stock. The acquisition was financed through incremental borrowings and cash on hand. Refer to "Note 6: Debt" for further discussion of our debt. SSNI provided smart network and data platform solutions for electricity, gas, water and smart cities including advanced metering, distribution automation, demand-side management, and street lights.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for the identified trademarks and core-developed technology intangible assets were estimated using the relief from royalty method. The fair value of customer contract and relationship were estimated using the income approach. The IPR&amp;D was valued utilizing the replacement cost method. These consolidated financial statements should be read in conjunction with the audited financial statements and notes included in our 2018 Annual Report.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purchase price of SSNI was $809.2 million, which is net of $97.8 million of acquired cash and cash equivalents. Of the total consideration, $802.5 million was paid in cash. The remaining $6.7 million relates to the fair value of pre-acquisition service for replacement awards of unvested SSNI options and restricted stock unit awards with an Itron equivalent award. We allocated the purchase price to the assets acquired and liabilities assumed based on estimated fair value assessments. During the three months ended March 31, 2019, we recognized additional contract assets totaling $8.0 million and additional deferred tax liabilities of $2.0 million, for a net reduction in goodwill of $6.0 million. As of the first quarter of 2019, the measurement period for the acquisition of SSNI was complete, and any further adjustments to assets acquired or liabilities assumed are recognized through the Consolidated Statement of Operations.</w:t>
      </w:r>
    </w:p>
    <w:p>
      <w:pPr>
        <w:spacing w:after="0" w:line="18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6:</w:t>
        <w:tab/>
        <w:t>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borrowings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Pr>
          <w:p>
            <w:pPr>
              <w:spacing w:after="0"/>
              <w:rPr>
                <w:sz w:val="18"/>
                <w:szCs w:val="18"/>
                <w:color w:val="auto"/>
              </w:rPr>
            </w:pPr>
          </w:p>
        </w:tc>
        <w:tc>
          <w:tcPr>
            <w:tcW w:w="20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June 30, 2019</w:t>
            </w:r>
          </w:p>
        </w:tc>
        <w:tc>
          <w:tcPr>
            <w:tcW w:w="2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6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Credit facility:</w:t>
            </w:r>
          </w:p>
        </w:tc>
        <w:tc>
          <w:tcPr>
            <w:tcW w:w="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47"/>
        </w:trPr>
        <w:tc>
          <w:tcPr>
            <w:tcW w:w="6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98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USD denominated term loan</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615,625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637,813</w:t>
            </w:r>
          </w:p>
        </w:tc>
      </w:tr>
      <w:tr>
        <w:trPr>
          <w:trHeight w:val="224"/>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400" w:type="dxa"/>
            <w:vAlign w:val="bottom"/>
          </w:tcPr>
          <w:p>
            <w:pPr>
              <w:spacing w:after="0"/>
              <w:rPr>
                <w:sz w:val="19"/>
                <w:szCs w:val="19"/>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6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980" w:type="dxa"/>
            <w:vAlign w:val="bottom"/>
          </w:tcPr>
          <w:p>
            <w:pPr>
              <w:spacing w:after="0"/>
              <w:rPr>
                <w:sz w:val="4"/>
                <w:szCs w:val="4"/>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Senior notes</w:t>
            </w:r>
          </w:p>
        </w:tc>
        <w:tc>
          <w:tcPr>
            <w:tcW w:w="4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400,000</w:t>
            </w:r>
          </w:p>
        </w:tc>
      </w:tr>
      <w:tr>
        <w:trPr>
          <w:trHeight w:val="21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debt</w:t>
            </w:r>
          </w:p>
        </w:tc>
        <w:tc>
          <w:tcPr>
            <w:tcW w:w="40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1,015,625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1,037,813</w:t>
            </w:r>
          </w:p>
        </w:tc>
      </w:tr>
      <w:tr>
        <w:trPr>
          <w:trHeight w:val="33"/>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Less: current portion of debt</w:t>
            </w:r>
          </w:p>
        </w:tc>
        <w:tc>
          <w:tcPr>
            <w:tcW w:w="4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26,563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28,438</w:t>
            </w:r>
          </w:p>
        </w:tc>
      </w:tr>
      <w:tr>
        <w:trPr>
          <w:trHeight w:val="237"/>
        </w:trPr>
        <w:tc>
          <w:tcPr>
            <w:tcW w:w="67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Less: unamortized prepaid debt fees - term loan</w:t>
            </w:r>
          </w:p>
        </w:tc>
        <w:tc>
          <w:tcPr>
            <w:tcW w:w="40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4,859</w:t>
            </w:r>
          </w:p>
        </w:tc>
      </w:tr>
      <w:tr>
        <w:trPr>
          <w:trHeight w:val="33"/>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Less: unamortized prepaid debt fees - senior notes</w:t>
            </w:r>
          </w:p>
        </w:tc>
        <w:tc>
          <w:tcPr>
            <w:tcW w:w="4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15,182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16,331</w:t>
            </w:r>
          </w:p>
        </w:tc>
      </w:tr>
      <w:tr>
        <w:trPr>
          <w:trHeight w:val="21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Long-term debt</w:t>
            </w:r>
          </w:p>
        </w:tc>
        <w:tc>
          <w:tcPr>
            <w:tcW w:w="4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969,710</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988,185</w:t>
            </w:r>
          </w:p>
        </w:tc>
      </w:tr>
      <w:tr>
        <w:trPr>
          <w:trHeight w:val="33"/>
        </w:trPr>
        <w:tc>
          <w:tcPr>
            <w:tcW w:w="6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5, 2018, we entered into a credit agreement providing for committed credit facilities in the amount of $1.2 billion U.S. dollars (the 2018 credit facility), which amended and restated in its entirety our credit agreement dated June 23, 2015 and replaced committed facilities in the amount of $725 million.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Both the term loan and the revolver mature on January 5, 2023 and can be repaid without penalty. Amounts repaid on the term loan may not be reborrowed and amounts borrowed under the revolver may be repaid and reborrowed until the revolver's maturity, at which time all outstanding loans together with all accrued and unpaid interest must be repaid. Amounts not borrowed under the revolver are subject to a commitment fee, which is paid in arrears on the last day of each fiscal quarter, ranging from 0.18% to 0.35% per annum depending on our total leverage ratio as of the most recently ended fiscal quarter.</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2018 credit facility permits us and certain of our foreign subsidiaries to borrow in U.S. dollars, euros, British pounds,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including a pledge of their related assets.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June 30, 2019.</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2018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 1.00%. At June 30, 2019, the interest rate for both the term loan and revolver was 4.16%, which includes the LIBOR rate plus a margin of 1.75%.</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22, 2017 and January 19, 2018, we issued $300 million and $100 million, respectively, of aggregate principal amount of 5.00% senior notes maturing January 15, 2026 (Notes). The proceeds were used to refinance existing indebtedness related to the acquisition of SSNI, pay related fees and expenses, and for general corporate purposes. Interest on the Notes is payable semi-annually in arrears on January 15 and July 15, commencing on July 15, 2018. The Notes are fully and unconditionally guaranteed, jointly and severally, on a senior unsecured basis by each of our subsidiaries that guarantee the 2018 credit facility.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maturity we may redeem some or all of the Notes, together with accrued and unpaid interest, if any, plus a "make-whole" premium. On or after January 15, 2021, we may redeem some or all of the Notes at any time at declining redemption prices equal to 102.50% beginning on January 15, 2021, 101.25% beginning on January 15, 2022 and 100.00% beginning on January 15, 2023 and thereafter to the applicable redemption date. In addition, before January 15, 2021, and subject to certain conditions, we may redeem up to 35% of the aggregate principal amount of Notes with the net proceeds of certain equity offerings at 105.00% of the principal amount thereof to the date of redemption; provided that (i) at least 65% of the aggregate principal amount of Notes remains outstanding after such redemption and (ii) the redemption occurs within 60 days of the closing of any such equity offering.</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Debt Maturities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required minimum principal payments on our long-term debt in aggregate over the next five years,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00" w:type="dxa"/>
            <w:vAlign w:val="bottom"/>
          </w:tcPr>
          <w:p>
            <w:pPr>
              <w:spacing w:after="0"/>
              <w:rPr>
                <w:sz w:val="18"/>
                <w:szCs w:val="18"/>
                <w:color w:val="auto"/>
              </w:rPr>
            </w:pPr>
          </w:p>
        </w:tc>
        <w:tc>
          <w:tcPr>
            <w:tcW w:w="17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33"/>
        </w:trPr>
        <w:tc>
          <w:tcPr>
            <w:tcW w:w="9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948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 (amount remaining at June 30,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6,250</w:t>
            </w:r>
          </w:p>
        </w:tc>
      </w:tr>
      <w:tr>
        <w:trPr>
          <w:trHeight w:val="237"/>
        </w:trPr>
        <w:tc>
          <w:tcPr>
            <w:tcW w:w="9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44,688</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60,937</w:t>
            </w:r>
          </w:p>
        </w:tc>
      </w:tr>
      <w:tr>
        <w:trPr>
          <w:trHeight w:val="237"/>
        </w:trPr>
        <w:tc>
          <w:tcPr>
            <w:tcW w:w="9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65,000</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438,750</w:t>
            </w:r>
          </w:p>
        </w:tc>
      </w:tr>
      <w:tr>
        <w:trPr>
          <w:trHeight w:val="237"/>
        </w:trPr>
        <w:tc>
          <w:tcPr>
            <w:tcW w:w="9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Beyond 2023</w:t>
            </w: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9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minimum payments on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615,625</w:t>
            </w:r>
          </w:p>
        </w:tc>
      </w:tr>
      <w:tr>
        <w:trPr>
          <w:trHeight w:val="20"/>
        </w:trPr>
        <w:tc>
          <w:tcPr>
            <w:tcW w:w="9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7:</w:t>
        <w:tab/>
        <w:t>Derivative Financial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our risk management strategy, we use derivative instruments to hedge certain foreign currency and interest rate exposures. Refer to "Note 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and "Note 14: Fair Values of Financial Instruments" for additional disclosures on our derivative instruments.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values of our derivative instruments are determined using the income approach and significant other observable inputs (also known as "Level 2").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our derivative instruments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700" w:type="dxa"/>
            <w:vAlign w:val="bottom"/>
          </w:tcPr>
          <w:p>
            <w:pPr>
              <w:spacing w:after="0"/>
              <w:rPr>
                <w:sz w:val="18"/>
                <w:szCs w:val="18"/>
                <w:color w:val="auto"/>
              </w:rPr>
            </w:pPr>
          </w:p>
        </w:tc>
      </w:tr>
      <w:tr>
        <w:trPr>
          <w:trHeight w:val="33"/>
        </w:trPr>
        <w:tc>
          <w:tcPr>
            <w:tcW w:w="3500" w:type="dxa"/>
            <w:vAlign w:val="bottom"/>
          </w:tcPr>
          <w:p>
            <w:pPr>
              <w:spacing w:after="0"/>
              <w:rPr>
                <w:sz w:val="2"/>
                <w:szCs w:val="2"/>
                <w:color w:val="auto"/>
              </w:rPr>
            </w:pPr>
          </w:p>
        </w:tc>
        <w:tc>
          <w:tcPr>
            <w:tcW w:w="374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35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3740" w:type="dxa"/>
            <w:vAlign w:val="bottom"/>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320" w:type="dxa"/>
            <w:vAlign w:val="bottom"/>
          </w:tcPr>
          <w:p>
            <w:pPr>
              <w:spacing w:after="0"/>
              <w:rPr>
                <w:sz w:val="20"/>
                <w:szCs w:val="20"/>
                <w:color w:val="auto"/>
              </w:rPr>
            </w:pPr>
          </w:p>
        </w:tc>
        <w:tc>
          <w:tcPr>
            <w:tcW w:w="18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June 30, 2019</w:t>
            </w:r>
          </w:p>
        </w:tc>
        <w:tc>
          <w:tcPr>
            <w:tcW w:w="340" w:type="dxa"/>
            <w:vAlign w:val="bottom"/>
          </w:tcPr>
          <w:p>
            <w:pPr>
              <w:spacing w:after="0"/>
              <w:rPr>
                <w:sz w:val="20"/>
                <w:szCs w:val="20"/>
                <w:color w:val="auto"/>
              </w:rPr>
            </w:pPr>
          </w:p>
        </w:tc>
        <w:tc>
          <w:tcPr>
            <w:tcW w:w="17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7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gridSpan w:val="4"/>
          </w:tcPr>
          <w:p>
            <w:pPr>
              <w:spacing w:after="0"/>
              <w:rPr>
                <w:sz w:val="2"/>
                <w:szCs w:val="2"/>
                <w:color w:val="auto"/>
              </w:rPr>
            </w:pPr>
          </w:p>
        </w:tc>
      </w:tr>
      <w:tr>
        <w:trPr>
          <w:trHeight w:val="217"/>
        </w:trPr>
        <w:tc>
          <w:tcPr>
            <w:tcW w:w="7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 under Subtopic 815-20</w:t>
            </w:r>
          </w:p>
        </w:tc>
        <w:tc>
          <w:tcPr>
            <w:tcW w:w="320" w:type="dxa"/>
            <w:vAlign w:val="bottom"/>
          </w:tcPr>
          <w:p>
            <w:pPr>
              <w:spacing w:after="0"/>
              <w:rPr>
                <w:sz w:val="18"/>
                <w:szCs w:val="18"/>
                <w:color w:val="auto"/>
              </w:rPr>
            </w:pPr>
          </w:p>
        </w:tc>
        <w:tc>
          <w:tcPr>
            <w:tcW w:w="3860" w:type="dxa"/>
            <w:vAlign w:val="bottom"/>
            <w:gridSpan w:val="4"/>
          </w:tcPr>
          <w:p>
            <w:pPr>
              <w:jc w:val="right"/>
              <w:ind w:right="1579"/>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33"/>
        </w:trPr>
        <w:tc>
          <w:tcPr>
            <w:tcW w:w="3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rate swap contract</w:t>
            </w:r>
          </w:p>
        </w:tc>
        <w:tc>
          <w:tcPr>
            <w:tcW w:w="37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1,866</w:t>
            </w:r>
          </w:p>
        </w:tc>
      </w:tr>
      <w:tr>
        <w:trPr>
          <w:trHeight w:val="237"/>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rate cap contracts</w:t>
            </w:r>
          </w:p>
        </w:tc>
        <w:tc>
          <w:tcPr>
            <w:tcW w:w="37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535</w:t>
            </w:r>
          </w:p>
        </w:tc>
      </w:tr>
      <w:tr>
        <w:trPr>
          <w:trHeight w:val="33"/>
        </w:trPr>
        <w:tc>
          <w:tcPr>
            <w:tcW w:w="3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exchange options</w:t>
            </w:r>
          </w:p>
        </w:tc>
        <w:tc>
          <w:tcPr>
            <w:tcW w:w="37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Cross currency swap contract</w:t>
            </w:r>
          </w:p>
        </w:tc>
        <w:tc>
          <w:tcPr>
            <w:tcW w:w="37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1,631</w:t>
            </w:r>
          </w:p>
        </w:tc>
      </w:tr>
      <w:tr>
        <w:trPr>
          <w:trHeight w:val="33"/>
        </w:trPr>
        <w:tc>
          <w:tcPr>
            <w:tcW w:w="3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rate swap contract</w:t>
            </w:r>
          </w:p>
        </w:tc>
        <w:tc>
          <w:tcPr>
            <w:tcW w:w="37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Other long-term assets</w:t>
            </w: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746</w:t>
            </w:r>
          </w:p>
        </w:tc>
      </w:tr>
      <w:tr>
        <w:trPr>
          <w:trHeight w:val="224"/>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rate cap contracts</w:t>
            </w:r>
          </w:p>
        </w:tc>
        <w:tc>
          <w:tcPr>
            <w:tcW w:w="37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Other long-term assets</w:t>
            </w:r>
          </w:p>
        </w:tc>
        <w:tc>
          <w:tcPr>
            <w:tcW w:w="320" w:type="dxa"/>
            <w:vAlign w:val="bottom"/>
          </w:tcPr>
          <w:p>
            <w:pPr>
              <w:spacing w:after="0"/>
              <w:rPr>
                <w:sz w:val="19"/>
                <w:szCs w:val="19"/>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251</w:t>
            </w:r>
          </w:p>
        </w:tc>
      </w:tr>
      <w:tr>
        <w:trPr>
          <w:trHeight w:val="47"/>
        </w:trPr>
        <w:tc>
          <w:tcPr>
            <w:tcW w:w="350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Cross currency swap contract</w:t>
            </w:r>
          </w:p>
        </w:tc>
        <w:tc>
          <w:tcPr>
            <w:tcW w:w="37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Other long-term assets</w:t>
            </w: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1,339</w:t>
            </w:r>
          </w:p>
        </w:tc>
      </w:tr>
      <w:tr>
        <w:trPr>
          <w:trHeight w:val="224"/>
        </w:trPr>
        <w:tc>
          <w:tcPr>
            <w:tcW w:w="7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 under Subtopic 815-20</w:t>
            </w: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7"/>
        </w:trPr>
        <w:tc>
          <w:tcPr>
            <w:tcW w:w="350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37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157</w:t>
            </w:r>
          </w:p>
        </w:tc>
      </w:tr>
      <w:tr>
        <w:trPr>
          <w:trHeight w:val="217"/>
        </w:trPr>
        <w:tc>
          <w:tcPr>
            <w:tcW w:w="350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Total asset derivatives</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4,726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6,525</w:t>
            </w:r>
          </w:p>
        </w:tc>
      </w:tr>
      <w:tr>
        <w:trPr>
          <w:trHeight w:val="73"/>
        </w:trPr>
        <w:tc>
          <w:tcPr>
            <w:tcW w:w="3500" w:type="dxa"/>
            <w:vAlign w:val="bottom"/>
            <w:tcBorders>
              <w:bottom w:val="single" w:sz="8" w:color="CCEEFF"/>
            </w:tcBorders>
          </w:tcPr>
          <w:p>
            <w:pPr>
              <w:spacing w:after="0"/>
              <w:rPr>
                <w:sz w:val="6"/>
                <w:szCs w:val="6"/>
                <w:color w:val="auto"/>
              </w:rPr>
            </w:pPr>
          </w:p>
        </w:tc>
        <w:tc>
          <w:tcPr>
            <w:tcW w:w="36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r>
      <w:tr>
        <w:trPr>
          <w:trHeight w:val="278"/>
        </w:trPr>
        <w:tc>
          <w:tcPr>
            <w:tcW w:w="3500" w:type="dxa"/>
            <w:vAlign w:val="bottom"/>
            <w:shd w:val="clear" w:color="auto" w:fill="CCEEFF"/>
          </w:tcPr>
          <w:p>
            <w:pPr>
              <w:spacing w:after="0"/>
              <w:rPr>
                <w:sz w:val="24"/>
                <w:szCs w:val="24"/>
                <w:color w:val="auto"/>
              </w:rPr>
            </w:pPr>
          </w:p>
        </w:tc>
        <w:tc>
          <w:tcPr>
            <w:tcW w:w="3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24"/>
        </w:trPr>
        <w:tc>
          <w:tcPr>
            <w:tcW w:w="35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7"/>
        </w:trPr>
        <w:tc>
          <w:tcPr>
            <w:tcW w:w="71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7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r>
      <w:tr>
        <w:trPr>
          <w:trHeight w:val="250"/>
        </w:trPr>
        <w:tc>
          <w:tcPr>
            <w:tcW w:w="7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 under Subtopic 815-20</w:t>
            </w:r>
          </w:p>
        </w:tc>
        <w:tc>
          <w:tcPr>
            <w:tcW w:w="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17"/>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374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337</w:t>
            </w:r>
          </w:p>
        </w:tc>
      </w:tr>
      <w:tr>
        <w:trPr>
          <w:trHeight w:val="33"/>
        </w:trPr>
        <w:tc>
          <w:tcPr>
            <w:tcW w:w="3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35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income (loss) (AOCI), net of tax, for our derivative and nonderivative hedging instruments designated as hedging instruments, net of tax,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7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unrealized loss on hedging instruments at January 1,</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(13,414)</w:t>
            </w:r>
          </w:p>
        </w:tc>
      </w:tr>
      <w:tr>
        <w:trPr>
          <w:trHeight w:val="224"/>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gain (loss) on hedging instruments</w:t>
            </w: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4,078</w:t>
            </w:r>
          </w:p>
        </w:tc>
      </w:tr>
      <w:tr>
        <w:trPr>
          <w:trHeight w:val="47"/>
        </w:trPr>
        <w:tc>
          <w:tcPr>
            <w:tcW w:w="7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Realized (gains) losses reclassified into net income (loss)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w:t>
            </w: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unrealized loss on hedging instruments at June 30,</w:t>
            </w: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(14,678)</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(11,759)</w:t>
            </w: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Reclassification of amounts related to hedging instruments are included in interest expense in the Consolidated Statements of Operations for the periods ended June 30, 2019 and 2018. Included in the net unrealized gain (loss) on hedging instruments at</w:t>
      </w:r>
    </w:p>
    <w:p>
      <w:pPr>
        <w:jc w:val="both"/>
        <w:spacing w:after="0" w:line="261" w:lineRule="auto"/>
        <w:rPr>
          <w:sz w:val="20"/>
          <w:szCs w:val="20"/>
          <w:color w:val="auto"/>
        </w:rPr>
      </w:pPr>
      <w:r>
        <w:rPr>
          <w:rFonts w:ascii="Times New Roman" w:cs="Times New Roman" w:eastAsia="Times New Roman" w:hAnsi="Times New Roman"/>
          <w:sz w:val="18"/>
          <w:szCs w:val="18"/>
          <w:color w:val="auto"/>
        </w:rPr>
        <w:t>June 30, 2019 and 2018 is a loss of $14.4 million, net of tax, related to our nonderivative net investment hedge, which terminated in 2011. This loss on our net investment hedge will remain in AOCI until earnings are impacted by a sale or liquidation of the associated foreign operation.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effect of netting arrangements on our financial position related to the offsetting of our recognized derivative assets and liabilities under master netting arrangements or similar agreements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Gross Amounts of</w:t>
            </w:r>
          </w:p>
        </w:tc>
        <w:tc>
          <w:tcPr>
            <w:tcW w:w="160" w:type="dxa"/>
            <w:vAlign w:val="bottom"/>
          </w:tcPr>
          <w:p>
            <w:pPr>
              <w:spacing w:after="0"/>
              <w:rPr>
                <w:sz w:val="18"/>
                <w:szCs w:val="18"/>
                <w:color w:val="auto"/>
              </w:rPr>
            </w:pPr>
          </w:p>
        </w:tc>
        <w:tc>
          <w:tcPr>
            <w:tcW w:w="414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Gross Amounts Not Offset in the Consolidated Balance</w:t>
            </w: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4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Offsetting of Derivative Assets</w:t>
            </w:r>
          </w:p>
        </w:tc>
        <w:tc>
          <w:tcPr>
            <w:tcW w:w="2600" w:type="dxa"/>
            <w:vAlign w:val="bottom"/>
            <w:gridSpan w:val="3"/>
            <w:vMerge w:val="restart"/>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Recognized Assets Presented</w:t>
            </w:r>
          </w:p>
        </w:tc>
        <w:tc>
          <w:tcPr>
            <w:tcW w:w="160" w:type="dxa"/>
            <w:vAlign w:val="bottom"/>
          </w:tcPr>
          <w:p>
            <w:pPr>
              <w:spacing w:after="0"/>
              <w:rPr>
                <w:sz w:val="3"/>
                <w:szCs w:val="3"/>
                <w:color w:val="auto"/>
              </w:rPr>
            </w:pPr>
          </w:p>
        </w:tc>
        <w:tc>
          <w:tcPr>
            <w:tcW w:w="4140" w:type="dxa"/>
            <w:vAlign w:val="bottom"/>
            <w:gridSpan w:val="5"/>
            <w:vMerge w:val="continue"/>
          </w:tcPr>
          <w:p>
            <w:pPr>
              <w:spacing w:after="0"/>
              <w:rPr>
                <w:sz w:val="3"/>
                <w:szCs w:val="3"/>
                <w:color w:val="auto"/>
              </w:rPr>
            </w:pPr>
          </w:p>
        </w:tc>
        <w:tc>
          <w:tcPr>
            <w:tcW w:w="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480" w:type="dxa"/>
            <w:vAlign w:val="bottom"/>
            <w:vMerge w:val="continue"/>
          </w:tcPr>
          <w:p>
            <w:pPr>
              <w:spacing w:after="0"/>
              <w:rPr>
                <w:sz w:val="14"/>
                <w:szCs w:val="14"/>
                <w:color w:val="auto"/>
              </w:rPr>
            </w:pPr>
          </w:p>
        </w:tc>
        <w:tc>
          <w:tcPr>
            <w:tcW w:w="26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4140" w:type="dxa"/>
            <w:vAlign w:val="bottom"/>
            <w:gridSpan w:val="5"/>
          </w:tcPr>
          <w:p>
            <w:pPr>
              <w:jc w:val="center"/>
              <w:ind w:right="260"/>
              <w:spacing w:after="0" w:line="165" w:lineRule="exact"/>
              <w:rPr>
                <w:sz w:val="20"/>
                <w:szCs w:val="20"/>
                <w:color w:val="auto"/>
              </w:rPr>
            </w:pPr>
            <w:r>
              <w:rPr>
                <w:rFonts w:ascii="Times New Roman" w:cs="Times New Roman" w:eastAsia="Times New Roman" w:hAnsi="Times New Roman"/>
                <w:sz w:val="16"/>
                <w:szCs w:val="16"/>
                <w:b w:val="1"/>
                <w:bCs w:val="1"/>
                <w:color w:val="auto"/>
              </w:rPr>
              <w:t>Sheets</w:t>
            </w:r>
          </w:p>
        </w:tc>
        <w:tc>
          <w:tcPr>
            <w:tcW w:w="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9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in</w:t>
            </w:r>
          </w:p>
        </w:tc>
        <w:tc>
          <w:tcPr>
            <w:tcW w:w="16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the Consolidated</w:t>
            </w:r>
          </w:p>
        </w:tc>
        <w:tc>
          <w:tcPr>
            <w:tcW w:w="160" w:type="dxa"/>
            <w:vAlign w:val="bottom"/>
          </w:tcPr>
          <w:p>
            <w:pPr>
              <w:spacing w:after="0"/>
              <w:rPr>
                <w:sz w:val="17"/>
                <w:szCs w:val="17"/>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Derivative Financial</w:t>
            </w: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60" w:type="dxa"/>
            <w:vAlign w:val="bottom"/>
          </w:tcPr>
          <w:p>
            <w:pPr>
              <w:spacing w:after="0"/>
              <w:rPr>
                <w:sz w:val="18"/>
                <w:szCs w:val="18"/>
                <w:color w:val="auto"/>
              </w:rPr>
            </w:pPr>
          </w:p>
        </w:tc>
        <w:tc>
          <w:tcPr>
            <w:tcW w:w="19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Balance Sheets</w:t>
            </w:r>
          </w:p>
        </w:tc>
        <w:tc>
          <w:tcPr>
            <w:tcW w:w="16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2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Collateral Received</w:t>
            </w:r>
          </w:p>
        </w:tc>
        <w:tc>
          <w:tcPr>
            <w:tcW w:w="360" w:type="dxa"/>
            <w:vAlign w:val="bottom"/>
          </w:tcPr>
          <w:p>
            <w:pPr>
              <w:spacing w:after="0"/>
              <w:rPr>
                <w:sz w:val="18"/>
                <w:szCs w:val="18"/>
                <w:color w:val="auto"/>
              </w:rPr>
            </w:pPr>
          </w:p>
        </w:tc>
        <w:tc>
          <w:tcPr>
            <w:tcW w:w="16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June 30, 2019</w:t>
            </w: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4,726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CCEEFF"/>
            </w:tcBorders>
            <w:gridSpan w:val="2"/>
            <w:shd w:val="clear" w:color="auto" w:fill="CCEEFF"/>
          </w:tcPr>
          <w:p>
            <w:pPr>
              <w:ind w:left="16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4,657</w:t>
            </w:r>
          </w:p>
        </w:tc>
        <w:tc>
          <w:tcPr>
            <w:tcW w:w="0" w:type="dxa"/>
            <w:vAlign w:val="bottom"/>
          </w:tcPr>
          <w:p>
            <w:pPr>
              <w:spacing w:after="0"/>
              <w:rPr>
                <w:sz w:val="1"/>
                <w:szCs w:val="1"/>
                <w:color w:val="auto"/>
              </w:rPr>
            </w:pPr>
          </w:p>
        </w:tc>
      </w:tr>
      <w:tr>
        <w:trPr>
          <w:trHeight w:val="297"/>
        </w:trPr>
        <w:tc>
          <w:tcPr>
            <w:tcW w:w="2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December 31, 2018</w:t>
            </w:r>
          </w:p>
        </w:tc>
        <w:tc>
          <w:tcPr>
            <w:tcW w:w="6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6,525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6,422</w:t>
            </w:r>
          </w:p>
        </w:tc>
        <w:tc>
          <w:tcPr>
            <w:tcW w:w="0" w:type="dxa"/>
            <w:vAlign w:val="bottom"/>
          </w:tcPr>
          <w:p>
            <w:pPr>
              <w:spacing w:after="0"/>
              <w:rPr>
                <w:sz w:val="1"/>
                <w:szCs w:val="1"/>
                <w:color w:val="auto"/>
              </w:rPr>
            </w:pPr>
          </w:p>
        </w:tc>
      </w:tr>
      <w:tr>
        <w:trPr>
          <w:trHeight w:val="33"/>
        </w:trPr>
        <w:tc>
          <w:tcPr>
            <w:tcW w:w="24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Offsetting of Derivative Liabilities</w:t>
            </w:r>
          </w:p>
        </w:tc>
        <w:tc>
          <w:tcPr>
            <w:tcW w:w="460" w:type="dxa"/>
            <w:vAlign w:val="bottom"/>
          </w:tcPr>
          <w:p>
            <w:pPr>
              <w:spacing w:after="0"/>
              <w:rPr>
                <w:sz w:val="17"/>
                <w:szCs w:val="17"/>
                <w:color w:val="auto"/>
              </w:rPr>
            </w:pPr>
          </w:p>
        </w:tc>
        <w:tc>
          <w:tcPr>
            <w:tcW w:w="2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Gross Amounts of</w:t>
            </w:r>
          </w:p>
        </w:tc>
        <w:tc>
          <w:tcPr>
            <w:tcW w:w="160" w:type="dxa"/>
            <w:vAlign w:val="bottom"/>
          </w:tcPr>
          <w:p>
            <w:pPr>
              <w:spacing w:after="0"/>
              <w:rPr>
                <w:sz w:val="17"/>
                <w:szCs w:val="17"/>
                <w:color w:val="auto"/>
              </w:rPr>
            </w:pPr>
          </w:p>
        </w:tc>
        <w:tc>
          <w:tcPr>
            <w:tcW w:w="414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Gross Amounts Not Offset in the Consolidated Balance</w:t>
            </w: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2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Sheets</w:t>
            </w:r>
          </w:p>
        </w:tc>
        <w:tc>
          <w:tcPr>
            <w:tcW w:w="1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26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gridSpan w:val="2"/>
            <w:vMerge w:val="restart"/>
          </w:tcPr>
          <w:p>
            <w:pPr>
              <w:jc w:val="center"/>
              <w:ind w:right="320"/>
              <w:spacing w:after="0" w:line="178" w:lineRule="exact"/>
              <w:rPr>
                <w:sz w:val="20"/>
                <w:szCs w:val="20"/>
                <w:color w:val="auto"/>
              </w:rPr>
            </w:pPr>
            <w:r>
              <w:rPr>
                <w:rFonts w:ascii="Times New Roman" w:cs="Times New Roman" w:eastAsia="Times New Roman" w:hAnsi="Times New Roman"/>
                <w:sz w:val="16"/>
                <w:szCs w:val="16"/>
                <w:b w:val="1"/>
                <w:bCs w:val="1"/>
                <w:color w:val="auto"/>
              </w:rPr>
              <w:t>Recognized Liabilities</w:t>
            </w:r>
          </w:p>
        </w:tc>
        <w:tc>
          <w:tcPr>
            <w:tcW w:w="16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2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Presented in the</w:t>
            </w:r>
          </w:p>
        </w:tc>
        <w:tc>
          <w:tcPr>
            <w:tcW w:w="16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Derivative Financial</w:t>
            </w: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80" w:type="dxa"/>
            <w:vAlign w:val="bottom"/>
            <w:gridSpan w:val="3"/>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160" w:type="dxa"/>
            <w:vAlign w:val="bottom"/>
          </w:tcPr>
          <w:p>
            <w:pPr>
              <w:spacing w:after="0"/>
              <w:rPr>
                <w:sz w:val="18"/>
                <w:szCs w:val="18"/>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80" w:type="dxa"/>
            <w:vAlign w:val="bottom"/>
          </w:tcPr>
          <w:p>
            <w:pPr>
              <w:spacing w:after="0"/>
              <w:rPr>
                <w:sz w:val="18"/>
                <w:szCs w:val="18"/>
                <w:color w:val="auto"/>
              </w:rPr>
            </w:pPr>
          </w:p>
        </w:tc>
        <w:tc>
          <w:tcPr>
            <w:tcW w:w="1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Cash Collateral Pledged</w:t>
            </w:r>
          </w:p>
        </w:tc>
        <w:tc>
          <w:tcPr>
            <w:tcW w:w="360" w:type="dxa"/>
            <w:vAlign w:val="bottom"/>
          </w:tcPr>
          <w:p>
            <w:pPr>
              <w:spacing w:after="0"/>
              <w:rPr>
                <w:sz w:val="18"/>
                <w:szCs w:val="18"/>
                <w:color w:val="auto"/>
              </w:rPr>
            </w:pPr>
          </w:p>
        </w:tc>
        <w:tc>
          <w:tcPr>
            <w:tcW w:w="16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June 30, 2019</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CCEEFF"/>
            </w:tcBorders>
            <w:gridSpan w:val="2"/>
            <w:shd w:val="clear" w:color="auto" w:fill="CCEEFF"/>
          </w:tcPr>
          <w:p>
            <w:pPr>
              <w:ind w:left="15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84"/>
        </w:trPr>
        <w:tc>
          <w:tcPr>
            <w:tcW w:w="2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December 31, 2018</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33"/>
        </w:trPr>
        <w:tc>
          <w:tcPr>
            <w:tcW w:w="26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derivative assets and liabilities subject to netting arrangements consist of foreign exchange forwards and options and interest rate contracts with six counterparties at June 30, 2019 and five counterparties at December 31, 2018. No derivative asset or liability balance with any of our counterparties was individually significant at June 30, 2019 or December 31, 2018. Our derivative contracts with each of these counterparties exist under agreements that provide for the net settlement of all contracts through a single payment in a single currency in the event of default. We have no pledges of cash collateral against our obligations, and we have not received pledges of cash collateral from our counterparties under the associated derivative contracts.</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our floating rate debt, we are exposed to variability in our cash flows from changes in the applicable interest rate index. We enter into interest rate caps and swaps to reduce the variability of cash flows from increases in the LIBOR based borrowing rates on our floating rate credit facility. These instruments do not protect us from changes to the applicable margin under our credit facility. At June 30, 2019, our LIBOR-based debt balance was $615.6 million.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2015, we entered into an interest rate swap, which is effective from August 31, 2016 to June 23, 2020, and converts $214 million of our LIBOR based debt from a floating LIBOR interest rate to a fixed interest rate of 1.42% (excluding the applicable margin on the debt). The notional balance will amortize to maturity at the same rate as required minimum payments on our term loan. Changes in the fair value of the interest rate swap are recognized as a component of other comprehensive income (OCI) and are recognized in earnings when the hedged item affects earnings. The amounts paid or received on the hedge are recognized as an adjustment to interest expense along with the earnings effect of the hedged item. The amount of net gains expected to be reclassified into earnings in the next 12 months is $0.7 million.</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2015, we entered into three interest rate cap contracts with a total notional amount of $100 million at a cost of $1.7 million. The interest rate cap contracts expire on June 23, 2020 and were entered into in order to limit our interest rate exposure on $100 million of our variable LIBOR based debt up to 2.00%. In the event LIBOR is higher than 2.00%, we will pay interest at the capped rate of 2.00% with respect to the $100 million notional amount of such agreements. As of December 31, 2016, due to the accelerated revolver payments from surplus cash, we elected to de-designate two of the interest rate cap contracts as cash flow hedges and discontinued the use of cash flow hedge accounting. The amounts recognized in AOCI from de-designated interest rate cap contracts were maintained in AOCI as the forecasted transactions were still probable to occur, and subsequent changes in fair value were recognized within interest expense. In April 2018, due to increases in our total LIBOR-based debt, we elected to re-designate the two interest rate cap contracts as cash flow hedges. Future changes in the fair value of these instruments will be recognized as a component of OCI, and these changes together with amounts previously maintained in AOCI will be recognized in earnings when the hedged item affects earnings. The amounts paid or received on the hedge are recognized as an adjustment to interest expense along with the earnings effect of the hedged item. The amount of net losses expected to be reclassified into earnings for all interest rate cap contracts in the next 12 months is $0.6 million.</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2018, we entered into a cross-currency swap, which converts $56.0 million of floating LIBOR-based U.S. Dollar denominated debt into 1.38% fixed rate euro denominated debt. This cross-currency swap matures on April 30, 2021 and mitigates the risk associated with fluctuations in currency rates impacting cash flows related to U.S. Dollar denominated debt in a euro functional currency entity. Changes in the fair value of the cross-currency swap are recognized as a component of OCI and will be recognized in earnings when the hedged item affects earnings. The amounts paid or received on the hedge are recognized as an adjustment to interest expense along with the earnings effect of the hedged item. The amount of net gains expected to be reclassified into earnings in the next 12 months is $1.3 million.</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our forecasted purchases in non-functional currency, we are exposed to foreign exchange risk. We hedge portions of our forecasted foreign currency inventory purchases. During January 2019, we entered into foreign exchange option contracts for a total notional amount of $72 million at a cost of $1.3 million. The contracts will mature ratably through the year with final maturity in October 2019. Changes in the fair value of the option contracts are recognized as a component of OCI and will be recognized in product cost of revenues when the hedged item affects earnings.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before-tax effects of our accounting for derivative instruments designated as hedges on AOCI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Derivatives in Subtopic 815-20</w:t>
            </w:r>
          </w:p>
        </w:tc>
        <w:tc>
          <w:tcPr>
            <w:tcW w:w="2400" w:type="dxa"/>
            <w:vAlign w:val="bottom"/>
            <w:gridSpan w:val="4"/>
            <w:vMerge w:val="restart"/>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960" w:type="dxa"/>
            <w:vAlign w:val="bottom"/>
            <w:gridSpan w:val="6"/>
          </w:tcPr>
          <w:p>
            <w:pPr>
              <w:ind w:left="1780"/>
              <w:spacing w:after="0"/>
              <w:rPr>
                <w:sz w:val="20"/>
                <w:szCs w:val="20"/>
                <w:color w:val="auto"/>
              </w:rPr>
            </w:pPr>
            <w:r>
              <w:rPr>
                <w:rFonts w:ascii="Times New Roman" w:cs="Times New Roman" w:eastAsia="Times New Roman" w:hAnsi="Times New Roman"/>
                <w:sz w:val="14"/>
                <w:szCs w:val="14"/>
                <w:b w:val="1"/>
                <w:bCs w:val="1"/>
                <w:color w:val="auto"/>
              </w:rPr>
              <w:t>Gain (Loss) Reclassified from</w:t>
            </w: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000" w:type="dxa"/>
            <w:vAlign w:val="bottom"/>
            <w:gridSpan w:val="2"/>
            <w:vMerge w:val="continue"/>
          </w:tcPr>
          <w:p>
            <w:pPr>
              <w:spacing w:after="0"/>
              <w:rPr>
                <w:sz w:val="12"/>
                <w:szCs w:val="12"/>
                <w:color w:val="auto"/>
              </w:rPr>
            </w:pPr>
          </w:p>
        </w:tc>
        <w:tc>
          <w:tcPr>
            <w:tcW w:w="2400" w:type="dxa"/>
            <w:vAlign w:val="bottom"/>
            <w:gridSpan w:val="4"/>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0" w:type="dxa"/>
            <w:vAlign w:val="bottom"/>
            <w:gridSpan w:val="3"/>
          </w:tcPr>
          <w:p>
            <w:pPr>
              <w:jc w:val="right"/>
              <w:ind w:right="28"/>
              <w:spacing w:after="0" w:line="147" w:lineRule="exact"/>
              <w:rPr>
                <w:sz w:val="20"/>
                <w:szCs w:val="20"/>
                <w:color w:val="auto"/>
              </w:rPr>
            </w:pPr>
            <w:r>
              <w:rPr>
                <w:rFonts w:ascii="Times New Roman" w:cs="Times New Roman" w:eastAsia="Times New Roman" w:hAnsi="Times New Roman"/>
                <w:sz w:val="14"/>
                <w:szCs w:val="14"/>
                <w:b w:val="1"/>
                <w:bCs w:val="1"/>
                <w:color w:val="auto"/>
              </w:rPr>
              <w:t>AOCI into Income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000" w:type="dxa"/>
            <w:vAlign w:val="bottom"/>
            <w:gridSpan w:val="2"/>
            <w:vMerge w:val="restart"/>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2400" w:type="dxa"/>
            <w:vAlign w:val="bottom"/>
            <w:gridSpan w:val="4"/>
            <w:vMerge w:val="restart"/>
          </w:tcPr>
          <w:p>
            <w:pPr>
              <w:jc w:val="center"/>
              <w:ind w:left="448"/>
              <w:spacing w:after="0" w:line="137" w:lineRule="exact"/>
              <w:rPr>
                <w:sz w:val="20"/>
                <w:szCs w:val="20"/>
                <w:color w:val="auto"/>
              </w:rPr>
            </w:pPr>
            <w:r>
              <w:rPr>
                <w:rFonts w:ascii="Times New Roman" w:cs="Times New Roman" w:eastAsia="Times New Roman" w:hAnsi="Times New Roman"/>
                <w:sz w:val="14"/>
                <w:szCs w:val="14"/>
                <w:b w:val="1"/>
                <w:bCs w:val="1"/>
                <w:color w:val="auto"/>
              </w:rPr>
              <w:t>Recognized in OCI on</w:t>
            </w: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000" w:type="dxa"/>
            <w:vAlign w:val="bottom"/>
            <w:gridSpan w:val="2"/>
            <w:vMerge w:val="continue"/>
          </w:tcPr>
          <w:p>
            <w:pPr>
              <w:spacing w:after="0"/>
              <w:rPr>
                <w:sz w:val="5"/>
                <w:szCs w:val="5"/>
                <w:color w:val="auto"/>
              </w:rPr>
            </w:pPr>
          </w:p>
        </w:tc>
        <w:tc>
          <w:tcPr>
            <w:tcW w:w="2400" w:type="dxa"/>
            <w:vAlign w:val="bottom"/>
            <w:gridSpan w:val="4"/>
            <w:vMerge w:val="continue"/>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8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gridSpan w:val="3"/>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Hedging Relationships</w:t>
            </w: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1"/>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0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Interest rate swap contracts</w:t>
            </w:r>
          </w:p>
        </w:tc>
        <w:tc>
          <w:tcPr>
            <w:tcW w:w="86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1400" w:type="dxa"/>
            <w:vAlign w:val="bottom"/>
            <w:gridSpan w:val="3"/>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78"/>
        </w:trPr>
        <w:tc>
          <w:tcPr>
            <w:tcW w:w="2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Interest rate cap contracts</w:t>
            </w:r>
          </w:p>
        </w:tc>
        <w:tc>
          <w:tcPr>
            <w:tcW w:w="86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6"/>
                <w:szCs w:val="16"/>
                <w:color w:val="auto"/>
              </w:rPr>
            </w:pPr>
          </w:p>
        </w:tc>
        <w:tc>
          <w:tcPr>
            <w:tcW w:w="1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0" w:type="dxa"/>
            <w:vAlign w:val="bottom"/>
          </w:tcPr>
          <w:p>
            <w:pPr>
              <w:spacing w:after="0"/>
              <w:rPr>
                <w:sz w:val="1"/>
                <w:szCs w:val="1"/>
                <w:color w:val="auto"/>
              </w:rPr>
            </w:pPr>
          </w:p>
        </w:tc>
      </w:tr>
      <w:tr>
        <w:trPr>
          <w:trHeight w:val="78"/>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0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Foreign exchange options</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Product cost of revenues</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2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Cross currency swap contract</w:t>
            </w:r>
          </w:p>
        </w:tc>
        <w:tc>
          <w:tcPr>
            <w:tcW w:w="8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2,376</w:t>
            </w:r>
          </w:p>
        </w:tc>
        <w:tc>
          <w:tcPr>
            <w:tcW w:w="100" w:type="dxa"/>
            <w:vAlign w:val="bottom"/>
          </w:tcPr>
          <w:p>
            <w:pPr>
              <w:spacing w:after="0"/>
              <w:rPr>
                <w:sz w:val="16"/>
                <w:szCs w:val="16"/>
                <w:color w:val="auto"/>
              </w:rPr>
            </w:pPr>
          </w:p>
        </w:tc>
        <w:tc>
          <w:tcPr>
            <w:tcW w:w="1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78"/>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0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Cross currency swap contract</w:t>
            </w:r>
          </w:p>
        </w:tc>
        <w:tc>
          <w:tcPr>
            <w:tcW w:w="8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income/(expense), net</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2,368</w:t>
            </w:r>
          </w:p>
        </w:tc>
        <w:tc>
          <w:tcPr>
            <w:tcW w:w="0" w:type="dxa"/>
            <w:vAlign w:val="bottom"/>
          </w:tcPr>
          <w:p>
            <w:pPr>
              <w:spacing w:after="0"/>
              <w:rPr>
                <w:sz w:val="1"/>
                <w:szCs w:val="1"/>
                <w:color w:val="auto"/>
              </w:rPr>
            </w:pPr>
          </w:p>
        </w:tc>
      </w:tr>
      <w:tr>
        <w:trPr>
          <w:trHeight w:val="78"/>
        </w:trPr>
        <w:tc>
          <w:tcPr>
            <w:tcW w:w="2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3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Interest rate swap contract</w:t>
            </w:r>
          </w:p>
        </w:tc>
        <w:tc>
          <w:tcPr>
            <w:tcW w:w="86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120" w:type="dxa"/>
            <w:vAlign w:val="bottom"/>
          </w:tcPr>
          <w:p>
            <w:pPr>
              <w:spacing w:after="0"/>
              <w:rPr>
                <w:sz w:val="16"/>
                <w:szCs w:val="16"/>
                <w:color w:val="auto"/>
              </w:rPr>
            </w:pPr>
          </w:p>
        </w:tc>
        <w:tc>
          <w:tcPr>
            <w:tcW w:w="90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1,760</w:t>
            </w:r>
          </w:p>
        </w:tc>
        <w:tc>
          <w:tcPr>
            <w:tcW w:w="100" w:type="dxa"/>
            <w:vAlign w:val="bottom"/>
          </w:tcPr>
          <w:p>
            <w:pPr>
              <w:spacing w:after="0"/>
              <w:rPr>
                <w:sz w:val="16"/>
                <w:szCs w:val="16"/>
                <w:color w:val="auto"/>
              </w:rPr>
            </w:pPr>
          </w:p>
        </w:tc>
        <w:tc>
          <w:tcPr>
            <w:tcW w:w="1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1400" w:type="dxa"/>
            <w:vAlign w:val="bottom"/>
            <w:gridSpan w:val="3"/>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919</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78"/>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0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Interest rate cap contracts</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0" w:type="dxa"/>
            <w:vAlign w:val="bottom"/>
          </w:tcPr>
          <w:p>
            <w:pPr>
              <w:spacing w:after="0"/>
              <w:rPr>
                <w:sz w:val="1"/>
                <w:szCs w:val="1"/>
                <w:color w:val="auto"/>
              </w:rPr>
            </w:pPr>
          </w:p>
        </w:tc>
      </w:tr>
      <w:tr>
        <w:trPr>
          <w:trHeight w:val="78"/>
        </w:trPr>
        <w:tc>
          <w:tcPr>
            <w:tcW w:w="2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Foreign exchange options</w:t>
            </w:r>
          </w:p>
        </w:tc>
        <w:tc>
          <w:tcPr>
            <w:tcW w:w="860" w:type="dxa"/>
            <w:vAlign w:val="bottom"/>
          </w:tcPr>
          <w:p>
            <w:pPr>
              <w:spacing w:after="0"/>
              <w:rPr>
                <w:sz w:val="16"/>
                <w:szCs w:val="16"/>
                <w:color w:val="auto"/>
              </w:rPr>
            </w:pP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218</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Product cost of revenues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0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Cross currency swap contract</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1,423</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2,376</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78"/>
        </w:trPr>
        <w:tc>
          <w:tcPr>
            <w:tcW w:w="2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Cross currency swap contract</w:t>
            </w:r>
          </w:p>
        </w:tc>
        <w:tc>
          <w:tcPr>
            <w:tcW w:w="86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income/(expense), net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2,368</w:t>
            </w: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reclassification amounts presented above also represent the loss (gain) recognized in net income (loss) on hedging relationships under Subtopic 815-20 on the Consolidated Statements of Operations. For the three months and six months ended June 30, 2019 and 2018, there were no amounts reclassified from AOCI as a result that a forecasted transaction is no longer probable of occurring, and no amounts excluded from effectiveness testing recognized in earnings based on changes in fair value.</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Relationships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 to other income and expense. We enter into monthly foreign exchange forward contracts, which are not designated for hedge accounting, with the intent to reduce earnings volatility associated with currency exposures. As of June 30, 2019, a total of 48 contracts were offsetting our exposures from the Euro, Pound Sterling, Indonesian Rupiah, Chinese Yuan, Canadian Dollar, Indian Rupee and various other currencies, with notional amounts ranging from $131,000 to $9.4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our derivative instruments not designated as hedges on the Consolidated Statements of Operations was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 under Subtopic 815-</w:t>
            </w: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Gain (Loss) Recognized on Derivatives in Other</w:t>
            </w:r>
          </w:p>
        </w:tc>
      </w:tr>
      <w:tr>
        <w:trPr>
          <w:trHeight w:val="212"/>
        </w:trPr>
        <w:tc>
          <w:tcPr>
            <w:tcW w:w="5160" w:type="dxa"/>
            <w:vAlign w:val="bottom"/>
          </w:tcPr>
          <w:p>
            <w:pPr>
              <w:ind w:left="2500"/>
              <w:spacing w:after="0"/>
              <w:rPr>
                <w:sz w:val="20"/>
                <w:szCs w:val="20"/>
                <w:color w:val="auto"/>
              </w:rPr>
            </w:pPr>
            <w:r>
              <w:rPr>
                <w:rFonts w:ascii="Times New Roman" w:cs="Times New Roman" w:eastAsia="Times New Roman" w:hAnsi="Times New Roman"/>
                <w:sz w:val="16"/>
                <w:szCs w:val="16"/>
                <w:b w:val="1"/>
                <w:bCs w:val="1"/>
                <w:color w:val="auto"/>
              </w:rPr>
              <w:t>20</w:t>
            </w:r>
          </w:p>
        </w:tc>
        <w:tc>
          <w:tcPr>
            <w:tcW w:w="120" w:type="dxa"/>
            <w:vAlign w:val="bottom"/>
          </w:tcPr>
          <w:p>
            <w:pPr>
              <w:spacing w:after="0"/>
              <w:rPr>
                <w:sz w:val="18"/>
                <w:szCs w:val="18"/>
                <w:color w:val="auto"/>
              </w:rPr>
            </w:pPr>
          </w:p>
        </w:tc>
        <w:tc>
          <w:tcPr>
            <w:tcW w:w="262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Income (Expense)</w:t>
            </w:r>
          </w:p>
        </w:tc>
        <w:tc>
          <w:tcPr>
            <w:tcW w:w="1060" w:type="dxa"/>
            <w:vAlign w:val="bottom"/>
          </w:tcPr>
          <w:p>
            <w:pPr>
              <w:spacing w:after="0"/>
              <w:rPr>
                <w:sz w:val="18"/>
                <w:szCs w:val="18"/>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5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w:t>
            </w:r>
          </w:p>
        </w:tc>
        <w:tc>
          <w:tcPr>
            <w:tcW w:w="70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3,636</w:t>
            </w:r>
          </w:p>
        </w:tc>
      </w:tr>
      <w:tr>
        <w:trPr>
          <w:trHeight w:val="237"/>
        </w:trPr>
        <w:tc>
          <w:tcPr>
            <w:tcW w:w="52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Interest rate cap contracts</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10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w:t>
            </w: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4"/>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(912)</w:t>
            </w:r>
          </w:p>
        </w:tc>
        <w:tc>
          <w:tcPr>
            <w:tcW w:w="70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2,113</w:t>
            </w:r>
          </w:p>
        </w:tc>
      </w:tr>
      <w:tr>
        <w:trPr>
          <w:trHeight w:val="237"/>
        </w:trPr>
        <w:tc>
          <w:tcPr>
            <w:tcW w:w="52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Interest rate cap contracts</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10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377</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Defined Benefit Pension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sponsor both funded and unfunded defined benefit pension plans offering death and disability, retirement, and special termination benefits for our international employees, primarily in Germany, France, Italy, Indonesia, and India. The defined benefit obligation is calculated annually by using the projected unit credit method. The measurement date for the pension plans was December 31,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on the Consolidated Balance Sheets consist of:</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Pr>
          <w:p>
            <w:pPr>
              <w:spacing w:after="0"/>
              <w:rPr>
                <w:sz w:val="18"/>
                <w:szCs w:val="18"/>
                <w:color w:val="auto"/>
              </w:rPr>
            </w:pPr>
          </w:p>
        </w:tc>
        <w:tc>
          <w:tcPr>
            <w:tcW w:w="20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June 30, 2019</w:t>
            </w:r>
          </w:p>
        </w:tc>
        <w:tc>
          <w:tcPr>
            <w:tcW w:w="2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6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47"/>
        </w:trPr>
        <w:tc>
          <w:tcPr>
            <w:tcW w:w="6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98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Plan assets in other long-term assets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572</w:t>
            </w:r>
          </w:p>
        </w:tc>
      </w:tr>
      <w:tr>
        <w:trPr>
          <w:trHeight w:val="297"/>
        </w:trPr>
        <w:tc>
          <w:tcPr>
            <w:tcW w:w="6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Current portion of pension benefit obligation in wages and benefits payable</w:t>
            </w:r>
          </w:p>
        </w:tc>
        <w:tc>
          <w:tcPr>
            <w:tcW w:w="40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2,730</w:t>
            </w:r>
          </w:p>
        </w:tc>
      </w:tr>
      <w:tr>
        <w:trPr>
          <w:trHeight w:val="33"/>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Long-term portion of pension benefit obligation</w:t>
            </w:r>
          </w:p>
        </w:tc>
        <w:tc>
          <w:tcPr>
            <w:tcW w:w="4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92,073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91,522</w:t>
            </w:r>
          </w:p>
        </w:tc>
      </w:tr>
      <w:tr>
        <w:trPr>
          <w:trHeight w:val="297"/>
        </w:trPr>
        <w:tc>
          <w:tcPr>
            <w:tcW w:w="67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Pension benefit obligation, net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94,666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93,680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benefit costs for our plans include the following components: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298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8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580" w:type="dxa"/>
            <w:vAlign w:val="bottom"/>
          </w:tcPr>
          <w:p>
            <w:pPr>
              <w:spacing w:after="0"/>
              <w:rPr>
                <w:sz w:val="20"/>
                <w:szCs w:val="20"/>
                <w:color w:val="auto"/>
              </w:rPr>
            </w:pPr>
          </w:p>
        </w:tc>
      </w:tr>
      <w:tr>
        <w:trPr>
          <w:trHeight w:val="33"/>
        </w:trPr>
        <w:tc>
          <w:tcPr>
            <w:tcW w:w="4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 cost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892</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968</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1,971</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2,017</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cost</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573</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1,155</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1,200</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actuarial net loss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342</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687</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795</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unrecognized prior service costs</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r>
      <w:tr>
        <w:trPr>
          <w:trHeight w:val="244"/>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1,670</w:t>
            </w:r>
          </w:p>
        </w:tc>
        <w:tc>
          <w:tcPr>
            <w:tcW w:w="12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1,799</w:t>
            </w:r>
          </w:p>
        </w:tc>
        <w:tc>
          <w:tcPr>
            <w:tcW w:w="12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3,537</w:t>
            </w:r>
          </w:p>
        </w:tc>
        <w:tc>
          <w:tcPr>
            <w:tcW w:w="12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3,696</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total other income (expense) on the Consolidated Statements of Operations.</w:t>
      </w:r>
    </w:p>
    <w:p>
      <w:pPr>
        <w:spacing w:after="0" w:line="15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the Second Amended and Restated 2010 Stock Incentive Plan (Stock Incentive Plan), which allows us to grant stock-based compensation awards, including stock options, restricted stock units, phantom stock, and unrestricted stock units. Under the Stock Incentive Plan, we have 12,623,538 shares of common stock reserved and authorized for issuance subject to stock splits, dividends, and other similar events. At June 30, 2019, 6,340,860 shares were available for grant under the Stock Incentive Plan. We issue new shares of common stock upon the exercise of stock options or when vesting conditions on restricted stock units are fully satisfied. These shares are subject to a fungible share provision such that the authorized share reserve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acquisition of SSNI, we reserved and authorized 2,880,039 shares, collectively, of Itron common stock to be issued under the Stock Incentive Plan for certain SSNI common stock awards that were converted to Itron common stock awards on January 5, 2018 (Acquisition Date) pursuant to the Agreement and Plan of Merger or were available for issuance pursuant to future awards under the Silver Spring Networks, Inc. 2012 Equity Incentive Plan (SSNI Plan). New stock-based compensation awards originally from the SSNI Plan may only be made to individuals who were not employees of Itron as of the Acquisition Date. Notwithstanding the foregoing, there is no fungible share provision for shares originally from the SSNI Plan.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also periodically award phantom stock units, which are settled in cash upon vesting and accounted for as liability-based awards with no impact to the shares available for grant.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we maintain the Employee Stock Purchase Plan (ESPP), for which 255,845 shares of common stock were available for future issuance at June 30,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Unrestricted stock and ESPP activity for the three and six months ended June 30, 2019 and 2018 was not significant.</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and the related tax benefit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298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2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20" w:type="dxa"/>
            <w:vAlign w:val="bottom"/>
          </w:tcPr>
          <w:p>
            <w:pPr>
              <w:spacing w:after="0"/>
              <w:rPr>
                <w:sz w:val="20"/>
                <w:szCs w:val="20"/>
                <w:color w:val="auto"/>
              </w:rPr>
            </w:pPr>
          </w:p>
        </w:tc>
      </w:tr>
      <w:tr>
        <w:trPr>
          <w:trHeight w:val="33"/>
        </w:trPr>
        <w:tc>
          <w:tcPr>
            <w:tcW w:w="4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options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952</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1,024</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1,783</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units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5,977</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7,365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12,444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14,422</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Unrestricted stock awards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414</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Phantom stock units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525</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1,277</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7,103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9,111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15,226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17,896</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84"/>
        </w:trPr>
        <w:tc>
          <w:tcPr>
            <w:tcW w:w="4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Related tax benefit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3,128</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stock option activity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8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Average Exercise</w:t>
            </w:r>
          </w:p>
        </w:tc>
        <w:tc>
          <w:tcPr>
            <w:tcW w:w="14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Average Grant</w:t>
            </w:r>
          </w:p>
        </w:tc>
      </w:tr>
      <w:tr>
        <w:trPr>
          <w:trHeight w:val="212"/>
        </w:trPr>
        <w:tc>
          <w:tcPr>
            <w:tcW w:w="32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14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Date Fair Value</w:t>
            </w:r>
          </w:p>
        </w:tc>
      </w:tr>
      <w:tr>
        <w:trPr>
          <w:trHeight w:val="33"/>
        </w:trPr>
        <w:tc>
          <w:tcPr>
            <w:tcW w:w="3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(years)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color w:val="auto"/>
              </w:rPr>
              <w:t>(in thousands)</w:t>
            </w:r>
          </w:p>
        </w:tc>
        <w:tc>
          <w:tcPr>
            <w:tcW w:w="132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January 1, 2018</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47.10</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21,965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Converted upon acquisition</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51.86</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14.86</w:t>
            </w: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Granted</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69.30</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24.83</w:t>
            </w:r>
          </w:p>
        </w:tc>
      </w:tr>
      <w:tr>
        <w:trPr>
          <w:trHeight w:val="237"/>
        </w:trPr>
        <w:tc>
          <w:tcPr>
            <w:tcW w:w="3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Exercised</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40.08</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68.43</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Expired</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95.33</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5"/>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June 30, 2018</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46.92</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78"/>
        </w:trPr>
        <w:tc>
          <w:tcPr>
            <w:tcW w:w="3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January 1, 2019</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47.93</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Exercised</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40.57</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67.38</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Expired</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66.36</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5"/>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June 30, 2019</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48.06</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78"/>
        </w:trPr>
        <w:tc>
          <w:tcPr>
            <w:tcW w:w="3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62"/>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Exercisable, June 30, 2019</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44.67</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78"/>
        </w:trPr>
        <w:tc>
          <w:tcPr>
            <w:tcW w:w="3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62"/>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to vest, June 30, 2019</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66.35</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2019, total unrecognized stock-based compensation expense related to nonvested stock options was $1.4 million, which is expected to be recognized over a weighted average period of approximately 1.5 years.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assumptions used to estimate the fair value of stock options granted and the resulting weighted average fair value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40" w:type="dxa"/>
            <w:vAlign w:val="bottom"/>
          </w:tcPr>
          <w:p>
            <w:pPr>
              <w:spacing w:after="0"/>
              <w:rPr>
                <w:sz w:val="18"/>
                <w:szCs w:val="18"/>
                <w:color w:val="auto"/>
              </w:rPr>
            </w:pPr>
          </w:p>
        </w:tc>
        <w:tc>
          <w:tcPr>
            <w:tcW w:w="300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33"/>
        </w:trPr>
        <w:tc>
          <w:tcPr>
            <w:tcW w:w="4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5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17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4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volatility</w:t>
            </w:r>
          </w:p>
        </w:tc>
        <w:tc>
          <w:tcPr>
            <w:tcW w:w="116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CCEEFF"/>
            </w:tcBorders>
            <w:gridSpan w:val="2"/>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37"/>
        </w:trPr>
        <w:tc>
          <w:tcPr>
            <w:tcW w:w="5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Risk-free interest rate</w:t>
            </w:r>
          </w:p>
        </w:tc>
        <w:tc>
          <w:tcPr>
            <w:tcW w:w="18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gridSpan w:val="2"/>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33"/>
        </w:trPr>
        <w:tc>
          <w:tcPr>
            <w:tcW w:w="4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7"/>
        </w:trPr>
        <w:tc>
          <w:tcPr>
            <w:tcW w:w="5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term (years)</w:t>
            </w:r>
          </w:p>
        </w:tc>
        <w:tc>
          <w:tcPr>
            <w:tcW w:w="1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N/A</w:t>
            </w:r>
          </w:p>
        </w:tc>
        <w:tc>
          <w:tcPr>
            <w:tcW w:w="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N/A</w:t>
            </w:r>
          </w:p>
        </w:tc>
        <w:tc>
          <w:tcPr>
            <w:tcW w:w="186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N/A</w:t>
            </w:r>
          </w:p>
        </w:tc>
        <w:tc>
          <w:tcPr>
            <w:tcW w:w="1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6.1</w:t>
            </w:r>
          </w:p>
        </w:tc>
      </w:tr>
      <w:tr>
        <w:trPr>
          <w:trHeight w:val="33"/>
        </w:trPr>
        <w:tc>
          <w:tcPr>
            <w:tcW w:w="4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employee stock options granted for the three and six months ended June 30, 2019, and for the three months ended June 30, 2018.</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3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4360" w:type="dxa"/>
            <w:vAlign w:val="bottom"/>
          </w:tcPr>
          <w:p>
            <w:pPr>
              <w:spacing w:after="0"/>
              <w:rPr>
                <w:sz w:val="17"/>
                <w:szCs w:val="17"/>
                <w:color w:val="auto"/>
              </w:rPr>
            </w:pPr>
          </w:p>
        </w:tc>
        <w:tc>
          <w:tcPr>
            <w:tcW w:w="230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360" w:type="dxa"/>
            <w:vAlign w:val="bottom"/>
          </w:tcPr>
          <w:p>
            <w:pPr>
              <w:spacing w:after="0"/>
              <w:rPr>
                <w:sz w:val="17"/>
                <w:szCs w:val="17"/>
                <w:color w:val="auto"/>
              </w:rPr>
            </w:pPr>
          </w:p>
        </w:tc>
        <w:tc>
          <w:tcPr>
            <w:tcW w:w="190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12"/>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3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360" w:type="dxa"/>
            <w:vAlign w:val="bottom"/>
          </w:tcPr>
          <w:p>
            <w:pPr>
              <w:spacing w:after="0"/>
              <w:rPr>
                <w:sz w:val="18"/>
                <w:szCs w:val="18"/>
                <w:color w:val="auto"/>
              </w:rPr>
            </w:pPr>
          </w:p>
        </w:tc>
        <w:tc>
          <w:tcPr>
            <w:tcW w:w="19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Intrinsic Value</w:t>
            </w:r>
          </w:p>
        </w:tc>
      </w:tr>
      <w:tr>
        <w:trPr>
          <w:trHeight w:val="33"/>
        </w:trPr>
        <w:tc>
          <w:tcPr>
            <w:tcW w:w="43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January 1, 2018</w:t>
            </w:r>
          </w:p>
        </w:tc>
        <w:tc>
          <w:tcPr>
            <w:tcW w:w="2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4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Converted upon acquisition</w:t>
            </w:r>
          </w:p>
        </w:tc>
        <w:tc>
          <w:tcPr>
            <w:tcW w:w="2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Granted</w:t>
            </w:r>
          </w:p>
        </w:tc>
        <w:tc>
          <w:tcPr>
            <w:tcW w:w="2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70"/>
        </w:trPr>
        <w:tc>
          <w:tcPr>
            <w:tcW w:w="4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23,609</w:t>
            </w: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Forfeited</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r>
      <w:tr>
        <w:trPr>
          <w:trHeight w:val="284"/>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Outstanding, June 30, 2018</w:t>
            </w:r>
          </w:p>
        </w:tc>
        <w:tc>
          <w:tcPr>
            <w:tcW w:w="23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r>
      <w:tr>
        <w:trPr>
          <w:trHeight w:val="284"/>
        </w:trPr>
        <w:tc>
          <w:tcPr>
            <w:tcW w:w="436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Outstanding, January 1, 2019</w:t>
            </w:r>
          </w:p>
        </w:tc>
        <w:tc>
          <w:tcPr>
            <w:tcW w:w="2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817</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59.70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Granted</w:t>
            </w:r>
          </w:p>
        </w:tc>
        <w:tc>
          <w:tcPr>
            <w:tcW w:w="2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70"/>
        </w:trPr>
        <w:tc>
          <w:tcPr>
            <w:tcW w:w="4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 xml:space="preserve">Released </w:t>
            </w:r>
            <w:r>
              <w:rPr>
                <w:rFonts w:ascii="Times New Roman" w:cs="Times New Roman" w:eastAsia="Times New Roman" w:hAnsi="Times New Roman"/>
                <w:sz w:val="21"/>
                <w:szCs w:val="21"/>
                <w:color w:val="auto"/>
                <w:vertAlign w:val="superscript"/>
              </w:rPr>
              <w:t>(1)</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61.42</w:t>
            </w:r>
          </w:p>
        </w:tc>
        <w:tc>
          <w:tcPr>
            <w:tcW w:w="120" w:type="dxa"/>
            <w:vAlign w:val="bottom"/>
          </w:tcPr>
          <w:p>
            <w:pPr>
              <w:spacing w:after="0"/>
              <w:rPr>
                <w:sz w:val="23"/>
                <w:szCs w:val="23"/>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22,304</w:t>
            </w: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Forfeited</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66.61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r>
      <w:tr>
        <w:trPr>
          <w:trHeight w:val="284"/>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Outstanding, June 30, 2019</w:t>
            </w:r>
          </w:p>
        </w:tc>
        <w:tc>
          <w:tcPr>
            <w:tcW w:w="23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63.92</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r>
      <w:tr>
        <w:trPr>
          <w:trHeight w:val="284"/>
        </w:trPr>
        <w:tc>
          <w:tcPr>
            <w:tcW w:w="436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90"/>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Vested but not released, June 30, 2019</w:t>
            </w:r>
          </w:p>
        </w:tc>
        <w:tc>
          <w:tcPr>
            <w:tcW w:w="2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516</w:t>
            </w:r>
          </w:p>
        </w:tc>
      </w:tr>
      <w:tr>
        <w:trPr>
          <w:trHeight w:val="284"/>
        </w:trPr>
        <w:tc>
          <w:tcPr>
            <w:tcW w:w="436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50"/>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Expected to vest, June 30, 2019</w:t>
            </w:r>
          </w:p>
        </w:tc>
        <w:tc>
          <w:tcPr>
            <w:tcW w:w="2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32,796</w:t>
            </w:r>
          </w:p>
        </w:tc>
      </w:tr>
      <w:tr>
        <w:trPr>
          <w:trHeight w:val="20"/>
        </w:trPr>
        <w:tc>
          <w:tcPr>
            <w:tcW w:w="436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Shares released is presented gross of shares netted for employee payroll tax obligations.</w:t>
      </w:r>
    </w:p>
    <w:p>
      <w:pPr>
        <w:spacing w:after="0" w:line="2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June 30, 2019, total unrecognized compensation expense on restricted stock units was $29.8 million, which is expected to be recognized over a weighted average period of approximately 1.9 years.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weighted-average assumptions used to estimate the fair value of performance-based restricted stock units granted and the resulting weighted average fair value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300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80" w:type="dxa"/>
            <w:vAlign w:val="bottom"/>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33"/>
        </w:trPr>
        <w:tc>
          <w:tcPr>
            <w:tcW w:w="41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41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1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volatility</w:t>
            </w:r>
          </w:p>
        </w:tc>
        <w:tc>
          <w:tcPr>
            <w:tcW w:w="1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237"/>
        </w:trPr>
        <w:tc>
          <w:tcPr>
            <w:tcW w:w="4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Risk-free interest rate</w:t>
            </w:r>
          </w:p>
        </w:tc>
        <w:tc>
          <w:tcPr>
            <w:tcW w:w="1160" w:type="dxa"/>
            <w:vAlign w:val="bottom"/>
          </w:tcPr>
          <w:p>
            <w:pPr>
              <w:spacing w:after="0"/>
              <w:rPr>
                <w:sz w:val="20"/>
                <w:szCs w:val="20"/>
                <w:color w:val="auto"/>
              </w:rPr>
            </w:pPr>
          </w:p>
        </w:tc>
        <w:tc>
          <w:tcPr>
            <w:tcW w:w="6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20"/>
                <w:szCs w:val="20"/>
                <w:color w:val="auto"/>
              </w:rPr>
            </w:pP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33"/>
        </w:trPr>
        <w:tc>
          <w:tcPr>
            <w:tcW w:w="4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term (years)</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N/A</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r>
      <w:tr>
        <w:trPr>
          <w:trHeight w:val="297"/>
        </w:trPr>
        <w:tc>
          <w:tcPr>
            <w:tcW w:w="4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7"/>
        </w:trPr>
        <w:tc>
          <w:tcPr>
            <w:tcW w:w="4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fair value</w:t>
            </w:r>
          </w:p>
        </w:tc>
        <w:tc>
          <w:tcPr>
            <w:tcW w:w="116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60.91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78.56</w:t>
            </w:r>
          </w:p>
        </w:tc>
      </w:tr>
      <w:tr>
        <w:trPr>
          <w:trHeight w:val="33"/>
        </w:trPr>
        <w:tc>
          <w:tcPr>
            <w:tcW w:w="4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performance-based restricted stock units granted for the three months ended June 30, 2019 and 2018.</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Phantom Stock Units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phantom stock unit activity: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6740" w:type="dxa"/>
            <w:vAlign w:val="bottom"/>
          </w:tcPr>
          <w:p>
            <w:pPr>
              <w:spacing w:after="0"/>
              <w:rPr>
                <w:sz w:val="17"/>
                <w:szCs w:val="17"/>
                <w:color w:val="auto"/>
              </w:rPr>
            </w:pPr>
          </w:p>
        </w:tc>
        <w:tc>
          <w:tcPr>
            <w:tcW w:w="23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Number of Phantom Stock</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9"/>
              </w:rPr>
              <w:t>Average Grant</w:t>
            </w:r>
          </w:p>
        </w:tc>
      </w:tr>
      <w:tr>
        <w:trPr>
          <w:trHeight w:val="212"/>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30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r>
      <w:tr>
        <w:trPr>
          <w:trHeight w:val="33"/>
        </w:trPr>
        <w:tc>
          <w:tcPr>
            <w:tcW w:w="67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January 1, 2018</w:t>
            </w:r>
          </w:p>
        </w:tc>
        <w:tc>
          <w:tcPr>
            <w:tcW w:w="2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Converted upon acquisition</w:t>
            </w:r>
          </w:p>
        </w:tc>
        <w:tc>
          <w:tcPr>
            <w:tcW w:w="2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Granted</w:t>
            </w:r>
          </w:p>
        </w:tc>
        <w:tc>
          <w:tcPr>
            <w:tcW w:w="2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69.22</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Released</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Forfeited</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r>
      <w:tr>
        <w:trPr>
          <w:trHeight w:val="284"/>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Outstanding, June 30, 2018</w:t>
            </w:r>
          </w:p>
        </w:tc>
        <w:tc>
          <w:tcPr>
            <w:tcW w:w="23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r>
      <w:tr>
        <w:trPr>
          <w:trHeight w:val="284"/>
        </w:trPr>
        <w:tc>
          <w:tcPr>
            <w:tcW w:w="674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r>
      <w:tr>
        <w:trPr>
          <w:trHeight w:val="224"/>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Expected to vest, June 30, 2018</w:t>
            </w:r>
          </w:p>
        </w:tc>
        <w:tc>
          <w:tcPr>
            <w:tcW w:w="2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1920" w:type="dxa"/>
            <w:vAlign w:val="bottom"/>
            <w:tcBorders>
              <w:bottom w:val="single" w:sz="8" w:color="CCEEFF"/>
            </w:tcBorders>
          </w:tcPr>
          <w:p>
            <w:pPr>
              <w:spacing w:after="0"/>
              <w:rPr>
                <w:sz w:val="6"/>
                <w:szCs w:val="6"/>
                <w:color w:val="auto"/>
              </w:rPr>
            </w:pPr>
          </w:p>
        </w:tc>
      </w:tr>
      <w:tr>
        <w:trPr>
          <w:trHeight w:val="278"/>
        </w:trPr>
        <w:tc>
          <w:tcPr>
            <w:tcW w:w="674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Outstanding, January 1, 2019</w:t>
            </w:r>
          </w:p>
        </w:tc>
        <w:tc>
          <w:tcPr>
            <w:tcW w:w="2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61.80</w:t>
            </w:r>
          </w:p>
        </w:tc>
      </w:tr>
      <w:tr>
        <w:trPr>
          <w:trHeight w:val="33"/>
        </w:trPr>
        <w:tc>
          <w:tcPr>
            <w:tcW w:w="67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Granted</w:t>
            </w:r>
          </w:p>
        </w:tc>
        <w:tc>
          <w:tcPr>
            <w:tcW w:w="2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50.33</w:t>
            </w:r>
          </w:p>
        </w:tc>
      </w:tr>
      <w:tr>
        <w:trPr>
          <w:trHeight w:val="224"/>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Released</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56.37</w:t>
            </w:r>
          </w:p>
        </w:tc>
      </w:tr>
      <w:tr>
        <w:trPr>
          <w:trHeight w:val="47"/>
        </w:trPr>
        <w:tc>
          <w:tcPr>
            <w:tcW w:w="67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Forfeited</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65.18</w:t>
            </w:r>
          </w:p>
        </w:tc>
      </w:tr>
      <w:tr>
        <w:trPr>
          <w:trHeight w:val="21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Outstanding, June 30, 2019</w:t>
            </w:r>
          </w:p>
        </w:tc>
        <w:tc>
          <w:tcPr>
            <w:tcW w:w="23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62.40</w:t>
            </w:r>
          </w:p>
        </w:tc>
      </w:tr>
      <w:tr>
        <w:trPr>
          <w:trHeight w:val="73"/>
        </w:trPr>
        <w:tc>
          <w:tcPr>
            <w:tcW w:w="6740" w:type="dxa"/>
            <w:vAlign w:val="bottom"/>
            <w:tcBorders>
              <w:bottom w:val="single" w:sz="8" w:color="CCEEFF"/>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1920" w:type="dxa"/>
            <w:vAlign w:val="bottom"/>
            <w:tcBorders>
              <w:bottom w:val="single" w:sz="8" w:color="CCEEFF"/>
            </w:tcBorders>
          </w:tcPr>
          <w:p>
            <w:pPr>
              <w:spacing w:after="0"/>
              <w:rPr>
                <w:sz w:val="6"/>
                <w:szCs w:val="6"/>
                <w:color w:val="auto"/>
              </w:rPr>
            </w:pPr>
          </w:p>
        </w:tc>
      </w:tr>
      <w:tr>
        <w:trPr>
          <w:trHeight w:val="278"/>
        </w:trPr>
        <w:tc>
          <w:tcPr>
            <w:tcW w:w="674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r>
      <w:tr>
        <w:trPr>
          <w:trHeight w:val="250"/>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Expected to vest, June 30, 2019</w:t>
            </w:r>
          </w:p>
        </w:tc>
        <w:tc>
          <w:tcPr>
            <w:tcW w:w="2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June 30, 2019, total unrecognized compensation expense on phantom stock units was $2.8 million, which is expected to be recognized over a weighted average period of approximately 1.9 years. As of both June 30, 2019 and December 31, 2018, we have recognized a phantom stock liability of $0.7 million and $1.5 million, respectively, within wages and benefits payable in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are excluded.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tax rate for the three and six months ended June 30, 2019 of 30% and 42%, respectively, differed from the federal statutory rate of 21% primarily due to losses in jurisdictions for which no benefit is recognized because of valuation allowances on deferred tax assets as well as the forecasted mix of earnings in domestic and international jurisdictions.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tax rate for the three and six months ended June 30, 2018 of 50% and 5%, respectively, differed from the federal statutory rate of 21% primarily due to losses in jurisdictions for which no benefit is recognized because of valuation allowances on deferred tax assets as well as the forecasted mix of earnings in domestic and international jurisdictions, a benefit related to excess stock-based compensation, and uncertain tax positions.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classify interest expense and penalties related to unrecognized tax liabilities and interest income on tax overpayments as components of income tax expense. The net interest and penalties expense recognized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304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2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520" w:type="dxa"/>
            <w:vAlign w:val="bottom"/>
          </w:tcPr>
          <w:p>
            <w:pPr>
              <w:spacing w:after="0"/>
              <w:rPr>
                <w:sz w:val="20"/>
                <w:szCs w:val="20"/>
                <w:color w:val="auto"/>
              </w:rPr>
            </w:pPr>
          </w:p>
        </w:tc>
      </w:tr>
      <w:tr>
        <w:trPr>
          <w:trHeight w:val="33"/>
        </w:trPr>
        <w:tc>
          <w:tcPr>
            <w:tcW w:w="4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17"/>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interest and penalties expense</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739</w:t>
            </w:r>
          </w:p>
        </w:tc>
      </w:tr>
      <w:tr>
        <w:trPr>
          <w:trHeight w:val="33"/>
        </w:trPr>
        <w:tc>
          <w:tcPr>
            <w:tcW w:w="4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and penalties recognized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160" w:type="dxa"/>
            <w:vAlign w:val="bottom"/>
          </w:tcPr>
          <w:p>
            <w:pPr>
              <w:spacing w:after="0"/>
              <w:rPr>
                <w:sz w:val="18"/>
                <w:szCs w:val="18"/>
                <w:color w:val="auto"/>
              </w:rPr>
            </w:pPr>
          </w:p>
        </w:tc>
        <w:tc>
          <w:tcPr>
            <w:tcW w:w="20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June 30, 2019</w:t>
            </w:r>
          </w:p>
        </w:tc>
        <w:tc>
          <w:tcPr>
            <w:tcW w:w="2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39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3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Accrued interest</w:t>
            </w:r>
          </w:p>
        </w:tc>
        <w:tc>
          <w:tcPr>
            <w:tcW w:w="31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2,383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2,127</w:t>
            </w:r>
          </w:p>
        </w:tc>
      </w:tr>
      <w:tr>
        <w:trPr>
          <w:trHeight w:val="237"/>
        </w:trPr>
        <w:tc>
          <w:tcPr>
            <w:tcW w:w="3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Accrued penalties</w:t>
            </w:r>
          </w:p>
        </w:tc>
        <w:tc>
          <w:tcPr>
            <w:tcW w:w="316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1,758</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Unrecognized tax benefits related to uncertain tax positions and the amount of unrecognized tax benefits that, if recognized, would affect our effective tax rate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60" w:type="dxa"/>
            <w:vAlign w:val="bottom"/>
          </w:tcPr>
          <w:p>
            <w:pPr>
              <w:spacing w:after="0"/>
              <w:rPr>
                <w:sz w:val="18"/>
                <w:szCs w:val="18"/>
                <w:color w:val="auto"/>
              </w:rPr>
            </w:pPr>
          </w:p>
        </w:tc>
        <w:tc>
          <w:tcPr>
            <w:tcW w:w="20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June 30, 2019</w:t>
            </w:r>
          </w:p>
        </w:tc>
        <w:tc>
          <w:tcPr>
            <w:tcW w:w="2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6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Unrecognized tax benefits related to uncertain tax positions</w:t>
            </w:r>
          </w:p>
        </w:tc>
        <w:tc>
          <w:tcPr>
            <w:tcW w:w="66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115,282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112,558</w:t>
            </w:r>
          </w:p>
        </w:tc>
      </w:tr>
      <w:tr>
        <w:trPr>
          <w:trHeight w:val="237"/>
        </w:trPr>
        <w:tc>
          <w:tcPr>
            <w:tcW w:w="6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 amount of unrecognized tax benefits that, if recognized, would affect our effective tax rate</w:t>
            </w:r>
          </w:p>
        </w:tc>
        <w:tc>
          <w:tcPr>
            <w:tcW w:w="66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113,952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111,224</w:t>
            </w:r>
          </w:p>
        </w:tc>
      </w:tr>
    </w:tbl>
    <w:p>
      <w:pPr>
        <w:spacing w:after="0" w:line="200" w:lineRule="exact"/>
        <w:rPr>
          <w:sz w:val="20"/>
          <w:szCs w:val="20"/>
          <w:color w:val="auto"/>
        </w:rPr>
      </w:pP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2019, we are under examination by certain tax authorities for the 2010 to 2017 tax years. The material jurisdictions where we are subject to examination for the 2010 to 2017 tax years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38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11:</w:t>
        <w:tab/>
        <w:t>Commitments and Contingencies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Guarantees and Indemnifications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available lines of credit, outstanding standby LOCs, and performance bonds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Pr>
          <w:p>
            <w:pPr>
              <w:spacing w:after="0"/>
              <w:rPr>
                <w:sz w:val="18"/>
                <w:szCs w:val="18"/>
                <w:color w:val="auto"/>
              </w:rPr>
            </w:pPr>
          </w:p>
        </w:tc>
        <w:tc>
          <w:tcPr>
            <w:tcW w:w="20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June 30, 2019</w:t>
            </w:r>
          </w:p>
        </w:tc>
        <w:tc>
          <w:tcPr>
            <w:tcW w:w="2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6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Credit facilities</w:t>
            </w:r>
          </w:p>
        </w:tc>
        <w:tc>
          <w:tcPr>
            <w:tcW w:w="4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500,000</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Long-term borrowings</w:t>
            </w:r>
          </w:p>
        </w:tc>
        <w:tc>
          <w:tcPr>
            <w:tcW w:w="400" w:type="dxa"/>
            <w:vAlign w:val="bottom"/>
          </w:tcPr>
          <w:p>
            <w:pPr>
              <w:spacing w:after="0"/>
              <w:rPr>
                <w:sz w:val="20"/>
                <w:szCs w:val="20"/>
                <w:color w:val="auto"/>
              </w:rPr>
            </w:pP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4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(42,285)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(40,983)</w:t>
            </w:r>
          </w:p>
        </w:tc>
      </w:tr>
      <w:tr>
        <w:trPr>
          <w:trHeight w:val="217"/>
        </w:trPr>
        <w:tc>
          <w:tcPr>
            <w:tcW w:w="67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available for additional borrowings under the multi-currency revolving line of credit</w:t>
            </w:r>
          </w:p>
        </w:tc>
        <w:tc>
          <w:tcPr>
            <w:tcW w:w="4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457,715</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459,017</w:t>
            </w:r>
          </w:p>
        </w:tc>
      </w:tr>
      <w:tr>
        <w:trPr>
          <w:trHeight w:val="73"/>
        </w:trPr>
        <w:tc>
          <w:tcPr>
            <w:tcW w:w="67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r>
      <w:tr>
        <w:trPr>
          <w:trHeight w:val="278"/>
        </w:trPr>
        <w:tc>
          <w:tcPr>
            <w:tcW w:w="67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24"/>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available for additional standby LOCs under sub-facility</w:t>
            </w: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257,715</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259,017</w:t>
            </w:r>
          </w:p>
        </w:tc>
      </w:tr>
      <w:tr>
        <w:trPr>
          <w:trHeight w:val="73"/>
        </w:trPr>
        <w:tc>
          <w:tcPr>
            <w:tcW w:w="67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r>
      <w:tr>
        <w:trPr>
          <w:trHeight w:val="278"/>
        </w:trPr>
        <w:tc>
          <w:tcPr>
            <w:tcW w:w="67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24"/>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Unsecured multicurrency revolving lines of credit with various financial institutions</w:t>
            </w: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98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Multicurrency revolving lines of credit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109,595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108,039</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Standby LOCs issued and outstanding</w:t>
            </w:r>
          </w:p>
        </w:tc>
        <w:tc>
          <w:tcPr>
            <w:tcW w:w="4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(19,386)</w:t>
            </w:r>
          </w:p>
        </w:tc>
      </w:tr>
      <w:tr>
        <w:trPr>
          <w:trHeight w:val="33"/>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Short-term borrowings</w:t>
            </w:r>
          </w:p>
        </w:tc>
        <w:tc>
          <w:tcPr>
            <w:tcW w:w="4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w:t>
            </w:r>
          </w:p>
        </w:tc>
      </w:tr>
      <w:tr>
        <w:trPr>
          <w:trHeight w:val="217"/>
        </w:trPr>
        <w:tc>
          <w:tcPr>
            <w:tcW w:w="67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available for additional borrowings and LOCs</w:t>
            </w:r>
          </w:p>
        </w:tc>
        <w:tc>
          <w:tcPr>
            <w:tcW w:w="4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85,010</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86,421</w:t>
            </w:r>
          </w:p>
        </w:tc>
      </w:tr>
      <w:tr>
        <w:trPr>
          <w:trHeight w:val="73"/>
        </w:trPr>
        <w:tc>
          <w:tcPr>
            <w:tcW w:w="67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r>
      <w:tr>
        <w:trPr>
          <w:trHeight w:val="278"/>
        </w:trPr>
        <w:tc>
          <w:tcPr>
            <w:tcW w:w="67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24"/>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Unsecured surety bonds in force</w:t>
            </w: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102,146</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94,365</w:t>
            </w:r>
          </w:p>
        </w:tc>
      </w:tr>
      <w:tr>
        <w:trPr>
          <w:trHeight w:val="33"/>
        </w:trPr>
        <w:tc>
          <w:tcPr>
            <w:tcW w:w="6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w:t>
      </w:r>
    </w:p>
    <w:p>
      <w:pPr>
        <w:sectPr>
          <w:pgSz w:w="11900" w:h="16838" w:orient="portrait"/>
          <w:cols w:equalWidth="0" w:num="1">
            <w:col w:w="11420"/>
          </w:cols>
          <w:pgMar w:left="240" w:top="12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do not limit the maximum potential payments. It is not possible to predict the maximum potential amount of future payments under these or similar agreements.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recognized and charged to operating expense when we determine that a loss is probable and the amount can be reasonably estimated. Additionally, we would disclose contingencies for which a material loss is reasonably possible, but not probable.</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warranty accrual account activity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20" w:type="dxa"/>
            <w:vAlign w:val="bottom"/>
          </w:tcPr>
          <w:p>
            <w:pPr>
              <w:spacing w:after="0"/>
              <w:rPr>
                <w:sz w:val="18"/>
                <w:szCs w:val="18"/>
                <w:color w:val="auto"/>
              </w:rPr>
            </w:pPr>
          </w:p>
        </w:tc>
        <w:tc>
          <w:tcPr>
            <w:tcW w:w="294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20" w:type="dxa"/>
            <w:vAlign w:val="bottom"/>
          </w:tcPr>
          <w:p>
            <w:pPr>
              <w:spacing w:after="0"/>
              <w:rPr>
                <w:sz w:val="18"/>
                <w:szCs w:val="18"/>
                <w:color w:val="auto"/>
              </w:rPr>
            </w:pPr>
          </w:p>
        </w:tc>
      </w:tr>
      <w:tr>
        <w:trPr>
          <w:trHeight w:val="33"/>
        </w:trPr>
        <w:tc>
          <w:tcPr>
            <w:tcW w:w="4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20" w:type="dxa"/>
            <w:vAlign w:val="bottom"/>
          </w:tcPr>
          <w:p>
            <w:pPr>
              <w:spacing w:after="0"/>
              <w:rPr>
                <w:sz w:val="20"/>
                <w:szCs w:val="20"/>
                <w:color w:val="auto"/>
              </w:rPr>
            </w:pPr>
          </w:p>
        </w:tc>
      </w:tr>
      <w:tr>
        <w:trPr>
          <w:trHeight w:val="33"/>
        </w:trPr>
        <w:tc>
          <w:tcPr>
            <w:tcW w:w="4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57,532</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41,979</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60,443</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34,862</w:t>
            </w:r>
          </w:p>
        </w:tc>
      </w:tr>
      <w:tr>
        <w:trPr>
          <w:trHeight w:val="237"/>
        </w:trPr>
        <w:tc>
          <w:tcPr>
            <w:tcW w:w="4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Assumed liabilities from acquisition</w:t>
            </w:r>
          </w:p>
        </w:tc>
        <w:tc>
          <w:tcPr>
            <w:tcW w:w="110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5,742</w:t>
            </w:r>
          </w:p>
        </w:tc>
      </w:tr>
      <w:tr>
        <w:trPr>
          <w:trHeight w:val="33"/>
        </w:trPr>
        <w:tc>
          <w:tcPr>
            <w:tcW w:w="4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New product warranties</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2,257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2,282</w:t>
            </w:r>
          </w:p>
        </w:tc>
      </w:tr>
      <w:tr>
        <w:trPr>
          <w:trHeight w:val="237"/>
        </w:trPr>
        <w:tc>
          <w:tcPr>
            <w:tcW w:w="4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adjustments and expirations</w:t>
            </w:r>
          </w:p>
        </w:tc>
        <w:tc>
          <w:tcPr>
            <w:tcW w:w="110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6,070</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4,437</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7,931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8,481</w:t>
            </w:r>
          </w:p>
        </w:tc>
      </w:tr>
      <w:tr>
        <w:trPr>
          <w:trHeight w:val="33"/>
        </w:trPr>
        <w:tc>
          <w:tcPr>
            <w:tcW w:w="4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Claims activity</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(6,816)</w:t>
            </w:r>
          </w:p>
        </w:tc>
      </w:tr>
      <w:tr>
        <w:trPr>
          <w:trHeight w:val="237"/>
        </w:trPr>
        <w:tc>
          <w:tcPr>
            <w:tcW w:w="42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110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r>
      <w:tr>
        <w:trPr>
          <w:trHeight w:val="33"/>
        </w:trPr>
        <w:tc>
          <w:tcPr>
            <w:tcW w:w="4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Ending balance</w:t>
            </w:r>
          </w:p>
        </w:tc>
        <w:tc>
          <w:tcPr>
            <w:tcW w:w="1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57,112</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43,719</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57,112</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43,719</w:t>
            </w:r>
          </w:p>
        </w:tc>
      </w:tr>
      <w:tr>
        <w:trPr>
          <w:trHeight w:val="237"/>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current portion of warranty</w:t>
            </w:r>
          </w:p>
        </w:tc>
        <w:tc>
          <w:tcPr>
            <w:tcW w:w="110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38,987</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29,443</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38,987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29,443</w:t>
            </w:r>
          </w:p>
        </w:tc>
      </w:tr>
      <w:tr>
        <w:trPr>
          <w:trHeight w:val="33"/>
        </w:trPr>
        <w:tc>
          <w:tcPr>
            <w:tcW w:w="4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Long-term warranty</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18,125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14,276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18,125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14,276</w:t>
            </w:r>
          </w:p>
        </w:tc>
      </w:tr>
      <w:tr>
        <w:trPr>
          <w:trHeight w:val="20"/>
        </w:trPr>
        <w:tc>
          <w:tcPr>
            <w:tcW w:w="4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warranty expense is classified within cost of revenues and consists of new product warranties issued, costs related to insurance and supplier recoveries, other changes and adjustments to warranties, and customer claims. Warranty expense was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98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00" w:type="dxa"/>
            <w:vAlign w:val="bottom"/>
          </w:tcPr>
          <w:p>
            <w:pPr>
              <w:spacing w:after="0"/>
              <w:rPr>
                <w:sz w:val="18"/>
                <w:szCs w:val="18"/>
                <w:color w:val="auto"/>
              </w:rPr>
            </w:pPr>
          </w:p>
        </w:tc>
      </w:tr>
      <w:tr>
        <w:trPr>
          <w:trHeight w:val="33"/>
        </w:trPr>
        <w:tc>
          <w:tcPr>
            <w:tcW w:w="43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1"/>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00" w:type="dxa"/>
            <w:vAlign w:val="bottom"/>
          </w:tcPr>
          <w:p>
            <w:pPr>
              <w:spacing w:after="0"/>
              <w:rPr>
                <w:sz w:val="20"/>
                <w:szCs w:val="20"/>
                <w:color w:val="auto"/>
              </w:rPr>
            </w:pPr>
          </w:p>
        </w:tc>
      </w:tr>
      <w:tr>
        <w:trPr>
          <w:trHeight w:val="33"/>
        </w:trPr>
        <w:tc>
          <w:tcPr>
            <w:tcW w:w="4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7"/>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warranty expense</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6,187</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5,901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7,966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10,763</w:t>
            </w:r>
          </w:p>
        </w:tc>
      </w:tr>
      <w:tr>
        <w:trPr>
          <w:trHeight w:val="33"/>
        </w:trPr>
        <w:tc>
          <w:tcPr>
            <w:tcW w:w="4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Health Benefits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self-insured for a substantial portion of the cost of our U.S.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costs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298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2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20" w:type="dxa"/>
            <w:vAlign w:val="bottom"/>
          </w:tcPr>
          <w:p>
            <w:pPr>
              <w:spacing w:after="0"/>
              <w:rPr>
                <w:sz w:val="20"/>
                <w:szCs w:val="20"/>
                <w:color w:val="auto"/>
              </w:rPr>
            </w:pPr>
          </w:p>
        </w:tc>
      </w:tr>
      <w:tr>
        <w:trPr>
          <w:trHeight w:val="33"/>
        </w:trPr>
        <w:tc>
          <w:tcPr>
            <w:tcW w:w="4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Plan costs</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7,923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7,673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14,801</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16,354</w:t>
            </w:r>
          </w:p>
        </w:tc>
      </w:tr>
      <w:tr>
        <w:trPr>
          <w:trHeight w:val="33"/>
        </w:trPr>
        <w:tc>
          <w:tcPr>
            <w:tcW w:w="4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IBNR accrual, which is included in wages and benefits payable,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6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June 30, 2019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386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3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IBNR accrual</w:t>
            </w:r>
          </w:p>
        </w:tc>
        <w:tc>
          <w:tcPr>
            <w:tcW w:w="4600" w:type="dxa"/>
            <w:vAlign w:val="bottom"/>
            <w:shd w:val="clear" w:color="auto" w:fill="CCEEFF"/>
          </w:tcPr>
          <w:p>
            <w:pPr>
              <w:jc w:val="right"/>
              <w:ind w:right="15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3,643</w:t>
            </w:r>
          </w:p>
        </w:tc>
      </w:tr>
      <w:tr>
        <w:trPr>
          <w:trHeight w:val="33"/>
        </w:trPr>
        <w:tc>
          <w:tcPr>
            <w:tcW w:w="386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12:</w:t>
        <w:tab/>
        <w:t>Restructuring</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2018 Projects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22, 2018, our Board of Directors approved a restructuring plan (the 2018 Projects) to continue our efforts to optimize our global supply chain and manufacturing operations, research and development, and sales and marketing organizations. We expect to substantially complete the plan by the end of 2020. Many of the affected employees are represented by unions or works councils, which require consultation, and potential restructuring projects may be subject to regulatory approval, both of which could impact the timing of charges, total expected charges, cost recognized, and planned savings in certain jurisdictions.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and the remaining expected restructuring costs related to the 2018 Projects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Recognized During</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Expected Remaining Costs</w:t>
            </w:r>
          </w:p>
        </w:tc>
      </w:tr>
      <w:tr>
        <w:trPr>
          <w:trHeight w:val="203"/>
        </w:trPr>
        <w:tc>
          <w:tcPr>
            <w:tcW w:w="2880" w:type="dxa"/>
            <w:vAlign w:val="bottom"/>
          </w:tcPr>
          <w:p>
            <w:pPr>
              <w:spacing w:after="0"/>
              <w:rPr>
                <w:sz w:val="17"/>
                <w:szCs w:val="17"/>
                <w:color w:val="auto"/>
              </w:rPr>
            </w:pPr>
          </w:p>
        </w:tc>
        <w:tc>
          <w:tcPr>
            <w:tcW w:w="22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Total Expected Costs at June</w:t>
            </w:r>
          </w:p>
        </w:tc>
        <w:tc>
          <w:tcPr>
            <w:tcW w:w="120" w:type="dxa"/>
            <w:vAlign w:val="bottom"/>
          </w:tcPr>
          <w:p>
            <w:pPr>
              <w:spacing w:after="0"/>
              <w:rPr>
                <w:sz w:val="17"/>
                <w:szCs w:val="17"/>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120" w:type="dxa"/>
            <w:vAlign w:val="bottom"/>
          </w:tcPr>
          <w:p>
            <w:pPr>
              <w:spacing w:after="0"/>
              <w:rPr>
                <w:sz w:val="17"/>
                <w:szCs w:val="17"/>
                <w:color w:val="auto"/>
              </w:rPr>
            </w:pPr>
          </w:p>
        </w:tc>
        <w:tc>
          <w:tcPr>
            <w:tcW w:w="2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the Six Months Ended</w:t>
            </w:r>
          </w:p>
        </w:tc>
        <w:tc>
          <w:tcPr>
            <w:tcW w:w="220" w:type="dxa"/>
            <w:vAlign w:val="bottom"/>
          </w:tcPr>
          <w:p>
            <w:pPr>
              <w:spacing w:after="0"/>
              <w:rPr>
                <w:sz w:val="17"/>
                <w:szCs w:val="17"/>
                <w:color w:val="auto"/>
              </w:rPr>
            </w:pPr>
          </w:p>
        </w:tc>
        <w:tc>
          <w:tcPr>
            <w:tcW w:w="18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to be Recognized at</w:t>
            </w:r>
          </w:p>
        </w:tc>
      </w:tr>
      <w:tr>
        <w:trPr>
          <w:trHeight w:val="212"/>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20" w:type="dxa"/>
            <w:vAlign w:val="bottom"/>
          </w:tcPr>
          <w:p>
            <w:pPr>
              <w:spacing w:after="0"/>
              <w:rPr>
                <w:sz w:val="18"/>
                <w:szCs w:val="18"/>
                <w:color w:val="auto"/>
              </w:rPr>
            </w:pPr>
          </w:p>
        </w:tc>
        <w:tc>
          <w:tcPr>
            <w:tcW w:w="166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30, 2019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120" w:type="dxa"/>
            <w:vAlign w:val="bottom"/>
          </w:tcPr>
          <w:p>
            <w:pPr>
              <w:spacing w:after="0"/>
              <w:rPr>
                <w:sz w:val="18"/>
                <w:szCs w:val="18"/>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 2019</w:t>
            </w:r>
          </w:p>
        </w:tc>
        <w:tc>
          <w:tcPr>
            <w:tcW w:w="220" w:type="dxa"/>
            <w:vAlign w:val="bottom"/>
          </w:tcPr>
          <w:p>
            <w:pPr>
              <w:spacing w:after="0"/>
              <w:rPr>
                <w:sz w:val="18"/>
                <w:szCs w:val="18"/>
                <w:color w:val="auto"/>
              </w:rPr>
            </w:pPr>
          </w:p>
        </w:tc>
        <w:tc>
          <w:tcPr>
            <w:tcW w:w="18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June 30, 2019</w:t>
            </w:r>
          </w:p>
        </w:tc>
      </w:tr>
      <w:tr>
        <w:trPr>
          <w:trHeight w:val="33"/>
        </w:trPr>
        <w:tc>
          <w:tcPr>
            <w:tcW w:w="2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Employee severance costs</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72,735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73,778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 impairments &amp; net loss on sale or</w:t>
            </w: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0"/>
        </w:trPr>
        <w:tc>
          <w:tcPr>
            <w:tcW w:w="2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disposal</w:t>
            </w:r>
          </w:p>
        </w:tc>
        <w:tc>
          <w:tcPr>
            <w:tcW w:w="420" w:type="dxa"/>
            <w:vAlign w:val="bottom"/>
          </w:tcPr>
          <w:p>
            <w:pPr>
              <w:spacing w:after="0"/>
              <w:rPr>
                <w:sz w:val="18"/>
                <w:szCs w:val="18"/>
                <w:color w:val="auto"/>
              </w:rPr>
            </w:pPr>
          </w:p>
        </w:tc>
        <w:tc>
          <w:tcPr>
            <w:tcW w:w="1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4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24,904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15,290</w:t>
            </w:r>
          </w:p>
        </w:tc>
      </w:tr>
      <w:tr>
        <w:trPr>
          <w:trHeight w:val="244"/>
        </w:trPr>
        <w:tc>
          <w:tcPr>
            <w:tcW w:w="28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97,870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78,123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4,457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15,290</w:t>
            </w:r>
          </w:p>
        </w:tc>
      </w:tr>
      <w:tr>
        <w:trPr>
          <w:trHeight w:val="20"/>
        </w:trPr>
        <w:tc>
          <w:tcPr>
            <w:tcW w:w="2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2016 Projects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 2016, we announced projects (2016 Projects) to restructure various company activities in order to improve operational efficiencies, reduce expenses and improve competitiveness. We closed or consolidated several facilities and reduced our global workforce as a result of the restructuring. The 2016 Projects were initiated during the third quarter of 2016 and were substantially completed at December 31, 2018.</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2019, we completed the sale of our property in Stretford, United Kingdom. A gain on sale of $5.4 million was included in restructuring expense in the Consolidated Statement of Operations.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expected restructuring costs, the restructuring costs recognized, and the remaining expected restructuring costs related to the 2016 Projects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Recognized During</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Expected Remaining Costs</w:t>
            </w:r>
          </w:p>
        </w:tc>
      </w:tr>
      <w:tr>
        <w:trPr>
          <w:trHeight w:val="203"/>
        </w:trPr>
        <w:tc>
          <w:tcPr>
            <w:tcW w:w="2880" w:type="dxa"/>
            <w:vAlign w:val="bottom"/>
          </w:tcPr>
          <w:p>
            <w:pPr>
              <w:spacing w:after="0"/>
              <w:rPr>
                <w:sz w:val="17"/>
                <w:szCs w:val="17"/>
                <w:color w:val="auto"/>
              </w:rPr>
            </w:pPr>
          </w:p>
        </w:tc>
        <w:tc>
          <w:tcPr>
            <w:tcW w:w="22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Total Expected Costs at June</w:t>
            </w:r>
          </w:p>
        </w:tc>
        <w:tc>
          <w:tcPr>
            <w:tcW w:w="120" w:type="dxa"/>
            <w:vAlign w:val="bottom"/>
          </w:tcPr>
          <w:p>
            <w:pPr>
              <w:spacing w:after="0"/>
              <w:rPr>
                <w:sz w:val="17"/>
                <w:szCs w:val="17"/>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Recognized in Prior</w:t>
            </w:r>
          </w:p>
        </w:tc>
        <w:tc>
          <w:tcPr>
            <w:tcW w:w="120" w:type="dxa"/>
            <w:vAlign w:val="bottom"/>
          </w:tcPr>
          <w:p>
            <w:pPr>
              <w:spacing w:after="0"/>
              <w:rPr>
                <w:sz w:val="17"/>
                <w:szCs w:val="17"/>
                <w:color w:val="auto"/>
              </w:rPr>
            </w:pPr>
          </w:p>
        </w:tc>
        <w:tc>
          <w:tcPr>
            <w:tcW w:w="2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the Six Months Ended</w:t>
            </w:r>
          </w:p>
        </w:tc>
        <w:tc>
          <w:tcPr>
            <w:tcW w:w="220" w:type="dxa"/>
            <w:vAlign w:val="bottom"/>
          </w:tcPr>
          <w:p>
            <w:pPr>
              <w:spacing w:after="0"/>
              <w:rPr>
                <w:sz w:val="17"/>
                <w:szCs w:val="17"/>
                <w:color w:val="auto"/>
              </w:rPr>
            </w:pPr>
          </w:p>
        </w:tc>
        <w:tc>
          <w:tcPr>
            <w:tcW w:w="18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to be Recognized at</w:t>
            </w:r>
          </w:p>
        </w:tc>
      </w:tr>
      <w:tr>
        <w:trPr>
          <w:trHeight w:val="212"/>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20" w:type="dxa"/>
            <w:vAlign w:val="bottom"/>
          </w:tcPr>
          <w:p>
            <w:pPr>
              <w:spacing w:after="0"/>
              <w:rPr>
                <w:sz w:val="18"/>
                <w:szCs w:val="18"/>
                <w:color w:val="auto"/>
              </w:rPr>
            </w:pPr>
          </w:p>
        </w:tc>
        <w:tc>
          <w:tcPr>
            <w:tcW w:w="166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30, 2019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120" w:type="dxa"/>
            <w:vAlign w:val="bottom"/>
          </w:tcPr>
          <w:p>
            <w:pPr>
              <w:spacing w:after="0"/>
              <w:rPr>
                <w:sz w:val="18"/>
                <w:szCs w:val="18"/>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 2019</w:t>
            </w:r>
          </w:p>
        </w:tc>
        <w:tc>
          <w:tcPr>
            <w:tcW w:w="220" w:type="dxa"/>
            <w:vAlign w:val="bottom"/>
          </w:tcPr>
          <w:p>
            <w:pPr>
              <w:spacing w:after="0"/>
              <w:rPr>
                <w:sz w:val="18"/>
                <w:szCs w:val="18"/>
                <w:color w:val="auto"/>
              </w:rPr>
            </w:pPr>
          </w:p>
        </w:tc>
        <w:tc>
          <w:tcPr>
            <w:tcW w:w="18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June 30, 2019</w:t>
            </w:r>
          </w:p>
        </w:tc>
      </w:tr>
      <w:tr>
        <w:trPr>
          <w:trHeight w:val="33"/>
        </w:trPr>
        <w:tc>
          <w:tcPr>
            <w:tcW w:w="2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Employee severance costs</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36,283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35,845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 impairments &amp; net loss (gain) on</w:t>
            </w: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0"/>
        </w:trPr>
        <w:tc>
          <w:tcPr>
            <w:tcW w:w="2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 or disposal</w:t>
            </w:r>
          </w:p>
        </w:tc>
        <w:tc>
          <w:tcPr>
            <w:tcW w:w="420" w:type="dxa"/>
            <w:vAlign w:val="bottom"/>
          </w:tcPr>
          <w:p>
            <w:pPr>
              <w:spacing w:after="0"/>
              <w:rPr>
                <w:sz w:val="18"/>
                <w:szCs w:val="18"/>
                <w:color w:val="auto"/>
              </w:rPr>
            </w:pPr>
          </w:p>
        </w:tc>
        <w:tc>
          <w:tcPr>
            <w:tcW w:w="1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2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restructuring costs</w:t>
            </w:r>
          </w:p>
        </w:tc>
        <w:tc>
          <w:tcPr>
            <w:tcW w:w="4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14,070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700</w:t>
            </w:r>
          </w:p>
        </w:tc>
      </w:tr>
      <w:tr>
        <w:trPr>
          <w:trHeight w:val="244"/>
        </w:trPr>
        <w:tc>
          <w:tcPr>
            <w:tcW w:w="28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50,608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53,272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700</w:t>
            </w:r>
          </w:p>
        </w:tc>
      </w:tr>
      <w:tr>
        <w:trPr>
          <w:trHeight w:val="20"/>
        </w:trPr>
        <w:tc>
          <w:tcPr>
            <w:tcW w:w="2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within the restructuring related balance sheet accounts for the 2018 and 2016 Projects during the six months ended June 30, 2019:</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Accrued Employee</w:t>
            </w:r>
          </w:p>
        </w:tc>
        <w:tc>
          <w:tcPr>
            <w:tcW w:w="120" w:type="dxa"/>
            <w:vAlign w:val="bottom"/>
          </w:tcPr>
          <w:p>
            <w:pPr>
              <w:spacing w:after="0"/>
              <w:rPr>
                <w:sz w:val="17"/>
                <w:szCs w:val="17"/>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Asset Impairments &amp; Net</w:t>
            </w: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2"/>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12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 on Sale or Disposal</w:t>
            </w: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Other Accrued Costs</w:t>
            </w:r>
          </w:p>
        </w:tc>
        <w:tc>
          <w:tcPr>
            <w:tcW w:w="480" w:type="dxa"/>
            <w:vAlign w:val="bottom"/>
          </w:tcPr>
          <w:p>
            <w:pPr>
              <w:spacing w:after="0"/>
              <w:rPr>
                <w:sz w:val="18"/>
                <w:szCs w:val="18"/>
                <w:color w:val="auto"/>
              </w:rPr>
            </w:pPr>
          </w:p>
        </w:tc>
        <w:tc>
          <w:tcPr>
            <w:tcW w:w="1560" w:type="dxa"/>
            <w:vAlign w:val="bottom"/>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 January 1, 2019</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72,152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3,416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75,568</w:t>
            </w:r>
          </w:p>
        </w:tc>
      </w:tr>
      <w:tr>
        <w:trPr>
          <w:trHeight w:val="237"/>
        </w:trPr>
        <w:tc>
          <w:tcPr>
            <w:tcW w:w="3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Costs charged to expense</w:t>
            </w: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6,993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1,093</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(payments) receipts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(10,829)</w:t>
            </w:r>
          </w:p>
        </w:tc>
      </w:tr>
      <w:tr>
        <w:trPr>
          <w:trHeight w:val="237"/>
        </w:trPr>
        <w:tc>
          <w:tcPr>
            <w:tcW w:w="3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assets disposed and impaired</w:t>
            </w:r>
          </w:p>
        </w:tc>
        <w:tc>
          <w:tcPr>
            <w:tcW w:w="220" w:type="dxa"/>
            <w:vAlign w:val="bottom"/>
          </w:tcPr>
          <w:p>
            <w:pPr>
              <w:spacing w:after="0"/>
              <w:rPr>
                <w:sz w:val="20"/>
                <w:szCs w:val="20"/>
                <w:color w:val="auto"/>
              </w:rPr>
            </w:pP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2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Effect of change in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44"/>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Ending balance, June 30, 2019</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63,250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7,770</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65,713</w:t>
            </w: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restructuring costs include expenses for employee relocation, professional fees associated with employee severance, and costs to exit the facilities once the operations in those facilities have ceased.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portion of restructuring liabilities was $24.4 million and $36.0 million as of June 30, 2019 and December 31, 2018. The current portion of restructuring liabilities is classified within other current liabilities on the Consolidated Balance Sheets. The long-term portion of restructuring liabilities balances was $41.3 million and $39.6 million as of June 30, 2019 and December 31, 2018. The long-term portion of restructuring liabilities is classified within other long-term obligations on the Consolidated Balance Sheets and include severance accruals and facility exit costs.</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the Board of Directors prior to any payment to holders of common stock. There was no preferred stock issued or outstanding at June 30, 2019 and December 31, 2018.</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 Repurchase Authorization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14, 2019, Itron's Board of Directors authorized the Company to repurchase up to $50 million of our common stock over a 12-month period (the 2019 Stock Repurchase Program). Following the announcement of the program and through June 30, 2019, we repurchased 529,396 shares at an average share price of $47.22 (including commissions) for a total of $25 million. The remaining amount authorized for repurchase under the 2019 Stock Repurchase Program is $25 million. In accordance with the terms of our 5% senior notes indenture maturing January 15, 2026, we are limited to a total of $25 million in stock repurchases in 2019. As we have already met that threshold, we will not repurchase any more shares for the remainder of 2019.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Comprehensive Income (Loss)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before-tax amount, income tax (provision) benefit, and net-of-tax amount related to each component of OCI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90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33"/>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Pr>
          <w:p>
            <w:pPr>
              <w:spacing w:after="0"/>
              <w:rPr>
                <w:sz w:val="20"/>
                <w:szCs w:val="20"/>
                <w:color w:val="auto"/>
              </w:rPr>
            </w:pPr>
          </w:p>
        </w:tc>
        <w:tc>
          <w:tcPr>
            <w:tcW w:w="12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Before-tax amount</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(17,978)</w:t>
            </w:r>
          </w:p>
        </w:tc>
      </w:tr>
      <w:tr>
        <w:trPr>
          <w:trHeight w:val="216"/>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unrealized gain (loss) on derivative instruments designated as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4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flow hedges</w:t>
            </w:r>
          </w:p>
        </w:tc>
        <w:tc>
          <w:tcPr>
            <w:tcW w:w="3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4,504</w:t>
            </w:r>
          </w:p>
        </w:tc>
      </w:tr>
      <w:tr>
        <w:trPr>
          <w:trHeight w:val="33"/>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hedging (gain) loss reclassified into 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w:t>
            </w:r>
          </w:p>
        </w:tc>
      </w:tr>
      <w:tr>
        <w:trPr>
          <w:trHeight w:val="237"/>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defined benefit plan loss reclassified to net income</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829</w:t>
            </w:r>
          </w:p>
        </w:tc>
      </w:tr>
      <w:tr>
        <w:trPr>
          <w:trHeight w:val="284"/>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before tax</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3,582</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(33,148)</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1,756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(15,018)</w:t>
            </w:r>
          </w:p>
        </w:tc>
      </w:tr>
      <w:tr>
        <w:trPr>
          <w:trHeight w:val="284"/>
        </w:trPr>
        <w:tc>
          <w:tcPr>
            <w:tcW w:w="4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Tax (provision) benefit</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118</w:t>
            </w:r>
          </w:p>
        </w:tc>
      </w:tr>
      <w:tr>
        <w:trPr>
          <w:trHeight w:val="216"/>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unrealized gain (loss) on derivative instruments designated as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4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flow hedges</w:t>
            </w:r>
          </w:p>
        </w:tc>
        <w:tc>
          <w:tcPr>
            <w:tcW w:w="3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r>
      <w:tr>
        <w:trPr>
          <w:trHeight w:val="33"/>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hedging (gain) loss reclassified into 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37"/>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defined benefit plan loss reclassified to net income</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84"/>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tax benefit</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284"/>
        </w:trPr>
        <w:tc>
          <w:tcPr>
            <w:tcW w:w="4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Net-of-tax amount</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(17,860)</w:t>
            </w:r>
          </w:p>
        </w:tc>
      </w:tr>
      <w:tr>
        <w:trPr>
          <w:trHeight w:val="216"/>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unrealized gain (loss) on derivative instruments designated as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47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flow hedges</w:t>
            </w:r>
          </w:p>
        </w:tc>
        <w:tc>
          <w:tcPr>
            <w:tcW w:w="36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4,078</w:t>
            </w:r>
          </w:p>
        </w:tc>
      </w:tr>
      <w:tr>
        <w:trPr>
          <w:trHeight w:val="33"/>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hedging (gain) loss reclassified into 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w:t>
            </w:r>
          </w:p>
        </w:tc>
      </w:tr>
      <w:tr>
        <w:trPr>
          <w:trHeight w:val="237"/>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unrealized gain (loss) on defined benefit plans</w:t>
            </w:r>
          </w:p>
        </w:tc>
        <w:tc>
          <w:tcPr>
            <w:tcW w:w="3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defined benefit plan loss reclassified to net income</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815</w:t>
            </w:r>
          </w:p>
        </w:tc>
      </w:tr>
      <w:tr>
        <w:trPr>
          <w:trHeight w:val="244"/>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net of tax</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3,736</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(33,273)</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1,956</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(15,390)</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components of AOCI, net of tax,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Net Unrealized Gain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Net Unrealized Gain</w:t>
            </w:r>
          </w:p>
        </w:tc>
        <w:tc>
          <w:tcPr>
            <w:tcW w:w="20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(Loss) on</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Pension Benefit</w:t>
            </w: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(Loss) on Derivative</w:t>
            </w:r>
          </w:p>
        </w:tc>
        <w:tc>
          <w:tcPr>
            <w:tcW w:w="20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Nonderivative</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Obligation</w:t>
            </w:r>
          </w:p>
        </w:tc>
        <w:tc>
          <w:tcPr>
            <w:tcW w:w="160" w:type="dxa"/>
            <w:vAlign w:val="bottom"/>
          </w:tcPr>
          <w:p>
            <w:pPr>
              <w:spacing w:after="0"/>
              <w:rPr>
                <w:sz w:val="17"/>
                <w:szCs w:val="17"/>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Comprehensive</w:t>
            </w:r>
          </w:p>
        </w:tc>
      </w:tr>
      <w:tr>
        <w:trPr>
          <w:trHeight w:val="212"/>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Income (Loss)</w:t>
            </w:r>
          </w:p>
        </w:tc>
      </w:tr>
      <w:tr>
        <w:trPr>
          <w:trHeight w:val="33"/>
        </w:trPr>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at January 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(170,478)</w:t>
            </w:r>
          </w:p>
        </w:tc>
      </w:tr>
      <w:tr>
        <w:trPr>
          <w:trHeight w:val="217"/>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(17,860)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4,078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(13,782)</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w:t>
            </w:r>
          </w:p>
        </w:tc>
      </w:tr>
      <w:tr>
        <w:trPr>
          <w:trHeight w:val="21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(17,860)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1,655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(15,390)</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at June 30,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(185,868)</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at January 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(157,489)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(196,305)</w:t>
            </w:r>
          </w:p>
        </w:tc>
      </w:tr>
      <w:tr>
        <w:trPr>
          <w:trHeight w:val="217"/>
        </w:trPr>
        <w:tc>
          <w:tcPr>
            <w:tcW w:w="3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2,801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998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4,462</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w:t>
            </w:r>
          </w:p>
        </w:tc>
      </w:tr>
      <w:tr>
        <w:trPr>
          <w:trHeight w:val="21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2,801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1,956</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at June 30,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(194,349)</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Fair Values of Financial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values of our financial instruments: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June 30, 2019</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0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7"/>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560" w:type="dxa"/>
            <w:vAlign w:val="bottom"/>
          </w:tcPr>
          <w:p>
            <w:pPr>
              <w:spacing w:after="0"/>
              <w:rPr>
                <w:sz w:val="18"/>
                <w:szCs w:val="18"/>
                <w:color w:val="auto"/>
              </w:rPr>
            </w:pPr>
          </w:p>
        </w:tc>
        <w:tc>
          <w:tcPr>
            <w:tcW w:w="130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32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620" w:type="dxa"/>
            <w:vAlign w:val="bottom"/>
          </w:tcPr>
          <w:p>
            <w:pPr>
              <w:spacing w:after="0"/>
              <w:rPr>
                <w:sz w:val="18"/>
                <w:szCs w:val="18"/>
                <w:color w:val="auto"/>
              </w:rPr>
            </w:pPr>
          </w:p>
        </w:tc>
        <w:tc>
          <w:tcPr>
            <w:tcW w:w="106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2"/>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560" w:type="dxa"/>
            <w:vAlign w:val="bottom"/>
          </w:tcPr>
          <w:p>
            <w:pPr>
              <w:spacing w:after="0"/>
              <w:rPr>
                <w:sz w:val="18"/>
                <w:szCs w:val="18"/>
                <w:color w:val="auto"/>
              </w:rPr>
            </w:pPr>
          </w:p>
        </w:tc>
        <w:tc>
          <w:tcPr>
            <w:tcW w:w="130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32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620" w:type="dxa"/>
            <w:vAlign w:val="bottom"/>
          </w:tcPr>
          <w:p>
            <w:pPr>
              <w:spacing w:after="0"/>
              <w:rPr>
                <w:sz w:val="18"/>
                <w:szCs w:val="18"/>
                <w:color w:val="auto"/>
              </w:rPr>
            </w:pPr>
          </w:p>
        </w:tc>
        <w:tc>
          <w:tcPr>
            <w:tcW w:w="106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4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135,736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135,736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120,221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120,221</w:t>
            </w: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Restricted cash</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2,117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2,107</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2,107</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Foreign exchange options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Foreign exchange forwards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Interest rate swaps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2,612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2,612</w:t>
            </w: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 rate caps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786</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786</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Cross currency swaps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3,218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2,970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2,970</w:t>
            </w:r>
          </w:p>
        </w:tc>
      </w:tr>
      <w:tr>
        <w:trPr>
          <w:trHeight w:val="297"/>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4"/>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Credit facility</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USD denominated term loan</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615,625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609,865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637,813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630,971</w:t>
            </w:r>
          </w:p>
        </w:tc>
      </w:tr>
      <w:tr>
        <w:trPr>
          <w:trHeight w:val="237"/>
        </w:trPr>
        <w:tc>
          <w:tcPr>
            <w:tcW w:w="42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Multicurrency revolving line of credit</w:t>
            </w:r>
          </w:p>
        </w:tc>
        <w:tc>
          <w:tcPr>
            <w:tcW w:w="32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408,000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368,000</w:t>
            </w: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Foreign exchange forwards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337</w:t>
            </w: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in estimating fair values: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cash equivalents, and restricted cash: </w:t>
      </w:r>
      <w:r>
        <w:rPr>
          <w:rFonts w:ascii="Times New Roman" w:cs="Times New Roman" w:eastAsia="Times New Roman" w:hAnsi="Times New Roman"/>
          <w:sz w:val="18"/>
          <w:szCs w:val="18"/>
          <w:color w:val="auto"/>
        </w:rPr>
        <w:t>Due to the liquid nature of these instruments, the carrying amount approximates fair value (Level 1).</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Credit Facility - term loan and multicurrency revolving line of credit: </w:t>
      </w:r>
      <w:r>
        <w:rPr>
          <w:rFonts w:ascii="Times New Roman" w:cs="Times New Roman" w:eastAsia="Times New Roman" w:hAnsi="Times New Roman"/>
          <w:sz w:val="18"/>
          <w:szCs w:val="18"/>
          <w:color w:val="auto"/>
        </w:rPr>
        <w:t>The term loan and revolver are not traded publicly. The fair values,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based upon a hypothetical market participant, are calculated using a discounted cash flow model with Level 2 inputs, including estimates of incremental borrowing rates for debt with similar terms, maturities, and credit profiles. Refer to "Note 6: Debt" for a further discussion of our debt.</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Derivatives: </w:t>
      </w:r>
      <w:r>
        <w:rPr>
          <w:rFonts w:ascii="Times New Roman" w:cs="Times New Roman" w:eastAsia="Times New Roman" w:hAnsi="Times New Roman"/>
          <w:sz w:val="18"/>
          <w:szCs w:val="18"/>
          <w:color w:val="auto"/>
        </w:rPr>
        <w:t>See "Note 7: Derivative Financial Instruments" for a description of our methods and assumptions in determining the fair value of our derivatives,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were determined using Level 2 inputs.</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The Notes are not registered securities nor listed on any securities exchange but may be actively traded by qualified institutional buyers.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is estimated using Level 1 inputs, as it is based on quoted prices for these instruments in active markets.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at June 30, 2019 and December 31, 2018 do not reflect subsequent changes in the economy, interest rates, tax rates, and other variables that may affect the determination of fair value.</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Effective October 1, 2018, we reorganized our operational reporting segmentation from Electricity, Gas, Water, and Networks to Device Solutions, Networked Solutions, and Outcomes. Prior period segment results have been recast to conform to the new segment structure. As part of our reorganization, we actively integrated our recent acquisitions and are making investment decisions and implementing an organizational structure that aligns with these new segments. In conjunction with the rollout of our new operating segments, we unified our go-to-market strategy with a single, global, sales force that sells the full portfolio of Itron solutions, products and services. We continue to manage our research and development, service delivery, supply chain, and manufacturing operations on a worldwide basis to promote global, integrated oversight of our operations and to ensure consistency and interoperability between our operating segments.</w:t>
      </w:r>
    </w:p>
    <w:p>
      <w:pPr>
        <w:spacing w:after="0" w:line="1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this reorganization, we continue to operate under the Itron brand worldwide and will manage and report under the three operating segments: Device Solutions, Networked Solutions, and Outcomes.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three GAAP measures of segment performance: revenues, gross profit (gross margin), and operating income (operating margin). Intersegment revenues are minimal. Certain operating expenses are allocated to the operating segments based upon internally established allocation methodologies. Corporate operating expenses, interest income, interest expense, other income (expense), and income tax provision are neither allocated to the segments, nor are they included in the measure of segment profit or loss. In addition, we allocate only certain production assets and intangible assets to our operating segments. We do not manage the performance of the segments on a balance sheet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Products</w:t>
      </w:r>
    </w:p>
    <w:p>
      <w:pPr>
        <w:spacing w:after="0" w:line="281" w:lineRule="exact"/>
        <w:rPr>
          <w:sz w:val="20"/>
          <w:szCs w:val="20"/>
          <w:color w:val="auto"/>
        </w:rPr>
      </w:pPr>
    </w:p>
    <w:p>
      <w:pPr>
        <w:jc w:val="both"/>
        <w:ind w:left="1420" w:right="20" w:hanging="1377"/>
        <w:spacing w:after="0" w:line="256" w:lineRule="auto"/>
        <w:tabs>
          <w:tab w:leader="none" w:pos="1400" w:val="left"/>
        </w:tabs>
        <w:rPr>
          <w:sz w:val="20"/>
          <w:szCs w:val="20"/>
          <w:color w:val="auto"/>
        </w:rPr>
      </w:pPr>
      <w:r>
        <w:rPr>
          <w:rFonts w:ascii="Times New Roman" w:cs="Times New Roman" w:eastAsia="Times New Roman" w:hAnsi="Times New Roman"/>
          <w:sz w:val="18"/>
          <w:szCs w:val="18"/>
          <w:i w:val="1"/>
          <w:iCs w:val="1"/>
          <w:color w:val="auto"/>
        </w:rPr>
        <w:t>Device Solutions</w:t>
      </w:r>
      <w:r>
        <w:rPr>
          <w:sz w:val="20"/>
          <w:szCs w:val="20"/>
          <w:color w:val="auto"/>
        </w:rPr>
        <w:tab/>
      </w:r>
      <w:r>
        <w:rPr>
          <w:rFonts w:ascii="Times New Roman" w:cs="Times New Roman" w:eastAsia="Times New Roman" w:hAnsi="Times New Roman"/>
          <w:sz w:val="18"/>
          <w:szCs w:val="18"/>
          <w:color w:val="auto"/>
        </w:rPr>
        <w:t>Device Solutions - includes hardware products used for measurement, control, or sensing that do not have communications capability embedded for use with our broader Itron systems, i.e., products where Itron is not offering the complete "end-to-end" solution, but only the hardware elements. Examples of the Device Solutions portfolio include standard endpoints that are shipped without Itron communications, such as our standard gas meters, electricity IEC meters, and water meters, in addition to our heat and allocation products; communicating meters that are not a part of an Itron solution such as the Linky meter; and the implementation and installation of non-communicating devices, such as gas regulators.</w:t>
      </w:r>
    </w:p>
    <w:p>
      <w:pPr>
        <w:spacing w:after="0" w:line="255"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18"/>
          <w:szCs w:val="18"/>
          <w:i w:val="1"/>
          <w:iCs w:val="1"/>
          <w:color w:val="auto"/>
        </w:rPr>
        <w:t>Networked</w:t>
      </w:r>
      <w:r>
        <w:rPr>
          <w:sz w:val="20"/>
          <w:szCs w:val="20"/>
          <w:color w:val="auto"/>
        </w:rPr>
        <w:tab/>
      </w:r>
      <w:r>
        <w:rPr>
          <w:rFonts w:ascii="Times New Roman" w:cs="Times New Roman" w:eastAsia="Times New Roman" w:hAnsi="Times New Roman"/>
          <w:sz w:val="18"/>
          <w:szCs w:val="18"/>
          <w:color w:val="auto"/>
        </w:rPr>
        <w:t>Networked Solutions - includes a combination of communicating devices (smart meters, modules, endpoints, and sensors), network</w:t>
      </w:r>
    </w:p>
    <w:p>
      <w:pPr>
        <w:spacing w:after="0" w:line="29" w:lineRule="exact"/>
        <w:rPr>
          <w:sz w:val="20"/>
          <w:szCs w:val="20"/>
          <w:color w:val="auto"/>
        </w:rPr>
      </w:pPr>
    </w:p>
    <w:p>
      <w:pPr>
        <w:jc w:val="both"/>
        <w:ind w:left="1420" w:right="20" w:hanging="1379"/>
        <w:spacing w:after="0" w:line="252" w:lineRule="auto"/>
        <w:tabs>
          <w:tab w:leader="none" w:pos="1400" w:val="left"/>
        </w:tabs>
        <w:rPr>
          <w:sz w:val="20"/>
          <w:szCs w:val="20"/>
          <w:color w:val="auto"/>
        </w:rPr>
      </w:pPr>
      <w:r>
        <w:rPr>
          <w:rFonts w:ascii="Times New Roman" w:cs="Times New Roman" w:eastAsia="Times New Roman" w:hAnsi="Times New Roman"/>
          <w:sz w:val="18"/>
          <w:szCs w:val="18"/>
          <w:i w:val="1"/>
          <w:iCs w:val="1"/>
          <w:color w:val="auto"/>
        </w:rPr>
        <w:t>Solutions</w:t>
      </w:r>
      <w:r>
        <w:rPr>
          <w:sz w:val="20"/>
          <w:szCs w:val="20"/>
          <w:color w:val="auto"/>
        </w:rPr>
        <w:tab/>
      </w:r>
      <w:r>
        <w:rPr>
          <w:rFonts w:ascii="Times New Roman" w:cs="Times New Roman" w:eastAsia="Times New Roman" w:hAnsi="Times New Roman"/>
          <w:sz w:val="18"/>
          <w:szCs w:val="18"/>
          <w:color w:val="auto"/>
        </w:rPr>
        <w:t>infrastructure, and associated application software designed and sold as a complete solution for acquiring and transporting robust application-specific data. Networked Solutions combines, into one operating segment, the majority of the assets from the recently acquired SSNI organization with our legacy Itron networking products and software and the implementation and installation of communicating devices into one segment. This includes: communicating measurement, control, or sensing endpoints such as our Itron® and OpenWay® Riva meters, Itron traditional ERT® technology, Intelis smart gas or water meters, 500G gas communication modules, 500W water communication modules; GenX networking products, network modules and interface cards; and specific network control and management software applications. Solutions supported by this segment include automated meter reading (AMR), advanced metering infrastructure (AMI), smart grid and distribution automation (DA), and smart street lighting and smart city solutions.</w:t>
      </w:r>
    </w:p>
    <w:p>
      <w:pPr>
        <w:spacing w:after="0" w:line="253" w:lineRule="exact"/>
        <w:rPr>
          <w:sz w:val="20"/>
          <w:szCs w:val="20"/>
          <w:color w:val="auto"/>
        </w:rPr>
      </w:pPr>
    </w:p>
    <w:p>
      <w:pPr>
        <w:jc w:val="both"/>
        <w:ind w:left="1420" w:right="20" w:hanging="1379"/>
        <w:spacing w:after="0" w:line="254" w:lineRule="auto"/>
        <w:tabs>
          <w:tab w:leader="none" w:pos="1400" w:val="left"/>
        </w:tabs>
        <w:rPr>
          <w:sz w:val="20"/>
          <w:szCs w:val="20"/>
          <w:color w:val="auto"/>
        </w:rPr>
      </w:pPr>
      <w:r>
        <w:rPr>
          <w:rFonts w:ascii="Times New Roman" w:cs="Times New Roman" w:eastAsia="Times New Roman" w:hAnsi="Times New Roman"/>
          <w:sz w:val="18"/>
          <w:szCs w:val="18"/>
          <w:i w:val="1"/>
          <w:iCs w:val="1"/>
          <w:color w:val="auto"/>
        </w:rPr>
        <w:t>Outcomes</w:t>
      </w:r>
      <w:r>
        <w:rPr>
          <w:sz w:val="20"/>
          <w:szCs w:val="20"/>
          <w:color w:val="auto"/>
        </w:rPr>
        <w:tab/>
      </w:r>
      <w:r>
        <w:rPr>
          <w:rFonts w:ascii="Times New Roman" w:cs="Times New Roman" w:eastAsia="Times New Roman" w:hAnsi="Times New Roman"/>
          <w:sz w:val="18"/>
          <w:szCs w:val="18"/>
          <w:color w:val="auto"/>
        </w:rPr>
        <w:t>Outcomes - includes our value-added, enhanced software and services operating segment in which we manage, organize, analyze, and interpret data to 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of these offerings include our meter data management and analytics offerings; our managed service solutions including network-as-a-service and platform-as-a-service, forecasting software and services; and any consulting-based engagement. Within the Outcomes segment, we also identify new business models, including performance-based contracting, to drive broader portfolio offerings across utilities and cities.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gross profit, and operating income associated with our operating segments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0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18"/>
                <w:szCs w:val="18"/>
                <w:color w:val="auto"/>
              </w:rPr>
            </w:pPr>
          </w:p>
        </w:tc>
        <w:tc>
          <w:tcPr>
            <w:tcW w:w="308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Product revenues</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7"/>
        </w:trPr>
        <w:tc>
          <w:tcPr>
            <w:tcW w:w="4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Device Solutions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214,589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231,750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433,158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477,173</w:t>
            </w: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Networked Solutions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333,422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275,298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647,772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555,093</w:t>
            </w:r>
          </w:p>
        </w:tc>
      </w:tr>
      <w:tr>
        <w:trPr>
          <w:trHeight w:val="33"/>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Outcomes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18,036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8,866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29,967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20,758</w:t>
            </w:r>
          </w:p>
        </w:tc>
      </w:tr>
      <w:tr>
        <w:trPr>
          <w:trHeight w:val="217"/>
        </w:trPr>
        <w:tc>
          <w:tcPr>
            <w:tcW w:w="42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Company</w:t>
            </w: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566,047</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515,914</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1,110,897</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1,053,024</w:t>
            </w:r>
          </w:p>
        </w:tc>
      </w:tr>
      <w:tr>
        <w:trPr>
          <w:trHeight w:val="73"/>
        </w:trPr>
        <w:tc>
          <w:tcPr>
            <w:tcW w:w="42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4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Service revenues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Device Solutions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4,396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8,340</w:t>
            </w: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Networked Solutions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22,494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20,868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44,571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43,411</w:t>
            </w:r>
          </w:p>
        </w:tc>
      </w:tr>
      <w:tr>
        <w:trPr>
          <w:trHeight w:val="33"/>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Outcomes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43,362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44,712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87,825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88,336</w:t>
            </w:r>
          </w:p>
        </w:tc>
      </w:tr>
      <w:tr>
        <w:trPr>
          <w:trHeight w:val="217"/>
        </w:trPr>
        <w:tc>
          <w:tcPr>
            <w:tcW w:w="42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Company</w:t>
            </w: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68,990</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69,976</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138,716</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140,087</w:t>
            </w:r>
          </w:p>
        </w:tc>
      </w:tr>
      <w:tr>
        <w:trPr>
          <w:trHeight w:val="73"/>
        </w:trPr>
        <w:tc>
          <w:tcPr>
            <w:tcW w:w="42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4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Device Solutions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217,723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236,146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439,478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485,513</w:t>
            </w: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Networked Solutions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355,916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296,166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692,343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598,504</w:t>
            </w:r>
          </w:p>
        </w:tc>
      </w:tr>
      <w:tr>
        <w:trPr>
          <w:trHeight w:val="33"/>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Outcomes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61,398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53,578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117,792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109,094</w:t>
            </w:r>
          </w:p>
        </w:tc>
      </w:tr>
      <w:tr>
        <w:trPr>
          <w:trHeight w:val="217"/>
        </w:trPr>
        <w:tc>
          <w:tcPr>
            <w:tcW w:w="42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Company</w:t>
            </w: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635,037</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585,890</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1,249,613</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1,193,111</w:t>
            </w:r>
          </w:p>
        </w:tc>
      </w:tr>
      <w:tr>
        <w:trPr>
          <w:trHeight w:val="73"/>
        </w:trPr>
        <w:tc>
          <w:tcPr>
            <w:tcW w:w="42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4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Device Solutions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41,590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48,743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81,506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102,347</w:t>
            </w: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Networked Solutions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126,243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112,290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253,311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226,531</w:t>
            </w:r>
          </w:p>
        </w:tc>
      </w:tr>
      <w:tr>
        <w:trPr>
          <w:trHeight w:val="33"/>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Outcomes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23,381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15,544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43,660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27,554</w:t>
            </w:r>
          </w:p>
        </w:tc>
      </w:tr>
      <w:tr>
        <w:trPr>
          <w:trHeight w:val="217"/>
        </w:trPr>
        <w:tc>
          <w:tcPr>
            <w:tcW w:w="42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Company</w:t>
            </w: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191,214</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176,577</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378,477</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356,432</w:t>
            </w:r>
          </w:p>
        </w:tc>
      </w:tr>
      <w:tr>
        <w:trPr>
          <w:trHeight w:val="73"/>
        </w:trPr>
        <w:tc>
          <w:tcPr>
            <w:tcW w:w="42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4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Device Solutions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28,355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34,510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53,812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72,702</w:t>
            </w: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Networked Solutions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98,035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81,941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193,357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161,884</w:t>
            </w:r>
          </w:p>
        </w:tc>
      </w:tr>
      <w:tr>
        <w:trPr>
          <w:trHeight w:val="33"/>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Outcomes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14,367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24,777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3,594</w:t>
            </w:r>
          </w:p>
        </w:tc>
      </w:tr>
      <w:tr>
        <w:trPr>
          <w:trHeight w:val="23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Corporate unallocated</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(97,199)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(100,137)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(207,565)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(358,065)</w:t>
            </w:r>
          </w:p>
        </w:tc>
      </w:tr>
      <w:tr>
        <w:trPr>
          <w:trHeight w:val="33"/>
        </w:trPr>
        <w:tc>
          <w:tcPr>
            <w:tcW w:w="4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Company</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43,558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20,563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64,381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(119,885)</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(29,873)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(29,019)</w:t>
            </w:r>
          </w:p>
        </w:tc>
      </w:tr>
      <w:tr>
        <w:trPr>
          <w:trHeight w:val="33"/>
        </w:trPr>
        <w:tc>
          <w:tcPr>
            <w:tcW w:w="4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28,536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34,508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(148,904)</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2019, one customer represented 11% of total company revenues. For the three months ended June 30, 2018, one customer represented 10% of total company revenues, and no single customer represented more than 10% of total company revenues for the six months ended June 30, 2018.</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buy a majority of our integrated circuit board assemblies from three suppliers. Management believes that other suppliers could provide similar products, but a change in suppliers, disputes with our suppliers, or unexpected constraints on the suppliers' production capacity could adversely affect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region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8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United States and Canada</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417,909</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348,101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815,475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704,033</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167,314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184,748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338,556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386,822</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(1)</w:t>
            </w:r>
          </w:p>
        </w:tc>
        <w:tc>
          <w:tcPr>
            <w:tcW w:w="10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49,814</w:t>
            </w:r>
          </w:p>
        </w:tc>
        <w:tc>
          <w:tcPr>
            <w:tcW w:w="12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53,041</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95,582</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102,256</w:t>
            </w:r>
          </w:p>
        </w:tc>
      </w:tr>
      <w:tr>
        <w:trPr>
          <w:trHeight w:val="217"/>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revenues</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635,037</w:t>
            </w:r>
          </w:p>
        </w:tc>
        <w:tc>
          <w:tcPr>
            <w:tcW w:w="120" w:type="dxa"/>
            <w:vAlign w:val="bottom"/>
          </w:tcPr>
          <w:p>
            <w:pPr>
              <w:spacing w:after="0"/>
              <w:rPr>
                <w:sz w:val="18"/>
                <w:szCs w:val="18"/>
                <w:color w:val="auto"/>
              </w:rPr>
            </w:pPr>
          </w:p>
        </w:tc>
        <w:tc>
          <w:tcPr>
            <w:tcW w:w="106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585,890</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1,249,613</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1,193,111</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includes our operations in Latin America and Asia Pacific.</w:t>
      </w:r>
    </w:p>
    <w:p>
      <w:pPr>
        <w:sectPr>
          <w:pgSz w:w="11900" w:h="16838" w:orient="portrait"/>
          <w:cols w:equalWidth="0" w:num="1">
            <w:col w:w="11420"/>
          </w:cols>
          <w:pgMar w:left="240" w:top="121" w:right="239" w:bottom="455"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455" w:gutter="0" w:footer="0" w:header="0"/>
          <w:type w:val="continuous"/>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of intangible assets expense associated with our operating segments was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294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2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20" w:type="dxa"/>
            <w:vAlign w:val="bottom"/>
          </w:tcPr>
          <w:p>
            <w:pPr>
              <w:spacing w:after="0"/>
              <w:rPr>
                <w:sz w:val="20"/>
                <w:szCs w:val="20"/>
                <w:color w:val="auto"/>
              </w:rPr>
            </w:pPr>
          </w:p>
        </w:tc>
      </w:tr>
      <w:tr>
        <w:trPr>
          <w:trHeight w:val="33"/>
        </w:trPr>
        <w:tc>
          <w:tcPr>
            <w:tcW w:w="4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Device Solutions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6,346</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6,442</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12,782</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12,916</w:t>
            </w:r>
          </w:p>
        </w:tc>
      </w:tr>
      <w:tr>
        <w:trPr>
          <w:trHeight w:val="224"/>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Networked Solutions</w:t>
            </w:r>
          </w:p>
        </w:tc>
        <w:tc>
          <w:tcPr>
            <w:tcW w:w="108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3,205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3,071</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6,453</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6,315</w:t>
            </w:r>
          </w:p>
        </w:tc>
      </w:tr>
      <w:tr>
        <w:trPr>
          <w:trHeight w:val="47"/>
        </w:trPr>
        <w:tc>
          <w:tcPr>
            <w:tcW w:w="4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Outcomes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1,285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1,638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2,587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3,347</w:t>
            </w:r>
          </w:p>
        </w:tc>
      </w:tr>
      <w:tr>
        <w:trPr>
          <w:trHeight w:val="237"/>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 unallocated</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17,805</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19,756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35,246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39,401</w:t>
            </w: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Company</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28,641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30,907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57,068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61,979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significant net changes in the contract assets and the contract liabilities balances during the period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47"/>
        </w:trPr>
        <w:tc>
          <w:tcPr>
            <w:tcW w:w="9720" w:type="dxa"/>
            <w:vAlign w:val="bottom"/>
          </w:tcPr>
          <w:p>
            <w:pPr>
              <w:spacing w:after="0"/>
              <w:rPr>
                <w:sz w:val="21"/>
                <w:szCs w:val="21"/>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Contract liabilities, less</w:t>
            </w:r>
          </w:p>
        </w:tc>
      </w:tr>
      <w:tr>
        <w:trPr>
          <w:trHeight w:val="212"/>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4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contract assets</w:t>
            </w:r>
          </w:p>
        </w:tc>
      </w:tr>
      <w:tr>
        <w:trPr>
          <w:trHeight w:val="33"/>
        </w:trPr>
        <w:tc>
          <w:tcPr>
            <w:tcW w:w="9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 January 1</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102,130</w:t>
            </w:r>
          </w:p>
        </w:tc>
      </w:tr>
      <w:tr>
        <w:trPr>
          <w:trHeight w:val="224"/>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Revenues recognized from beginning contract liability</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(41,873)</w:t>
            </w:r>
          </w:p>
        </w:tc>
      </w:tr>
      <w:tr>
        <w:trPr>
          <w:trHeight w:val="33"/>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Increases due to amounts collected or due</w:t>
            </w: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184,808</w:t>
            </w:r>
          </w:p>
        </w:tc>
      </w:tr>
      <w:tr>
        <w:trPr>
          <w:trHeight w:val="224"/>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Revenues recognized from current period increases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(129,074)</w:t>
            </w:r>
          </w:p>
        </w:tc>
      </w:tr>
      <w:tr>
        <w:trPr>
          <w:trHeight w:val="33"/>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(9,053)</w:t>
            </w:r>
          </w:p>
        </w:tc>
      </w:tr>
      <w:tr>
        <w:trPr>
          <w:trHeight w:val="244"/>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Ending balance, June 30</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106,938</w:t>
            </w:r>
          </w:p>
        </w:tc>
      </w:tr>
      <w:tr>
        <w:trPr>
          <w:trHeight w:val="20"/>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 2019, total contract assets were $34.3 million and total contract liabilities were $136.5 million. On June 30, 2019, total contract assets were $37.4 million and total contract liabilities were $144.4 million. The contract assets primarily relate to contracts that include a retention clause and allocations related to contracts with multiple performance obligations. The contract liabilities primarily relate to deferred revenue, such as extended warranty and maintenance cost.</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Transaction price allocated to the remaining performance obligations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transaction price allocated to remaining performance obligations related to contracts is approximately $1.3 billion for the next twelve months and approximately $929 million for periods longer than 12 months. The total remaining performance obligations is comprised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 revenue is recognized over the warranty period, and hardware, which is recognized as units are delivered. The estimate of when remaining performance obligations will be recognized requires significant judgment.</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Cost to obtain a contract and cost to fulfill a contract with a customer</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to obtain a contract and costs to fulfill a contract are capitalized and amortized using a systematic rational approach to align with the transfer of control of underlying contracts with customers. While amounts were capitalized, they are not material.</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Refer to "Note 15: Segment Information" and the Consolidated Statement of Operations for disclosure regarding the disaggregation of revenue into categories, which depict how revenue and cash flows are affected by economic factors. Specifically, our operating segments, geographical regions, and categories for products, which include hardware and software and services, are presented.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Leases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certain factories, service and distribution locations, offices, and equipment under operating leases. Our operating leases have initial lease terms ranging from 1 to 9 years, some of which include options to extend or renew the leases for up to 10 years. Certain lease agreements contain provisions for future rent increases. Our leases do not contain material residual value guarantees and finance leases are not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elected the short-term lease exemption. All leases with a lease term of greater than one month are included in the following tables.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operating lease expense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7"/>
                <w:szCs w:val="17"/>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 2019</w:t>
            </w:r>
          </w:p>
        </w:tc>
        <w:tc>
          <w:tcPr>
            <w:tcW w:w="140" w:type="dxa"/>
            <w:vAlign w:val="bottom"/>
          </w:tcPr>
          <w:p>
            <w:pPr>
              <w:spacing w:after="0"/>
              <w:rPr>
                <w:sz w:val="18"/>
                <w:szCs w:val="18"/>
                <w:color w:val="auto"/>
              </w:rPr>
            </w:pP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June 30, 2019</w:t>
            </w:r>
          </w:p>
        </w:tc>
      </w:tr>
      <w:tr>
        <w:trPr>
          <w:trHeight w:val="33"/>
        </w:trPr>
        <w:tc>
          <w:tcPr>
            <w:tcW w:w="7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lease 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11,555</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Variable lease cost</w:t>
            </w:r>
          </w:p>
        </w:tc>
        <w:tc>
          <w:tcPr>
            <w:tcW w:w="120" w:type="dxa"/>
            <w:vAlign w:val="bottom"/>
          </w:tcPr>
          <w:p>
            <w:pPr>
              <w:spacing w:after="0"/>
              <w:rPr>
                <w:sz w:val="20"/>
                <w:szCs w:val="20"/>
                <w:color w:val="auto"/>
              </w:rPr>
            </w:pPr>
          </w:p>
        </w:tc>
        <w:tc>
          <w:tcPr>
            <w:tcW w:w="16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747</w:t>
            </w:r>
          </w:p>
        </w:tc>
      </w:tr>
      <w:tr>
        <w:trPr>
          <w:trHeight w:val="33"/>
        </w:trPr>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operating lease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12,302</w:t>
            </w:r>
          </w:p>
        </w:tc>
      </w:tr>
      <w:tr>
        <w:trPr>
          <w:trHeight w:val="20"/>
        </w:trPr>
        <w:tc>
          <w:tcPr>
            <w:tcW w:w="7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75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380" w:type="dxa"/>
            <w:vAlign w:val="bottom"/>
          </w:tcPr>
          <w:p>
            <w:pPr>
              <w:spacing w:after="0"/>
              <w:rPr>
                <w:sz w:val="18"/>
                <w:szCs w:val="18"/>
                <w:color w:val="auto"/>
              </w:rPr>
            </w:pP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June 30, 2019</w:t>
            </w:r>
          </w:p>
        </w:tc>
      </w:tr>
      <w:tr>
        <w:trPr>
          <w:trHeight w:val="33"/>
        </w:trPr>
        <w:tc>
          <w:tcPr>
            <w:tcW w:w="75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7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10,205</w:t>
            </w:r>
          </w:p>
        </w:tc>
      </w:tr>
      <w:tr>
        <w:trPr>
          <w:trHeight w:val="254"/>
        </w:trPr>
        <w:tc>
          <w:tcPr>
            <w:tcW w:w="7500" w:type="dxa"/>
            <w:vAlign w:val="bottom"/>
          </w:tcPr>
          <w:p>
            <w:pPr>
              <w:ind w:left="40"/>
              <w:spacing w:after="0" w:line="184" w:lineRule="exact"/>
              <w:rPr>
                <w:sz w:val="20"/>
                <w:szCs w:val="20"/>
                <w:color w:val="auto"/>
              </w:rPr>
            </w:pPr>
            <w:r>
              <w:rPr>
                <w:rFonts w:ascii="Times New Roman" w:cs="Times New Roman" w:eastAsia="Times New Roman" w:hAnsi="Times New Roman"/>
                <w:sz w:val="16"/>
                <w:szCs w:val="16"/>
                <w:color w:val="auto"/>
              </w:rPr>
              <w:t>Right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use assets obtained in exchange for operating lease liabilities</w:t>
            </w:r>
          </w:p>
        </w:tc>
        <w:tc>
          <w:tcPr>
            <w:tcW w:w="238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11,570</w:t>
            </w: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6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14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30, 2019</w:t>
            </w:r>
          </w:p>
        </w:tc>
      </w:tr>
      <w:tr>
        <w:trPr>
          <w:trHeight w:val="33"/>
        </w:trPr>
        <w:tc>
          <w:tcPr>
            <w:tcW w:w="9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9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79,456</w:t>
            </w:r>
          </w:p>
        </w:tc>
      </w:tr>
      <w:tr>
        <w:trPr>
          <w:trHeight w:val="297"/>
        </w:trPr>
        <w:tc>
          <w:tcPr>
            <w:tcW w:w="9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7"/>
        </w:trPr>
        <w:tc>
          <w:tcPr>
            <w:tcW w:w="9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15,453</w:t>
            </w:r>
          </w:p>
        </w:tc>
      </w:tr>
      <w:tr>
        <w:trPr>
          <w:trHeight w:val="224"/>
        </w:trPr>
        <w:tc>
          <w:tcPr>
            <w:tcW w:w="9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Pr>
          <w:p>
            <w:pPr>
              <w:spacing w:after="0"/>
              <w:rPr>
                <w:sz w:val="19"/>
                <w:szCs w:val="19"/>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68,387</w:t>
            </w:r>
          </w:p>
        </w:tc>
      </w:tr>
      <w:tr>
        <w:trPr>
          <w:trHeight w:val="33"/>
        </w:trPr>
        <w:tc>
          <w:tcPr>
            <w:tcW w:w="9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operating lease liability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83,840</w:t>
            </w:r>
          </w:p>
        </w:tc>
      </w:tr>
      <w:tr>
        <w:trPr>
          <w:trHeight w:val="20"/>
        </w:trPr>
        <w:tc>
          <w:tcPr>
            <w:tcW w:w="9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1"/>
        </w:trPr>
        <w:tc>
          <w:tcPr>
            <w:tcW w:w="9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Weighted-average remaining lease term - Operating leases</w:t>
            </w:r>
          </w:p>
        </w:tc>
        <w:tc>
          <w:tcPr>
            <w:tcW w:w="260" w:type="dxa"/>
            <w:vAlign w:val="bottom"/>
          </w:tcPr>
          <w:p>
            <w:pPr>
              <w:spacing w:after="0"/>
              <w:rPr>
                <w:sz w:val="18"/>
                <w:szCs w:val="18"/>
                <w:color w:val="auto"/>
              </w:rPr>
            </w:pPr>
          </w:p>
        </w:tc>
        <w:tc>
          <w:tcPr>
            <w:tcW w:w="1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6.2 years</w:t>
            </w:r>
          </w:p>
        </w:tc>
      </w:tr>
      <w:tr>
        <w:trPr>
          <w:trHeight w:val="33"/>
        </w:trPr>
        <w:tc>
          <w:tcPr>
            <w:tcW w:w="9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4"/>
        </w:trPr>
        <w:tc>
          <w:tcPr>
            <w:tcW w:w="9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Weighted-average discount rate - Operating leases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33"/>
        </w:trPr>
        <w:tc>
          <w:tcPr>
            <w:tcW w:w="9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maturities of operating lease liabilities as of June 30, 2019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4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June 30, 2019</w:t>
            </w:r>
          </w:p>
        </w:tc>
      </w:tr>
      <w:tr>
        <w:trPr>
          <w:trHeight w:val="33"/>
        </w:trPr>
        <w:tc>
          <w:tcPr>
            <w:tcW w:w="9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2019 (amount remaining at June 30, 2019)</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8,113</w:t>
            </w:r>
          </w:p>
        </w:tc>
      </w:tr>
      <w:tr>
        <w:trPr>
          <w:trHeight w:val="224"/>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2020</w:t>
            </w:r>
          </w:p>
        </w:tc>
        <w:tc>
          <w:tcPr>
            <w:tcW w:w="24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17,727</w:t>
            </w:r>
          </w:p>
        </w:tc>
      </w:tr>
      <w:tr>
        <w:trPr>
          <w:trHeight w:val="33"/>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15,518</w:t>
            </w:r>
          </w:p>
        </w:tc>
      </w:tr>
      <w:tr>
        <w:trPr>
          <w:trHeight w:val="224"/>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12,765</w:t>
            </w:r>
          </w:p>
        </w:tc>
      </w:tr>
      <w:tr>
        <w:trPr>
          <w:trHeight w:val="33"/>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12,265</w:t>
            </w:r>
          </w:p>
        </w:tc>
      </w:tr>
      <w:tr>
        <w:trPr>
          <w:trHeight w:val="224"/>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31,690</w:t>
            </w:r>
          </w:p>
        </w:tc>
      </w:tr>
      <w:tr>
        <w:trPr>
          <w:trHeight w:val="33"/>
        </w:trPr>
        <w:tc>
          <w:tcPr>
            <w:tcW w:w="9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lease payments</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98,078</w:t>
            </w:r>
          </w:p>
        </w:tc>
      </w:tr>
      <w:tr>
        <w:trPr>
          <w:trHeight w:val="224"/>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Imputed interest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(14,238)</w:t>
            </w:r>
          </w:p>
        </w:tc>
      </w:tr>
      <w:tr>
        <w:trPr>
          <w:trHeight w:val="33"/>
        </w:trPr>
        <w:tc>
          <w:tcPr>
            <w:tcW w:w="9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operating lease liability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83,840</w:t>
            </w:r>
          </w:p>
        </w:tc>
      </w:tr>
      <w:tr>
        <w:trPr>
          <w:trHeight w:val="20"/>
        </w:trPr>
        <w:tc>
          <w:tcPr>
            <w:tcW w:w="9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obligations under operating leases in effect as of December 31, 2018 as determined prior to adoption of ASC 842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9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than 1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17,456</w:t>
            </w:r>
          </w:p>
        </w:tc>
      </w:tr>
      <w:tr>
        <w:trPr>
          <w:trHeight w:val="224"/>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1-3 years</w:t>
            </w:r>
          </w:p>
        </w:tc>
        <w:tc>
          <w:tcPr>
            <w:tcW w:w="16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26,241</w:t>
            </w:r>
          </w:p>
        </w:tc>
      </w:tr>
      <w:tr>
        <w:trPr>
          <w:trHeight w:val="33"/>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3-5 years</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19,659</w:t>
            </w:r>
          </w:p>
        </w:tc>
      </w:tr>
      <w:tr>
        <w:trPr>
          <w:trHeight w:val="224"/>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Beyond 5 years</w:t>
            </w:r>
          </w:p>
        </w:tc>
        <w:tc>
          <w:tcPr>
            <w:tcW w:w="16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26,703</w:t>
            </w:r>
          </w:p>
        </w:tc>
      </w:tr>
      <w:tr>
        <w:trPr>
          <w:trHeight w:val="33"/>
        </w:trPr>
        <w:tc>
          <w:tcPr>
            <w:tcW w:w="9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operating lease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90,059</w:t>
            </w:r>
          </w:p>
        </w:tc>
      </w:tr>
      <w:tr>
        <w:trPr>
          <w:trHeight w:val="20"/>
        </w:trPr>
        <w:tc>
          <w:tcPr>
            <w:tcW w:w="9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unaudited condensed consolidated financial statements and notes included in this report and with the consolidated financial statements and the notes thereto for the fiscal year ended December 31, 2018 filed with the Securities and Exchange Commission (SEC) in our Annual Report on Form 10-K on February 28, 2019 (2018 Annual Report).</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Documents we provide to the SEC are available free of charge under the Investors section of our website at </w:t>
      </w:r>
      <w:r>
        <w:rPr>
          <w:rFonts w:ascii="Times New Roman" w:cs="Times New Roman" w:eastAsia="Times New Roman" w:hAnsi="Times New Roman"/>
          <w:sz w:val="18"/>
          <w:szCs w:val="18"/>
          <w:i w:val="1"/>
          <w:iCs w:val="1"/>
          <w:color w:val="auto"/>
        </w:rPr>
        <w:t>www.itron.com</w:t>
      </w:r>
      <w:r>
        <w:rPr>
          <w:rFonts w:ascii="Times New Roman" w:cs="Times New Roman" w:eastAsia="Times New Roman" w:hAnsi="Times New Roman"/>
          <w:sz w:val="18"/>
          <w:szCs w:val="18"/>
          <w:color w:val="auto"/>
        </w:rPr>
        <w:t xml:space="preserve"> as soon as practicable after they are filed with or furnished to the SEC. In addition, these documents are available at the SEC's website (http://</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at the SEC's Headquarters at 100 F Street, NE, Washington, DC 20549, or by calling 1-800-SEC-0330.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Forward-Looking Statements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222222"/>
        </w:rPr>
        <w:t xml:space="preserve">This document contains forward-looking statements concerning our operations, financial performance, revenues, earnings growth, liquidity, restructuring,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Although we believe that these assumptions and estimates are reasonable, any of these assumptions and estimates could prove to be inaccurate and the forward -looking statements based on them could be incorrect and cause our actual results to vary materially from expected results. </w:t>
      </w:r>
      <w:r>
        <w:rPr>
          <w:rFonts w:ascii="Times New Roman" w:cs="Times New Roman" w:eastAsia="Times New Roman" w:hAnsi="Times New Roman"/>
          <w:sz w:val="18"/>
          <w:szCs w:val="18"/>
          <w:i w:val="1"/>
          <w:iCs w:val="1"/>
          <w:color w:val="000000"/>
        </w:rPr>
        <w:t>For a more complete description of these and other risks, refer to Item 1A: "Risk Factors" included in our 2018 Annual Report and our other reports on file with the SEC. We do not undertake any obligation to update or revise any forward-looking statement in this document.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technology company, offering end-to-end solutions to enhance productivity and efficiency, primarily focused on utilities and municipalities around the globe. Our solutions generally include robust industrial grade networks, smart meters, meter data management software, and knowledge application solutions, which bring additional value to the customer. Our professional services help our customers project-manage, install, implement, operate, and maintain their systems.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under the Itron brand worldwide and manage and report under three operating segments: Device Solutions, Networked Solutions, and Outcomes.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product and operating definitions of the three segments are as follows: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Device Solutions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includes hardware products used for measurement, control, or sensing that do not have communications capability embedded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 with our broader Itron systems, i.e., products where Itron is not offering the complete “end-to-end” solution, but only the hardware elements. Examples of the Device Solutions portfolio include standard endpoints that are shipped without Itron communications, such as our standard gas meters, electricity IEC meters, and water meters, in addition to our heat and allocation products; communicating meters that are not a part of an Itron solution such as the Linky meter; and the implementation and installation of non-communicating devices, such as gas regulators.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Networked Solutions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includes a combination of communicating devices (smart meters, modules, endpoints and sensors), network infrastructure,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associated application software designed and sold as a complete solution for acquiring and transporting robust application-specific data. Networked Solutions combines, into one operating segment, the majority of the assets from the recently acquired Silver Spring Networks organization with our legacy Itron networking products and software, and the implementation and installation of communicating devices into one segment. This includes: communicating measurement, control, or sensing endpoints such as our Itron® and OpenWay® Riva meters, Itron traditional ERT® technology, Intelis Smart gas or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water meters, 500G gas communication modules, 500W water communication modules; GenX networking products, network modules and interface cards, and specific network control and management software applications. The industrial Internet of Things (IIoT) solutions supported by this segment include automated meter reading (AMR), advanced metering infrastructure (AMI), smart grid and distribution automation (DA), and smart street lighting and smart city solutions.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Outcomes: </w:t>
      </w:r>
      <w:r>
        <w:rPr>
          <w:rFonts w:ascii="Times New Roman" w:cs="Times New Roman" w:eastAsia="Times New Roman" w:hAnsi="Times New Roman"/>
          <w:sz w:val="18"/>
          <w:szCs w:val="18"/>
          <w:color w:val="auto"/>
        </w:rPr>
        <w:t>represents our value-added, enhanced software and services operating segment in which we manage, organize, analyze, and interpret data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 decision making, maximize operational profitability, drive resource efficiency, and deliver results for consumers, utilities and smart cities. Outcomes places an emphasis on delivering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of these offerings include our meter data management and analytics offerings, our managed service solutions including network-as-a-service and platform-as-a-service, forecasting software and services, and any consulting-based engagement. Within the Outcomes segment we also identify new business models, including performance-based contracting, to drive broader portfolio offerings across utilities and cities.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income tax provision, and certain corporate operating expenses are neither allocated to the segments nor included in the measures of segment performance.</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Non-GAAP Measures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discussion includes financial information prepared in accordance with accounting principles generally accepted in the United States (GAAP), as well as certain adjusted or non-GAAP financial measures such as constant currency, free cash flow, non-GAAP operating expenses, non-GAAP operating income, non-GAAP net income, adjusted EBITDA, and non-GAAP diluted earnings per share (EPS). We believe that non-GAAP financial measures, when reviewed in conjunction with GAAP financial measures, can provide more information to assist investors in evaluating current period performance and in assessing future performance. For these reasons, our internal management reporting also includes non-GAAP measures. We strongly encourage investors and shareholders to review our financial statements and publicly-filed reports in their entirety and not to rely on any single financial measure. Non-GAAP measures as presented herein may not be comparable to similarly titled measures used by other companies.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our discussions of the operating results below, we sometimes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constant currency,</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18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Refer to the </w:t>
      </w:r>
      <w:r>
        <w:rPr>
          <w:rFonts w:ascii="Times New Roman" w:cs="Times New Roman" w:eastAsia="Times New Roman" w:hAnsi="Times New Roman"/>
          <w:sz w:val="18"/>
          <w:szCs w:val="18"/>
          <w:i w:val="1"/>
          <w:iCs w:val="1"/>
          <w:color w:val="auto"/>
        </w:rPr>
        <w:t>Non-GAAP Measures</w:t>
      </w:r>
      <w:r>
        <w:rPr>
          <w:rFonts w:ascii="Times New Roman" w:cs="Times New Roman" w:eastAsia="Times New Roman" w:hAnsi="Times New Roman"/>
          <w:sz w:val="18"/>
          <w:szCs w:val="18"/>
          <w:color w:val="auto"/>
        </w:rPr>
        <w:t xml:space="preserve"> section below on pages 46-48 for information about these non-GAAP measures and the detailed reconciliation of items that impacted free cash flow, non-GAAP operating expense, non-GAAP operating income, non-GAAP net income, adjusted EBITDA, and non-GAAP diluted EPS in the presented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Company Highlights and Unit Shipments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 xml:space="preserve">Highlights and significant developments for the </w:t>
      </w:r>
      <w:r>
        <w:rPr>
          <w:rFonts w:ascii="Times New Roman" w:cs="Times New Roman" w:eastAsia="Times New Roman" w:hAnsi="Times New Roman"/>
          <w:sz w:val="18"/>
          <w:szCs w:val="18"/>
          <w:i w:val="1"/>
          <w:iCs w:val="1"/>
          <w:color w:val="000000"/>
        </w:rPr>
        <w:t>three months ended</w:t>
      </w:r>
      <w:r>
        <w:rPr>
          <w:rFonts w:ascii="Times New Roman" w:cs="Times New Roman" w:eastAsia="Times New Roman" w:hAnsi="Times New Roman"/>
          <w:sz w:val="18"/>
          <w:szCs w:val="18"/>
          <w:i w:val="1"/>
          <w:iCs w:val="1"/>
          <w:color w:val="222222"/>
        </w:rPr>
        <w:t xml:space="preserve"> months ended </w:t>
      </w:r>
      <w:r>
        <w:rPr>
          <w:rFonts w:ascii="Times New Roman" w:cs="Times New Roman" w:eastAsia="Times New Roman" w:hAnsi="Times New Roman"/>
          <w:sz w:val="18"/>
          <w:szCs w:val="18"/>
          <w:i w:val="1"/>
          <w:iCs w:val="1"/>
          <w:color w:val="000000"/>
        </w:rPr>
        <w:t>June 30, 2019 compared with the three months ended June 30, 2018</w:t>
      </w:r>
    </w:p>
    <w:p>
      <w:pPr>
        <w:spacing w:after="0" w:line="65" w:lineRule="exact"/>
        <w:rPr>
          <w:sz w:val="20"/>
          <w:szCs w:val="20"/>
          <w:color w:val="auto"/>
        </w:rPr>
      </w:pPr>
    </w:p>
    <w:p>
      <w:pPr>
        <w:ind w:left="260" w:hanging="171"/>
        <w:spacing w:after="0"/>
        <w:tabs>
          <w:tab w:leader="none" w:pos="26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Revenues were $635.0 million compared with $585.9 million in 2018, an increase of $49.1 million, or 8%</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Gross margin was </w:t>
      </w:r>
      <w:r>
        <w:rPr>
          <w:rFonts w:ascii="Times New Roman" w:cs="Times New Roman" w:eastAsia="Times New Roman" w:hAnsi="Times New Roman"/>
          <w:sz w:val="18"/>
          <w:szCs w:val="18"/>
          <w:color w:val="000000"/>
        </w:rPr>
        <w:t>30.1%</w:t>
      </w:r>
      <w:r>
        <w:rPr>
          <w:rFonts w:ascii="Times New Roman" w:cs="Times New Roman" w:eastAsia="Times New Roman" w:hAnsi="Times New Roman"/>
          <w:sz w:val="18"/>
          <w:szCs w:val="18"/>
          <w:color w:val="222222"/>
        </w:rPr>
        <w:t>, flat compared with 2018</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Operating expenses decreased $8.4 million, or 5%, compared with 2018</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Net income attributable to Itron, Inc. was $19.4 million compared with $2.7 million in 2018</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 xml:space="preserve">GAAP diluted EPS increased by </w:t>
      </w:r>
      <w:r>
        <w:rPr>
          <w:rFonts w:ascii="Times New Roman" w:cs="Times New Roman" w:eastAsia="Times New Roman" w:hAnsi="Times New Roman"/>
          <w:sz w:val="18"/>
          <w:szCs w:val="18"/>
          <w:color w:val="000000"/>
        </w:rPr>
        <w:t>$0.42</w:t>
      </w:r>
      <w:r>
        <w:rPr>
          <w:rFonts w:ascii="Times New Roman" w:cs="Times New Roman" w:eastAsia="Times New Roman" w:hAnsi="Times New Roman"/>
          <w:sz w:val="18"/>
          <w:szCs w:val="18"/>
          <w:color w:val="222222"/>
        </w:rPr>
        <w:t xml:space="preserve"> to $0.49 compared with 2018</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net income attributable to Itron, Inc. was $34.6 million compared with $20.5 million in 2018</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diluted EPS was $0.87, an increase of $0.36 compared with 2018</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Adjusted EBITDA increased $16.1 million, or 28%, compared with 2018</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22222"/>
        </w:rPr>
        <w:t xml:space="preserve">Highlights and significant developments for the six months ended months ended </w:t>
      </w:r>
      <w:r>
        <w:rPr>
          <w:rFonts w:ascii="Times New Roman" w:cs="Times New Roman" w:eastAsia="Times New Roman" w:hAnsi="Times New Roman"/>
          <w:sz w:val="18"/>
          <w:szCs w:val="18"/>
          <w:i w:val="1"/>
          <w:iCs w:val="1"/>
          <w:color w:val="000000"/>
        </w:rPr>
        <w:t>June 30, 2019 compared with the</w:t>
      </w:r>
      <w:r>
        <w:rPr>
          <w:rFonts w:ascii="Times New Roman" w:cs="Times New Roman" w:eastAsia="Times New Roman" w:hAnsi="Times New Roman"/>
          <w:sz w:val="18"/>
          <w:szCs w:val="18"/>
          <w:i w:val="1"/>
          <w:iCs w:val="1"/>
          <w:color w:val="222222"/>
        </w:rPr>
        <w:t xml:space="preserve"> six months ended </w:t>
      </w:r>
      <w:r>
        <w:rPr>
          <w:rFonts w:ascii="Times New Roman" w:cs="Times New Roman" w:eastAsia="Times New Roman" w:hAnsi="Times New Roman"/>
          <w:sz w:val="18"/>
          <w:szCs w:val="18"/>
          <w:i w:val="1"/>
          <w:iCs w:val="1"/>
          <w:color w:val="000000"/>
        </w:rPr>
        <w:t>June 30, 2018</w:t>
      </w:r>
    </w:p>
    <w:p>
      <w:pPr>
        <w:spacing w:after="0" w:line="65" w:lineRule="exact"/>
        <w:rPr>
          <w:sz w:val="20"/>
          <w:szCs w:val="20"/>
          <w:color w:val="auto"/>
        </w:rPr>
      </w:pPr>
    </w:p>
    <w:p>
      <w:pPr>
        <w:ind w:left="260" w:hanging="171"/>
        <w:spacing w:after="0"/>
        <w:tabs>
          <w:tab w:leader="none" w:pos="26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Revenues were $1.25 billion compared with $1.19 billion in 2018, an increase of $56.5 million, or 5%</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Gross margin was 30.3% compared with 29.9% in 2018</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Operating expenses decreased $162.2 million, or 34%, compared with 2018</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Net income attributable to Itron, Inc. was $17.5 million, compared with a net loss of $143.0 million in 2018</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GAAP diluted EPS increased by $4.10 to $0.44 as compared with 2018</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net income attributable to Itron, Inc. was $62.5 million compared with $25.6 million in 2018</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Non-GAAP diluted EPS was $1.57, an increase of $0.93 compared with 2018</w:t>
      </w:r>
    </w:p>
    <w:p>
      <w:pPr>
        <w:spacing w:after="0" w:line="63" w:lineRule="exact"/>
        <w:rPr>
          <w:rFonts w:ascii="Times New Roman" w:cs="Times New Roman" w:eastAsia="Times New Roman" w:hAnsi="Times New Roman"/>
          <w:sz w:val="18"/>
          <w:szCs w:val="18"/>
          <w:color w:val="222222"/>
        </w:rPr>
      </w:pPr>
    </w:p>
    <w:p>
      <w:pPr>
        <w:ind w:left="260" w:hanging="171"/>
        <w:spacing w:after="0"/>
        <w:tabs>
          <w:tab w:leader="none" w:pos="260" w:val="left"/>
        </w:tabs>
        <w:numPr>
          <w:ilvl w:val="0"/>
          <w:numId w:val="6"/>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Adjusted EBITDA increased $42.3 million, or 44%, compared with 2018</w:t>
      </w:r>
    </w:p>
    <w:p>
      <w:pPr>
        <w:spacing w:after="0" w:line="2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 Repurchase Authorization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14, 2019, Itron's Board of Directors authorized the Company to repurchase up to $50 million of our common stock over a 12-month period (the 2019 Stock Repurchase Program). Following the announcement of the program and through June 30, 2019, we repurchased 529,396 shares at an average share price of $47.22 (including commissions) for a total of $25 million. The remaining amount authorized for repurchase under the 2019 Stock Repurchase Program is $25 million. In accordance with the terms of our 5% senior notes indenture maturing January 15, 2026, we are limited to a total of $25 million in stock repurchases in 2019. As we have already met that threshold, we will not repurchase any more shares for the remainder of 2019.</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2018 Restructuring Projects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22, 2018, our Board of Directors approved a restructuring plan (2018 Projects) to continue our efforts to optimize our global supply chain and manufacturing operations, research and development, and sales and marketing organizations. We expect to substantially complete expense recognition on the plan by the end of 2020. We recognized a reversal of restructuring expense of $1.2 million compared with restructuring expense of $4.5 million related to the 2018 Projects during the three and six months ended June 30, 2019, respectively, and we anticipate an additional $15.3 million to be recognized in future periods. At the conclusion of the 2018 Projects, we anticipate annualized savings of $45 million to $50 million. For further discussion of restructuring activities, refer to Item 1: "Financial Statements (Unaudited), Note 12: Restructuring."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The following table summarizes the changes in GAAP and Non-GAAP financial measures: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7"/>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Pr>
          <w:p>
            <w:pPr>
              <w:spacing w:after="0"/>
              <w:rPr>
                <w:sz w:val="18"/>
                <w:szCs w:val="18"/>
                <w:color w:val="auto"/>
              </w:rPr>
            </w:pPr>
          </w:p>
        </w:tc>
        <w:tc>
          <w:tcPr>
            <w:tcW w:w="2760" w:type="dxa"/>
            <w:vAlign w:val="bottom"/>
            <w:gridSpan w:val="6"/>
          </w:tcPr>
          <w:p>
            <w:pPr>
              <w:ind w:left="8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0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 except margin and per share data</w:t>
            </w: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3"/>
        </w:trPr>
        <w:tc>
          <w:tcPr>
            <w:tcW w:w="40" w:type="dxa"/>
            <w:vAlign w:val="bottom"/>
          </w:tcPr>
          <w:p>
            <w:pPr>
              <w:spacing w:after="0"/>
              <w:rPr>
                <w:sz w:val="15"/>
                <w:szCs w:val="15"/>
                <w:color w:val="auto"/>
              </w:rPr>
            </w:pPr>
          </w:p>
        </w:tc>
        <w:tc>
          <w:tcPr>
            <w:tcW w:w="460" w:type="dxa"/>
            <w:vAlign w:val="bottom"/>
            <w:tcBorders>
              <w:bottom w:val="single" w:sz="8" w:color="auto"/>
            </w:tcBorders>
          </w:tcPr>
          <w:p>
            <w:pPr>
              <w:spacing w:after="0" w:line="183" w:lineRule="exact"/>
              <w:rPr>
                <w:sz w:val="20"/>
                <w:szCs w:val="20"/>
                <w:color w:val="auto"/>
              </w:rPr>
            </w:pPr>
            <w:r>
              <w:rPr>
                <w:rFonts w:ascii="Times New Roman" w:cs="Times New Roman" w:eastAsia="Times New Roman" w:hAnsi="Times New Roman"/>
                <w:sz w:val="16"/>
                <w:szCs w:val="16"/>
                <w:b w:val="1"/>
                <w:bCs w:val="1"/>
                <w:color w:val="auto"/>
                <w:w w:val="96"/>
              </w:rPr>
              <w:t>GAAP</w:t>
            </w:r>
          </w:p>
        </w:tc>
        <w:tc>
          <w:tcPr>
            <w:tcW w:w="2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85"/>
        </w:trPr>
        <w:tc>
          <w:tcPr>
            <w:tcW w:w="40" w:type="dxa"/>
            <w:vAlign w:val="bottom"/>
          </w:tcPr>
          <w:p>
            <w:pPr>
              <w:spacing w:after="0"/>
              <w:rPr>
                <w:sz w:val="24"/>
                <w:szCs w:val="24"/>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7"/>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Product revenues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566,047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515,914</w:t>
            </w:r>
          </w:p>
        </w:tc>
        <w:tc>
          <w:tcPr>
            <w:tcW w:w="1360" w:type="dxa"/>
            <w:vAlign w:val="bottom"/>
            <w:tcBorders>
              <w:bottom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5"/>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1,110,897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1,053,024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5%</w:t>
            </w:r>
          </w:p>
        </w:tc>
      </w:tr>
      <w:tr>
        <w:trPr>
          <w:trHeight w:val="237"/>
        </w:trPr>
        <w:tc>
          <w:tcPr>
            <w:tcW w:w="40" w:type="dxa"/>
            <w:vAlign w:val="bottom"/>
          </w:tcPr>
          <w:p>
            <w:pPr>
              <w:spacing w:after="0"/>
              <w:rPr>
                <w:sz w:val="20"/>
                <w:szCs w:val="20"/>
                <w:color w:val="auto"/>
              </w:rPr>
            </w:pPr>
          </w:p>
        </w:tc>
        <w:tc>
          <w:tcPr>
            <w:tcW w:w="31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Service revenues</w:t>
            </w:r>
          </w:p>
        </w:tc>
        <w:tc>
          <w:tcPr>
            <w:tcW w:w="300" w:type="dxa"/>
            <w:vAlign w:val="bottom"/>
          </w:tcPr>
          <w:p>
            <w:pPr>
              <w:spacing w:after="0"/>
              <w:rPr>
                <w:sz w:val="20"/>
                <w:szCs w:val="20"/>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68,990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69,976</w:t>
            </w:r>
          </w:p>
        </w:tc>
        <w:tc>
          <w:tcPr>
            <w:tcW w:w="13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138,716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140,087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(1)%</w:t>
            </w:r>
          </w:p>
        </w:tc>
      </w:tr>
      <w:tr>
        <w:trPr>
          <w:trHeight w:val="33"/>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635,037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585,890</w:t>
            </w:r>
          </w:p>
        </w:tc>
        <w:tc>
          <w:tcPr>
            <w:tcW w:w="1360" w:type="dxa"/>
            <w:vAlign w:val="bottom"/>
            <w:tcBorders>
              <w:bottom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3"/>
              </w:rPr>
              <w:t>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1,249,613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1,193,111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5%</w:t>
            </w:r>
          </w:p>
        </w:tc>
      </w:tr>
      <w:tr>
        <w:trPr>
          <w:trHeight w:val="297"/>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191,214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176,577</w:t>
            </w:r>
          </w:p>
        </w:tc>
        <w:tc>
          <w:tcPr>
            <w:tcW w:w="1360" w:type="dxa"/>
            <w:vAlign w:val="bottom"/>
            <w:tcBorders>
              <w:bottom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3"/>
              </w:rPr>
              <w:t>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378,477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356,432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rPr>
              <w:t>6%</w:t>
            </w:r>
          </w:p>
        </w:tc>
      </w:tr>
      <w:tr>
        <w:trPr>
          <w:trHeight w:val="237"/>
        </w:trPr>
        <w:tc>
          <w:tcPr>
            <w:tcW w:w="4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20"/>
                <w:szCs w:val="20"/>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147,656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156,014</w:t>
            </w:r>
          </w:p>
        </w:tc>
        <w:tc>
          <w:tcPr>
            <w:tcW w:w="13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314,096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476,317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(34)%</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43,558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20,563</w:t>
            </w:r>
          </w:p>
        </w:tc>
        <w:tc>
          <w:tcPr>
            <w:tcW w:w="1360" w:type="dxa"/>
            <w:vAlign w:val="bottom"/>
            <w:tcBorders>
              <w:bottom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6"/>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64,381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(119,885)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rPr>
              <w:t>N/A</w:t>
            </w:r>
          </w:p>
        </w:tc>
      </w:tr>
      <w:tr>
        <w:trPr>
          <w:trHeight w:val="237"/>
        </w:trPr>
        <w:tc>
          <w:tcPr>
            <w:tcW w:w="4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(13,009)</w:t>
            </w:r>
          </w:p>
        </w:tc>
        <w:tc>
          <w:tcPr>
            <w:tcW w:w="136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5"/>
              </w:rPr>
              <w:t>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(29,873)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3%</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(3,781)</w:t>
            </w:r>
          </w:p>
        </w:tc>
        <w:tc>
          <w:tcPr>
            <w:tcW w:w="136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7,407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rPr>
              <w:t>N/A</w:t>
            </w:r>
          </w:p>
        </w:tc>
      </w:tr>
      <w:tr>
        <w:trPr>
          <w:trHeight w:val="237"/>
        </w:trPr>
        <w:tc>
          <w:tcPr>
            <w:tcW w:w="4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 attributable to Itron, Inc.</w:t>
            </w:r>
          </w:p>
        </w:tc>
        <w:tc>
          <w:tcPr>
            <w:tcW w:w="300" w:type="dxa"/>
            <w:vAlign w:val="bottom"/>
          </w:tcPr>
          <w:p>
            <w:pPr>
              <w:spacing w:after="0"/>
              <w:rPr>
                <w:sz w:val="20"/>
                <w:szCs w:val="20"/>
                <w:color w:val="auto"/>
              </w:rPr>
            </w:pP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19,446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2,657</w:t>
            </w:r>
          </w:p>
        </w:tc>
        <w:tc>
          <w:tcPr>
            <w:tcW w:w="13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17,539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(143,009)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N/A</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bl>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Non-GAAP</w:t>
      </w:r>
      <w:r>
        <w:rPr>
          <w:rFonts w:ascii="Times New Roman" w:cs="Times New Roman" w:eastAsia="Times New Roman" w:hAnsi="Times New Roman"/>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377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p>
      <w:pPr>
        <w:spacing w:after="0" w:line="45" w:lineRule="exact"/>
        <w:rPr>
          <w:sz w:val="20"/>
          <w:szCs w:val="20"/>
          <w:color w:val="auto"/>
        </w:rPr>
      </w:pPr>
    </w:p>
    <w:p>
      <w:pPr>
        <w:ind w:left="40"/>
        <w:spacing w:after="0"/>
        <w:tabs>
          <w:tab w:leader="none" w:pos="3220" w:val="left"/>
        </w:tabs>
        <w:rPr>
          <w:sz w:val="20"/>
          <w:szCs w:val="20"/>
          <w:color w:val="auto"/>
        </w:rPr>
      </w:pPr>
      <w:r>
        <w:rPr>
          <w:rFonts w:ascii="Times New Roman" w:cs="Times New Roman" w:eastAsia="Times New Roman" w:hAnsi="Times New Roman"/>
          <w:sz w:val="16"/>
          <w:szCs w:val="16"/>
          <w:color w:val="auto"/>
        </w:rPr>
        <w:t>Non-GAAP operating expenses</w:t>
      </w:r>
      <w:r>
        <w:rPr>
          <w:sz w:val="20"/>
          <w:szCs w:val="20"/>
          <w:color w:val="auto"/>
        </w:rPr>
        <w:tab/>
      </w:r>
      <w:r>
        <w:rPr>
          <w:rFonts w:ascii="Times New Roman" w:cs="Times New Roman" w:eastAsia="Times New Roman" w:hAnsi="Times New Roman"/>
          <w:sz w:val="16"/>
          <w:szCs w:val="16"/>
          <w:color w:val="auto"/>
        </w:rPr>
        <w:t>$</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Non-GAAP operating income</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Non-GAAP net income attributable to Itron, Inc.</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Adjusted EBITDA</w:t>
      </w:r>
    </w:p>
    <w:p>
      <w:pPr>
        <w:spacing w:after="0" w:line="381" w:lineRule="exact"/>
        <w:rPr>
          <w:sz w:val="20"/>
          <w:szCs w:val="20"/>
          <w:color w:val="auto"/>
        </w:rPr>
      </w:pPr>
    </w:p>
    <w:p>
      <w:pPr>
        <w:ind w:left="40" w:right="520"/>
        <w:spacing w:after="0" w:line="353" w:lineRule="auto"/>
        <w:rPr>
          <w:sz w:val="20"/>
          <w:szCs w:val="20"/>
          <w:color w:val="auto"/>
        </w:rPr>
      </w:pPr>
      <w:r>
        <w:rPr>
          <w:rFonts w:ascii="Times New Roman" w:cs="Times New Roman" w:eastAsia="Times New Roman" w:hAnsi="Times New Roman"/>
          <w:sz w:val="16"/>
          <w:szCs w:val="16"/>
          <w:b w:val="1"/>
          <w:bCs w:val="1"/>
          <w:u w:val="single" w:color="auto"/>
          <w:color w:val="auto"/>
        </w:rPr>
        <w:t xml:space="preserve">GAAP Margins and Earnings Per Share </w:t>
      </w:r>
      <w:r>
        <w:rPr>
          <w:rFonts w:ascii="Times New Roman" w:cs="Times New Roman" w:eastAsia="Times New Roman" w:hAnsi="Times New Roman"/>
          <w:sz w:val="16"/>
          <w:szCs w:val="16"/>
          <w:color w:val="auto"/>
        </w:rPr>
        <w:t>Gross margin</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Product gross margin</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Service gross margin</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Total gross margin</w:t>
      </w: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Operating margin</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Basic EPS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Diluted EPS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546"/>
        </w:trPr>
        <w:tc>
          <w:tcPr>
            <w:tcW w:w="2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Non-GAAP Earnings Per Share</w:t>
            </w:r>
            <w:r>
              <w:rPr>
                <w:rFonts w:ascii="Times New Roman" w:cs="Times New Roman" w:eastAsia="Times New Roman" w:hAnsi="Times New Roman"/>
                <w:sz w:val="21"/>
                <w:szCs w:val="21"/>
                <w:b w:val="1"/>
                <w:bCs w:val="1"/>
                <w:color w:val="auto"/>
                <w:vertAlign w:val="superscript"/>
              </w:rPr>
              <w:t>(1)</w:t>
            </w:r>
          </w:p>
        </w:tc>
        <w:tc>
          <w:tcPr>
            <w:tcW w:w="540" w:type="dxa"/>
            <w:vAlign w:val="bottom"/>
          </w:tcPr>
          <w:p>
            <w:pPr>
              <w:spacing w:after="0"/>
              <w:rPr>
                <w:sz w:val="24"/>
                <w:szCs w:val="24"/>
                <w:color w:val="auto"/>
              </w:rPr>
            </w:pPr>
          </w:p>
        </w:tc>
      </w:tr>
      <w:tr>
        <w:trPr>
          <w:trHeight w:val="20"/>
        </w:trPr>
        <w:tc>
          <w:tcPr>
            <w:tcW w:w="22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6"/>
              </w:rPr>
              <w:t>128,041</w:t>
            </w:r>
          </w:p>
        </w:tc>
        <w:tc>
          <w:tcPr>
            <w:tcW w:w="4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132,490</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6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258,598</w:t>
            </w:r>
          </w:p>
        </w:tc>
        <w:tc>
          <w:tcPr>
            <w:tcW w:w="4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284,541</w:t>
            </w:r>
          </w:p>
        </w:tc>
        <w:tc>
          <w:tcPr>
            <w:tcW w:w="76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w w:val="99"/>
              </w:rPr>
              <w:t>(9)%</w:t>
            </w:r>
          </w:p>
        </w:tc>
      </w:tr>
      <w:tr>
        <w:trPr>
          <w:trHeight w:val="269"/>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63,173</w:t>
            </w:r>
          </w:p>
        </w:tc>
        <w:tc>
          <w:tcPr>
            <w:tcW w:w="460" w:type="dxa"/>
            <w:vAlign w:val="bottom"/>
          </w:tcPr>
          <w:p>
            <w:pPr>
              <w:spacing w:after="0"/>
              <w:rPr>
                <w:sz w:val="23"/>
                <w:szCs w:val="23"/>
                <w:color w:val="auto"/>
              </w:rPr>
            </w:pPr>
          </w:p>
        </w:tc>
        <w:tc>
          <w:tcPr>
            <w:tcW w:w="11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44,087</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43%</w:t>
            </w:r>
          </w:p>
        </w:tc>
        <w:tc>
          <w:tcPr>
            <w:tcW w:w="6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119,879</w:t>
            </w:r>
          </w:p>
        </w:tc>
        <w:tc>
          <w:tcPr>
            <w:tcW w:w="480" w:type="dxa"/>
            <w:vAlign w:val="bottom"/>
          </w:tcPr>
          <w:p>
            <w:pPr>
              <w:spacing w:after="0"/>
              <w:rPr>
                <w:sz w:val="23"/>
                <w:szCs w:val="23"/>
                <w:color w:val="auto"/>
              </w:rPr>
            </w:pPr>
          </w:p>
        </w:tc>
        <w:tc>
          <w:tcPr>
            <w:tcW w:w="11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71,891</w:t>
            </w:r>
          </w:p>
        </w:tc>
        <w:tc>
          <w:tcPr>
            <w:tcW w:w="7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67%</w:t>
            </w:r>
          </w:p>
        </w:tc>
      </w:tr>
      <w:tr>
        <w:trPr>
          <w:trHeight w:val="270"/>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34,600</w:t>
            </w:r>
          </w:p>
        </w:tc>
        <w:tc>
          <w:tcPr>
            <w:tcW w:w="460" w:type="dxa"/>
            <w:vAlign w:val="bottom"/>
          </w:tcPr>
          <w:p>
            <w:pPr>
              <w:spacing w:after="0"/>
              <w:rPr>
                <w:sz w:val="23"/>
                <w:szCs w:val="23"/>
                <w:color w:val="auto"/>
              </w:rPr>
            </w:pPr>
          </w:p>
        </w:tc>
        <w:tc>
          <w:tcPr>
            <w:tcW w:w="11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20,456</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69%</w:t>
            </w:r>
          </w:p>
        </w:tc>
        <w:tc>
          <w:tcPr>
            <w:tcW w:w="6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62,490</w:t>
            </w:r>
          </w:p>
        </w:tc>
        <w:tc>
          <w:tcPr>
            <w:tcW w:w="480" w:type="dxa"/>
            <w:vAlign w:val="bottom"/>
          </w:tcPr>
          <w:p>
            <w:pPr>
              <w:spacing w:after="0"/>
              <w:rPr>
                <w:sz w:val="23"/>
                <w:szCs w:val="23"/>
                <w:color w:val="auto"/>
              </w:rPr>
            </w:pPr>
          </w:p>
        </w:tc>
        <w:tc>
          <w:tcPr>
            <w:tcW w:w="11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25,550</w:t>
            </w:r>
          </w:p>
        </w:tc>
        <w:tc>
          <w:tcPr>
            <w:tcW w:w="7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145%</w:t>
            </w:r>
          </w:p>
        </w:tc>
      </w:tr>
      <w:tr>
        <w:trPr>
          <w:trHeight w:val="270"/>
        </w:trPr>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72,966</w:t>
            </w:r>
          </w:p>
        </w:tc>
        <w:tc>
          <w:tcPr>
            <w:tcW w:w="460" w:type="dxa"/>
            <w:vAlign w:val="bottom"/>
          </w:tcPr>
          <w:p>
            <w:pPr>
              <w:spacing w:after="0"/>
              <w:rPr>
                <w:sz w:val="23"/>
                <w:szCs w:val="23"/>
                <w:color w:val="auto"/>
              </w:rPr>
            </w:pPr>
          </w:p>
        </w:tc>
        <w:tc>
          <w:tcPr>
            <w:tcW w:w="11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56,882</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28%</w:t>
            </w:r>
          </w:p>
        </w:tc>
        <w:tc>
          <w:tcPr>
            <w:tcW w:w="6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138,724</w:t>
            </w:r>
          </w:p>
        </w:tc>
        <w:tc>
          <w:tcPr>
            <w:tcW w:w="480" w:type="dxa"/>
            <w:vAlign w:val="bottom"/>
          </w:tcPr>
          <w:p>
            <w:pPr>
              <w:spacing w:after="0"/>
              <w:rPr>
                <w:sz w:val="23"/>
                <w:szCs w:val="23"/>
                <w:color w:val="auto"/>
              </w:rPr>
            </w:pPr>
          </w:p>
        </w:tc>
        <w:tc>
          <w:tcPr>
            <w:tcW w:w="11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96,455</w:t>
            </w:r>
          </w:p>
        </w:tc>
        <w:tc>
          <w:tcPr>
            <w:tcW w:w="76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-321310</wp:posOffset>
            </wp:positionV>
            <wp:extent cx="72377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20955</wp:posOffset>
            </wp:positionV>
            <wp:extent cx="723773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18859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381000</wp:posOffset>
            </wp:positionV>
            <wp:extent cx="72377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29.2%</w:t>
            </w:r>
          </w:p>
        </w:tc>
        <w:tc>
          <w:tcPr>
            <w:tcW w:w="520" w:type="dxa"/>
            <w:vAlign w:val="bottom"/>
          </w:tcPr>
          <w:p>
            <w:pPr>
              <w:spacing w:after="0"/>
              <w:rPr>
                <w:sz w:val="18"/>
                <w:szCs w:val="18"/>
                <w:color w:val="auto"/>
              </w:rPr>
            </w:pPr>
          </w:p>
        </w:tc>
        <w:tc>
          <w:tcPr>
            <w:tcW w:w="154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rPr>
              <w:t>29.0%</w:t>
            </w:r>
          </w:p>
        </w:tc>
        <w:tc>
          <w:tcPr>
            <w:tcW w:w="1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28.8 %</w:t>
            </w:r>
          </w:p>
        </w:tc>
      </w:tr>
      <w:tr>
        <w:trPr>
          <w:trHeight w:val="270"/>
        </w:trPr>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38.0%</w:t>
            </w:r>
          </w:p>
        </w:tc>
        <w:tc>
          <w:tcPr>
            <w:tcW w:w="520" w:type="dxa"/>
            <w:vAlign w:val="bottom"/>
          </w:tcPr>
          <w:p>
            <w:pPr>
              <w:spacing w:after="0"/>
              <w:rPr>
                <w:sz w:val="23"/>
                <w:szCs w:val="23"/>
                <w:color w:val="auto"/>
              </w:rPr>
            </w:pPr>
          </w:p>
        </w:tc>
        <w:tc>
          <w:tcPr>
            <w:tcW w:w="154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rPr>
              <w:t>38.9%</w:t>
            </w:r>
          </w:p>
        </w:tc>
        <w:tc>
          <w:tcPr>
            <w:tcW w:w="1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37.7 %</w:t>
            </w:r>
          </w:p>
        </w:tc>
      </w:tr>
      <w:tr>
        <w:trPr>
          <w:trHeight w:val="270"/>
        </w:trPr>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30.1%</w:t>
            </w:r>
          </w:p>
        </w:tc>
        <w:tc>
          <w:tcPr>
            <w:tcW w:w="520" w:type="dxa"/>
            <w:vAlign w:val="bottom"/>
          </w:tcPr>
          <w:p>
            <w:pPr>
              <w:spacing w:after="0"/>
              <w:rPr>
                <w:sz w:val="23"/>
                <w:szCs w:val="23"/>
                <w:color w:val="auto"/>
              </w:rPr>
            </w:pPr>
          </w:p>
        </w:tc>
        <w:tc>
          <w:tcPr>
            <w:tcW w:w="154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rPr>
              <w:t>30.1%</w:t>
            </w:r>
          </w:p>
        </w:tc>
        <w:tc>
          <w:tcPr>
            <w:tcW w:w="1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29.9 %</w:t>
            </w:r>
          </w:p>
        </w:tc>
      </w:tr>
      <w:tr>
        <w:trPr>
          <w:trHeight w:val="567"/>
        </w:trPr>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520" w:type="dxa"/>
            <w:vAlign w:val="bottom"/>
          </w:tcPr>
          <w:p>
            <w:pPr>
              <w:spacing w:after="0"/>
              <w:rPr>
                <w:sz w:val="24"/>
                <w:szCs w:val="24"/>
                <w:color w:val="auto"/>
              </w:rPr>
            </w:pPr>
          </w:p>
        </w:tc>
        <w:tc>
          <w:tcPr>
            <w:tcW w:w="154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rPr>
              <w:t>3.5%</w:t>
            </w:r>
          </w:p>
        </w:tc>
        <w:tc>
          <w:tcPr>
            <w:tcW w:w="1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70"/>
        </w:trPr>
        <w:tc>
          <w:tcPr>
            <w:tcW w:w="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2"/>
              </w:rPr>
              <w:t>0.49</w:t>
            </w:r>
          </w:p>
        </w:tc>
        <w:tc>
          <w:tcPr>
            <w:tcW w:w="5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0.07</w:t>
            </w:r>
          </w:p>
        </w:tc>
        <w:tc>
          <w:tcPr>
            <w:tcW w:w="12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0.44</w:t>
            </w:r>
          </w:p>
        </w:tc>
        <w:tc>
          <w:tcPr>
            <w:tcW w:w="5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(3.66)</w:t>
            </w:r>
          </w:p>
        </w:tc>
      </w:tr>
      <w:tr>
        <w:trPr>
          <w:trHeight w:val="270"/>
        </w:trPr>
        <w:tc>
          <w:tcPr>
            <w:tcW w:w="5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2"/>
              </w:rPr>
              <w:t>0.49</w:t>
            </w:r>
          </w:p>
        </w:tc>
        <w:tc>
          <w:tcPr>
            <w:tcW w:w="5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0.07</w:t>
            </w:r>
          </w:p>
        </w:tc>
        <w:tc>
          <w:tcPr>
            <w:tcW w:w="12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0.44</w:t>
            </w:r>
          </w:p>
        </w:tc>
        <w:tc>
          <w:tcPr>
            <w:tcW w:w="5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-1024890</wp:posOffset>
            </wp:positionV>
            <wp:extent cx="72377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-681355</wp:posOffset>
            </wp:positionV>
            <wp:extent cx="723773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7730" cy="18859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-321310</wp:posOffset>
            </wp:positionV>
            <wp:extent cx="723773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20955</wp:posOffset>
            </wp:positionV>
            <wp:extent cx="723773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7730" cy="205740"/>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398145</wp:posOffset>
            </wp:positionV>
            <wp:extent cx="723773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640" w:lineRule="exact"/>
        <w:rPr>
          <w:sz w:val="20"/>
          <w:szCs w:val="20"/>
          <w:color w:val="auto"/>
        </w:rPr>
      </w:pPr>
    </w:p>
    <w:p>
      <w:pPr>
        <w:sectPr>
          <w:pgSz w:w="11900" w:h="16838" w:orient="portrait"/>
          <w:cols w:equalWidth="0" w:num="2">
            <w:col w:w="3340" w:space="460"/>
            <w:col w:w="7600"/>
          </w:cols>
          <w:pgMar w:left="240" w:top="121" w:right="259" w:bottom="1440" w:gutter="0" w:footer="0" w:header="0"/>
          <w:type w:val="continuous"/>
        </w:sectPr>
      </w:pPr>
    </w:p>
    <w:p>
      <w:pPr>
        <w:ind w:left="40"/>
        <w:spacing w:after="0"/>
        <w:tabs>
          <w:tab w:leader="none" w:pos="3220" w:val="left"/>
          <w:tab w:leader="none" w:pos="4020" w:val="left"/>
          <w:tab w:leader="none" w:pos="4600" w:val="left"/>
          <w:tab w:leader="none" w:pos="5400" w:val="left"/>
          <w:tab w:leader="none" w:pos="7340" w:val="left"/>
          <w:tab w:leader="none" w:pos="8140" w:val="left"/>
          <w:tab w:leader="none" w:pos="8720" w:val="left"/>
          <w:tab w:leader="none" w:pos="9540" w:val="left"/>
        </w:tabs>
        <w:rPr>
          <w:sz w:val="20"/>
          <w:szCs w:val="20"/>
          <w:color w:val="auto"/>
        </w:rPr>
      </w:pPr>
      <w:r>
        <w:rPr>
          <w:rFonts w:ascii="Times New Roman" w:cs="Times New Roman" w:eastAsia="Times New Roman" w:hAnsi="Times New Roman"/>
          <w:sz w:val="16"/>
          <w:szCs w:val="16"/>
          <w:color w:val="auto"/>
        </w:rPr>
        <w:t>Non-GAAP diluted EPS</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0.87</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0.51</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1.57</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0.64</w:t>
      </w:r>
    </w:p>
    <w:p>
      <w:pPr>
        <w:spacing w:after="0" w:line="59" w:lineRule="exact"/>
        <w:rPr>
          <w:sz w:val="20"/>
          <w:szCs w:val="20"/>
          <w:color w:val="auto"/>
        </w:rPr>
      </w:pPr>
    </w:p>
    <w:p>
      <w:pPr>
        <w:ind w:left="340" w:hanging="332"/>
        <w:spacing w:after="0" w:line="219" w:lineRule="auto"/>
        <w:tabs>
          <w:tab w:leader="none" w:pos="34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These measures exclude certain expenses that we do not believe are indicative of our core operating results. See pages 46-48 for information about these non-GAAP measures and reconciliations to the most comparable GAAP measures.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121" w:right="25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Endpoints Summary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is driven significantly by sales of endpoints. We classify our endpoints into two categories:</w:t>
      </w:r>
    </w:p>
    <w:p>
      <w:pPr>
        <w:spacing w:after="0" w:line="151" w:lineRule="exact"/>
        <w:rPr>
          <w:sz w:val="20"/>
          <w:szCs w:val="20"/>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Standard Endpoints </w:t>
      </w:r>
      <w:r>
        <w:rPr>
          <w:rFonts w:ascii="Times New Roman" w:cs="Times New Roman" w:eastAsia="Times New Roman" w:hAnsi="Times New Roman"/>
          <w:sz w:val="18"/>
          <w:szCs w:val="18"/>
          <w:color w:val="auto"/>
        </w:rPr>
        <w:t>– an Itron product delivered primarily via our Device Solutions segment. The majority of our standard endpoint devices are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delivery and metrology in the electricity, water, and gas distribution industries, and have no built-in remote reading communication technology. However, some standard endpoint devices are shipped with non-Itron communications capabilities and are not a part of an Itron solution, such as the Smart Spec or Linky meter, and are classified as a standard endpoint.</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Networked Endpoints </w:t>
      </w:r>
      <w:r>
        <w:rPr>
          <w:rFonts w:ascii="Times New Roman" w:cs="Times New Roman" w:eastAsia="Times New Roman" w:hAnsi="Times New Roman"/>
          <w:sz w:val="18"/>
          <w:szCs w:val="18"/>
          <w:color w:val="auto"/>
        </w:rPr>
        <w:t>– an Itron product with one-way communication or two-way communication of data including remote device configuration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upgrade (consisting primarily of our OpenWay® or Gen X technology). This primarily includes Itron devices used in electricity, water, and gas distribution industries delivered via our Networked Solutions segment. Networked endpoints also include smart communication modules and network interface cards (NICs). NICs are communicating modules that can be sold separately from the device directly to our customers or to third party manufacturers for use in endpoints such as electric, water, and gas meters; streetlights and smart city devices; sensors or another standard device that the end customer would like to connect to our OpenWay or Gen X Networked Solutions. These endpoints are primarily delivered via our Networked Solutions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endpoints shipped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3660" w:type="dxa"/>
            <w:vAlign w:val="bottom"/>
            <w:gridSpan w:val="4"/>
          </w:tcPr>
          <w:p>
            <w:pPr>
              <w:ind w:left="7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520" w:type="dxa"/>
            <w:vAlign w:val="bottom"/>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Units in thousands</w:t>
            </w:r>
          </w:p>
        </w:tc>
        <w:tc>
          <w:tcPr>
            <w:tcW w:w="17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17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7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7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4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Itron Endpoints</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xml:space="preserve">Standard endpoints </w:t>
            </w:r>
            <w:r>
              <w:rPr>
                <w:rFonts w:ascii="Times New Roman" w:cs="Times New Roman" w:eastAsia="Times New Roman" w:hAnsi="Times New Roman"/>
                <w:sz w:val="21"/>
                <w:szCs w:val="21"/>
                <w:color w:val="auto"/>
                <w:vertAlign w:val="superscript"/>
              </w:rPr>
              <w:t>(1)</w:t>
            </w:r>
          </w:p>
        </w:tc>
        <w:tc>
          <w:tcPr>
            <w:tcW w:w="1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5,570</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5,860</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11,040</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11,640</w:t>
            </w:r>
          </w:p>
        </w:tc>
      </w:tr>
      <w:tr>
        <w:trPr>
          <w:trHeight w:val="270"/>
        </w:trPr>
        <w:tc>
          <w:tcPr>
            <w:tcW w:w="42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 xml:space="preserve">Networked endpoints </w:t>
            </w:r>
            <w:r>
              <w:rPr>
                <w:rFonts w:ascii="Times New Roman" w:cs="Times New Roman" w:eastAsia="Times New Roman" w:hAnsi="Times New Roman"/>
                <w:sz w:val="21"/>
                <w:szCs w:val="21"/>
                <w:color w:val="auto"/>
                <w:vertAlign w:val="superscript"/>
              </w:rPr>
              <w:t>(1)</w:t>
            </w:r>
          </w:p>
        </w:tc>
        <w:tc>
          <w:tcPr>
            <w:tcW w:w="1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4,260</w:t>
            </w:r>
          </w:p>
        </w:tc>
        <w:tc>
          <w:tcPr>
            <w:tcW w:w="120" w:type="dxa"/>
            <w:vAlign w:val="bottom"/>
            <w:tcBorders>
              <w:bottom w:val="single" w:sz="8" w:color="CCEEFF"/>
            </w:tcBorders>
          </w:tcPr>
          <w:p>
            <w:pPr>
              <w:spacing w:after="0"/>
              <w:rPr>
                <w:sz w:val="23"/>
                <w:szCs w:val="23"/>
                <w:color w:val="auto"/>
              </w:rPr>
            </w:pPr>
          </w:p>
        </w:tc>
        <w:tc>
          <w:tcPr>
            <w:tcW w:w="1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3,570</w:t>
            </w:r>
          </w:p>
        </w:tc>
        <w:tc>
          <w:tcPr>
            <w:tcW w:w="100" w:type="dxa"/>
            <w:vAlign w:val="bottom"/>
            <w:tcBorders>
              <w:bottom w:val="single" w:sz="8" w:color="CCEEFF"/>
            </w:tcBorders>
          </w:tcPr>
          <w:p>
            <w:pPr>
              <w:spacing w:after="0"/>
              <w:rPr>
                <w:sz w:val="23"/>
                <w:szCs w:val="23"/>
                <w:color w:val="auto"/>
              </w:rPr>
            </w:pPr>
          </w:p>
        </w:tc>
        <w:tc>
          <w:tcPr>
            <w:tcW w:w="1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8,240</w:t>
            </w:r>
          </w:p>
        </w:tc>
        <w:tc>
          <w:tcPr>
            <w:tcW w:w="100" w:type="dxa"/>
            <w:vAlign w:val="bottom"/>
            <w:tcBorders>
              <w:bottom w:val="single" w:sz="8" w:color="CCEEFF"/>
            </w:tcBorders>
          </w:tcPr>
          <w:p>
            <w:pPr>
              <w:spacing w:after="0"/>
              <w:rPr>
                <w:sz w:val="23"/>
                <w:szCs w:val="23"/>
                <w:color w:val="auto"/>
              </w:rPr>
            </w:pPr>
          </w:p>
        </w:tc>
        <w:tc>
          <w:tcPr>
            <w:tcW w:w="1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7,470</w:t>
            </w:r>
          </w:p>
        </w:tc>
      </w:tr>
      <w:tr>
        <w:trPr>
          <w:trHeight w:val="244"/>
        </w:trPr>
        <w:tc>
          <w:tcPr>
            <w:tcW w:w="42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endpoints</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9,830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9,430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19,280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19,110</w:t>
            </w:r>
          </w:p>
        </w:tc>
      </w:tr>
    </w:tbl>
    <w:p>
      <w:pPr>
        <w:spacing w:after="0" w:line="13" w:lineRule="exact"/>
        <w:rPr>
          <w:sz w:val="20"/>
          <w:szCs w:val="20"/>
          <w:color w:val="auto"/>
        </w:rPr>
      </w:pPr>
    </w:p>
    <w:p>
      <w:pPr>
        <w:jc w:val="both"/>
        <w:ind w:left="340" w:hanging="332"/>
        <w:spacing w:after="0" w:line="231" w:lineRule="auto"/>
        <w:tabs>
          <w:tab w:leader="none" w:pos="34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As of the second quarter of 2019, we have refined the definition of a standard endpoint to more closely align to the segment performance of Device Solutions and Networked Solutions as reported in the Operating Segment Results section below. The quantities presented for the three and six months ended June 30, 2018 and for the three months ended March 31, 2019, as included in the six-month period for 2019, have been recast to align with the refined definitions of standard and networked endpoints. The total endpoints shipped for each period is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-490855</wp:posOffset>
            </wp:positionV>
            <wp:extent cx="45624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and effects of changes in foreign currency exchange rates in revenues and gross profit were as follows:</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1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80" w:type="dxa"/>
            <w:vAlign w:val="bottom"/>
            <w:gridSpan w:val="4"/>
            <w:vMerge w:val="restart"/>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7"/>
                <w:szCs w:val="17"/>
                <w:color w:val="auto"/>
              </w:rPr>
            </w:pP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1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18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560" w:type="dxa"/>
            <w:vAlign w:val="bottom"/>
            <w:gridSpan w:val="3"/>
            <w:vMerge w:val="restart"/>
          </w:tcPr>
          <w:p>
            <w:pPr>
              <w:jc w:val="center"/>
              <w:ind w:right="120"/>
              <w:spacing w:after="0" w:line="145" w:lineRule="exact"/>
              <w:rPr>
                <w:sz w:val="20"/>
                <w:szCs w:val="20"/>
                <w:color w:val="auto"/>
              </w:rPr>
            </w:pPr>
            <w:r>
              <w:rPr>
                <w:rFonts w:ascii="Times New Roman" w:cs="Times New Roman" w:eastAsia="Times New Roman" w:hAnsi="Times New Roman"/>
                <w:sz w:val="16"/>
                <w:szCs w:val="16"/>
                <w:b w:val="1"/>
                <w:bCs w:val="1"/>
                <w:color w:val="auto"/>
                <w:w w:val="99"/>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Pr>
          <w:p>
            <w:pPr>
              <w:spacing w:after="0"/>
              <w:rPr>
                <w:sz w:val="22"/>
                <w:szCs w:val="22"/>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40" w:type="dxa"/>
            <w:vAlign w:val="bottom"/>
          </w:tcPr>
          <w:p>
            <w:pPr>
              <w:spacing w:after="0"/>
              <w:rPr>
                <w:sz w:val="22"/>
                <w:szCs w:val="22"/>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5"/>
              </w:rPr>
              <w:t>Change</w:t>
            </w:r>
            <w:r>
              <w:rPr>
                <w:rFonts w:ascii="Times New Roman" w:cs="Times New Roman" w:eastAsia="Times New Roman" w:hAnsi="Times New Roman"/>
                <w:sz w:val="21"/>
                <w:szCs w:val="21"/>
                <w:b w:val="1"/>
                <w:bCs w:val="1"/>
                <w:color w:val="auto"/>
                <w:w w:val="95"/>
                <w:vertAlign w:val="superscript"/>
              </w:rPr>
              <w:t>(1)</w:t>
            </w:r>
          </w:p>
        </w:tc>
        <w:tc>
          <w:tcPr>
            <w:tcW w:w="180" w:type="dxa"/>
            <w:vAlign w:val="bottom"/>
          </w:tcPr>
          <w:p>
            <w:pPr>
              <w:spacing w:after="0"/>
              <w:rPr>
                <w:sz w:val="22"/>
                <w:szCs w:val="22"/>
                <w:color w:val="auto"/>
              </w:rPr>
            </w:pP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rPr>
                <w:sz w:val="1"/>
                <w:szCs w:val="1"/>
                <w:color w:val="auto"/>
              </w:rPr>
            </w:pPr>
          </w:p>
        </w:tc>
      </w:tr>
      <w:tr>
        <w:trPr>
          <w:trHeight w:val="231"/>
        </w:trPr>
        <w:tc>
          <w:tcPr>
            <w:tcW w:w="31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635,037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585,890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64,863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49,147</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191,214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176,577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18,134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14,637</w:t>
            </w:r>
          </w:p>
        </w:tc>
        <w:tc>
          <w:tcPr>
            <w:tcW w:w="0" w:type="dxa"/>
            <w:vAlign w:val="bottom"/>
          </w:tcPr>
          <w:p>
            <w:pPr>
              <w:spacing w:after="0"/>
              <w:rPr>
                <w:sz w:val="1"/>
                <w:szCs w:val="1"/>
                <w:color w:val="auto"/>
              </w:rPr>
            </w:pPr>
          </w:p>
        </w:tc>
      </w:tr>
      <w:tr>
        <w:trPr>
          <w:trHeight w:val="679"/>
        </w:trPr>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80" w:type="dxa"/>
            <w:vAlign w:val="bottom"/>
            <w:gridSpan w:val="4"/>
            <w:vMerge w:val="restart"/>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 w:type="dxa"/>
            <w:vAlign w:val="bottom"/>
          </w:tcPr>
          <w:p>
            <w:pPr>
              <w:spacing w:after="0"/>
              <w:rPr>
                <w:sz w:val="24"/>
                <w:szCs w:val="24"/>
                <w:color w:val="auto"/>
              </w:rPr>
            </w:pP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18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560" w:type="dxa"/>
            <w:vAlign w:val="bottom"/>
            <w:gridSpan w:val="3"/>
            <w:vMerge w:val="restart"/>
          </w:tcPr>
          <w:p>
            <w:pPr>
              <w:jc w:val="center"/>
              <w:ind w:right="120"/>
              <w:spacing w:after="0" w:line="145" w:lineRule="exact"/>
              <w:rPr>
                <w:sz w:val="20"/>
                <w:szCs w:val="20"/>
                <w:color w:val="auto"/>
              </w:rPr>
            </w:pPr>
            <w:r>
              <w:rPr>
                <w:rFonts w:ascii="Times New Roman" w:cs="Times New Roman" w:eastAsia="Times New Roman" w:hAnsi="Times New Roman"/>
                <w:sz w:val="16"/>
                <w:szCs w:val="16"/>
                <w:b w:val="1"/>
                <w:bCs w:val="1"/>
                <w:color w:val="auto"/>
                <w:w w:val="99"/>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40" w:type="dxa"/>
            <w:vAlign w:val="bottom"/>
          </w:tcPr>
          <w:p>
            <w:pPr>
              <w:spacing w:after="0"/>
              <w:rPr>
                <w:sz w:val="22"/>
                <w:szCs w:val="22"/>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5"/>
              </w:rPr>
              <w:t>Change</w:t>
            </w:r>
            <w:r>
              <w:rPr>
                <w:rFonts w:ascii="Times New Roman" w:cs="Times New Roman" w:eastAsia="Times New Roman" w:hAnsi="Times New Roman"/>
                <w:sz w:val="21"/>
                <w:szCs w:val="21"/>
                <w:b w:val="1"/>
                <w:bCs w:val="1"/>
                <w:color w:val="auto"/>
                <w:w w:val="95"/>
                <w:vertAlign w:val="superscript"/>
              </w:rPr>
              <w:t>(1)</w:t>
            </w:r>
          </w:p>
        </w:tc>
        <w:tc>
          <w:tcPr>
            <w:tcW w:w="180" w:type="dxa"/>
            <w:vAlign w:val="bottom"/>
          </w:tcPr>
          <w:p>
            <w:pPr>
              <w:spacing w:after="0"/>
              <w:rPr>
                <w:sz w:val="22"/>
                <w:szCs w:val="22"/>
                <w:color w:val="auto"/>
              </w:rPr>
            </w:pP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rPr>
                <w:sz w:val="1"/>
                <w:szCs w:val="1"/>
                <w:color w:val="auto"/>
              </w:rPr>
            </w:pPr>
          </w:p>
        </w:tc>
      </w:tr>
      <w:tr>
        <w:trPr>
          <w:trHeight w:val="231"/>
        </w:trPr>
        <w:tc>
          <w:tcPr>
            <w:tcW w:w="31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1,249,613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1,193,111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56,502</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378,477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356,432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30,556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22,045</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hanging="332"/>
        <w:spacing w:after="0" w:line="219" w:lineRule="auto"/>
        <w:tabs>
          <w:tab w:leader="none" w:pos="34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Constant currency change is a non-GAAP financial measure and represents the total change between periods excluding the effect of changes in foreign currency exchange rates.</w:t>
      </w: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22222"/>
        </w:rPr>
        <w:t xml:space="preserve">Revenues increased $49.1 million, or 8%, for the </w:t>
      </w:r>
      <w:r>
        <w:rPr>
          <w:rFonts w:ascii="Times New Roman" w:cs="Times New Roman" w:eastAsia="Times New Roman" w:hAnsi="Times New Roman"/>
          <w:sz w:val="18"/>
          <w:szCs w:val="18"/>
          <w:color w:val="000000"/>
        </w:rPr>
        <w:t>three months ended June 30, 2019</w:t>
      </w:r>
      <w:r>
        <w:rPr>
          <w:rFonts w:ascii="Times New Roman" w:cs="Times New Roman" w:eastAsia="Times New Roman" w:hAnsi="Times New Roman"/>
          <w:sz w:val="18"/>
          <w:szCs w:val="18"/>
          <w:color w:val="222222"/>
        </w:rPr>
        <w:t xml:space="preserve">, compared with the same period in </w:t>
      </w:r>
      <w:r>
        <w:rPr>
          <w:rFonts w:ascii="Times New Roman" w:cs="Times New Roman" w:eastAsia="Times New Roman" w:hAnsi="Times New Roman"/>
          <w:sz w:val="18"/>
          <w:szCs w:val="18"/>
          <w:color w:val="000000"/>
        </w:rPr>
        <w:t>2018</w:t>
      </w:r>
      <w:r>
        <w:rPr>
          <w:rFonts w:ascii="Times New Roman" w:cs="Times New Roman" w:eastAsia="Times New Roman" w:hAnsi="Times New Roman"/>
          <w:sz w:val="18"/>
          <w:szCs w:val="18"/>
          <w:color w:val="222222"/>
        </w:rPr>
        <w:t xml:space="preserve">. This growth for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months ended June 30, 2019 </w:t>
      </w:r>
      <w:r>
        <w:rPr>
          <w:rFonts w:ascii="Times New Roman" w:cs="Times New Roman" w:eastAsia="Times New Roman" w:hAnsi="Times New Roman"/>
          <w:sz w:val="18"/>
          <w:szCs w:val="18"/>
          <w:color w:val="222222"/>
        </w:rPr>
        <w:t>was driven primarily by the Networked Solutions segment, which increased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22222"/>
        </w:rPr>
        <w:t xml:space="preserve">$59.8 million for the </w:t>
      </w:r>
      <w:r>
        <w:rPr>
          <w:rFonts w:ascii="Times New Roman" w:cs="Times New Roman" w:eastAsia="Times New Roman" w:hAnsi="Times New Roman"/>
          <w:sz w:val="18"/>
          <w:szCs w:val="18"/>
          <w:color w:val="000000"/>
        </w:rPr>
        <w:t>three months ended June 30, 2019</w:t>
      </w:r>
      <w:r>
        <w:rPr>
          <w:rFonts w:ascii="Times New Roman" w:cs="Times New Roman" w:eastAsia="Times New Roman" w:hAnsi="Times New Roman"/>
          <w:sz w:val="18"/>
          <w:szCs w:val="18"/>
          <w:color w:val="222222"/>
        </w:rPr>
        <w:t xml:space="preserve">. For the </w:t>
      </w:r>
      <w:r>
        <w:rPr>
          <w:rFonts w:ascii="Times New Roman" w:cs="Times New Roman" w:eastAsia="Times New Roman" w:hAnsi="Times New Roman"/>
          <w:sz w:val="18"/>
          <w:szCs w:val="18"/>
          <w:color w:val="000000"/>
        </w:rPr>
        <w:t>three months ended June 30, 2019</w:t>
      </w:r>
      <w:r>
        <w:rPr>
          <w:rFonts w:ascii="Times New Roman" w:cs="Times New Roman" w:eastAsia="Times New Roman" w:hAnsi="Times New Roman"/>
          <w:sz w:val="18"/>
          <w:szCs w:val="18"/>
          <w:color w:val="222222"/>
        </w:rPr>
        <w:t xml:space="preserve">, the Outcomes segment increased revenue by $7.8 million when compared with 2018, and the Device Solutions segment revenue decreased by $18.4 million. Changes in exchange rates unfavorably impacted total revenues by $15.7 million during the second quarter, of which $12.1 million unfavorably impacted the Device Solutions segment total revenue. Product revenues during the second quarter of </w:t>
      </w:r>
      <w:r>
        <w:rPr>
          <w:rFonts w:ascii="Times New Roman" w:cs="Times New Roman" w:eastAsia="Times New Roman" w:hAnsi="Times New Roman"/>
          <w:sz w:val="18"/>
          <w:szCs w:val="18"/>
          <w:color w:val="000000"/>
        </w:rPr>
        <w:t>2019</w:t>
      </w:r>
      <w:r>
        <w:rPr>
          <w:rFonts w:ascii="Times New Roman" w:cs="Times New Roman" w:eastAsia="Times New Roman" w:hAnsi="Times New Roman"/>
          <w:sz w:val="18"/>
          <w:szCs w:val="18"/>
          <w:color w:val="222222"/>
        </w:rPr>
        <w:t xml:space="preserve"> increased $50.1 million, or 10%. Service revenues during the second quarter of </w:t>
      </w:r>
      <w:r>
        <w:rPr>
          <w:rFonts w:ascii="Times New Roman" w:cs="Times New Roman" w:eastAsia="Times New Roman" w:hAnsi="Times New Roman"/>
          <w:sz w:val="18"/>
          <w:szCs w:val="18"/>
          <w:color w:val="000000"/>
        </w:rPr>
        <w:t>2019</w:t>
      </w:r>
      <w:r>
        <w:rPr>
          <w:rFonts w:ascii="Times New Roman" w:cs="Times New Roman" w:eastAsia="Times New Roman" w:hAnsi="Times New Roman"/>
          <w:sz w:val="18"/>
          <w:szCs w:val="18"/>
          <w:color w:val="222222"/>
        </w:rPr>
        <w:t xml:space="preserve"> decreased slightly by $1.0 million, or 1%.</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22222"/>
        </w:rPr>
        <w:t xml:space="preserve">Revenues increased $56.5 million, or 5%, for the six months ended </w:t>
      </w:r>
      <w:r>
        <w:rPr>
          <w:rFonts w:ascii="Times New Roman" w:cs="Times New Roman" w:eastAsia="Times New Roman" w:hAnsi="Times New Roman"/>
          <w:sz w:val="18"/>
          <w:szCs w:val="18"/>
          <w:color w:val="000000"/>
        </w:rPr>
        <w:t>June 30, 2019</w:t>
      </w:r>
      <w:r>
        <w:rPr>
          <w:rFonts w:ascii="Times New Roman" w:cs="Times New Roman" w:eastAsia="Times New Roman" w:hAnsi="Times New Roman"/>
          <w:sz w:val="18"/>
          <w:szCs w:val="18"/>
          <w:color w:val="222222"/>
        </w:rPr>
        <w:t xml:space="preserve">, compared with the same period in </w:t>
      </w:r>
      <w:r>
        <w:rPr>
          <w:rFonts w:ascii="Times New Roman" w:cs="Times New Roman" w:eastAsia="Times New Roman" w:hAnsi="Times New Roman"/>
          <w:sz w:val="18"/>
          <w:szCs w:val="18"/>
          <w:color w:val="000000"/>
        </w:rPr>
        <w:t>2018. New deployments in the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Networked Solutions segment increased revenue by $93.8 million </w:t>
      </w:r>
      <w:r>
        <w:rPr>
          <w:rFonts w:ascii="Times New Roman" w:cs="Times New Roman" w:eastAsia="Times New Roman" w:hAnsi="Times New Roman"/>
          <w:sz w:val="18"/>
          <w:szCs w:val="18"/>
          <w:color w:val="222222"/>
        </w:rPr>
        <w:t>for</w:t>
      </w:r>
      <w:r>
        <w:rPr>
          <w:rFonts w:ascii="Times New Roman" w:cs="Times New Roman" w:eastAsia="Times New Roman" w:hAnsi="Times New Roman"/>
          <w:sz w:val="18"/>
          <w:szCs w:val="18"/>
          <w:color w:val="000000"/>
        </w:rPr>
        <w:t xml:space="preserve"> the </w:t>
      </w:r>
      <w:r>
        <w:rPr>
          <w:rFonts w:ascii="Times New Roman" w:cs="Times New Roman" w:eastAsia="Times New Roman" w:hAnsi="Times New Roman"/>
          <w:sz w:val="18"/>
          <w:szCs w:val="18"/>
          <w:color w:val="222222"/>
        </w:rPr>
        <w:t>six months ended</w:t>
      </w:r>
      <w:r>
        <w:rPr>
          <w:rFonts w:ascii="Times New Roman" w:cs="Times New Roman" w:eastAsia="Times New Roman" w:hAnsi="Times New Roman"/>
          <w:sz w:val="18"/>
          <w:szCs w:val="18"/>
          <w:color w:val="000000"/>
        </w:rPr>
        <w:t xml:space="preserve"> June 30, 2019 as compared with the same period in 2018</w:t>
      </w:r>
      <w:r>
        <w:rPr>
          <w:rFonts w:ascii="Times New Roman" w:cs="Times New Roman" w:eastAsia="Times New Roman" w:hAnsi="Times New Roman"/>
          <w:sz w:val="18"/>
          <w:szCs w:val="18"/>
          <w:color w:val="222222"/>
        </w:rPr>
        <w:t>. For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 xml:space="preserve">six months ended </w:t>
      </w:r>
      <w:r>
        <w:rPr>
          <w:rFonts w:ascii="Times New Roman" w:cs="Times New Roman" w:eastAsia="Times New Roman" w:hAnsi="Times New Roman"/>
          <w:sz w:val="18"/>
          <w:szCs w:val="18"/>
          <w:color w:val="000000"/>
        </w:rPr>
        <w:t>June 30, 2019</w:t>
      </w:r>
      <w:r>
        <w:rPr>
          <w:rFonts w:ascii="Times New Roman" w:cs="Times New Roman" w:eastAsia="Times New Roman" w:hAnsi="Times New Roman"/>
          <w:sz w:val="18"/>
          <w:szCs w:val="18"/>
          <w:color w:val="222222"/>
        </w:rPr>
        <w:t xml:space="preserve">, the Outcomes segment increased revenue by $8.7 million when compared with the same period last year, and the Device Solutions segment revenue decreased by $46.0 million. </w:t>
      </w:r>
      <w:r>
        <w:rPr>
          <w:rFonts w:ascii="Times New Roman" w:cs="Times New Roman" w:eastAsia="Times New Roman" w:hAnsi="Times New Roman"/>
          <w:sz w:val="18"/>
          <w:szCs w:val="18"/>
          <w:color w:val="000000"/>
        </w:rPr>
        <w:t>During the</w:t>
      </w:r>
      <w:r>
        <w:rPr>
          <w:rFonts w:ascii="Times New Roman" w:cs="Times New Roman" w:eastAsia="Times New Roman" w:hAnsi="Times New Roman"/>
          <w:sz w:val="18"/>
          <w:szCs w:val="18"/>
          <w:color w:val="222222"/>
        </w:rPr>
        <w:t xml:space="preserve"> six months ended </w:t>
      </w:r>
      <w:r>
        <w:rPr>
          <w:rFonts w:ascii="Times New Roman" w:cs="Times New Roman" w:eastAsia="Times New Roman" w:hAnsi="Times New Roman"/>
          <w:sz w:val="18"/>
          <w:szCs w:val="18"/>
          <w:color w:val="000000"/>
        </w:rPr>
        <w:t>June 30, 2019</w:t>
      </w:r>
      <w:r>
        <w:rPr>
          <w:rFonts w:ascii="Times New Roman" w:cs="Times New Roman" w:eastAsia="Times New Roman" w:hAnsi="Times New Roman"/>
          <w:sz w:val="18"/>
          <w:szCs w:val="18"/>
          <w:color w:val="222222"/>
        </w:rPr>
        <w:t>, c</w:t>
      </w:r>
      <w:r>
        <w:rPr>
          <w:rFonts w:ascii="Times New Roman" w:cs="Times New Roman" w:eastAsia="Times New Roman" w:hAnsi="Times New Roman"/>
          <w:sz w:val="18"/>
          <w:szCs w:val="18"/>
          <w:color w:val="000000"/>
        </w:rPr>
        <w:t>hanges in exchange rates unfavorably impacted total</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revenues by $37.7 million, of which $29.1 million unfavorably impacted the Device Solutions segment total revenue. </w:t>
      </w:r>
      <w:r>
        <w:rPr>
          <w:rFonts w:ascii="Times New Roman" w:cs="Times New Roman" w:eastAsia="Times New Roman" w:hAnsi="Times New Roman"/>
          <w:sz w:val="18"/>
          <w:szCs w:val="18"/>
          <w:color w:val="222222"/>
        </w:rPr>
        <w:t>For the six months ended</w:t>
      </w:r>
      <w:r>
        <w:rPr>
          <w:rFonts w:ascii="Times New Roman" w:cs="Times New Roman" w:eastAsia="Times New Roman" w:hAnsi="Times New Roman"/>
          <w:sz w:val="18"/>
          <w:szCs w:val="18"/>
          <w:color w:val="000000"/>
        </w:rPr>
        <w:t xml:space="preserve"> June 30, 2019, new deployments increased product revenues by $57.9 million as compared with the same period in 2018. Service revenues decreased slightly by $1.4 million during the </w:t>
      </w:r>
      <w:r>
        <w:rPr>
          <w:rFonts w:ascii="Times New Roman" w:cs="Times New Roman" w:eastAsia="Times New Roman" w:hAnsi="Times New Roman"/>
          <w:sz w:val="18"/>
          <w:szCs w:val="18"/>
          <w:color w:val="222222"/>
        </w:rPr>
        <w:t>six months ended</w:t>
      </w:r>
      <w:r>
        <w:rPr>
          <w:rFonts w:ascii="Times New Roman" w:cs="Times New Roman" w:eastAsia="Times New Roman" w:hAnsi="Times New Roman"/>
          <w:sz w:val="18"/>
          <w:szCs w:val="18"/>
          <w:color w:val="000000"/>
        </w:rPr>
        <w:t xml:space="preserve"> June 30, 2019 as compared with 2018.</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22222"/>
        </w:rPr>
        <w:t xml:space="preserve">Gross margin was flat at 30.1% for the </w:t>
      </w:r>
      <w:r>
        <w:rPr>
          <w:rFonts w:ascii="Times New Roman" w:cs="Times New Roman" w:eastAsia="Times New Roman" w:hAnsi="Times New Roman"/>
          <w:sz w:val="18"/>
          <w:szCs w:val="18"/>
          <w:color w:val="000000"/>
        </w:rPr>
        <w:t>three months ended June 30, 2019</w:t>
      </w:r>
      <w:r>
        <w:rPr>
          <w:rFonts w:ascii="Times New Roman" w:cs="Times New Roman" w:eastAsia="Times New Roman" w:hAnsi="Times New Roman"/>
          <w:sz w:val="18"/>
          <w:szCs w:val="18"/>
          <w:color w:val="222222"/>
        </w:rPr>
        <w:t xml:space="preserve">, compared with the same period in </w:t>
      </w:r>
      <w:r>
        <w:rPr>
          <w:rFonts w:ascii="Times New Roman" w:cs="Times New Roman" w:eastAsia="Times New Roman" w:hAnsi="Times New Roman"/>
          <w:sz w:val="18"/>
          <w:szCs w:val="18"/>
          <w:color w:val="000000"/>
        </w:rPr>
        <w:t>2018</w:t>
      </w:r>
      <w:r>
        <w:rPr>
          <w:rFonts w:ascii="Times New Roman" w:cs="Times New Roman" w:eastAsia="Times New Roman" w:hAnsi="Times New Roman"/>
          <w:sz w:val="18"/>
          <w:szCs w:val="18"/>
          <w:color w:val="222222"/>
        </w:rPr>
        <w:t xml:space="preserve">. Our gross margin associated with product sales increased to 29.2% for the </w:t>
      </w:r>
      <w:r>
        <w:rPr>
          <w:rFonts w:ascii="Times New Roman" w:cs="Times New Roman" w:eastAsia="Times New Roman" w:hAnsi="Times New Roman"/>
          <w:sz w:val="18"/>
          <w:szCs w:val="18"/>
          <w:color w:val="000000"/>
        </w:rPr>
        <w:t>three months ended June 30, 2019</w:t>
      </w:r>
      <w:r>
        <w:rPr>
          <w:rFonts w:ascii="Times New Roman" w:cs="Times New Roman" w:eastAsia="Times New Roman" w:hAnsi="Times New Roman"/>
          <w:sz w:val="18"/>
          <w:szCs w:val="18"/>
          <w:color w:val="222222"/>
        </w:rPr>
        <w:t xml:space="preserve">, compared with 29.0% for the same period in </w:t>
      </w:r>
      <w:r>
        <w:rPr>
          <w:rFonts w:ascii="Times New Roman" w:cs="Times New Roman" w:eastAsia="Times New Roman" w:hAnsi="Times New Roman"/>
          <w:sz w:val="18"/>
          <w:szCs w:val="18"/>
          <w:color w:val="000000"/>
        </w:rPr>
        <w:t>2018</w:t>
      </w:r>
      <w:r>
        <w:rPr>
          <w:rFonts w:ascii="Times New Roman" w:cs="Times New Roman" w:eastAsia="Times New Roman" w:hAnsi="Times New Roman"/>
          <w:sz w:val="18"/>
          <w:szCs w:val="18"/>
          <w:color w:val="222222"/>
        </w:rPr>
        <w:t xml:space="preserve">. Gross margin associated with our service revenues decreased to 38.0% for the </w:t>
      </w:r>
      <w:r>
        <w:rPr>
          <w:rFonts w:ascii="Times New Roman" w:cs="Times New Roman" w:eastAsia="Times New Roman" w:hAnsi="Times New Roman"/>
          <w:sz w:val="18"/>
          <w:szCs w:val="18"/>
          <w:color w:val="000000"/>
        </w:rPr>
        <w:t>three months ended June 30, 2019</w:t>
      </w:r>
      <w:r>
        <w:rPr>
          <w:rFonts w:ascii="Times New Roman" w:cs="Times New Roman" w:eastAsia="Times New Roman" w:hAnsi="Times New Roman"/>
          <w:sz w:val="18"/>
          <w:szCs w:val="18"/>
          <w:color w:val="222222"/>
        </w:rPr>
        <w:t xml:space="preserve">, compared with 38.9% for the same period in </w:t>
      </w:r>
      <w:r>
        <w:rPr>
          <w:rFonts w:ascii="Times New Roman" w:cs="Times New Roman" w:eastAsia="Times New Roman" w:hAnsi="Times New Roman"/>
          <w:sz w:val="18"/>
          <w:szCs w:val="18"/>
          <w:color w:val="000000"/>
        </w:rPr>
        <w:t>2018</w:t>
      </w:r>
      <w:r>
        <w:rPr>
          <w:rFonts w:ascii="Times New Roman" w:cs="Times New Roman" w:eastAsia="Times New Roman" w:hAnsi="Times New Roman"/>
          <w:sz w:val="18"/>
          <w:szCs w:val="18"/>
          <w:color w:val="222222"/>
        </w:rPr>
        <w:t>.</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22222"/>
        </w:rPr>
        <w:t xml:space="preserve">Gross margin for the six months ended </w:t>
      </w:r>
      <w:r>
        <w:rPr>
          <w:rFonts w:ascii="Times New Roman" w:cs="Times New Roman" w:eastAsia="Times New Roman" w:hAnsi="Times New Roman"/>
          <w:sz w:val="18"/>
          <w:szCs w:val="18"/>
          <w:color w:val="000000"/>
        </w:rPr>
        <w:t>June 30, 2019</w:t>
      </w:r>
      <w:r>
        <w:rPr>
          <w:rFonts w:ascii="Times New Roman" w:cs="Times New Roman" w:eastAsia="Times New Roman" w:hAnsi="Times New Roman"/>
          <w:sz w:val="18"/>
          <w:szCs w:val="18"/>
          <w:color w:val="222222"/>
        </w:rPr>
        <w:t xml:space="preserve"> was 30.3%, compared with 29.9% for the same period in </w:t>
      </w:r>
      <w:r>
        <w:rPr>
          <w:rFonts w:ascii="Times New Roman" w:cs="Times New Roman" w:eastAsia="Times New Roman" w:hAnsi="Times New Roman"/>
          <w:sz w:val="18"/>
          <w:szCs w:val="18"/>
          <w:color w:val="000000"/>
        </w:rPr>
        <w:t>2018</w:t>
      </w:r>
      <w:r>
        <w:rPr>
          <w:rFonts w:ascii="Times New Roman" w:cs="Times New Roman" w:eastAsia="Times New Roman" w:hAnsi="Times New Roman"/>
          <w:sz w:val="18"/>
          <w:szCs w:val="18"/>
          <w:color w:val="222222"/>
        </w:rPr>
        <w:t xml:space="preserve">. Our gross margin associated with product sales increased to 29.1% for the six months ended </w:t>
      </w:r>
      <w:r>
        <w:rPr>
          <w:rFonts w:ascii="Times New Roman" w:cs="Times New Roman" w:eastAsia="Times New Roman" w:hAnsi="Times New Roman"/>
          <w:sz w:val="18"/>
          <w:szCs w:val="18"/>
          <w:color w:val="000000"/>
        </w:rPr>
        <w:t>June 30, 2019</w:t>
      </w:r>
      <w:r>
        <w:rPr>
          <w:rFonts w:ascii="Times New Roman" w:cs="Times New Roman" w:eastAsia="Times New Roman" w:hAnsi="Times New Roman"/>
          <w:sz w:val="18"/>
          <w:szCs w:val="18"/>
          <w:color w:val="222222"/>
        </w:rPr>
        <w:t xml:space="preserve">, compared with 28.8% for the same period in </w:t>
      </w:r>
      <w:r>
        <w:rPr>
          <w:rFonts w:ascii="Times New Roman" w:cs="Times New Roman" w:eastAsia="Times New Roman" w:hAnsi="Times New Roman"/>
          <w:sz w:val="18"/>
          <w:szCs w:val="18"/>
          <w:color w:val="000000"/>
        </w:rPr>
        <w:t>2018</w:t>
      </w:r>
      <w:r>
        <w:rPr>
          <w:rFonts w:ascii="Times New Roman" w:cs="Times New Roman" w:eastAsia="Times New Roman" w:hAnsi="Times New Roman"/>
          <w:sz w:val="18"/>
          <w:szCs w:val="18"/>
          <w:color w:val="222222"/>
        </w:rPr>
        <w:t xml:space="preserve">. Gross margin associated with our service revenues increased to 39.4% for the six months ended </w:t>
      </w:r>
      <w:r>
        <w:rPr>
          <w:rFonts w:ascii="Times New Roman" w:cs="Times New Roman" w:eastAsia="Times New Roman" w:hAnsi="Times New Roman"/>
          <w:sz w:val="18"/>
          <w:szCs w:val="18"/>
          <w:color w:val="000000"/>
        </w:rPr>
        <w:t>June 30, 2019</w:t>
      </w:r>
      <w:r>
        <w:rPr>
          <w:rFonts w:ascii="Times New Roman" w:cs="Times New Roman" w:eastAsia="Times New Roman" w:hAnsi="Times New Roman"/>
          <w:sz w:val="18"/>
          <w:szCs w:val="18"/>
          <w:color w:val="222222"/>
        </w:rPr>
        <w:t xml:space="preserve">, compared with 37.7% for the same period in </w:t>
      </w:r>
      <w:r>
        <w:rPr>
          <w:rFonts w:ascii="Times New Roman" w:cs="Times New Roman" w:eastAsia="Times New Roman" w:hAnsi="Times New Roman"/>
          <w:sz w:val="18"/>
          <w:szCs w:val="18"/>
          <w:color w:val="000000"/>
        </w:rPr>
        <w:t>2018</w:t>
      </w:r>
      <w:r>
        <w:rPr>
          <w:rFonts w:ascii="Times New Roman" w:cs="Times New Roman" w:eastAsia="Times New Roman" w:hAnsi="Times New Roman"/>
          <w:sz w:val="18"/>
          <w:szCs w:val="18"/>
          <w:color w:val="222222"/>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results and effects of changes in foreign currency exchange rates in operating expenses were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9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2900" w:type="dxa"/>
            <w:vAlign w:val="bottom"/>
            <w:gridSpan w:val="4"/>
            <w:vMerge w:val="continue"/>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560" w:type="dxa"/>
            <w:vAlign w:val="bottom"/>
            <w:gridSpan w:val="3"/>
            <w:vMerge w:val="restart"/>
          </w:tcPr>
          <w:p>
            <w:pPr>
              <w:jc w:val="center"/>
              <w:ind w:right="100"/>
              <w:spacing w:after="0" w:line="145"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40" w:type="dxa"/>
            <w:vAlign w:val="bottom"/>
          </w:tcPr>
          <w:p>
            <w:pPr>
              <w:spacing w:after="0"/>
              <w:rPr>
                <w:sz w:val="22"/>
                <w:szCs w:val="22"/>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Change</w:t>
            </w:r>
            <w:r>
              <w:rPr>
                <w:rFonts w:ascii="Times New Roman" w:cs="Times New Roman" w:eastAsia="Times New Roman" w:hAnsi="Times New Roman"/>
                <w:sz w:val="21"/>
                <w:szCs w:val="21"/>
                <w:b w:val="1"/>
                <w:bCs w:val="1"/>
                <w:color w:val="auto"/>
                <w:w w:val="95"/>
                <w:vertAlign w:val="superscript"/>
              </w:rPr>
              <w:t>(1)</w:t>
            </w:r>
          </w:p>
        </w:tc>
        <w:tc>
          <w:tcPr>
            <w:tcW w:w="18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rPr>
                <w:sz w:val="1"/>
                <w:szCs w:val="1"/>
                <w:color w:val="auto"/>
              </w:rPr>
            </w:pPr>
          </w:p>
        </w:tc>
      </w:tr>
      <w:tr>
        <w:trPr>
          <w:trHeight w:val="231"/>
        </w:trPr>
        <w:tc>
          <w:tcPr>
            <w:tcW w:w="3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88,259</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88,863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49,449</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54,775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16,117</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17,999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Restructuring</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(6,169)</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1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147,656</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156,014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(8,358)</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3100" w:type="dxa"/>
            <w:vAlign w:val="bottom"/>
          </w:tcPr>
          <w:p>
            <w:pPr>
              <w:spacing w:after="0"/>
              <w:rPr>
                <w:sz w:val="24"/>
                <w:szCs w:val="24"/>
                <w:color w:val="auto"/>
              </w:rPr>
            </w:pPr>
          </w:p>
        </w:tc>
        <w:tc>
          <w:tcPr>
            <w:tcW w:w="2900" w:type="dxa"/>
            <w:vAlign w:val="bottom"/>
            <w:gridSpan w:val="4"/>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2900" w:type="dxa"/>
            <w:vAlign w:val="bottom"/>
            <w:gridSpan w:val="4"/>
            <w:vMerge w:val="continue"/>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560" w:type="dxa"/>
            <w:vAlign w:val="bottom"/>
            <w:gridSpan w:val="3"/>
            <w:vMerge w:val="restart"/>
          </w:tcPr>
          <w:p>
            <w:pPr>
              <w:jc w:val="center"/>
              <w:ind w:right="100"/>
              <w:spacing w:after="0" w:line="145"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40" w:type="dxa"/>
            <w:vAlign w:val="bottom"/>
          </w:tcPr>
          <w:p>
            <w:pPr>
              <w:spacing w:after="0"/>
              <w:rPr>
                <w:sz w:val="22"/>
                <w:szCs w:val="22"/>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Change</w:t>
            </w:r>
            <w:r>
              <w:rPr>
                <w:rFonts w:ascii="Times New Roman" w:cs="Times New Roman" w:eastAsia="Times New Roman" w:hAnsi="Times New Roman"/>
                <w:sz w:val="21"/>
                <w:szCs w:val="21"/>
                <w:b w:val="1"/>
                <w:bCs w:val="1"/>
                <w:color w:val="auto"/>
                <w:w w:val="95"/>
                <w:vertAlign w:val="superscript"/>
              </w:rPr>
              <w:t>(1)</w:t>
            </w:r>
          </w:p>
        </w:tc>
        <w:tc>
          <w:tcPr>
            <w:tcW w:w="18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rPr>
                <w:sz w:val="1"/>
                <w:szCs w:val="1"/>
                <w:color w:val="auto"/>
              </w:rPr>
            </w:pPr>
          </w:p>
        </w:tc>
      </w:tr>
      <w:tr>
        <w:trPr>
          <w:trHeight w:val="231"/>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Sales, general and administrative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180,974</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243,277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(62,303)</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99,939</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115,059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(15,120)</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32,090</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35,739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(3,649)</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Restructuring</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1,093</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82,242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(81,149)</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1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314,096</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476,317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(162,221)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19" w:lineRule="auto"/>
        <w:tabs>
          <w:tab w:leader="none" w:pos="34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Constant currency change is a non-GAAP financial measure and represents the total change between periods excluding the effect of changes in foreign currency exchange rates.</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decreased $8.4 million for the three months ended June 30, 2019 as compared with the same period in 2018. This was primarily due to the decrease of $5.3 million in research and development, and the decrease of $1.9 million in amortization of intangible assets. These amounts are net of increases in variable compensation.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decreased $162.2 million for the six months ended June 30, 2019 as compared with the same period in 2018. This was primarily due to the $81.1 million decrease in restructuring expense, which was elevated during the six months ended June 30, 2018 following the announcement of the 2018 Project, and $62.3 million decreased in sales, general and administrative expenses. Acquisition and integration costs, which are classified within sales, general and administrative expenses, decreased by $53.0 million compared with the same period in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other income (expense):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80" w:type="dxa"/>
            <w:vAlign w:val="bottom"/>
          </w:tcPr>
          <w:p>
            <w:pPr>
              <w:spacing w:after="0"/>
              <w:rPr>
                <w:sz w:val="18"/>
                <w:szCs w:val="18"/>
                <w:color w:val="auto"/>
              </w:rPr>
            </w:pPr>
          </w:p>
        </w:tc>
        <w:tc>
          <w:tcPr>
            <w:tcW w:w="2740" w:type="dxa"/>
            <w:vAlign w:val="bottom"/>
            <w:gridSpan w:val="4"/>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1"/>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8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380" w:type="dxa"/>
            <w:vAlign w:val="bottom"/>
          </w:tcPr>
          <w:p>
            <w:pPr>
              <w:spacing w:after="0"/>
              <w:rPr>
                <w:sz w:val="20"/>
                <w:szCs w:val="20"/>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2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633</w:t>
            </w:r>
          </w:p>
        </w:tc>
        <w:tc>
          <w:tcPr>
            <w:tcW w:w="10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(16)%</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862</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1,294</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(12,294)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(13,434)</w:t>
            </w:r>
          </w:p>
        </w:tc>
        <w:tc>
          <w:tcPr>
            <w:tcW w:w="10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(8)%</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(24,629)</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(25,547)</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r>
      <w:tr>
        <w:trPr>
          <w:trHeight w:val="33"/>
        </w:trPr>
        <w:tc>
          <w:tcPr>
            <w:tcW w:w="2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prepaid debt fees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10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(1)%</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1,003</w:t>
            </w:r>
          </w:p>
        </w:tc>
        <w:tc>
          <w:tcPr>
            <w:tcW w:w="10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w w:val="99"/>
              </w:rPr>
              <w:t>(305)%</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2,159%</w:t>
            </w:r>
          </w:p>
        </w:tc>
      </w:tr>
      <w:tr>
        <w:trPr>
          <w:trHeight w:val="33"/>
        </w:trPr>
        <w:tc>
          <w:tcPr>
            <w:tcW w:w="28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57"/>
        </w:trPr>
        <w:tc>
          <w:tcPr>
            <w:tcW w:w="28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(15,022)</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(13,009)</w:t>
            </w:r>
          </w:p>
        </w:tc>
        <w:tc>
          <w:tcPr>
            <w:tcW w:w="10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15%</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(29,873)</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(29,019)</w:t>
            </w: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3%</w:t>
            </w:r>
          </w:p>
        </w:tc>
      </w:tr>
      <w:tr>
        <w:trPr>
          <w:trHeight w:val="20"/>
        </w:trPr>
        <w:tc>
          <w:tcPr>
            <w:tcW w:w="2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other income (expense) for the three and six months ended June 30, 2019 was a net expense of $15.0 million and $29.9 million, compared with $13.0 million and $29.0 million in the same periods in 2018. The change in other income (expense), net, for the three and six months ended June 30, 2019 as compared with the same periods in 2018 was the result of a legal settlement gain of $2.5 million recognized in the second quarter of 2018 and the effect of recognized foreign currency exchange gains and losses due to transactions denominated in a currency other than the reporting entity's functional currency.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June 30, 2019, our income tax expense was $8.4 million and $14.5 million compared with income tax expense and benefit of $3.8 million and $(7.4) million for the same periods in 2018. Our tax rate for the three and six months ended June 30, 2019 of 30% and 42% differed from the federal statutory rate of 21% due to the forecasted mix of earnings in domestic and international jurisdictions and losses experienced in jurisdictions with valuation allowances on deferred tax assets. Our tax rate for the three and six months ended June 30, 2018 of 50% and 5% differed from the federal statutory rate of 21% due to the forecasted mix of earnings in domestic and international jurisdictions, a benefit related to excess stock based compensation, and losses experienced in jurisdictions with valuation allowances on deferred tax assets.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our operating segments, refer to Item 1: "Financial Statements (Unaudited) Note 15: Segment Information."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Segment Revenues</w:t>
            </w:r>
          </w:p>
        </w:tc>
        <w:tc>
          <w:tcPr>
            <w:tcW w:w="1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217,723</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236,146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9"/>
              </w:rPr>
              <w:t>(8)%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439,478</w:t>
            </w:r>
          </w:p>
        </w:tc>
        <w:tc>
          <w:tcPr>
            <w:tcW w:w="3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485,513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w w:val="99"/>
              </w:rPr>
              <w:t>(9)%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Networked Solutions</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355,916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296,166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692,343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598,504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Outcomes</w:t>
            </w: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61,398</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53,578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117,792</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109,094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19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Total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635,037</w:t>
            </w: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585,890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1,249,613</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1,193,111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1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1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Gross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Gross</w:t>
            </w:r>
          </w:p>
        </w:tc>
        <w:tc>
          <w:tcPr>
            <w:tcW w:w="100" w:type="dxa"/>
            <w:vAlign w:val="bottom"/>
          </w:tcPr>
          <w:p>
            <w:pPr>
              <w:spacing w:after="0"/>
              <w:rPr>
                <w:sz w:val="12"/>
                <w:szCs w:val="12"/>
                <w:color w:val="auto"/>
              </w:rPr>
            </w:pPr>
          </w:p>
        </w:tc>
        <w:tc>
          <w:tcPr>
            <w:tcW w:w="1220" w:type="dxa"/>
            <w:vAlign w:val="bottom"/>
            <w:gridSpan w:val="3"/>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Gross</w:t>
            </w:r>
          </w:p>
        </w:tc>
        <w:tc>
          <w:tcPr>
            <w:tcW w:w="98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Gross</w:t>
            </w:r>
          </w:p>
        </w:tc>
        <w:tc>
          <w:tcPr>
            <w:tcW w:w="120" w:type="dxa"/>
            <w:vAlign w:val="bottom"/>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Gross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Gross</w:t>
            </w:r>
          </w:p>
        </w:tc>
        <w:tc>
          <w:tcPr>
            <w:tcW w:w="140" w:type="dxa"/>
            <w:vAlign w:val="bottom"/>
          </w:tcPr>
          <w:p>
            <w:pPr>
              <w:spacing w:after="0"/>
              <w:rPr>
                <w:sz w:val="12"/>
                <w:szCs w:val="12"/>
                <w:color w:val="auto"/>
              </w:rPr>
            </w:pPr>
          </w:p>
        </w:tc>
        <w:tc>
          <w:tcPr>
            <w:tcW w:w="1140" w:type="dxa"/>
            <w:vAlign w:val="bottom"/>
            <w:gridSpan w:val="3"/>
          </w:tcPr>
          <w:p>
            <w:pPr>
              <w:jc w:val="center"/>
              <w:ind w:right="42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Gross</w:t>
            </w:r>
          </w:p>
        </w:tc>
        <w:tc>
          <w:tcPr>
            <w:tcW w:w="860" w:type="dxa"/>
            <w:vAlign w:val="bottom"/>
          </w:tcPr>
          <w:p>
            <w:pPr>
              <w:jc w:val="center"/>
              <w:ind w:right="88"/>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Gross</w:t>
            </w:r>
          </w:p>
        </w:tc>
        <w:tc>
          <w:tcPr>
            <w:tcW w:w="0" w:type="dxa"/>
            <w:vAlign w:val="bottom"/>
          </w:tcPr>
          <w:p>
            <w:pPr>
              <w:spacing w:after="0"/>
              <w:rPr>
                <w:sz w:val="1"/>
                <w:szCs w:val="1"/>
                <w:color w:val="auto"/>
              </w:rPr>
            </w:pPr>
          </w:p>
        </w:tc>
      </w:tr>
      <w:tr>
        <w:trPr>
          <w:trHeight w:val="197"/>
        </w:trPr>
        <w:tc>
          <w:tcPr>
            <w:tcW w:w="1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Profit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Margin</w:t>
            </w:r>
          </w:p>
        </w:tc>
        <w:tc>
          <w:tcPr>
            <w:tcW w:w="100" w:type="dxa"/>
            <w:vAlign w:val="bottom"/>
          </w:tcPr>
          <w:p>
            <w:pPr>
              <w:spacing w:after="0"/>
              <w:rPr>
                <w:sz w:val="17"/>
                <w:szCs w:val="17"/>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i w:val="1"/>
                <w:iCs w:val="1"/>
                <w:color w:val="auto"/>
              </w:rPr>
              <w:t>Profit</w:t>
            </w: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Margin</w:t>
            </w: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Profit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Margin</w:t>
            </w:r>
          </w:p>
        </w:tc>
        <w:tc>
          <w:tcPr>
            <w:tcW w:w="140" w:type="dxa"/>
            <w:vAlign w:val="bottom"/>
          </w:tcPr>
          <w:p>
            <w:pPr>
              <w:spacing w:after="0"/>
              <w:rPr>
                <w:sz w:val="17"/>
                <w:szCs w:val="17"/>
                <w:color w:val="auto"/>
              </w:rPr>
            </w:pPr>
          </w:p>
        </w:tc>
        <w:tc>
          <w:tcPr>
            <w:tcW w:w="11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i w:val="1"/>
                <w:iCs w:val="1"/>
                <w:color w:val="auto"/>
              </w:rPr>
              <w:t>Profit</w:t>
            </w:r>
          </w:p>
        </w:tc>
        <w:tc>
          <w:tcPr>
            <w:tcW w:w="8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i w:val="1"/>
                <w:iCs w:val="1"/>
                <w:color w:val="auto"/>
              </w:rPr>
              <w:t>Margin</w:t>
            </w:r>
          </w:p>
        </w:tc>
        <w:tc>
          <w:tcPr>
            <w:tcW w:w="0" w:type="dxa"/>
            <w:vAlign w:val="bottom"/>
          </w:tcPr>
          <w:p>
            <w:pPr>
              <w:spacing w:after="0"/>
              <w:rPr>
                <w:sz w:val="1"/>
                <w:szCs w:val="1"/>
                <w:color w:val="auto"/>
              </w:rPr>
            </w:pPr>
          </w:p>
        </w:tc>
      </w:tr>
      <w:tr>
        <w:trPr>
          <w:trHeight w:val="147"/>
        </w:trPr>
        <w:tc>
          <w:tcPr>
            <w:tcW w:w="1960" w:type="dxa"/>
            <w:vAlign w:val="bottom"/>
            <w:tcBorders>
              <w:top w:val="single" w:sz="8" w:color="auto"/>
            </w:tcBorders>
          </w:tcPr>
          <w:p>
            <w:pPr>
              <w:ind w:left="4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Segment Gross Profit and</w:t>
            </w: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Margin</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41,590</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w w:val="99"/>
              </w:rPr>
              <w:t>19.1%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48,743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81,506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102,347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265"/>
        </w:trPr>
        <w:tc>
          <w:tcPr>
            <w:tcW w:w="1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Networked Solutions</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126,243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99"/>
              </w:rPr>
              <w:t>35.5%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112,290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37.9%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253,311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36.6%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226,531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275"/>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Outcomes</w:t>
            </w: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23,381</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w w:val="99"/>
              </w:rPr>
              <w:t>38.1%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15,544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29.0%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43,660</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37.1%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27,554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33"/>
        </w:trPr>
        <w:tc>
          <w:tcPr>
            <w:tcW w:w="1960" w:type="dxa"/>
            <w:vAlign w:val="bottom"/>
          </w:tcPr>
          <w:p>
            <w:pPr>
              <w:ind w:left="660"/>
              <w:spacing w:after="0" w:line="133" w:lineRule="exact"/>
              <w:rPr>
                <w:sz w:val="20"/>
                <w:szCs w:val="20"/>
                <w:color w:val="auto"/>
              </w:rPr>
            </w:pPr>
            <w:r>
              <w:rPr>
                <w:rFonts w:ascii="Times New Roman" w:cs="Times New Roman" w:eastAsia="Times New Roman" w:hAnsi="Times New Roman"/>
                <w:sz w:val="14"/>
                <w:szCs w:val="14"/>
                <w:color w:val="auto"/>
              </w:rPr>
              <w:t>Total gross profit and</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191,214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w w:val="99"/>
              </w:rPr>
              <w:t>30.1%</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176,577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378,477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color w:val="auto"/>
              </w:rPr>
              <w:t>30.3%</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356,432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185"/>
        </w:trPr>
        <w:tc>
          <w:tcPr>
            <w:tcW w:w="19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margin</w:t>
            </w:r>
          </w:p>
        </w:tc>
        <w:tc>
          <w:tcPr>
            <w:tcW w:w="1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9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Segment Operating Expenses</w:t>
            </w:r>
          </w:p>
        </w:tc>
        <w:tc>
          <w:tcPr>
            <w:tcW w:w="1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13,235</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14,233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9"/>
              </w:rPr>
              <w:t>(7)%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27,694</w:t>
            </w:r>
          </w:p>
        </w:tc>
        <w:tc>
          <w:tcPr>
            <w:tcW w:w="3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29,645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w w:val="99"/>
              </w:rPr>
              <w:t>(7)%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Networked Solutions</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28,208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30,349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9"/>
              </w:rPr>
              <w:t>(7)%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59,954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64,647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99"/>
              </w:rPr>
              <w:t>(7)%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Outcomes</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9,014</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11,295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23,960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Corporate unallocated</w:t>
            </w:r>
          </w:p>
        </w:tc>
        <w:tc>
          <w:tcPr>
            <w:tcW w:w="1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97,199</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100,137</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jc w:val="center"/>
              <w:ind w:right="48"/>
              <w:spacing w:after="0"/>
              <w:rPr>
                <w:sz w:val="20"/>
                <w:szCs w:val="20"/>
                <w:color w:val="auto"/>
              </w:rPr>
            </w:pPr>
            <w:r>
              <w:rPr>
                <w:rFonts w:ascii="Times New Roman" w:cs="Times New Roman" w:eastAsia="Times New Roman" w:hAnsi="Times New Roman"/>
                <w:sz w:val="14"/>
                <w:szCs w:val="14"/>
                <w:color w:val="auto"/>
                <w:w w:val="99"/>
              </w:rPr>
              <w:t>(3)%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207,565</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358,065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jc w:val="center"/>
              <w:ind w:right="68"/>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operating expenses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147,656</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156,014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9"/>
              </w:rPr>
              <w:t>(5)%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314,096</w:t>
            </w:r>
          </w:p>
        </w:tc>
        <w:tc>
          <w:tcPr>
            <w:tcW w:w="3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476,317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CCEEFF"/>
            </w:tcBorders>
            <w:gridSpan w:val="5"/>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CCEEFF"/>
            </w:tcBorders>
            <w:gridSpan w:val="5"/>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1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1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Operating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Operating</w:t>
            </w:r>
          </w:p>
        </w:tc>
        <w:tc>
          <w:tcPr>
            <w:tcW w:w="100" w:type="dxa"/>
            <w:vAlign w:val="bottom"/>
          </w:tcPr>
          <w:p>
            <w:pPr>
              <w:spacing w:after="0"/>
              <w:rPr>
                <w:sz w:val="12"/>
                <w:szCs w:val="12"/>
                <w:color w:val="auto"/>
              </w:rPr>
            </w:pPr>
          </w:p>
        </w:tc>
        <w:tc>
          <w:tcPr>
            <w:tcW w:w="1220" w:type="dxa"/>
            <w:vAlign w:val="bottom"/>
            <w:gridSpan w:val="3"/>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Operating</w:t>
            </w:r>
          </w:p>
        </w:tc>
        <w:tc>
          <w:tcPr>
            <w:tcW w:w="98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Operating</w:t>
            </w:r>
          </w:p>
        </w:tc>
        <w:tc>
          <w:tcPr>
            <w:tcW w:w="120" w:type="dxa"/>
            <w:vAlign w:val="bottom"/>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Operating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Operating</w:t>
            </w:r>
          </w:p>
        </w:tc>
        <w:tc>
          <w:tcPr>
            <w:tcW w:w="140" w:type="dxa"/>
            <w:vAlign w:val="bottom"/>
          </w:tcPr>
          <w:p>
            <w:pPr>
              <w:spacing w:after="0"/>
              <w:rPr>
                <w:sz w:val="12"/>
                <w:szCs w:val="12"/>
                <w:color w:val="auto"/>
              </w:rPr>
            </w:pPr>
          </w:p>
        </w:tc>
        <w:tc>
          <w:tcPr>
            <w:tcW w:w="1140" w:type="dxa"/>
            <w:vAlign w:val="bottom"/>
            <w:gridSpan w:val="3"/>
          </w:tcPr>
          <w:p>
            <w:pPr>
              <w:jc w:val="center"/>
              <w:ind w:right="42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Operating</w:t>
            </w:r>
          </w:p>
        </w:tc>
        <w:tc>
          <w:tcPr>
            <w:tcW w:w="860" w:type="dxa"/>
            <w:vAlign w:val="bottom"/>
          </w:tcPr>
          <w:p>
            <w:pPr>
              <w:jc w:val="center"/>
              <w:ind w:right="108"/>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Operating</w:t>
            </w:r>
          </w:p>
        </w:tc>
        <w:tc>
          <w:tcPr>
            <w:tcW w:w="0" w:type="dxa"/>
            <w:vAlign w:val="bottom"/>
          </w:tcPr>
          <w:p>
            <w:pPr>
              <w:spacing w:after="0"/>
              <w:rPr>
                <w:sz w:val="1"/>
                <w:szCs w:val="1"/>
                <w:color w:val="auto"/>
              </w:rPr>
            </w:pPr>
          </w:p>
        </w:tc>
      </w:tr>
      <w:tr>
        <w:trPr>
          <w:trHeight w:val="197"/>
        </w:trPr>
        <w:tc>
          <w:tcPr>
            <w:tcW w:w="1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Income (Loss)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Margin</w:t>
            </w:r>
          </w:p>
        </w:tc>
        <w:tc>
          <w:tcPr>
            <w:tcW w:w="100" w:type="dxa"/>
            <w:vAlign w:val="bottom"/>
          </w:tcPr>
          <w:p>
            <w:pPr>
              <w:spacing w:after="0"/>
              <w:rPr>
                <w:sz w:val="17"/>
                <w:szCs w:val="17"/>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i w:val="1"/>
                <w:iCs w:val="1"/>
                <w:color w:val="auto"/>
              </w:rPr>
              <w:t>Income (Loss)</w:t>
            </w: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Margin</w:t>
            </w:r>
          </w:p>
        </w:tc>
        <w:tc>
          <w:tcPr>
            <w:tcW w:w="1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Income (Loss)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Margin</w:t>
            </w:r>
          </w:p>
        </w:tc>
        <w:tc>
          <w:tcPr>
            <w:tcW w:w="12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Income (Loss)</w:t>
            </w:r>
          </w:p>
        </w:tc>
        <w:tc>
          <w:tcPr>
            <w:tcW w:w="8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i w:val="1"/>
                <w:iCs w:val="1"/>
                <w:color w:val="auto"/>
              </w:rPr>
              <w:t>Margin</w:t>
            </w:r>
          </w:p>
        </w:tc>
        <w:tc>
          <w:tcPr>
            <w:tcW w:w="0" w:type="dxa"/>
            <w:vAlign w:val="bottom"/>
          </w:tcPr>
          <w:p>
            <w:pPr>
              <w:spacing w:after="0"/>
              <w:rPr>
                <w:sz w:val="1"/>
                <w:szCs w:val="1"/>
                <w:color w:val="auto"/>
              </w:rPr>
            </w:pPr>
          </w:p>
        </w:tc>
      </w:tr>
      <w:tr>
        <w:trPr>
          <w:trHeight w:val="147"/>
        </w:trPr>
        <w:tc>
          <w:tcPr>
            <w:tcW w:w="1960" w:type="dxa"/>
            <w:vAlign w:val="bottom"/>
            <w:tcBorders>
              <w:top w:val="single" w:sz="8" w:color="auto"/>
            </w:tcBorders>
          </w:tcPr>
          <w:p>
            <w:pPr>
              <w:ind w:left="40"/>
              <w:spacing w:after="0" w:line="147" w:lineRule="exact"/>
              <w:rPr>
                <w:sz w:val="20"/>
                <w:szCs w:val="20"/>
                <w:color w:val="auto"/>
              </w:rPr>
            </w:pPr>
            <w:r>
              <w:rPr>
                <w:rFonts w:ascii="Times New Roman" w:cs="Times New Roman" w:eastAsia="Times New Roman" w:hAnsi="Times New Roman"/>
                <w:sz w:val="14"/>
                <w:szCs w:val="14"/>
                <w:b w:val="1"/>
                <w:bCs w:val="1"/>
                <w:i w:val="1"/>
                <w:iCs w:val="1"/>
                <w:color w:val="auto"/>
              </w:rPr>
              <w:t>Segment Operating Income</w:t>
            </w: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(Loss) and Operating Margin</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Device Solutions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28,355</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w w:val="99"/>
              </w:rPr>
              <w:t>13.0%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34,510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53,812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72,702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65"/>
        </w:trPr>
        <w:tc>
          <w:tcPr>
            <w:tcW w:w="1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Networked Solutions</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98,035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w w:val="99"/>
              </w:rPr>
              <w:t>27.5%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81,941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27.7%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193,357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161,884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275"/>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Outcomes</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14,367</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w w:val="99"/>
              </w:rPr>
              <w:t>23.4%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4,249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3,594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65"/>
        </w:trPr>
        <w:tc>
          <w:tcPr>
            <w:tcW w:w="1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Corporate unallocated</w:t>
            </w:r>
          </w:p>
        </w:tc>
        <w:tc>
          <w:tcPr>
            <w:tcW w:w="1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(97,199)</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jc w:val="center"/>
              <w:ind w:right="68"/>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(100,137)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jc w:val="center"/>
              <w:ind w:right="88"/>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(207,565)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jc w:val="center"/>
              <w:ind w:right="88"/>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(358,065)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jc w:val="center"/>
              <w:ind w:right="88"/>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42"/>
        </w:trPr>
        <w:tc>
          <w:tcPr>
            <w:tcW w:w="19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Company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43,558</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20,563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64,381</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Device Solutions: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Device Solutions operating segment financial results were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9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2900" w:type="dxa"/>
            <w:vAlign w:val="bottom"/>
            <w:gridSpan w:val="4"/>
            <w:vMerge w:val="continue"/>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560" w:type="dxa"/>
            <w:vAlign w:val="bottom"/>
            <w:gridSpan w:val="3"/>
            <w:vMerge w:val="restart"/>
          </w:tcPr>
          <w:p>
            <w:pPr>
              <w:jc w:val="center"/>
              <w:ind w:right="100"/>
              <w:spacing w:after="0" w:line="145"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40" w:type="dxa"/>
            <w:vAlign w:val="bottom"/>
          </w:tcPr>
          <w:p>
            <w:pPr>
              <w:spacing w:after="0"/>
              <w:rPr>
                <w:sz w:val="22"/>
                <w:szCs w:val="22"/>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Change</w:t>
            </w:r>
            <w:r>
              <w:rPr>
                <w:rFonts w:ascii="Times New Roman" w:cs="Times New Roman" w:eastAsia="Times New Roman" w:hAnsi="Times New Roman"/>
                <w:sz w:val="21"/>
                <w:szCs w:val="21"/>
                <w:b w:val="1"/>
                <w:bCs w:val="1"/>
                <w:color w:val="auto"/>
                <w:w w:val="95"/>
                <w:vertAlign w:val="superscript"/>
              </w:rPr>
              <w:t>(1)</w:t>
            </w:r>
          </w:p>
        </w:tc>
        <w:tc>
          <w:tcPr>
            <w:tcW w:w="18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rPr>
                <w:sz w:val="1"/>
                <w:szCs w:val="1"/>
                <w:color w:val="auto"/>
              </w:rPr>
            </w:pPr>
          </w:p>
        </w:tc>
      </w:tr>
      <w:tr>
        <w:trPr>
          <w:trHeight w:val="231"/>
        </w:trPr>
        <w:tc>
          <w:tcPr>
            <w:tcW w:w="3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Device Solutions Segment</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217,723</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236,146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(18,423)</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Gross profit</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41,590</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48,743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(7,153)</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13,235</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0" w:type="dxa"/>
            <w:vAlign w:val="bottom"/>
          </w:tcPr>
          <w:p>
            <w:pPr>
              <w:spacing w:after="0"/>
              <w:rPr>
                <w:sz w:val="1"/>
                <w:szCs w:val="1"/>
                <w:color w:val="auto"/>
              </w:rPr>
            </w:pPr>
          </w:p>
        </w:tc>
      </w:tr>
      <w:tr>
        <w:trPr>
          <w:trHeight w:val="646"/>
        </w:trPr>
        <w:tc>
          <w:tcPr>
            <w:tcW w:w="3100" w:type="dxa"/>
            <w:vAlign w:val="bottom"/>
          </w:tcPr>
          <w:p>
            <w:pPr>
              <w:spacing w:after="0"/>
              <w:rPr>
                <w:sz w:val="24"/>
                <w:szCs w:val="24"/>
                <w:color w:val="auto"/>
              </w:rPr>
            </w:pPr>
          </w:p>
        </w:tc>
        <w:tc>
          <w:tcPr>
            <w:tcW w:w="2900" w:type="dxa"/>
            <w:vAlign w:val="bottom"/>
            <w:gridSpan w:val="4"/>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2900" w:type="dxa"/>
            <w:vAlign w:val="bottom"/>
            <w:gridSpan w:val="4"/>
            <w:vMerge w:val="continue"/>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560" w:type="dxa"/>
            <w:vAlign w:val="bottom"/>
            <w:gridSpan w:val="3"/>
            <w:vMerge w:val="restart"/>
          </w:tcPr>
          <w:p>
            <w:pPr>
              <w:jc w:val="center"/>
              <w:ind w:right="100"/>
              <w:spacing w:after="0" w:line="145"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40" w:type="dxa"/>
            <w:vAlign w:val="bottom"/>
          </w:tcPr>
          <w:p>
            <w:pPr>
              <w:spacing w:after="0"/>
              <w:rPr>
                <w:sz w:val="22"/>
                <w:szCs w:val="22"/>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Change</w:t>
            </w:r>
            <w:r>
              <w:rPr>
                <w:rFonts w:ascii="Times New Roman" w:cs="Times New Roman" w:eastAsia="Times New Roman" w:hAnsi="Times New Roman"/>
                <w:sz w:val="21"/>
                <w:szCs w:val="21"/>
                <w:b w:val="1"/>
                <w:bCs w:val="1"/>
                <w:color w:val="auto"/>
                <w:w w:val="95"/>
                <w:vertAlign w:val="superscript"/>
              </w:rPr>
              <w:t>(1)</w:t>
            </w:r>
          </w:p>
        </w:tc>
        <w:tc>
          <w:tcPr>
            <w:tcW w:w="18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rPr>
                <w:sz w:val="1"/>
                <w:szCs w:val="1"/>
                <w:color w:val="auto"/>
              </w:rPr>
            </w:pPr>
          </w:p>
        </w:tc>
      </w:tr>
      <w:tr>
        <w:trPr>
          <w:trHeight w:val="231"/>
        </w:trPr>
        <w:tc>
          <w:tcPr>
            <w:tcW w:w="3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Device Solutions Segment</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439,478</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485,513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(46,035)</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Gross profit</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81,506</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102,347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(20,841)</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expenses</w:t>
            </w:r>
          </w:p>
        </w:tc>
        <w:tc>
          <w:tcPr>
            <w:tcW w:w="10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27,694</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29,645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19" w:lineRule="auto"/>
        <w:tabs>
          <w:tab w:leader="none" w:pos="34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Constant currency change is a non-GAAP financial measure and represents the total change between periods excluding the effect of changes in foreign currency exchange rates.</w:t>
      </w: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June 30, 2019 vs. Three months ended June 30, 2018</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decreased $18.4 million, or 8% for the three months ended June 30, 2019 compared with the same period in 2018. During the three months ended June 30, 2019, product revenue decreased due to lower shipments for certain customer projects in Europe, Middle East, and Africa (EMEA) offset by higher product sales in North America. Changes in foreign currency exchange rates unfavorably impacted revenues by $12.1 million.</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Six months ended June 30, 2019 vs. Six months ended June 30, 2018</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decreased $46.0 million, or 9%. Changes in foreign currency exchange rates unfavorably impacted revenues by $29.1 million. The decrease in revenue was also due to reduced shipments for certain customer projects in EMEA offset by higher product sales in North America.</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June 30, 2019 vs. Three months ended June 30, 2018</w:t>
      </w:r>
    </w:p>
    <w:p>
      <w:pPr>
        <w:spacing w:after="0" w:line="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Gross margin was 19.1% for the three months ended June 30, 2019, compared with 20.6% for the same period in 2018. The 150 basis point decrease over the prior year was primarily the result of increased component costs, partially offset by reduced warranty expense.</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Six months ended June 30, 2019 vs. Six months ended June 30, 2018</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2019, gross margin was 18.5%, compared with 21.1% for the first six months in 2018. During 2019, the 260 basis point reduction over the prior year was primarily the result of increased component costs and partially offset by reduced variable warranty expense.</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June 30, 2019 vs. Three months ended June 30, 2018</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decreased $1.0 million, or 7%, for the three months ended June 30, 2019, compared with the same period in 2018. The decrease was primarily a result of lower research and development expense, offset by higher product marketing expense.</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Six months ended June 30, 2019 vs. Six months ended June 30, 2018</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decreased $2.0 million, or 7%, for the six months ended June 30, 2019, compared with the same period in 2018. The decrease was primarily a result of lower research and development expense, offset by higher product marketing expense.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Networked Solutions: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Networked Solutions operating segment financial results were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9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2900" w:type="dxa"/>
            <w:vAlign w:val="bottom"/>
            <w:gridSpan w:val="4"/>
            <w:vMerge w:val="continue"/>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560" w:type="dxa"/>
            <w:vAlign w:val="bottom"/>
            <w:gridSpan w:val="3"/>
            <w:vMerge w:val="restart"/>
          </w:tcPr>
          <w:p>
            <w:pPr>
              <w:jc w:val="center"/>
              <w:ind w:right="100"/>
              <w:spacing w:after="0" w:line="145"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40" w:type="dxa"/>
            <w:vAlign w:val="bottom"/>
          </w:tcPr>
          <w:p>
            <w:pPr>
              <w:spacing w:after="0"/>
              <w:rPr>
                <w:sz w:val="22"/>
                <w:szCs w:val="22"/>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Change</w:t>
            </w:r>
            <w:r>
              <w:rPr>
                <w:rFonts w:ascii="Times New Roman" w:cs="Times New Roman" w:eastAsia="Times New Roman" w:hAnsi="Times New Roman"/>
                <w:sz w:val="21"/>
                <w:szCs w:val="21"/>
                <w:b w:val="1"/>
                <w:bCs w:val="1"/>
                <w:color w:val="auto"/>
                <w:w w:val="95"/>
                <w:vertAlign w:val="superscript"/>
              </w:rPr>
              <w:t>(1)</w:t>
            </w:r>
          </w:p>
        </w:tc>
        <w:tc>
          <w:tcPr>
            <w:tcW w:w="18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rPr>
                <w:sz w:val="1"/>
                <w:szCs w:val="1"/>
                <w:color w:val="auto"/>
              </w:rPr>
            </w:pPr>
          </w:p>
        </w:tc>
      </w:tr>
      <w:tr>
        <w:trPr>
          <w:trHeight w:val="231"/>
        </w:trPr>
        <w:tc>
          <w:tcPr>
            <w:tcW w:w="3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Networked Solutions Segment</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355,916</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296,166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62,499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59,750</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Gross profit</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126,243</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112,290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14,861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13,953</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28,208</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30,349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0" w:type="dxa"/>
            <w:vAlign w:val="bottom"/>
          </w:tcPr>
          <w:p>
            <w:pPr>
              <w:spacing w:after="0"/>
              <w:rPr>
                <w:sz w:val="1"/>
                <w:szCs w:val="1"/>
                <w:color w:val="auto"/>
              </w:rPr>
            </w:pPr>
          </w:p>
        </w:tc>
      </w:tr>
      <w:tr>
        <w:trPr>
          <w:trHeight w:val="646"/>
        </w:trPr>
        <w:tc>
          <w:tcPr>
            <w:tcW w:w="3100" w:type="dxa"/>
            <w:vAlign w:val="bottom"/>
          </w:tcPr>
          <w:p>
            <w:pPr>
              <w:spacing w:after="0"/>
              <w:rPr>
                <w:sz w:val="24"/>
                <w:szCs w:val="24"/>
                <w:color w:val="auto"/>
              </w:rPr>
            </w:pPr>
          </w:p>
        </w:tc>
        <w:tc>
          <w:tcPr>
            <w:tcW w:w="2900" w:type="dxa"/>
            <w:vAlign w:val="bottom"/>
            <w:gridSpan w:val="4"/>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2900" w:type="dxa"/>
            <w:vAlign w:val="bottom"/>
            <w:gridSpan w:val="4"/>
            <w:vMerge w:val="continue"/>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560" w:type="dxa"/>
            <w:vAlign w:val="bottom"/>
            <w:gridSpan w:val="3"/>
            <w:vMerge w:val="restart"/>
          </w:tcPr>
          <w:p>
            <w:pPr>
              <w:jc w:val="center"/>
              <w:ind w:right="100"/>
              <w:spacing w:after="0" w:line="145"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40" w:type="dxa"/>
            <w:vAlign w:val="bottom"/>
          </w:tcPr>
          <w:p>
            <w:pPr>
              <w:spacing w:after="0"/>
              <w:rPr>
                <w:sz w:val="22"/>
                <w:szCs w:val="22"/>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Change</w:t>
            </w:r>
            <w:r>
              <w:rPr>
                <w:rFonts w:ascii="Times New Roman" w:cs="Times New Roman" w:eastAsia="Times New Roman" w:hAnsi="Times New Roman"/>
                <w:sz w:val="21"/>
                <w:szCs w:val="21"/>
                <w:b w:val="1"/>
                <w:bCs w:val="1"/>
                <w:color w:val="auto"/>
                <w:w w:val="95"/>
                <w:vertAlign w:val="superscript"/>
              </w:rPr>
              <w:t>(1)</w:t>
            </w:r>
          </w:p>
        </w:tc>
        <w:tc>
          <w:tcPr>
            <w:tcW w:w="18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rPr>
                <w:sz w:val="1"/>
                <w:szCs w:val="1"/>
                <w:color w:val="auto"/>
              </w:rPr>
            </w:pPr>
          </w:p>
        </w:tc>
      </w:tr>
      <w:tr>
        <w:trPr>
          <w:trHeight w:val="231"/>
        </w:trPr>
        <w:tc>
          <w:tcPr>
            <w:tcW w:w="3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Networked Solutions Segment</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692,343</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598,504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100,227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93,839</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Gross profit</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253,311</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226,531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28,795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26,780</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expenses</w:t>
            </w:r>
          </w:p>
        </w:tc>
        <w:tc>
          <w:tcPr>
            <w:tcW w:w="10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59,954</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64,647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(4,693)</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19" w:lineRule="auto"/>
        <w:tabs>
          <w:tab w:leader="none" w:pos="34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Constant currency change is a non-GAAP financial measure and represents the total change between periods excluding the effect of changes in foreign currency exchange rates.</w:t>
      </w: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June 30, 2019 vs. Three months ended June 30, 2018</w:t>
      </w:r>
    </w:p>
    <w:p>
      <w:pPr>
        <w:spacing w:after="0" w:line="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Revenues increased $59.8 million, or 20%, for the three months ended June 30, 2019 compared with the same period in 2018. The increase was primarily driven by higher product sales in North America, partially offset by $2.7 million of unfavorable changes in foreign currency exchange rates.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Six months ended June 30, 2019 vs. Six months ended June 30, 2018</w:t>
      </w:r>
    </w:p>
    <w:p>
      <w:pPr>
        <w:spacing w:after="0" w:line="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Revenues increased $93.8 million, or 16%, for the six months ended June 30, 2019 compared with the same period in 2018. The increase was primarily related to increased product sales in North America offset by $6.4 million of unfavorable changes in foreign currency exchange rates.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June 30, 2019 vs. Three months ended June 30, 2018</w:t>
      </w:r>
    </w:p>
    <w:p>
      <w:pPr>
        <w:spacing w:after="0" w:line="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Gross margin was 35.5% for the three months ended June 30, 2019, compared with 37.9% for the same period in 2018. The 240 basis point decrease was related to unfavorable product mix and increased warranty costs.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Six months ended June 30, 2019 vs. Six months ended June 30, 2018</w:t>
      </w:r>
    </w:p>
    <w:p>
      <w:pPr>
        <w:spacing w:after="0" w:line="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Gross margin was 36.6% for the six months ended June 30, 2019, compared with 37.8% for the same period in 2018. The 120 basis point decrease was primarily related to unfavorable product mix and increased warranty costs.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June 30, 2019 vs. Three months ended June 30, 2018</w:t>
      </w:r>
    </w:p>
    <w:p>
      <w:pPr>
        <w:spacing w:after="0" w:line="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Operating expenses decreased $2.1 million, or 7%, for the three months ended June 30, 2019, compared with the same period in 2018. The decrease was primarily related to lower research and development expenses.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Six months ended June 30, 2019 vs. Six months ended June 30, 2018</w:t>
      </w:r>
    </w:p>
    <w:p>
      <w:pPr>
        <w:spacing w:after="0" w:line="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Operating expenses decreased $4.7 million, or 7%, for the six months ended 2019, compared with the same period in 2018. The decrease was primarily related to lower research and development expenses.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Outcomes: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effects of changes in foreign currency exchange rates and the constant currency changes in certain Outcomes operating segment financial results were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9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2900" w:type="dxa"/>
            <w:vAlign w:val="bottom"/>
            <w:gridSpan w:val="4"/>
            <w:vMerge w:val="continue"/>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560" w:type="dxa"/>
            <w:vAlign w:val="bottom"/>
            <w:gridSpan w:val="3"/>
            <w:vMerge w:val="restart"/>
          </w:tcPr>
          <w:p>
            <w:pPr>
              <w:jc w:val="center"/>
              <w:ind w:right="100"/>
              <w:spacing w:after="0" w:line="145"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40" w:type="dxa"/>
            <w:vAlign w:val="bottom"/>
          </w:tcPr>
          <w:p>
            <w:pPr>
              <w:spacing w:after="0"/>
              <w:rPr>
                <w:sz w:val="22"/>
                <w:szCs w:val="22"/>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Change</w:t>
            </w:r>
            <w:r>
              <w:rPr>
                <w:rFonts w:ascii="Times New Roman" w:cs="Times New Roman" w:eastAsia="Times New Roman" w:hAnsi="Times New Roman"/>
                <w:sz w:val="21"/>
                <w:szCs w:val="21"/>
                <w:b w:val="1"/>
                <w:bCs w:val="1"/>
                <w:color w:val="auto"/>
                <w:w w:val="95"/>
                <w:vertAlign w:val="superscript"/>
              </w:rPr>
              <w:t>(1)</w:t>
            </w:r>
          </w:p>
        </w:tc>
        <w:tc>
          <w:tcPr>
            <w:tcW w:w="18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rPr>
                <w:sz w:val="1"/>
                <w:szCs w:val="1"/>
                <w:color w:val="auto"/>
              </w:rPr>
            </w:pPr>
          </w:p>
        </w:tc>
      </w:tr>
      <w:tr>
        <w:trPr>
          <w:trHeight w:val="231"/>
        </w:trPr>
        <w:tc>
          <w:tcPr>
            <w:tcW w:w="3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Outcomes Segment</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61,398</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53,578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7,820</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Gross profit</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23,381</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15,544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7,837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9,014</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0" w:type="dxa"/>
            <w:vAlign w:val="bottom"/>
          </w:tcPr>
          <w:p>
            <w:pPr>
              <w:spacing w:after="0"/>
              <w:rPr>
                <w:sz w:val="1"/>
                <w:szCs w:val="1"/>
                <w:color w:val="auto"/>
              </w:rPr>
            </w:pPr>
          </w:p>
        </w:tc>
      </w:tr>
      <w:tr>
        <w:trPr>
          <w:trHeight w:val="646"/>
        </w:trPr>
        <w:tc>
          <w:tcPr>
            <w:tcW w:w="3100" w:type="dxa"/>
            <w:vAlign w:val="bottom"/>
          </w:tcPr>
          <w:p>
            <w:pPr>
              <w:spacing w:after="0"/>
              <w:rPr>
                <w:sz w:val="24"/>
                <w:szCs w:val="24"/>
                <w:color w:val="auto"/>
              </w:rPr>
            </w:pPr>
          </w:p>
        </w:tc>
        <w:tc>
          <w:tcPr>
            <w:tcW w:w="2900" w:type="dxa"/>
            <w:vAlign w:val="bottom"/>
            <w:gridSpan w:val="4"/>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Effect of Changes in</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2900" w:type="dxa"/>
            <w:vAlign w:val="bottom"/>
            <w:gridSpan w:val="4"/>
            <w:vMerge w:val="continue"/>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vMerge w:val="restart"/>
          </w:tcPr>
          <w:p>
            <w:pPr>
              <w:jc w:val="center"/>
              <w:ind w:right="240"/>
              <w:spacing w:after="0" w:line="145"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1560" w:type="dxa"/>
            <w:vAlign w:val="bottom"/>
            <w:gridSpan w:val="3"/>
            <w:vMerge w:val="restart"/>
          </w:tcPr>
          <w:p>
            <w:pPr>
              <w:jc w:val="center"/>
              <w:ind w:right="100"/>
              <w:spacing w:after="0" w:line="145" w:lineRule="exact"/>
              <w:rPr>
                <w:sz w:val="20"/>
                <w:szCs w:val="20"/>
                <w:color w:val="auto"/>
              </w:rPr>
            </w:pPr>
            <w:r>
              <w:rPr>
                <w:rFonts w:ascii="Times New Roman" w:cs="Times New Roman" w:eastAsia="Times New Roman" w:hAnsi="Times New Roman"/>
                <w:sz w:val="16"/>
                <w:szCs w:val="16"/>
                <w:b w:val="1"/>
                <w:bCs w:val="1"/>
                <w:color w:val="auto"/>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Exchange Rates</w:t>
            </w:r>
          </w:p>
        </w:tc>
        <w:tc>
          <w:tcPr>
            <w:tcW w:w="240" w:type="dxa"/>
            <w:vAlign w:val="bottom"/>
          </w:tcPr>
          <w:p>
            <w:pPr>
              <w:spacing w:after="0"/>
              <w:rPr>
                <w:sz w:val="22"/>
                <w:szCs w:val="22"/>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5"/>
              </w:rPr>
              <w:t>Change</w:t>
            </w:r>
            <w:r>
              <w:rPr>
                <w:rFonts w:ascii="Times New Roman" w:cs="Times New Roman" w:eastAsia="Times New Roman" w:hAnsi="Times New Roman"/>
                <w:sz w:val="21"/>
                <w:szCs w:val="21"/>
                <w:b w:val="1"/>
                <w:bCs w:val="1"/>
                <w:color w:val="auto"/>
                <w:w w:val="95"/>
                <w:vertAlign w:val="superscript"/>
              </w:rPr>
              <w:t>(1)</w:t>
            </w:r>
          </w:p>
        </w:tc>
        <w:tc>
          <w:tcPr>
            <w:tcW w:w="18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 Change</w:t>
            </w:r>
          </w:p>
        </w:tc>
        <w:tc>
          <w:tcPr>
            <w:tcW w:w="0" w:type="dxa"/>
            <w:vAlign w:val="bottom"/>
          </w:tcPr>
          <w:p>
            <w:pPr>
              <w:spacing w:after="0"/>
              <w:rPr>
                <w:sz w:val="1"/>
                <w:szCs w:val="1"/>
                <w:color w:val="auto"/>
              </w:rPr>
            </w:pPr>
          </w:p>
        </w:tc>
      </w:tr>
      <w:tr>
        <w:trPr>
          <w:trHeight w:val="231"/>
        </w:trPr>
        <w:tc>
          <w:tcPr>
            <w:tcW w:w="3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Outcomes Segment</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117,792</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109,094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8,698</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Gross profit</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43,660</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27,554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16,106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expenses</w:t>
            </w:r>
          </w:p>
        </w:tc>
        <w:tc>
          <w:tcPr>
            <w:tcW w:w="10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18,883</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23,960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(5,077)</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19" w:lineRule="auto"/>
        <w:tabs>
          <w:tab w:leader="none" w:pos="34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Constant currency change is a non-GAAP financial measure and represents the total change between periods excluding the effect of changes in foreign currency exchange rates.</w:t>
      </w:r>
    </w:p>
    <w:p>
      <w:pPr>
        <w:spacing w:after="0" w:line="18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Three months ended June 30, 2019 vs. Three months ended June 30, 2018</w:t>
      </w:r>
    </w:p>
    <w:p>
      <w:pPr>
        <w:spacing w:after="0" w:line="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Revenues increased $7.8 million, or 15%, for the three months ended June 30, 2019, compared with the same period in 2018. The increase was driven by growth in software licenses and customer projects. Revenues were unfavorably impacted by $0.9 million due to changes in foreign currency exchange rates.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Revenues - Six months ended June 30, 2019 vs. Six months ended June 30, 2018</w:t>
      </w:r>
    </w:p>
    <w:p>
      <w:pPr>
        <w:spacing w:after="0" w:line="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Revenues increased $8.7 million, or 8%, for the six months ended June 30, 2019, compared with the same period in 2018. This growth was driven by software licenses and customer projects. Revenues were unfavorably impacted by $2.2 million due to changes in foreign currency exchange rates.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Three months ended June 30, 2019 vs. Three months ended June 30, 2018</w:t>
      </w:r>
    </w:p>
    <w:p>
      <w:pPr>
        <w:spacing w:after="0" w:line="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Gross margin increased to 38.1%, compared with 29.0% in 2018. The 910 basis point increase in gross margin was driven primarily by the growth in higher margin software licenses and professional services.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Gross Margin - Six months ended June 30, 2019 vs. Six months ended June 30, 2018</w:t>
      </w:r>
    </w:p>
    <w:p>
      <w:pPr>
        <w:spacing w:after="0" w:line="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Gross margin increased to 37.1% for the six months ended June 30, 2019, compared with 25.3% for the same period last year. The 1180 basis point increase was driven by growth in higher margin software licenses and professional services.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Three months ended June 30, 2019 vs. Three months ended June 30, 2018</w:t>
      </w:r>
    </w:p>
    <w:p>
      <w:pPr>
        <w:spacing w:after="0" w:line="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Operating expenses for the three months ended June 30, 2019 decreased $2.3 million, or 20%, compared with 2018. This was primarily related to lower research and development expenses.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Operating Expenses - Six months ended June 30, 2019 vs. Six months ended June 30, 2018</w:t>
      </w:r>
    </w:p>
    <w:p>
      <w:pPr>
        <w:spacing w:after="0" w:line="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Operating expenses for the six months ended June 30, 2019 decreased $5.1 million, or 21%, compared with the same period last year. This was primarily related to lower research and development and product marketing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unallocated:</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Corporate Unallocated Expenses - Three months ended June 30, 2019 vs. Three months ended June 30, 2018</w:t>
      </w:r>
    </w:p>
    <w:p>
      <w:pPr>
        <w:spacing w:after="0" w:line="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Operating expenses not directly associated with an operating segment are classified as "Corporate unallocated." These expenses decreased by $2.9 million, or 3%, for the three months ended June 30, 2019 compared with the same period in 2018. This was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due to decreases in sales, general and administrative expenses and research and development spending, net of an increase in variable compensation.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Corporate Unallocated Expenses - Six months ended June 30, 2019 vs. Six months ended June 30, 2018</w:t>
      </w:r>
    </w:p>
    <w:p>
      <w:pPr>
        <w:spacing w:after="0" w:line="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Corporate unallocated expenses decreased by $150.5 million, or 42%, for the six months ended June 30, 2019 compared with the same period in 2018. The decrease was primarily due to lower restructuring expense and lower SSNI acquisition and integration expense in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Bookings and Backlog of Orders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as well as frame contracts.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 Total bookings and backlog include certain contracts with termination for convenience clause, which will not agree to the total transaction price allocated to remaining performance obligations disclosed in Item 8: "Financial Statements and Supplementary Data, Note 16: Revenues".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0" w:type="dxa"/>
            <w:vAlign w:val="bottom"/>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Ending</w:t>
            </w:r>
          </w:p>
        </w:tc>
        <w:tc>
          <w:tcPr>
            <w:tcW w:w="540" w:type="dxa"/>
            <w:vAlign w:val="bottom"/>
          </w:tcPr>
          <w:p>
            <w:pPr>
              <w:spacing w:after="0"/>
              <w:rPr>
                <w:sz w:val="17"/>
                <w:szCs w:val="17"/>
                <w:color w:val="auto"/>
              </w:rPr>
            </w:pPr>
          </w:p>
        </w:tc>
        <w:tc>
          <w:tcPr>
            <w:tcW w:w="1820" w:type="dxa"/>
            <w:vAlign w:val="bottom"/>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Ending</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Quarterly</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0" w:type="dxa"/>
            <w:vAlign w:val="bottom"/>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540" w:type="dxa"/>
            <w:vAlign w:val="bottom"/>
          </w:tcPr>
          <w:p>
            <w:pPr>
              <w:spacing w:after="0"/>
              <w:rPr>
                <w:sz w:val="17"/>
                <w:szCs w:val="17"/>
                <w:color w:val="auto"/>
              </w:rPr>
            </w:pPr>
          </w:p>
        </w:tc>
        <w:tc>
          <w:tcPr>
            <w:tcW w:w="1820" w:type="dxa"/>
            <w:vAlign w:val="bottom"/>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12-Month</w:t>
            </w:r>
          </w:p>
        </w:tc>
      </w:tr>
      <w:tr>
        <w:trPr>
          <w:trHeight w:val="212"/>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720" w:type="dxa"/>
            <w:vAlign w:val="bottom"/>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Bookings</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0" w:type="dxa"/>
            <w:vAlign w:val="bottom"/>
          </w:tcPr>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540" w:type="dxa"/>
            <w:vAlign w:val="bottom"/>
          </w:tcPr>
          <w:p>
            <w:pPr>
              <w:spacing w:after="0"/>
              <w:rPr>
                <w:sz w:val="18"/>
                <w:szCs w:val="18"/>
                <w:color w:val="auto"/>
              </w:rPr>
            </w:pPr>
          </w:p>
        </w:tc>
        <w:tc>
          <w:tcPr>
            <w:tcW w:w="1820" w:type="dxa"/>
            <w:vAlign w:val="bottom"/>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Backlog</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June 30, 2019</w:t>
            </w:r>
          </w:p>
        </w:tc>
        <w:tc>
          <w:tcPr>
            <w:tcW w:w="1720" w:type="dxa"/>
            <w:vAlign w:val="bottom"/>
            <w:tcBorders>
              <w:bottom w:val="single" w:sz="8" w:color="CCEEFF"/>
            </w:tcBorders>
            <w:shd w:val="clear" w:color="auto" w:fill="CCEEFF"/>
          </w:tcPr>
          <w:p>
            <w:pPr>
              <w:jc w:val="right"/>
              <w:ind w:right="15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702</w:t>
            </w:r>
          </w:p>
        </w:tc>
        <w:tc>
          <w:tcPr>
            <w:tcW w:w="5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3,090</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1,403</w:t>
            </w:r>
          </w:p>
        </w:tc>
      </w:tr>
      <w:tr>
        <w:trPr>
          <w:trHeight w:val="23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March 31, 2019</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473</w:t>
            </w:r>
          </w:p>
        </w:tc>
        <w:tc>
          <w:tcPr>
            <w:tcW w:w="5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3,022</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1,375</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December 31, 2018</w:t>
            </w:r>
          </w:p>
        </w:tc>
        <w:tc>
          <w:tcPr>
            <w:tcW w:w="1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786</w:t>
            </w:r>
          </w:p>
        </w:tc>
        <w:tc>
          <w:tcPr>
            <w:tcW w:w="5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3,173</w:t>
            </w:r>
          </w:p>
        </w:tc>
        <w:tc>
          <w:tcPr>
            <w:tcW w:w="5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1,349</w:t>
            </w:r>
          </w:p>
        </w:tc>
      </w:tr>
      <w:tr>
        <w:trPr>
          <w:trHeight w:val="23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September 30, 2018</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593</w:t>
            </w:r>
          </w:p>
        </w:tc>
        <w:tc>
          <w:tcPr>
            <w:tcW w:w="58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3,112</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1,350</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June 30, 2018</w:t>
            </w:r>
          </w:p>
        </w:tc>
        <w:tc>
          <w:tcPr>
            <w:tcW w:w="17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579</w:t>
            </w:r>
          </w:p>
        </w:tc>
        <w:tc>
          <w:tcPr>
            <w:tcW w:w="58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3,113</w:t>
            </w: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1,426</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Information: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7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78,063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16,879</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(832,340)</w:t>
            </w: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provided by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498,009</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rates on cash, cash equivalents, and restricted cash</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(4,841)</w:t>
            </w: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Increase (decrease) in cash, cash equivalents, and restricted cash</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15,525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(322,293)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cash equivalents, and restricted cash was $137.9 million at June 30, 2019, compared with $122.3 million at December 31, 2018. The $15.5 million increase in cash, cash equivalents, and restricted cash for the six months ended June 30, 2019 was primarily the result of cash flows from operations, partially offset by acquisitions of property, plant, and equipment; repurchases of shares; and net payments on debt.</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during the six months ended June 30, 2019 was $78.1 million compared with cash provided by operating activities of $16.9 million during the same period in 2018. The increase was primarily due to increased gross profit and lower cash outflows for acquisition and integration costs and restructuring costs.</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by investing activities during the six months ended June 30, 2019 was $815.6 million higher compared with the same period in 2018. This decrease in use of cash was primarily related to the acquisition of SSNI in 2018.</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June 30, 2019 was $46.5 million, compared with net cash provided of $498.0 million for the same period in 2018. In 2018, we had net draws on our debt of $519.7 million to fund the acquisition of SSNI, as well as cash payments of $24.0 million for debt origination fees. In 2019, we had stock repurchases of $25.0 million and net repayments of debt of $22.2 million.</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Effect of exchange rates on cash and cash equivalents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effect of exchange rates on the cash balances of currencies held in foreign denominations for the six months ended June 30, 2019 was an increase of $0.7 million, compared with a decrease of $4.8 million for the same period in 2018. The impact of exchange rates is the result of an increase in the U.S. dollar value compared with most foreign currencies during the six months ended June 30, 2019, compared with a decrease in value compared with most foreign currencies during the same period in 2018.</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Free cash flow (Non-GAAP)</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7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78,063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16,879</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(29,309)</w:t>
            </w: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Free cash flow</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51,552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(12,430)</w:t>
            </w: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Free cash flow increased primarily as a result of higher cash provided by operating activities due to a significant decrease in acquisition and integration costs related to our acquisition of SSNI in the 2018 period. See the cash flow discussion of operating activities above. In addition, acquisition of property, plant, and equipment decreased $2.8 million during the six months ended June 30, 2019 primarily due to investments related to our </w:t>
      </w:r>
      <w:r>
        <w:rPr>
          <w:rFonts w:ascii="Times New Roman" w:cs="Times New Roman" w:eastAsia="Times New Roman" w:hAnsi="Times New Roman"/>
          <w:sz w:val="18"/>
          <w:szCs w:val="18"/>
          <w:color w:val="222222"/>
        </w:rPr>
        <w:t>strategic sourcing projects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related manufacturing and supplier transitions in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 off-balance sheet financing agreements or guarantees as defined by Item 303 of Regulation S-K at June 30, 2019 and December 31, 2018 that we believe are reasonably likely to have a current or future effect on our financial condition,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of debt. Working capital, which represents current assets less current liabilities, continues to be a net favorable position.</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5, 2018, we entered into a credit agreement providing for committed credit facilities in the amount of $1.2 billion U.S. dollars, which amended and restated in its entirety our credit agreement dated June 23, 2015 and replaced committed facilities in the amount of $725 million.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Both the term loan and the revolver mature on January 5, 2023 and can be repaid without penalty. Amounts repaid on the term loan may not be reborrowed and amounts borrowed under the revolver during the credit facility term may be repaid and reborrowed until the revolver's maturity, at which time all outstanding loans together with all accrued and unpaid interest must be repaid. During the quarter ended June 30, 2019, we made debt prepayments on the term loan in excess of required principal payments and intend to make additional payments in excess of our current portion of debt in the next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description of our borrowing, refer to Item 1: "Financial Statements (Unaudited), Note 6: Debt."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(Unaudited), Note 11: Commitments and Contingencies."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Silver Spring Networks, Inc. Acquisition</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acquisition of SSNI, we announced an integration plan to obtain approximately $50 million of annualized savings by the end of 2020. For the six months ended June 30, 2019, we have paid out $19.0 million and we have approximately $30 million to $40 million of estimated cash payments remaining on the integration plan, the majority of which is expected to be paid out in the next 12 months. We have recognized $9.2 million and $20.8 million of the acquisition and integration related expenses during the three and six months ended June 30, 2019.</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2019, we have paid out a net $10.9 million related to the restructuring projects. As of June 30, 2019, $65.7 million was accrued for restructuring projects, of which $24.4 million is expected to be paid over the next 12 months.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details regarding our restructuring activities, refer to Item 1: "Financial Statements (Unaudited), Note 12: Restructuring."</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 Repurchase Authorization</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14, 2019, Itron's Board of Directors authorized the Company to repurchase up to $50 million of our common stock over a 12-month period (the 2019 Stock Repurchase Program). Following the announcement of the program and through June 30, 2019, we repurchased 529,396 shares at an average share price of $47.22 (including commissions) for a total of $25 million. The remaining amount authorized for repurchase under the 2019 Stock Repurchase Program is $25 million. In accordance with the terms of our 5% senior notes indenture maturing January 15, 2026, we are limited to a total of $25 million in stock repurchases in 2019. As we have already met that threshold, we will not repurchase any more shares for the remainder of 2019.</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Liquidity Considerations</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$1 million in state taxes and $17 million in local and foreign taxes during 2019. We do not expect to pay any U.S. federal taxes. For a discussion of our tax provision and unrecognized tax benefits, see Item 1: "Financial Statements (Unaudited), Note 10: Income Taxes."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June 30, 2019, we are under examination by certain tax authorities for the 2010 to 2017 tax years. The material jurisdictions where we are subject to examination for the 2010 to 2017 tax years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2019, there was $31.9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 many factors that we consider in the management of global cash. Accordingly, the amount of taxes that we would need to accrue and pay to repatriate foreign cash could vary significantly.</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June 30, 2019, $5.9 million of our consolidated cash balance is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 Liquidity Overview</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industries,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competitive pressures, </w:t>
      </w:r>
      <w:r>
        <w:rPr>
          <w:rFonts w:ascii="Times New Roman" w:cs="Times New Roman" w:eastAsia="Times New Roman" w:hAnsi="Times New Roman"/>
          <w:sz w:val="18"/>
          <w:szCs w:val="18"/>
          <w:color w:val="222222"/>
        </w:rPr>
        <w:t>our dependence on certain key vendors and components,</w:t>
      </w:r>
      <w:r>
        <w:rPr>
          <w:rFonts w:ascii="Times New Roman" w:cs="Times New Roman" w:eastAsia="Times New Roman" w:hAnsi="Times New Roman"/>
          <w:sz w:val="18"/>
          <w:szCs w:val="18"/>
          <w:color w:val="auto"/>
        </w:rPr>
        <w:t xml:space="preserve"> changes in estimated liabilities for product warranties and/or litigation, future business combinations, capital market fluctuations, international risks, and other factors described under "Risk Factors" within Item 1A of Part I of our 2018 Annual Report, as well as "Quantitative and Qualitative Disclosures About Market Risk" within Item 3 of Part I included in this Quarterly Report on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Policies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preparation of our consolidated financial statements in conformity with GAAP requires us to make estimates and assumptions that affect amounts reported in the consolidated financial statements. Changes in these estimates and assumptions are considered reasonably possible and may have a material effect on our consolidated financial statements and thus actual results could differ from the amounts reported and disclosed herein. Our critical accounting policies that require the use of estimates and assumptions were discussed in detail in the 2018 Annual Report and have not changed materially, with the exception of the adoption of Accounting Standards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Item 1: "Financial Statements (Unaudited), Note 1: Summary of Significant Accounting Policies" included in this Quarterly Report on Form 10-Q for further disclosures regarding new accounting pronouncements.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accompanying schedule contains non-GAAP financial measures. To supplement our consolidated financial statements, which are prepared in accordance with GAAP, we use certain non-GAAP financial measures, including non-GAAP operating expense, non-GAAP operating income, non-GAAP net income, non-GAAP diluted EPS, adjusted EBITDA, constant currency and free cash flow. The presentation of this financial information is not intended to be considered in isolation or as a substitute for, or superior to, the financial information prepared and presented in accordance with GAAP, and other companies may define such measures differently. 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operational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Non-GAAP operating expenses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non-GAAP operating income</w:t>
      </w:r>
      <w:r>
        <w:rPr>
          <w:rFonts w:ascii="Times New Roman" w:cs="Times New Roman" w:eastAsia="Times New Roman" w:hAnsi="Times New Roman"/>
          <w:sz w:val="18"/>
          <w:szCs w:val="18"/>
          <w:color w:val="auto"/>
        </w:rPr>
        <w:t xml:space="preserve"> – We define non-GAAP operating expenses as operating expenses excluding certain expenses related to the amortization of intangible assets, restructuring, corporate transition costs, acquisition and integration, and goodwill impairment. We define non-GAAP operating income as operating income excluding the expenses related to the amortization of intangible assets, restructuring, corporate transition costs, acquisition and integration, and goodwill impairment.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GAAP operating income.</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Non-GAAP net income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non-GAAP diluted EPS</w:t>
      </w:r>
      <w:r>
        <w:rPr>
          <w:rFonts w:ascii="Times New Roman" w:cs="Times New Roman" w:eastAsia="Times New Roman" w:hAnsi="Times New Roman"/>
          <w:sz w:val="18"/>
          <w:szCs w:val="18"/>
          <w:color w:val="auto"/>
        </w:rPr>
        <w:t xml:space="preserve"> – We define non-GAAP net income as net income attributable to Itron, Inc. excluding the expenses associated with amortization of intangible assets, amortization of debt placement fees, restructuring, corporate transition costs, acquisition and integration, goodwill impairment,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interim periods, beginning the first quarter of 2019, the budgeted annual effective tax rate (AETR) is used, adjusted for any discrete items, as defined in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 throughout the year and use the most recent AETR anytime it increases or decreases by 200 basis points or more from the prior interim period.</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Adjusted EBITDA</w:t>
      </w:r>
      <w:r>
        <w:rPr>
          <w:rFonts w:ascii="Times New Roman" w:cs="Times New Roman" w:eastAsia="Times New Roman" w:hAnsi="Times New Roman"/>
          <w:sz w:val="18"/>
          <w:szCs w:val="18"/>
          <w:color w:val="auto"/>
        </w:rPr>
        <w:t xml:space="preserve"> – We define adjusted EBITDA as net income (a) minus interest income, (b) plus interest expense, depreciation and amortization of intangible assets, restructuring, acquisition and integration related expense, corporate transition cost, goodwill impairment and (c) excluding income tax provision or benefit. Management uses adjusted EBITDA as a performance measure for executive compensation. A limitation to using adjusted EBITDA is that it does not represent the total increase or decrease in the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Free cash flow</w:t>
      </w:r>
      <w:r>
        <w:rPr>
          <w:rFonts w:ascii="Times New Roman" w:cs="Times New Roman" w:eastAsia="Times New Roman" w:hAnsi="Times New Roman"/>
          <w:sz w:val="18"/>
          <w:szCs w:val="18"/>
          <w:color w:val="auto"/>
        </w:rPr>
        <w:t xml:space="preserve"> – We define free cash flow as cash provided by (used in)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Constant currency</w:t>
      </w:r>
      <w:r>
        <w:rPr>
          <w:rFonts w:ascii="Times New Roman" w:cs="Times New Roman" w:eastAsia="Times New Roman" w:hAnsi="Times New Roman"/>
          <w:sz w:val="18"/>
          <w:szCs w:val="18"/>
          <w:color w:val="auto"/>
        </w:rPr>
        <w:t xml:space="preserve"> – We refer to the impact of foreign currency exchange rate fluctuations in our discussions of financial results, which references the differences between the foreign currency exchange rates used to translate operating results from local currencies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GAAP Measures to Non-GAAP Measures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accompanying tables have more detail on the GAAP financial measures that are most directly comparable to the non-GAAP financial measures and the related reconciliations between these financial measures.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COMPANY RECONCILIATIONS</w:t>
            </w:r>
          </w:p>
        </w:tc>
        <w:tc>
          <w:tcPr>
            <w:tcW w:w="27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50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450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NON-GAAP OPERATING EXPENSES</w:t>
            </w: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50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GAAP operating expenses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147,656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156,014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314,096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476,317</w:t>
            </w:r>
          </w:p>
        </w:tc>
        <w:tc>
          <w:tcPr>
            <w:tcW w:w="0" w:type="dxa"/>
            <w:vAlign w:val="bottom"/>
          </w:tcPr>
          <w:p>
            <w:pPr>
              <w:spacing w:after="0"/>
              <w:rPr>
                <w:sz w:val="1"/>
                <w:szCs w:val="1"/>
                <w:color w:val="auto"/>
              </w:rPr>
            </w:pPr>
          </w:p>
        </w:tc>
      </w:tr>
      <w:tr>
        <w:trPr>
          <w:trHeight w:val="237"/>
        </w:trPr>
        <w:tc>
          <w:tcPr>
            <w:tcW w:w="4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(16,117)</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(32,090)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(35,739)</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Restructuring</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6,169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(82,242)</w:t>
            </w:r>
          </w:p>
        </w:tc>
        <w:tc>
          <w:tcPr>
            <w:tcW w:w="0" w:type="dxa"/>
            <w:vAlign w:val="bottom"/>
          </w:tcPr>
          <w:p>
            <w:pPr>
              <w:spacing w:after="0"/>
              <w:rPr>
                <w:sz w:val="1"/>
                <w:szCs w:val="1"/>
                <w:color w:val="auto"/>
              </w:rPr>
            </w:pPr>
          </w:p>
        </w:tc>
      </w:tr>
      <w:tr>
        <w:trPr>
          <w:trHeight w:val="237"/>
        </w:trPr>
        <w:tc>
          <w:tcPr>
            <w:tcW w:w="4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Corporate transition cost</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Acquisition and integration related expense</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(9,194)</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(73,795)</w:t>
            </w:r>
          </w:p>
        </w:tc>
        <w:tc>
          <w:tcPr>
            <w:tcW w:w="0" w:type="dxa"/>
            <w:vAlign w:val="bottom"/>
          </w:tcPr>
          <w:p>
            <w:pPr>
              <w:spacing w:after="0"/>
              <w:rPr>
                <w:sz w:val="1"/>
                <w:szCs w:val="1"/>
                <w:color w:val="auto"/>
              </w:rPr>
            </w:pPr>
          </w:p>
        </w:tc>
      </w:tr>
      <w:tr>
        <w:trPr>
          <w:trHeight w:val="284"/>
        </w:trPr>
        <w:tc>
          <w:tcPr>
            <w:tcW w:w="45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128,041</w:t>
            </w:r>
          </w:p>
        </w:tc>
        <w:tc>
          <w:tcPr>
            <w:tcW w:w="12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132,490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258,598</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284,541</w:t>
            </w:r>
          </w:p>
        </w:tc>
        <w:tc>
          <w:tcPr>
            <w:tcW w:w="0" w:type="dxa"/>
            <w:vAlign w:val="bottom"/>
          </w:tcPr>
          <w:p>
            <w:pPr>
              <w:spacing w:after="0"/>
              <w:rPr>
                <w:sz w:val="1"/>
                <w:szCs w:val="1"/>
                <w:color w:val="auto"/>
              </w:rPr>
            </w:pPr>
          </w:p>
        </w:tc>
      </w:tr>
      <w:tr>
        <w:trPr>
          <w:trHeight w:val="149"/>
        </w:trPr>
        <w:tc>
          <w:tcPr>
            <w:tcW w:w="4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NON-GAAP OPERATING INCOME</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GAAP operating income (loss)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43,558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20,563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64,381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(119,885)</w:t>
            </w:r>
          </w:p>
        </w:tc>
        <w:tc>
          <w:tcPr>
            <w:tcW w:w="0" w:type="dxa"/>
            <w:vAlign w:val="bottom"/>
          </w:tcPr>
          <w:p>
            <w:pPr>
              <w:spacing w:after="0"/>
              <w:rPr>
                <w:sz w:val="1"/>
                <w:szCs w:val="1"/>
                <w:color w:val="auto"/>
              </w:rPr>
            </w:pPr>
          </w:p>
        </w:tc>
      </w:tr>
      <w:tr>
        <w:trPr>
          <w:trHeight w:val="237"/>
        </w:trPr>
        <w:tc>
          <w:tcPr>
            <w:tcW w:w="4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16,117</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17,999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32,090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35,739</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Restructuring</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82,242</w:t>
            </w:r>
          </w:p>
        </w:tc>
        <w:tc>
          <w:tcPr>
            <w:tcW w:w="0" w:type="dxa"/>
            <w:vAlign w:val="bottom"/>
          </w:tcPr>
          <w:p>
            <w:pPr>
              <w:spacing w:after="0"/>
              <w:rPr>
                <w:sz w:val="1"/>
                <w:szCs w:val="1"/>
                <w:color w:val="auto"/>
              </w:rPr>
            </w:pPr>
          </w:p>
        </w:tc>
      </w:tr>
      <w:tr>
        <w:trPr>
          <w:trHeight w:val="237"/>
        </w:trPr>
        <w:tc>
          <w:tcPr>
            <w:tcW w:w="4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Corporate transition cost</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Acquisition and integration related expense</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9,194</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20,759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73,795</w:t>
            </w:r>
          </w:p>
        </w:tc>
        <w:tc>
          <w:tcPr>
            <w:tcW w:w="0" w:type="dxa"/>
            <w:vAlign w:val="bottom"/>
          </w:tcPr>
          <w:p>
            <w:pPr>
              <w:spacing w:after="0"/>
              <w:rPr>
                <w:sz w:val="1"/>
                <w:szCs w:val="1"/>
                <w:color w:val="auto"/>
              </w:rPr>
            </w:pPr>
          </w:p>
        </w:tc>
      </w:tr>
      <w:tr>
        <w:trPr>
          <w:trHeight w:val="284"/>
        </w:trPr>
        <w:tc>
          <w:tcPr>
            <w:tcW w:w="45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Non-GAAP operating income</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63,173</w:t>
            </w:r>
          </w:p>
        </w:tc>
        <w:tc>
          <w:tcPr>
            <w:tcW w:w="120" w:type="dxa"/>
            <w:vAlign w:val="bottom"/>
            <w:tcBorders>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44,087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119,879</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71,891</w:t>
            </w:r>
          </w:p>
        </w:tc>
        <w:tc>
          <w:tcPr>
            <w:tcW w:w="0" w:type="dxa"/>
            <w:vAlign w:val="bottom"/>
          </w:tcPr>
          <w:p>
            <w:pPr>
              <w:spacing w:after="0"/>
              <w:rPr>
                <w:sz w:val="1"/>
                <w:szCs w:val="1"/>
                <w:color w:val="auto"/>
              </w:rPr>
            </w:pPr>
          </w:p>
        </w:tc>
      </w:tr>
      <w:tr>
        <w:trPr>
          <w:trHeight w:val="149"/>
        </w:trPr>
        <w:tc>
          <w:tcPr>
            <w:tcW w:w="4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NON-GAAP NET INCOME &amp; DILUTED EPS</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GAAP income (loss) attributable to Itron, Inc.</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19,446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(143,009)</w:t>
            </w:r>
          </w:p>
        </w:tc>
        <w:tc>
          <w:tcPr>
            <w:tcW w:w="0" w:type="dxa"/>
            <w:vAlign w:val="bottom"/>
          </w:tcPr>
          <w:p>
            <w:pPr>
              <w:spacing w:after="0"/>
              <w:rPr>
                <w:sz w:val="1"/>
                <w:szCs w:val="1"/>
                <w:color w:val="auto"/>
              </w:rPr>
            </w:pPr>
          </w:p>
        </w:tc>
      </w:tr>
      <w:tr>
        <w:trPr>
          <w:trHeight w:val="237"/>
        </w:trPr>
        <w:tc>
          <w:tcPr>
            <w:tcW w:w="4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16,117</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17,999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32,090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35,739</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Amortization of debt placement fees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4,515</w:t>
            </w:r>
          </w:p>
        </w:tc>
        <w:tc>
          <w:tcPr>
            <w:tcW w:w="0" w:type="dxa"/>
            <w:vAlign w:val="bottom"/>
          </w:tcPr>
          <w:p>
            <w:pPr>
              <w:spacing w:after="0"/>
              <w:rPr>
                <w:sz w:val="1"/>
                <w:szCs w:val="1"/>
                <w:color w:val="auto"/>
              </w:rPr>
            </w:pPr>
          </w:p>
        </w:tc>
      </w:tr>
      <w:tr>
        <w:trPr>
          <w:trHeight w:val="237"/>
        </w:trPr>
        <w:tc>
          <w:tcPr>
            <w:tcW w:w="4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Restructuring</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82,242</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Corporate transition cost</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Acquisition and integration related expense</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9,194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20,759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73,795</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Income tax effect of non-GAAP adjustments</w:t>
            </w:r>
            <w:r>
              <w:rPr>
                <w:rFonts w:ascii="Times New Roman" w:cs="Times New Roman" w:eastAsia="Times New Roman" w:hAnsi="Times New Roman"/>
                <w:sz w:val="21"/>
                <w:szCs w:val="21"/>
                <w:color w:val="auto"/>
                <w:vertAlign w:val="superscript"/>
              </w:rPr>
              <w:t>(1)</w:t>
            </w:r>
          </w:p>
        </w:tc>
        <w:tc>
          <w:tcPr>
            <w:tcW w:w="9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(5,620)</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(12,862)</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(27,732)</w:t>
            </w:r>
          </w:p>
        </w:tc>
        <w:tc>
          <w:tcPr>
            <w:tcW w:w="0" w:type="dxa"/>
            <w:vAlign w:val="bottom"/>
          </w:tcPr>
          <w:p>
            <w:pPr>
              <w:spacing w:after="0"/>
              <w:rPr>
                <w:sz w:val="1"/>
                <w:szCs w:val="1"/>
                <w:color w:val="auto"/>
              </w:rPr>
            </w:pPr>
          </w:p>
        </w:tc>
      </w:tr>
      <w:tr>
        <w:trPr>
          <w:trHeight w:val="290"/>
        </w:trPr>
        <w:tc>
          <w:tcPr>
            <w:tcW w:w="45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 xml:space="preserve">Non-GAAP net income attributable to Itron, Inc. </w:t>
            </w:r>
            <w:r>
              <w:rPr>
                <w:rFonts w:ascii="Times New Roman" w:cs="Times New Roman" w:eastAsia="Times New Roman" w:hAnsi="Times New Roman"/>
                <w:sz w:val="21"/>
                <w:szCs w:val="21"/>
                <w:color w:val="auto"/>
                <w:vertAlign w:val="superscript"/>
              </w:rPr>
              <w:t>(1)</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34,600</w:t>
            </w: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20,456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62,490</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25,550</w:t>
            </w:r>
          </w:p>
        </w:tc>
        <w:tc>
          <w:tcPr>
            <w:tcW w:w="0" w:type="dxa"/>
            <w:vAlign w:val="bottom"/>
          </w:tcPr>
          <w:p>
            <w:pPr>
              <w:spacing w:after="0"/>
              <w:rPr>
                <w:sz w:val="1"/>
                <w:szCs w:val="1"/>
                <w:color w:val="auto"/>
              </w:rPr>
            </w:pPr>
          </w:p>
        </w:tc>
      </w:tr>
      <w:tr>
        <w:trPr>
          <w:trHeight w:val="143"/>
        </w:trPr>
        <w:tc>
          <w:tcPr>
            <w:tcW w:w="4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5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 xml:space="preserve">Non-GAAP diluted EPS </w:t>
            </w:r>
            <w:r>
              <w:rPr>
                <w:rFonts w:ascii="Times New Roman" w:cs="Times New Roman" w:eastAsia="Times New Roman" w:hAnsi="Times New Roman"/>
                <w:sz w:val="21"/>
                <w:szCs w:val="21"/>
                <w:color w:val="auto"/>
                <w:vertAlign w:val="superscript"/>
              </w:rPr>
              <w:t>(1)</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0.87</w:t>
            </w: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0.51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0.64</w:t>
            </w:r>
          </w:p>
        </w:tc>
        <w:tc>
          <w:tcPr>
            <w:tcW w:w="0" w:type="dxa"/>
            <w:vAlign w:val="bottom"/>
          </w:tcPr>
          <w:p>
            <w:pPr>
              <w:spacing w:after="0"/>
              <w:rPr>
                <w:sz w:val="1"/>
                <w:szCs w:val="1"/>
                <w:color w:val="auto"/>
              </w:rPr>
            </w:pPr>
          </w:p>
        </w:tc>
      </w:tr>
      <w:tr>
        <w:trPr>
          <w:trHeight w:val="143"/>
        </w:trPr>
        <w:tc>
          <w:tcPr>
            <w:tcW w:w="4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45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9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39,686</w:t>
            </w: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39,789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39,875</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39,782</w:t>
            </w:r>
          </w:p>
        </w:tc>
        <w:tc>
          <w:tcPr>
            <w:tcW w:w="0" w:type="dxa"/>
            <w:vAlign w:val="bottom"/>
          </w:tcPr>
          <w:p>
            <w:pPr>
              <w:spacing w:after="0"/>
              <w:rPr>
                <w:sz w:val="1"/>
                <w:szCs w:val="1"/>
                <w:color w:val="auto"/>
              </w:rPr>
            </w:pPr>
          </w:p>
        </w:tc>
      </w:tr>
      <w:tr>
        <w:trPr>
          <w:trHeight w:val="149"/>
        </w:trPr>
        <w:tc>
          <w:tcPr>
            <w:tcW w:w="4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GAAP income (loss) attributable to Itron, Inc.</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19,446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(143,009)</w:t>
            </w:r>
          </w:p>
        </w:tc>
        <w:tc>
          <w:tcPr>
            <w:tcW w:w="0" w:type="dxa"/>
            <w:vAlign w:val="bottom"/>
          </w:tcPr>
          <w:p>
            <w:pPr>
              <w:spacing w:after="0"/>
              <w:rPr>
                <w:sz w:val="1"/>
                <w:szCs w:val="1"/>
                <w:color w:val="auto"/>
              </w:rPr>
            </w:pPr>
          </w:p>
        </w:tc>
      </w:tr>
      <w:tr>
        <w:trPr>
          <w:trHeight w:val="237"/>
        </w:trPr>
        <w:tc>
          <w:tcPr>
            <w:tcW w:w="4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Interest income</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Interest expense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13,496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27,031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30,149</w:t>
            </w:r>
          </w:p>
        </w:tc>
        <w:tc>
          <w:tcPr>
            <w:tcW w:w="0" w:type="dxa"/>
            <w:vAlign w:val="bottom"/>
          </w:tcPr>
          <w:p>
            <w:pPr>
              <w:spacing w:after="0"/>
              <w:rPr>
                <w:sz w:val="1"/>
                <w:szCs w:val="1"/>
                <w:color w:val="auto"/>
              </w:rPr>
            </w:pPr>
          </w:p>
        </w:tc>
      </w:tr>
      <w:tr>
        <w:trPr>
          <w:trHeight w:val="237"/>
        </w:trPr>
        <w:tc>
          <w:tcPr>
            <w:tcW w:w="4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8,419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3,781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14,540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(7,407)</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Depreciation and amortization of intangible assets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28,641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30,907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57,068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61,979</w:t>
            </w:r>
          </w:p>
        </w:tc>
        <w:tc>
          <w:tcPr>
            <w:tcW w:w="0" w:type="dxa"/>
            <w:vAlign w:val="bottom"/>
          </w:tcPr>
          <w:p>
            <w:pPr>
              <w:spacing w:after="0"/>
              <w:rPr>
                <w:sz w:val="1"/>
                <w:szCs w:val="1"/>
                <w:color w:val="auto"/>
              </w:rPr>
            </w:pPr>
          </w:p>
        </w:tc>
      </w:tr>
      <w:tr>
        <w:trPr>
          <w:trHeight w:val="237"/>
        </w:trPr>
        <w:tc>
          <w:tcPr>
            <w:tcW w:w="4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Restructuring</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82,242</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Corporate transition cost</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Acquisition and integration related expense</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9,194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20,759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73,795</w:t>
            </w:r>
          </w:p>
        </w:tc>
        <w:tc>
          <w:tcPr>
            <w:tcW w:w="0" w:type="dxa"/>
            <w:vAlign w:val="bottom"/>
          </w:tcPr>
          <w:p>
            <w:pPr>
              <w:spacing w:after="0"/>
              <w:rPr>
                <w:sz w:val="1"/>
                <w:szCs w:val="1"/>
                <w:color w:val="auto"/>
              </w:rPr>
            </w:pPr>
          </w:p>
        </w:tc>
      </w:tr>
      <w:tr>
        <w:trPr>
          <w:trHeight w:val="33"/>
        </w:trPr>
        <w:tc>
          <w:tcPr>
            <w:tcW w:w="45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Adjusted EBITDA</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72,966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56,882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138,724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96,455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53,139</w:t>
            </w:r>
          </w:p>
        </w:tc>
        <w:tc>
          <w:tcPr>
            <w:tcW w:w="120" w:type="dxa"/>
            <w:vAlign w:val="bottom"/>
          </w:tcPr>
          <w:p>
            <w:pPr>
              <w:spacing w:after="0"/>
              <w:rPr>
                <w:sz w:val="20"/>
                <w:szCs w:val="20"/>
                <w:color w:val="auto"/>
              </w:rPr>
            </w:pP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41,327</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78,063</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16,879</w:t>
            </w:r>
          </w:p>
        </w:tc>
        <w:tc>
          <w:tcPr>
            <w:tcW w:w="0" w:type="dxa"/>
            <w:vAlign w:val="bottom"/>
          </w:tcPr>
          <w:p>
            <w:pPr>
              <w:spacing w:after="0"/>
              <w:rPr>
                <w:sz w:val="1"/>
                <w:szCs w:val="1"/>
                <w:color w:val="auto"/>
              </w:rPr>
            </w:pPr>
          </w:p>
        </w:tc>
      </w:tr>
      <w:tr>
        <w:trPr>
          <w:trHeight w:val="33"/>
        </w:trPr>
        <w:tc>
          <w:tcPr>
            <w:tcW w:w="4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Acquisitions of property, plant, and equipment</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(15,096)</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(29,309)</w:t>
            </w:r>
          </w:p>
        </w:tc>
        <w:tc>
          <w:tcPr>
            <w:tcW w:w="0" w:type="dxa"/>
            <w:vAlign w:val="bottom"/>
          </w:tcPr>
          <w:p>
            <w:pPr>
              <w:spacing w:after="0"/>
              <w:rPr>
                <w:sz w:val="1"/>
                <w:szCs w:val="1"/>
                <w:color w:val="auto"/>
              </w:rPr>
            </w:pPr>
          </w:p>
        </w:tc>
      </w:tr>
      <w:tr>
        <w:trPr>
          <w:trHeight w:val="231"/>
        </w:trPr>
        <w:tc>
          <w:tcPr>
            <w:tcW w:w="4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Free Cash Flow</w:t>
            </w:r>
          </w:p>
        </w:tc>
        <w:tc>
          <w:tcPr>
            <w:tcW w:w="96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38,043</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29,451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51,552</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12700</wp:posOffset>
            </wp:positionV>
            <wp:extent cx="43992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26" w:lineRule="exact"/>
        <w:rPr>
          <w:sz w:val="20"/>
          <w:szCs w:val="20"/>
          <w:color w:val="auto"/>
        </w:rPr>
      </w:pPr>
    </w:p>
    <w:p>
      <w:pPr>
        <w:jc w:val="both"/>
        <w:ind w:left="340" w:hanging="332"/>
        <w:spacing w:after="0" w:line="237" w:lineRule="auto"/>
        <w:tabs>
          <w:tab w:leader="none" w:pos="34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income tax effect of non-GAAP adjustments is calculated using the statutory tax rates for the relevant jurisdictions, provided no valuation allowance exists. If a valuation allowance exists, there is no tax impact to the non-GAAP adjustment. Effective for the first quarter of 2019, we use the budgeted annual effective tax rate (AETR) for interim periods, with adjustments for discrete items, as defined in ASC 740 - Income Taxes. This method impacts interim periods only and does not impact full year tax results, as any difference between the budgeted or revised AETR and the actual AETR for non-GAAP adjustments would be recognized in the fourth quarter of the year. If the revised methodology had been applied in the second quarter of 2018, non-GAAP net income would have increased by $1.7 million to $22.2 million, and diluted non-GAAP EPS would have increased by $0.05 to $0.56. If the methodology had been applied in the six months ended 2018 non-GAAP net income would have increased by $5.8 million to $31.3 million, and diluted non-GAAP EPS would have increased by $0.15 to $0.79.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-850265</wp:posOffset>
            </wp:positionV>
            <wp:extent cx="43992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ectPr>
          <w:pgSz w:w="11900" w:h="16838" w:orient="portrait"/>
          <w:cols w:equalWidth="0" w:num="1">
            <w:col w:w="11420"/>
          </w:cols>
          <w:pgMar w:left="240" w:top="121" w:right="239" w:bottom="590" w:gutter="0" w:footer="0" w:header="0"/>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590" w:gutter="0" w:footer="0" w:header="0"/>
          <w:type w:val="continuous"/>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interest rate risk through our variable rate debt instruments. In October 2015, we entered into an interest rate swap, which is effective from August 31, 2016 to June 23, 2020, and converts $214 million of our LIBOR-based debt from a floating LIBOR interest rate to a fixed interest rate of 1.42% (excluding the applicable margin on the debt). The notional balance will amortize to maturity at the same rate as required minimum payments on our term loan. At June 30, 2019, our LIBOR-based debt balance was $615.6 million.</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2015, we entered into three interest rate cap contracts with a total notional amount of $100 million. The interest rate cap contracts expire on June 23, 2020 and were entered into in order to limit our interest rate exposure on $100 million of our variable LIBOR-based debt up to 2.00%. In the event LIBOR is higher than 2.00%, we will pay interest at the capped rate of 2.00% with respect to the $100 million notional amount of such agreements. The interest rate cap contracts do not include the effect of the applicable margin.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2018, we entered into a cross-currency swap, which converts $56.0 million of floating rate U.S. Dollar denominated debt into fixed rate euro denominated debt. This cross-currency swap matures on April 30, 2021 and mitigates the risk associated with fluctuations in interest and currency rates impacting cash flows related to a U.S. Dollar denominated debt in a euro functional currency entity.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provides information about our financial instruments that are sensitive to changes in interest rates and the scheduled minimum repayment of principal and the weighted average interest rates at June 30, 2019. Weighted average variable rates in the table are based on implied forward rates in the Reuters U.S. dollar yield curve as of June 30, 2019 and our estimated leverage ratio, which determines our additional interest rate margin at June 30, 2019.</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535"/>
        </w:trPr>
        <w:tc>
          <w:tcPr>
            <w:tcW w:w="296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Variable Rate Debt</w:t>
            </w: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9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Principal: U.S. dollar term loan</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6,250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44,688</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60,937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65,000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438,750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615,625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609,865</w:t>
            </w:r>
          </w:p>
        </w:tc>
        <w:tc>
          <w:tcPr>
            <w:tcW w:w="0" w:type="dxa"/>
            <w:vAlign w:val="bottom"/>
          </w:tcPr>
          <w:p>
            <w:pPr>
              <w:spacing w:after="0"/>
              <w:rPr>
                <w:sz w:val="1"/>
                <w:szCs w:val="1"/>
                <w:color w:val="auto"/>
              </w:rPr>
            </w:pPr>
          </w:p>
        </w:tc>
      </w:tr>
      <w:tr>
        <w:trPr>
          <w:trHeight w:val="265"/>
        </w:trPr>
        <w:tc>
          <w:tcPr>
            <w:tcW w:w="29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2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960" w:type="dxa"/>
            <w:vAlign w:val="bottom"/>
          </w:tcPr>
          <w:p>
            <w:pPr>
              <w:ind w:left="620"/>
              <w:spacing w:after="0" w:line="153" w:lineRule="exact"/>
              <w:rPr>
                <w:sz w:val="20"/>
                <w:szCs w:val="20"/>
                <w:color w:val="auto"/>
              </w:rPr>
            </w:pPr>
            <w:r>
              <w:rPr>
                <w:rFonts w:ascii="Times New Roman" w:cs="Times New Roman" w:eastAsia="Times New Roman" w:hAnsi="Times New Roman"/>
                <w:sz w:val="14"/>
                <w:szCs w:val="14"/>
                <w:color w:val="auto"/>
              </w:rPr>
              <w:t>Principal: Multicurrency revolving line</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of credit</w:t>
            </w:r>
          </w:p>
        </w:tc>
        <w:tc>
          <w:tcPr>
            <w:tcW w:w="2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9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Interest rate swap</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9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Weighted average interest rate (pay) Fixed</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960" w:type="dxa"/>
            <w:vAlign w:val="bottom"/>
            <w:shd w:val="clear" w:color="auto" w:fill="CCEEFF"/>
          </w:tcPr>
          <w:p>
            <w:pPr>
              <w:ind w:left="380"/>
              <w:spacing w:after="0" w:line="158" w:lineRule="exact"/>
              <w:rPr>
                <w:sz w:val="20"/>
                <w:szCs w:val="20"/>
                <w:color w:val="auto"/>
              </w:rPr>
            </w:pPr>
            <w:r>
              <w:rPr>
                <w:rFonts w:ascii="Times New Roman" w:cs="Times New Roman" w:eastAsia="Times New Roman" w:hAnsi="Times New Roman"/>
                <w:sz w:val="14"/>
                <w:szCs w:val="14"/>
                <w:color w:val="auto"/>
              </w:rPr>
              <w:t>Weighted average interest rate (receive)</w:t>
            </w:r>
          </w:p>
        </w:tc>
        <w:tc>
          <w:tcPr>
            <w:tcW w:w="2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Floating LIBOR</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Net/Spread</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2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9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Interest rate cap</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Cap rate</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96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color w:val="auto"/>
              </w:rPr>
              <w:t>Weighted average interest rate Floating</w:t>
            </w: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9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LIBOR</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Weighted average interest rate (receive)</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Cross currency swap</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96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color w:val="auto"/>
              </w:rPr>
              <w:t>Weighted average interest rate (pay) Fixed -</w:t>
            </w: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9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EURIBOR</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960" w:type="dxa"/>
            <w:vAlign w:val="bottom"/>
            <w:shd w:val="clear" w:color="auto" w:fill="CCEEFF"/>
          </w:tcPr>
          <w:p>
            <w:pPr>
              <w:ind w:left="380"/>
              <w:spacing w:after="0" w:line="158" w:lineRule="exact"/>
              <w:rPr>
                <w:sz w:val="20"/>
                <w:szCs w:val="20"/>
                <w:color w:val="auto"/>
              </w:rPr>
            </w:pPr>
            <w:r>
              <w:rPr>
                <w:rFonts w:ascii="Times New Roman" w:cs="Times New Roman" w:eastAsia="Times New Roman" w:hAnsi="Times New Roman"/>
                <w:sz w:val="14"/>
                <w:szCs w:val="14"/>
                <w:color w:val="auto"/>
              </w:rPr>
              <w:t>Weighted average interest rate (receive)</w:t>
            </w:r>
          </w:p>
        </w:tc>
        <w:tc>
          <w:tcPr>
            <w:tcW w:w="2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Floating - LIBOR</w:t>
            </w:r>
          </w:p>
        </w:tc>
        <w:tc>
          <w:tcPr>
            <w:tcW w:w="2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a sensitivity analysis as of June 30, 2019, we estimate that, if market interest rates average one percentage point higher in 2019 than in the table above, our financial results in 2019 would not be materially impacted.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continually monitor and assess our interest rate risk and may institute additional derivative instruments to manage such risk in the future.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business in a number of countries. As a result, approximately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36% and 37% of total revenues for the three and six months ended June 30, 2019 compared with 42% and 43% for the same respective period in 2018.</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 to other income and expense. We enter into monthly foreign exchange forward contracts, which are not designated for hedge accounting, with the intent to reduce earnings volatility associated with currency exposures. As of June 30, 2019, a total of 48 contracts were offsetting our exposures from the Euro, Pound Sterling, Indonesian Rupiah, Chinese Yuan, Canadian Dollar, Indian Rupee and various other currencies, with notional amounts ranging from $131,000 to $9.4 million. Based on a sensitivity analysis as of June 30, 2019, we estimate that, if foreign currency exchange rates average ten percentage points higher in 2019 for these financial instruments, our financial results in 2019 would not be materially impacted.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future periods, we may use additional derivative contracts to protect against foreign currency exchange rate risks.</w:t>
      </w:r>
    </w:p>
    <w:p>
      <w:pPr>
        <w:spacing w:after="0" w:line="22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June 30, 2019,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review our system of internal control over financial reporting and make changes to our applications and processes to improve such controls and increase efficiency, while ensuring that we maintain an effective internal control environment. Changes may include such activities as implementing new, more efficient applications and automating manual processes. We are continuing to upgrade our global enterprise resource software applications at certain of our locations outside of the United States. We will continue to upgrade our financial applications in stages, and we believe the related changes to processes and internal controls will allow us to be more efficient and further enhance our internal control over financial reporting.</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these changes, there have been no other changes in our internal control over financial reporting during the three months ended June 30, 2019 that materially affected, or are reasonably likely to materially affect, internal control over financial reporting.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1: "Financial Statements (Unaudited), Note 11: Commitments and Contingencies."</w:t>
      </w:r>
    </w:p>
    <w:p>
      <w:pPr>
        <w:spacing w:after="0" w:line="383"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material changes to risk factors during the second quarter of 2019 from those previously disclosed in Item 1A: "Risk Factors" of Part I of our Annual Report on Form 10-K for the fiscal year ended December 31, 2018, which was filed with the Securities and Exchange Commission on February 28, 2019.</w:t>
      </w:r>
    </w:p>
    <w:p>
      <w:pPr>
        <w:spacing w:after="0" w:line="200" w:lineRule="exact"/>
        <w:rPr>
          <w:sz w:val="20"/>
          <w:szCs w:val="20"/>
          <w:color w:val="auto"/>
        </w:rPr>
      </w:pPr>
    </w:p>
    <w:p>
      <w:pPr>
        <w:spacing w:after="0" w:line="215"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Repurchase of Equity Securities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Purchased as</w:t>
            </w:r>
          </w:p>
        </w:tc>
        <w:tc>
          <w:tcPr>
            <w:tcW w:w="100" w:type="dxa"/>
            <w:vAlign w:val="bottom"/>
          </w:tcPr>
          <w:p>
            <w:pPr>
              <w:spacing w:after="0"/>
              <w:rPr>
                <w:sz w:val="17"/>
                <w:szCs w:val="17"/>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Maximum Dollar Value</w:t>
            </w: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100" w:type="dxa"/>
            <w:vAlign w:val="bottom"/>
          </w:tcPr>
          <w:p>
            <w:pPr>
              <w:spacing w:after="0"/>
              <w:rPr>
                <w:sz w:val="17"/>
                <w:szCs w:val="17"/>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of Shares that May Yet</w:t>
            </w: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20" w:type="dxa"/>
            <w:vAlign w:val="bottom"/>
          </w:tcPr>
          <w:p>
            <w:pPr>
              <w:spacing w:after="0"/>
              <w:rPr>
                <w:sz w:val="17"/>
                <w:szCs w:val="17"/>
                <w:color w:val="auto"/>
              </w:rPr>
            </w:pPr>
          </w:p>
        </w:tc>
        <w:tc>
          <w:tcPr>
            <w:tcW w:w="18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Average Price Paid per</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 Plans 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Be Purchased Under</w:t>
            </w:r>
          </w:p>
        </w:tc>
      </w:tr>
      <w:tr>
        <w:trPr>
          <w:trHeight w:val="245"/>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96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 xml:space="preserve">Shares Purchased </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6"/>
              </w:rPr>
              <w:t xml:space="preserve">Share </w:t>
            </w:r>
            <w:r>
              <w:rPr>
                <w:rFonts w:ascii="Times New Roman" w:cs="Times New Roman" w:eastAsia="Times New Roman" w:hAnsi="Times New Roman"/>
                <w:sz w:val="21"/>
                <w:szCs w:val="21"/>
                <w:b w:val="1"/>
                <w:bCs w:val="1"/>
                <w:color w:val="auto"/>
                <w:w w:val="96"/>
                <w:vertAlign w:val="superscript"/>
              </w:rPr>
              <w:t>(2)</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00" w:type="dxa"/>
            <w:vAlign w:val="bottom"/>
          </w:tcPr>
          <w:p>
            <w:pPr>
              <w:spacing w:after="0"/>
              <w:rPr>
                <w:sz w:val="21"/>
                <w:szCs w:val="21"/>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the Plans or Programs</w:t>
            </w:r>
          </w:p>
        </w:tc>
      </w:tr>
      <w:tr>
        <w:trPr>
          <w:trHeight w:val="231"/>
        </w:trPr>
        <w:tc>
          <w:tcPr>
            <w:tcW w:w="3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center"/>
              <w:ind w:right="34"/>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April 1, 2019 through April 30, 2019</w:t>
            </w:r>
          </w:p>
        </w:tc>
        <w:tc>
          <w:tcPr>
            <w:tcW w:w="1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363,996</w:t>
            </w:r>
          </w:p>
        </w:tc>
        <w:tc>
          <w:tcPr>
            <w:tcW w:w="46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363,996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25,000</w:t>
            </w:r>
          </w:p>
        </w:tc>
      </w:tr>
      <w:tr>
        <w:trPr>
          <w:trHeight w:val="243"/>
        </w:trPr>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May 1, 2019 through May 31, 2019</w:t>
            </w:r>
          </w:p>
        </w:tc>
        <w:tc>
          <w:tcPr>
            <w:tcW w:w="1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13,083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60.77</w:t>
            </w:r>
          </w:p>
        </w:tc>
        <w:tc>
          <w:tcPr>
            <w:tcW w:w="100" w:type="dxa"/>
            <w:vAlign w:val="bottom"/>
          </w:tcPr>
          <w:p>
            <w:pPr>
              <w:spacing w:after="0"/>
              <w:rPr>
                <w:sz w:val="21"/>
                <w:szCs w:val="21"/>
                <w:color w:val="auto"/>
              </w:rPr>
            </w:pP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25,000</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1, 2019 through June 30, 2019</w:t>
            </w:r>
          </w:p>
        </w:tc>
        <w:tc>
          <w:tcPr>
            <w:tcW w:w="19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57.79</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25,000</w:t>
            </w:r>
          </w:p>
        </w:tc>
      </w:tr>
      <w:tr>
        <w:trPr>
          <w:trHeight w:val="257"/>
        </w:trPr>
        <w:tc>
          <w:tcPr>
            <w:tcW w:w="4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379,294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363,996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left="340" w:hanging="332"/>
        <w:spacing w:after="0" w:line="235" w:lineRule="auto"/>
        <w:tabs>
          <w:tab w:leader="none" w:pos="34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Shares repurchased represent shares transferred to us by certain employees who vested in restricted stock units and used shares to pay all, or a portion of, the related taxes. On March 14, 2019, Itron's Board authorized a new repurchase program of up to $50 million of our common stock over a 12-month period. Repurchases are made in the open market or in privately negotiated transactions, and in accordance with applicable securities laws.</w:t>
      </w:r>
    </w:p>
    <w:p>
      <w:pPr>
        <w:spacing w:after="0" w:line="139" w:lineRule="exact"/>
        <w:rPr>
          <w:rFonts w:ascii="Times New Roman" w:cs="Times New Roman" w:eastAsia="Times New Roman" w:hAnsi="Times New Roman"/>
          <w:sz w:val="25"/>
          <w:szCs w:val="25"/>
          <w:color w:val="auto"/>
          <w:vertAlign w:val="superscript"/>
        </w:rPr>
      </w:pPr>
    </w:p>
    <w:p>
      <w:pPr>
        <w:ind w:left="340" w:hanging="332"/>
        <w:spacing w:after="0"/>
        <w:tabs>
          <w:tab w:leader="none" w:pos="34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commissions.</w:t>
      </w:r>
    </w:p>
    <w:p>
      <w:pPr>
        <w:spacing w:after="0" w:line="348"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information was required to be disclosed in a report on Form 8-K during the second quarter of 2019 that was not reported.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1"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jc w:val="center"/>
              <w:spacing w:after="0"/>
              <w:rPr>
                <w:rFonts w:ascii="Times New Roman" w:cs="Times New Roman" w:eastAsia="Times New Roman" w:hAnsi="Times New Roman"/>
                <w:sz w:val="18"/>
                <w:szCs w:val="18"/>
                <w:color w:val="0000EE"/>
                <w:w w:val="99"/>
              </w:rPr>
            </w:pPr>
            <w:hyperlink w:anchor="page2">
              <w:r>
                <w:rPr>
                  <w:rFonts w:ascii="Times New Roman" w:cs="Times New Roman" w:eastAsia="Times New Roman" w:hAnsi="Times New Roman"/>
                  <w:sz w:val="18"/>
                  <w:szCs w:val="18"/>
                  <w:color w:val="0000EE"/>
                  <w:w w:val="99"/>
                </w:rPr>
                <w:t>Table of Contents</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4740" w:type="dxa"/>
            <w:vAlign w:val="bottom"/>
          </w:tcPr>
          <w:p>
            <w:pPr>
              <w:spacing w:after="0"/>
              <w:rPr>
                <w:sz w:val="17"/>
                <w:szCs w:val="17"/>
                <w:color w:val="auto"/>
              </w:rPr>
            </w:pPr>
          </w:p>
        </w:tc>
      </w:tr>
      <w:tr>
        <w:trPr>
          <w:trHeight w:val="642"/>
        </w:trPr>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923"/>
        </w:trPr>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38"/>
        </w:trPr>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27"/>
        </w:trPr>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r>
      <w:tr>
        <w:trPr>
          <w:trHeight w:val="520"/>
        </w:trPr>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
          </w:tcPr>
          <w:p>
            <w:pPr>
              <w:spacing w:after="0"/>
              <w:rPr>
                <w:rFonts w:ascii="Times New Roman" w:cs="Times New Roman" w:eastAsia="Times New Roman" w:hAnsi="Times New Roman"/>
                <w:sz w:val="18"/>
                <w:szCs w:val="18"/>
                <w:color w:val="0000FF"/>
              </w:rPr>
            </w:pPr>
            <w:hyperlink w:anchor="page57">
              <w:r>
                <w:rPr>
                  <w:rFonts w:ascii="Times New Roman" w:cs="Times New Roman" w:eastAsia="Times New Roman" w:hAnsi="Times New Roman"/>
                  <w:sz w:val="18"/>
                  <w:szCs w:val="18"/>
                  <w:color w:val="0000FF"/>
                </w:rPr>
                <w:t>Certification Pursuant to Section 302 of the Sarbanes-Oxley Act of 2002.</w:t>
              </w:r>
            </w:hyperlink>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574"/>
        </w:trPr>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
          </w:tcPr>
          <w:p>
            <w:pPr>
              <w:spacing w:after="0"/>
              <w:rPr>
                <w:rFonts w:ascii="Times New Roman" w:cs="Times New Roman" w:eastAsia="Times New Roman" w:hAnsi="Times New Roman"/>
                <w:sz w:val="18"/>
                <w:szCs w:val="18"/>
                <w:color w:val="0000FF"/>
              </w:rPr>
            </w:pPr>
            <w:hyperlink w:anchor="page58">
              <w:r>
                <w:rPr>
                  <w:rFonts w:ascii="Times New Roman" w:cs="Times New Roman" w:eastAsia="Times New Roman" w:hAnsi="Times New Roman"/>
                  <w:sz w:val="18"/>
                  <w:szCs w:val="18"/>
                  <w:color w:val="0000FF"/>
                </w:rPr>
                <w:t>Certification Pursuant to Section 302 of the Sarbanes-Oxley Act of 2002.</w:t>
              </w:r>
            </w:hyperlink>
          </w:p>
        </w:tc>
      </w:tr>
      <w:tr>
        <w:trPr>
          <w:trHeight w:val="20"/>
        </w:trPr>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574"/>
        </w:trPr>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
          </w:tcPr>
          <w:p>
            <w:pPr>
              <w:spacing w:after="0"/>
              <w:rPr>
                <w:rFonts w:ascii="Times New Roman" w:cs="Times New Roman" w:eastAsia="Times New Roman" w:hAnsi="Times New Roman"/>
                <w:sz w:val="18"/>
                <w:szCs w:val="18"/>
                <w:color w:val="0000FF"/>
              </w:rPr>
            </w:pPr>
            <w:hyperlink w:anchor="page59">
              <w:r>
                <w:rPr>
                  <w:rFonts w:ascii="Times New Roman" w:cs="Times New Roman" w:eastAsia="Times New Roman" w:hAnsi="Times New Roman"/>
                  <w:sz w:val="18"/>
                  <w:szCs w:val="18"/>
                  <w:color w:val="0000FF"/>
                </w:rPr>
                <w:t>Certification Pursuant to Section 906 of the Sarbanes-Oxley Act of 2002.</w:t>
              </w:r>
            </w:hyperlink>
          </w:p>
        </w:tc>
      </w:tr>
      <w:tr>
        <w:trPr>
          <w:trHeight w:val="20"/>
        </w:trPr>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596"/>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 embedded</w:t>
            </w:r>
          </w:p>
        </w:tc>
      </w:tr>
      <w:tr>
        <w:trPr>
          <w:trHeight w:val="234"/>
        </w:trPr>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594"/>
        </w:trPr>
        <w:tc>
          <w:tcPr>
            <w:tcW w:w="12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101.SCH</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594"/>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594"/>
        </w:trPr>
        <w:tc>
          <w:tcPr>
            <w:tcW w:w="12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594"/>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594"/>
        </w:trPr>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r>
        <w:trPr>
          <w:trHeight w:val="783"/>
        </w:trPr>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53</w:t>
            </w:r>
          </w:p>
        </w:tc>
        <w:tc>
          <w:tcPr>
            <w:tcW w:w="474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tcPr>
          <w:p>
            <w:pPr>
              <w:jc w:val="right"/>
              <w:ind w:right="3050"/>
              <w:spacing w:after="0"/>
              <w:rPr>
                <w:sz w:val="20"/>
                <w:szCs w:val="20"/>
                <w:color w:val="auto"/>
              </w:rPr>
            </w:pPr>
            <w:r>
              <w:rPr>
                <w:rFonts w:ascii="Times New Roman" w:cs="Times New Roman" w:eastAsia="Times New Roman" w:hAnsi="Times New Roman"/>
                <w:sz w:val="18"/>
                <w:szCs w:val="18"/>
                <w:color w:val="auto"/>
              </w:rPr>
              <w:t>ITRON, INC.</w:t>
            </w:r>
          </w:p>
        </w:tc>
      </w:tr>
      <w:tr>
        <w:trPr>
          <w:trHeight w:val="567"/>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5, 2019</w:t>
            </w:r>
          </w:p>
        </w:tc>
        <w:tc>
          <w:tcPr>
            <w:tcW w:w="1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By:</w:t>
            </w: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JOAN S. HOOPER</w:t>
            </w:r>
          </w:p>
        </w:tc>
      </w:tr>
      <w:tr>
        <w:trPr>
          <w:trHeight w:val="27"/>
        </w:trPr>
        <w:tc>
          <w:tcPr>
            <w:tcW w:w="36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Joan S. Hooper</w:t>
            </w:r>
          </w:p>
        </w:tc>
      </w:tr>
      <w:tr>
        <w:trPr>
          <w:trHeight w:val="270"/>
        </w:trPr>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r>
      <w:tr>
        <w:trPr>
          <w:trHeight w:val="486"/>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00" w:type="dxa"/>
            <w:vAlign w:val="bottom"/>
          </w:tcPr>
          <w:p>
            <w:pPr>
              <w:jc w:val="right"/>
              <w:ind w:right="5530"/>
              <w:spacing w:after="0"/>
              <w:rPr>
                <w:sz w:val="20"/>
                <w:szCs w:val="20"/>
                <w:color w:val="auto"/>
              </w:rPr>
            </w:pPr>
            <w:r>
              <w:rPr>
                <w:rFonts w:ascii="Times New Roman" w:cs="Times New Roman" w:eastAsia="Times New Roman" w:hAnsi="Times New Roman"/>
                <w:sz w:val="18"/>
                <w:szCs w:val="18"/>
                <w:color w:val="auto"/>
              </w:rPr>
              <w:t>54</w:t>
            </w:r>
          </w:p>
        </w:tc>
      </w:tr>
    </w:tbl>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C. Mezey,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ITRON, INC.</w:t>
      </w:r>
    </w:p>
    <w:p>
      <w:pPr>
        <w:spacing w:after="0" w:line="225" w:lineRule="exact"/>
        <w:rPr>
          <w:sz w:val="20"/>
          <w:szCs w:val="20"/>
          <w:color w:val="auto"/>
        </w:rPr>
      </w:pPr>
    </w:p>
    <w:p>
      <w:pPr>
        <w:ind w:left="5480"/>
        <w:spacing w:after="0"/>
        <w:tabs>
          <w:tab w:leader="none" w:pos="7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34290</wp:posOffset>
            </wp:positionV>
            <wp:extent cx="3395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Philip C. Mezey</w:t>
      </w:r>
    </w:p>
    <w:p>
      <w:pPr>
        <w:spacing w:after="0" w:line="31"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2019</w:t>
      </w:r>
    </w:p>
    <w:p>
      <w:pPr>
        <w:sectPr>
          <w:pgSz w:w="11900" w:h="16838" w:orient="portrait"/>
          <w:cols w:equalWidth="0" w:num="1">
            <w:col w:w="11420"/>
          </w:cols>
          <w:pgMar w:left="240" w:top="576" w:right="2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Joan S. Hooper,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Itron,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ITRON, INC.</w:t>
      </w:r>
    </w:p>
    <w:p>
      <w:pPr>
        <w:spacing w:after="0" w:line="225" w:lineRule="exact"/>
        <w:rPr>
          <w:sz w:val="20"/>
          <w:szCs w:val="20"/>
          <w:color w:val="auto"/>
        </w:rPr>
      </w:pPr>
    </w:p>
    <w:p>
      <w:pPr>
        <w:ind w:left="5480"/>
        <w:spacing w:after="0"/>
        <w:tabs>
          <w:tab w:leader="none" w:pos="7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34290</wp:posOffset>
            </wp:positionV>
            <wp:extent cx="3395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31"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2019</w:t>
      </w:r>
    </w:p>
    <w:p>
      <w:pPr>
        <w:sectPr>
          <w:pgSz w:w="11900" w:h="16838" w:orient="portrait"/>
          <w:cols w:equalWidth="0" w:num="1">
            <w:col w:w="11420"/>
          </w:cols>
          <w:pgMar w:left="240" w:top="576"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of Itron, Inc. (the Company) on Form 10-Q for the quarterly period ended June 30, 2019 (the Report) for the purpose of complying with Rule 13a-14(b) or Rule 15d-14(b) of the Securities Exchange Act of 1934 and Section 1350 of Chapter 63 of Title 18 of the United States Code.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Philip C. Mezey, the Chief Executive Officer and Joan S. Hooper, the Chief Financial Officer of the Company, each certifies that to the best of his or her knowledge:</w:t>
      </w:r>
    </w:p>
    <w:p>
      <w:pPr>
        <w:spacing w:after="0" w:line="162" w:lineRule="exact"/>
        <w:rPr>
          <w:sz w:val="20"/>
          <w:szCs w:val="20"/>
          <w:color w:val="auto"/>
        </w:rPr>
      </w:pPr>
    </w:p>
    <w:p>
      <w:pPr>
        <w:ind w:left="880" w:hanging="467"/>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80" w:hanging="467"/>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310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Philip C. Mezey</w:t>
      </w:r>
    </w:p>
    <w:p>
      <w:pPr>
        <w:spacing w:after="0" w:line="31" w:lineRule="exact"/>
        <w:rPr>
          <w:sz w:val="20"/>
          <w:szCs w:val="20"/>
          <w:color w:val="auto"/>
        </w:rPr>
      </w:pPr>
    </w:p>
    <w:p>
      <w:pPr>
        <w:jc w:val="center"/>
        <w:ind w:right="62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41" w:lineRule="exact"/>
        <w:rPr>
          <w:sz w:val="20"/>
          <w:szCs w:val="20"/>
          <w:color w:val="auto"/>
        </w:rPr>
      </w:pPr>
    </w:p>
    <w:p>
      <w:pPr>
        <w:jc w:val="center"/>
        <w:ind w:right="6200"/>
        <w:spacing w:after="0"/>
        <w:rPr>
          <w:sz w:val="20"/>
          <w:szCs w:val="20"/>
          <w:color w:val="auto"/>
        </w:rPr>
      </w:pPr>
      <w:r>
        <w:rPr>
          <w:rFonts w:ascii="Times New Roman" w:cs="Times New Roman" w:eastAsia="Times New Roman" w:hAnsi="Times New Roman"/>
          <w:sz w:val="18"/>
          <w:szCs w:val="18"/>
          <w:b w:val="1"/>
          <w:bCs w:val="1"/>
          <w:color w:val="auto"/>
        </w:rPr>
        <w:t>August 5, 2019</w:t>
      </w:r>
    </w:p>
    <w:p>
      <w:pPr>
        <w:spacing w:after="0" w:line="31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310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Joan S. Hooper</w:t>
      </w:r>
    </w:p>
    <w:p>
      <w:pPr>
        <w:spacing w:after="0" w:line="31" w:lineRule="exact"/>
        <w:rPr>
          <w:sz w:val="20"/>
          <w:szCs w:val="20"/>
          <w:color w:val="auto"/>
        </w:rPr>
      </w:pPr>
    </w:p>
    <w:p>
      <w:pPr>
        <w:jc w:val="center"/>
        <w:ind w:right="620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41" w:lineRule="exact"/>
        <w:rPr>
          <w:sz w:val="20"/>
          <w:szCs w:val="20"/>
          <w:color w:val="auto"/>
        </w:rPr>
      </w:pPr>
    </w:p>
    <w:p>
      <w:pPr>
        <w:jc w:val="center"/>
        <w:ind w:right="6200"/>
        <w:spacing w:after="0"/>
        <w:rPr>
          <w:sz w:val="20"/>
          <w:szCs w:val="20"/>
          <w:color w:val="auto"/>
        </w:rPr>
      </w:pPr>
      <w:r>
        <w:rPr>
          <w:rFonts w:ascii="Times New Roman" w:cs="Times New Roman" w:eastAsia="Times New Roman" w:hAnsi="Times New Roman"/>
          <w:sz w:val="18"/>
          <w:szCs w:val="18"/>
          <w:b w:val="1"/>
          <w:bCs w:val="1"/>
          <w:color w:val="auto"/>
        </w:rPr>
        <w:t>August 5, 2019</w:t>
      </w:r>
    </w:p>
    <w:sectPr>
      <w:pgSz w:w="11900" w:h="16838" w:orient="portrait"/>
      <w:cols w:equalWidth="0" w:num="1">
        <w:col w:w="11420"/>
      </w:cols>
      <w:pgMar w:left="240" w:top="7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2019-12-28T08:48:16Z</dcterms:created>
  <dcterms:modified xsi:type="dcterms:W3CDTF">2019-12-28T08:48:16Z</dcterms:modified>
</cp:coreProperties>
</file>