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83820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7" w:lineRule="exact"/>
        <w:rPr>
          <w:sz w:val="24"/>
          <w:szCs w:val="24"/>
          <w:color w:val="auto"/>
        </w:rPr>
      </w:pPr>
    </w:p>
    <w:p>
      <w:pPr>
        <w:ind w:left="2720"/>
        <w:spacing w:after="0"/>
        <w:rPr>
          <w:sz w:val="20"/>
          <w:szCs w:val="20"/>
          <w:color w:val="auto"/>
        </w:rPr>
      </w:pPr>
      <w:r>
        <w:rPr>
          <w:rFonts w:ascii="Arial" w:cs="Arial" w:eastAsia="Arial" w:hAnsi="Arial"/>
          <w:sz w:val="29"/>
          <w:szCs w:val="29"/>
          <w:b w:val="1"/>
          <w:bCs w:val="1"/>
          <w:color w:val="auto"/>
        </w:rPr>
        <w:t>SCHEDULE 14A INFORMATION</w:t>
      </w:r>
    </w:p>
    <w:p>
      <w:pPr>
        <w:spacing w:after="0" w:line="14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Securities Exchange Act of 1934</w:t>
      </w:r>
    </w:p>
    <w:p>
      <w:pPr>
        <w:jc w:val="center"/>
        <w:ind w:right="-36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109220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1" w:lineRule="exact"/>
        <w:rPr>
          <w:sz w:val="24"/>
          <w:szCs w:val="24"/>
          <w:color w:val="auto"/>
        </w:rPr>
      </w:pPr>
    </w:p>
    <w:p>
      <w:pPr>
        <w:spacing w:after="0" w:line="184" w:lineRule="exact"/>
        <w:tabs>
          <w:tab w:leader="none" w:pos="23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0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94" w:lineRule="exact"/>
        <w:rPr>
          <w:rFonts w:ascii="MS PGothic" w:cs="MS PGothic" w:eastAsia="MS PGothic" w:hAnsi="MS PGothic"/>
          <w:sz w:val="16"/>
          <w:szCs w:val="16"/>
          <w:color w:val="auto"/>
        </w:rPr>
      </w:pPr>
    </w:p>
    <w:p>
      <w:pPr>
        <w:ind w:left="440" w:hanging="436"/>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24" w:lineRule="exact"/>
        <w:rPr>
          <w:sz w:val="24"/>
          <w:szCs w:val="24"/>
          <w:color w:val="auto"/>
        </w:rPr>
      </w:pPr>
    </w:p>
    <w:p>
      <w:pPr>
        <w:jc w:val="center"/>
        <w:ind w:right="-360"/>
        <w:spacing w:after="0"/>
        <w:rPr>
          <w:sz w:val="20"/>
          <w:szCs w:val="20"/>
          <w:color w:val="auto"/>
        </w:rPr>
      </w:pPr>
      <w:r>
        <w:rPr>
          <w:rFonts w:ascii="Arial" w:cs="Arial" w:eastAsia="Arial" w:hAnsi="Arial"/>
          <w:sz w:val="36"/>
          <w:szCs w:val="36"/>
          <w:b w:val="1"/>
          <w:bCs w:val="1"/>
          <w:color w:val="auto"/>
        </w:rPr>
        <w:t>ITRON, INC.</w:t>
      </w:r>
    </w:p>
    <w:p>
      <w:pPr>
        <w:spacing w:after="0" w:line="44"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11"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94"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7" w:lineRule="exact"/>
        <w:rPr>
          <w:rFonts w:ascii="MS PGothic" w:cs="MS PGothic" w:eastAsia="MS PGothic" w:hAnsi="MS PGothic"/>
          <w:sz w:val="16"/>
          <w:szCs w:val="16"/>
          <w:color w:val="auto"/>
        </w:rPr>
      </w:pPr>
    </w:p>
    <w:p>
      <w:pPr>
        <w:ind w:left="440" w:hanging="432"/>
        <w:spacing w:after="0"/>
        <w:tabs>
          <w:tab w:leader="none" w:pos="44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243840</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381000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102870</wp:posOffset>
            </wp:positionV>
            <wp:extent cx="6729095" cy="858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9095" cy="858075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102870</wp:posOffset>
            </wp:positionV>
            <wp:extent cx="2263140" cy="7517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140" cy="751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When: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May 8, 2025 at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9:00 a.m., Pacific Time</w:t>
      </w: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Where:</w:t>
      </w:r>
    </w:p>
    <w:p>
      <w:pPr>
        <w:spacing w:after="0" w:line="43" w:lineRule="exact"/>
        <w:rPr>
          <w:sz w:val="20"/>
          <w:szCs w:val="20"/>
          <w:color w:val="auto"/>
        </w:rPr>
      </w:pPr>
    </w:p>
    <w:p>
      <w:pPr>
        <w:ind w:left="120" w:right="580"/>
        <w:spacing w:after="0" w:line="277" w:lineRule="auto"/>
        <w:rPr>
          <w:sz w:val="20"/>
          <w:szCs w:val="20"/>
          <w:color w:val="auto"/>
        </w:rPr>
      </w:pPr>
      <w:r>
        <w:rPr>
          <w:rFonts w:ascii="Arial" w:cs="Arial" w:eastAsia="Arial" w:hAnsi="Arial"/>
          <w:sz w:val="16"/>
          <w:szCs w:val="16"/>
          <w:color w:val="FFFFFF"/>
        </w:rPr>
        <w:t>Virtual Meeting – see details on the right</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Who Can Vote: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Shareholders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Itron’s common stock</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as of the record date,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March 4, 2025</w:t>
      </w: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C729"/>
        </w:rPr>
        <w:t>Attending the Meeting:</w:t>
      </w:r>
    </w:p>
    <w:p>
      <w:pPr>
        <w:spacing w:after="0" w:line="43" w:lineRule="exact"/>
        <w:rPr>
          <w:sz w:val="20"/>
          <w:szCs w:val="20"/>
          <w:color w:val="auto"/>
        </w:rPr>
      </w:pPr>
    </w:p>
    <w:p>
      <w:pPr>
        <w:ind w:left="120" w:right="1000"/>
        <w:spacing w:after="0" w:line="249" w:lineRule="auto"/>
        <w:rPr>
          <w:sz w:val="20"/>
          <w:szCs w:val="20"/>
          <w:color w:val="auto"/>
        </w:rPr>
      </w:pPr>
      <w:r>
        <w:rPr>
          <w:rFonts w:ascii="Arial" w:cs="Arial" w:eastAsia="Arial" w:hAnsi="Arial"/>
          <w:sz w:val="16"/>
          <w:szCs w:val="16"/>
          <w:color w:val="FFFFFF"/>
        </w:rPr>
        <w:t>Shareholders who wish to attend the meeting virtually should review the instructions set forth below under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b w:val="1"/>
          <w:bCs w:val="1"/>
          <w:color w:val="FFFFFF"/>
        </w:rPr>
        <w:t>Attending the Annual Meeting</w:t>
      </w:r>
      <w:r>
        <w:rPr>
          <w:rFonts w:ascii="Arial" w:cs="Arial" w:eastAsia="Arial" w:hAnsi="Arial"/>
          <w:sz w:val="16"/>
          <w:szCs w:val="16"/>
          <w:color w:val="FFFFFF"/>
        </w:rPr>
        <w:t>.”</w:t>
      </w:r>
    </w:p>
    <w:p>
      <w:pPr>
        <w:spacing w:after="0" w:line="200" w:lineRule="exact"/>
        <w:rPr>
          <w:sz w:val="20"/>
          <w:szCs w:val="20"/>
          <w:color w:val="auto"/>
        </w:rPr>
      </w:pPr>
    </w:p>
    <w:p>
      <w:pPr>
        <w:spacing w:after="0" w:line="343" w:lineRule="exact"/>
        <w:rPr>
          <w:sz w:val="20"/>
          <w:szCs w:val="20"/>
          <w:color w:val="auto"/>
        </w:rPr>
      </w:pPr>
    </w:p>
    <w:p>
      <w:pPr>
        <w:ind w:left="120" w:right="760"/>
        <w:spacing w:after="0" w:line="256" w:lineRule="auto"/>
        <w:rPr>
          <w:sz w:val="20"/>
          <w:szCs w:val="20"/>
          <w:color w:val="auto"/>
        </w:rPr>
      </w:pPr>
      <w:r>
        <w:rPr>
          <w:rFonts w:ascii="Arial" w:cs="Arial" w:eastAsia="Arial" w:hAnsi="Arial"/>
          <w:sz w:val="16"/>
          <w:szCs w:val="16"/>
          <w:b w:val="1"/>
          <w:bCs w:val="1"/>
          <w:color w:val="FFFFFF"/>
        </w:rPr>
        <w:t>Important notice regarding the availability of proxy materials for the Annual Meeting of Shareholders to be held on</w:t>
      </w:r>
    </w:p>
    <w:p>
      <w:pPr>
        <w:ind w:left="120" w:right="360"/>
        <w:spacing w:after="0" w:line="249" w:lineRule="auto"/>
        <w:rPr>
          <w:sz w:val="20"/>
          <w:szCs w:val="20"/>
          <w:color w:val="auto"/>
        </w:rPr>
      </w:pPr>
      <w:r>
        <w:rPr>
          <w:rFonts w:ascii="Arial" w:cs="Arial" w:eastAsia="Arial" w:hAnsi="Arial"/>
          <w:sz w:val="16"/>
          <w:szCs w:val="16"/>
          <w:b w:val="1"/>
          <w:bCs w:val="1"/>
          <w:color w:val="FFFFFF"/>
        </w:rPr>
        <w:t>May 8, 2025</w:t>
      </w:r>
      <w:r>
        <w:rPr>
          <w:rFonts w:ascii="Arial" w:cs="Arial" w:eastAsia="Arial" w:hAnsi="Arial"/>
          <w:sz w:val="16"/>
          <w:szCs w:val="16"/>
          <w:color w:val="FFFFFF"/>
        </w:rPr>
        <w:t>. Our 2025 proxy</w:t>
      </w:r>
      <w:r>
        <w:rPr>
          <w:rFonts w:ascii="Arial" w:cs="Arial" w:eastAsia="Arial" w:hAnsi="Arial"/>
          <w:sz w:val="16"/>
          <w:szCs w:val="16"/>
          <w:b w:val="1"/>
          <w:bCs w:val="1"/>
          <w:color w:val="FFFFFF"/>
        </w:rPr>
        <w:t xml:space="preserve"> </w:t>
      </w:r>
      <w:r>
        <w:rPr>
          <w:rFonts w:ascii="Arial" w:cs="Arial" w:eastAsia="Arial" w:hAnsi="Arial"/>
          <w:sz w:val="16"/>
          <w:szCs w:val="16"/>
          <w:color w:val="FFFFFF"/>
        </w:rPr>
        <w:t xml:space="preserve">statement is attached and, along with the Annual Report, is available for all shareholders at </w:t>
      </w:r>
      <w:r>
        <w:rPr>
          <w:rFonts w:ascii="Arial" w:cs="Arial" w:eastAsia="Arial" w:hAnsi="Arial"/>
          <w:sz w:val="16"/>
          <w:szCs w:val="16"/>
          <w:b w:val="1"/>
          <w:bCs w:val="1"/>
          <w:color w:val="FFC729"/>
        </w:rPr>
        <w:t xml:space="preserve">https://materials.proxyvote.com. </w:t>
      </w:r>
      <w:r>
        <w:rPr>
          <w:rFonts w:ascii="Arial" w:cs="Arial" w:eastAsia="Arial" w:hAnsi="Arial"/>
          <w:sz w:val="16"/>
          <w:szCs w:val="16"/>
          <w:color w:val="FFFFFF"/>
        </w:rPr>
        <w:t>Financial and other information concerning Itron is contained in our Annual Report for the 2024 fiscal year.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C729"/>
        </w:rPr>
        <w:t>Your vote is very important.</w:t>
      </w:r>
    </w:p>
    <w:p>
      <w:pPr>
        <w:spacing w:after="0" w:line="21"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FFFFFF"/>
        </w:rPr>
        <w:t>To ensure representation at the annual meeting, shareholders are urged to vote as promptly as possible. To vote your shares, please refer to the voting instruction form on the website noted above, or review the section titled “Quorum and Voting” in the proxy statement. Any shareholder attending the annual meeting may vote in person (virtually) even if that shareholder has returned a proxy.</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659765"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765" cy="28321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2111 N. Molter Road</w:t>
      </w:r>
    </w:p>
    <w:p>
      <w:pPr>
        <w:jc w:val="right"/>
        <w:spacing w:after="0" w:line="233" w:lineRule="auto"/>
        <w:rPr>
          <w:sz w:val="20"/>
          <w:szCs w:val="20"/>
          <w:color w:val="auto"/>
        </w:rPr>
      </w:pPr>
      <w:r>
        <w:rPr>
          <w:rFonts w:ascii="Arial" w:cs="Arial" w:eastAsia="Arial" w:hAnsi="Arial"/>
          <w:sz w:val="14"/>
          <w:szCs w:val="14"/>
          <w:color w:val="auto"/>
        </w:rPr>
        <w:t>Liberty Lake, Washington 99019</w:t>
      </w:r>
    </w:p>
    <w:p>
      <w:pPr>
        <w:spacing w:after="0"/>
        <w:rPr>
          <w:sz w:val="20"/>
          <w:szCs w:val="20"/>
          <w:color w:val="auto"/>
        </w:rPr>
      </w:pPr>
      <w:r>
        <w:rPr>
          <w:rFonts w:ascii="Arial" w:cs="Arial" w:eastAsia="Arial" w:hAnsi="Arial"/>
          <w:sz w:val="16"/>
          <w:szCs w:val="16"/>
          <w:b w:val="1"/>
          <w:bCs w:val="1"/>
          <w:color w:val="auto"/>
        </w:rPr>
        <w:t> </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NOTICE OF 2025</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ANNUAL MEETING OF SHAREHOLDERS</w:t>
      </w:r>
    </w:p>
    <w:p>
      <w:pPr>
        <w:spacing w:after="0" w:line="10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We are holding our annual meeting via a “virtual” format. Therefore, we cordially invite you to electronically attend the Annual Meeting of Shareholders of Itron, Inc., which will be held on </w:t>
      </w:r>
      <w:r>
        <w:rPr>
          <w:rFonts w:ascii="Arial" w:cs="Arial" w:eastAsia="Arial" w:hAnsi="Arial"/>
          <w:sz w:val="18"/>
          <w:szCs w:val="18"/>
          <w:b w:val="1"/>
          <w:bCs w:val="1"/>
          <w:color w:val="auto"/>
        </w:rPr>
        <w:t>May 8, 2025, at 9:00 a.m., Pacific Time</w:t>
      </w:r>
      <w:r>
        <w:rPr>
          <w:rFonts w:ascii="Arial" w:cs="Arial" w:eastAsia="Arial" w:hAnsi="Arial"/>
          <w:sz w:val="18"/>
          <w:szCs w:val="18"/>
          <w:color w:val="auto"/>
        </w:rPr>
        <w:t xml:space="preserve">. We are pleased to announce that this year’s annual meeting will be a virtual meeting via live webcast on the Internet. You will be able to attend the annual meeting, vote and submit your questions during the meeting by visiting: </w:t>
      </w:r>
      <w:r>
        <w:rPr>
          <w:rFonts w:ascii="Arial" w:cs="Arial" w:eastAsia="Arial" w:hAnsi="Arial"/>
          <w:sz w:val="18"/>
          <w:szCs w:val="18"/>
          <w:b w:val="1"/>
          <w:bCs w:val="1"/>
          <w:color w:val="0063A6"/>
        </w:rPr>
        <w:t>www.virtualshareholdermeeting.com/ITRI2025</w:t>
      </w:r>
    </w:p>
    <w:p>
      <w:pPr>
        <w:spacing w:after="0" w:line="137"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You will need to have your 16-Digit Control Number included on your Notice or your proxy card (if you received a printed copy of the proxy materials) to join the annual meeting. As always, we encourage you to vote your shares prior to the annual meeting. The annual meeting will be held for the following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63A6"/>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166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27"/>
          <w:szCs w:val="27"/>
          <w:b w:val="1"/>
          <w:bCs w:val="1"/>
          <w:color w:val="0063A6"/>
        </w:rPr>
        <w:t xml:space="preserve">1. </w:t>
      </w:r>
      <w:r>
        <w:rPr>
          <w:rFonts w:ascii="Arial" w:cs="Arial" w:eastAsia="Arial" w:hAnsi="Arial"/>
          <w:sz w:val="17"/>
          <w:szCs w:val="17"/>
          <w:color w:val="000000"/>
        </w:rPr>
        <w:t>To elect one director to the Company’s Board of Directors.</w:t>
      </w:r>
    </w:p>
    <w:p>
      <w:pPr>
        <w:spacing w:after="0" w:line="62" w:lineRule="exact"/>
        <w:rPr>
          <w:sz w:val="20"/>
          <w:szCs w:val="20"/>
          <w:color w:val="auto"/>
        </w:rPr>
      </w:pPr>
    </w:p>
    <w:p>
      <w:pPr>
        <w:jc w:val="both"/>
        <w:ind w:left="400" w:right="54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2.</w:t>
      </w:r>
      <w:r>
        <w:rPr>
          <w:sz w:val="20"/>
          <w:szCs w:val="20"/>
          <w:color w:val="auto"/>
        </w:rPr>
        <w:tab/>
      </w:r>
      <w:r>
        <w:rPr>
          <w:rFonts w:ascii="Arial" w:cs="Arial" w:eastAsia="Arial" w:hAnsi="Arial"/>
          <w:sz w:val="15"/>
          <w:szCs w:val="15"/>
          <w:color w:val="auto"/>
        </w:rPr>
        <w:t>To approve, on a non-binding advisory basis, the compensation of our named executive officers 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4166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8" w:lineRule="exact"/>
        <w:rPr>
          <w:sz w:val="20"/>
          <w:szCs w:val="20"/>
          <w:color w:val="auto"/>
        </w:rPr>
      </w:pPr>
    </w:p>
    <w:p>
      <w:pPr>
        <w:ind w:left="400" w:right="52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3.</w:t>
      </w:r>
      <w:r>
        <w:rPr>
          <w:sz w:val="20"/>
          <w:szCs w:val="20"/>
          <w:color w:val="auto"/>
        </w:rPr>
        <w:tab/>
      </w:r>
      <w:r>
        <w:rPr>
          <w:rFonts w:ascii="Arial" w:cs="Arial" w:eastAsia="Arial" w:hAnsi="Arial"/>
          <w:sz w:val="15"/>
          <w:szCs w:val="15"/>
          <w:color w:val="auto"/>
        </w:rPr>
        <w:t>To approve an amendment to Itron’s Amended and Restated Articles of Incorporation to increase the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4166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53" w:lineRule="exact"/>
        <w:rPr>
          <w:sz w:val="20"/>
          <w:szCs w:val="20"/>
          <w:color w:val="auto"/>
        </w:rPr>
      </w:pPr>
    </w:p>
    <w:p>
      <w:pPr>
        <w:ind w:left="400" w:right="68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4.</w:t>
      </w:r>
      <w:r>
        <w:rPr>
          <w:sz w:val="20"/>
          <w:szCs w:val="20"/>
          <w:color w:val="auto"/>
        </w:rPr>
        <w:tab/>
      </w:r>
      <w:r>
        <w:rPr>
          <w:rFonts w:ascii="Arial" w:cs="Arial" w:eastAsia="Arial" w:hAnsi="Arial"/>
          <w:sz w:val="15"/>
          <w:szCs w:val="15"/>
          <w:color w:val="auto"/>
        </w:rPr>
        <w:t>To approve amendments to Itron’s Amended and Restated Articles of Incorporation to make certain technical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41662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53" w:lineRule="exact"/>
        <w:rPr>
          <w:sz w:val="20"/>
          <w:szCs w:val="20"/>
          <w:color w:val="auto"/>
        </w:rPr>
      </w:pPr>
    </w:p>
    <w:p>
      <w:pPr>
        <w:ind w:left="400" w:right="52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5.</w:t>
      </w:r>
      <w:r>
        <w:rPr>
          <w:sz w:val="20"/>
          <w:szCs w:val="20"/>
          <w:color w:val="auto"/>
        </w:rPr>
        <w:tab/>
      </w:r>
      <w:r>
        <w:rPr>
          <w:rFonts w:ascii="Arial" w:cs="Arial" w:eastAsia="Arial" w:hAnsi="Arial"/>
          <w:sz w:val="15"/>
          <w:szCs w:val="15"/>
          <w:color w:val="auto"/>
        </w:rPr>
        <w:t>To approve an amendment to Itron’s Amended and Restated Articles of Incorporation to include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41662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53" w:lineRule="exact"/>
        <w:rPr>
          <w:sz w:val="20"/>
          <w:szCs w:val="20"/>
          <w:color w:val="auto"/>
        </w:rPr>
      </w:pPr>
    </w:p>
    <w:p>
      <w:pPr>
        <w:ind w:left="400" w:right="680" w:hanging="399"/>
        <w:spacing w:after="0" w:line="180" w:lineRule="auto"/>
        <w:tabs>
          <w:tab w:leader="none" w:pos="380" w:val="left"/>
        </w:tabs>
        <w:rPr>
          <w:sz w:val="20"/>
          <w:szCs w:val="20"/>
          <w:color w:val="auto"/>
        </w:rPr>
      </w:pPr>
      <w:r>
        <w:rPr>
          <w:rFonts w:ascii="Arial" w:cs="Arial" w:eastAsia="Arial" w:hAnsi="Arial"/>
          <w:sz w:val="36"/>
          <w:szCs w:val="36"/>
          <w:b w:val="1"/>
          <w:bCs w:val="1"/>
          <w:color w:val="0063A6"/>
          <w:vertAlign w:val="subscript"/>
        </w:rPr>
        <w:t>6.</w:t>
      </w:r>
      <w:r>
        <w:rPr>
          <w:sz w:val="20"/>
          <w:szCs w:val="20"/>
          <w:color w:val="auto"/>
        </w:rPr>
        <w:tab/>
      </w:r>
      <w:r>
        <w:rPr>
          <w:rFonts w:ascii="Arial" w:cs="Arial" w:eastAsia="Arial" w:hAnsi="Arial"/>
          <w:sz w:val="15"/>
          <w:szCs w:val="15"/>
          <w:color w:val="auto"/>
        </w:rPr>
        <w:t>To ratify the appointment of Deloitte &amp; Touche LLP as the Company’s independent registered public accountant for the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4166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53" w:lineRule="exact"/>
        <w:rPr>
          <w:sz w:val="20"/>
          <w:szCs w:val="20"/>
          <w:color w:val="auto"/>
        </w:rPr>
      </w:pPr>
    </w:p>
    <w:p>
      <w:pPr>
        <w:ind w:left="400" w:right="340" w:hanging="399"/>
        <w:spacing w:after="0"/>
        <w:tabs>
          <w:tab w:leader="none" w:pos="380" w:val="left"/>
        </w:tabs>
        <w:rPr>
          <w:sz w:val="20"/>
          <w:szCs w:val="20"/>
          <w:color w:val="auto"/>
        </w:rPr>
      </w:pPr>
      <w:r>
        <w:rPr>
          <w:rFonts w:ascii="Arial" w:cs="Arial" w:eastAsia="Arial" w:hAnsi="Arial"/>
          <w:sz w:val="38"/>
          <w:szCs w:val="38"/>
          <w:b w:val="1"/>
          <w:bCs w:val="1"/>
          <w:color w:val="0063A6"/>
          <w:vertAlign w:val="subscript"/>
        </w:rPr>
        <w:t>7.</w:t>
      </w:r>
      <w:r>
        <w:rPr>
          <w:sz w:val="20"/>
          <w:szCs w:val="20"/>
          <w:color w:val="auto"/>
        </w:rPr>
        <w:tab/>
      </w:r>
      <w:r>
        <w:rPr>
          <w:rFonts w:ascii="Arial" w:cs="Arial" w:eastAsia="Arial" w:hAnsi="Arial"/>
          <w:sz w:val="15"/>
          <w:szCs w:val="15"/>
          <w:color w:val="auto"/>
        </w:rPr>
        <w:t>To transact any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4166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-253365</wp:posOffset>
            </wp:positionV>
            <wp:extent cx="4166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9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Members of the Company’s management will not make any formal presentation as part of the annual meeting, but will be available to address questions from shareholders, as appropriate. In addition, we expect the director nominee, together with those directors continuing in office, will attend the annual meeting.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60007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22288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E. Ware</w:t>
      </w:r>
    </w:p>
    <w:p>
      <w:pPr>
        <w:spacing w:after="0" w:line="234" w:lineRule="auto"/>
        <w:rPr>
          <w:sz w:val="20"/>
          <w:szCs w:val="20"/>
          <w:color w:val="auto"/>
        </w:rPr>
      </w:pPr>
      <w:r>
        <w:rPr>
          <w:rFonts w:ascii="Arial" w:cs="Arial" w:eastAsia="Arial" w:hAnsi="Arial"/>
          <w:sz w:val="18"/>
          <w:szCs w:val="18"/>
          <w:color w:val="auto"/>
        </w:rPr>
        <w:t>Corporate Secretary</w:t>
      </w:r>
    </w:p>
    <w:p>
      <w:pPr>
        <w:spacing w:after="0" w:line="235" w:lineRule="auto"/>
        <w:rPr>
          <w:sz w:val="20"/>
          <w:szCs w:val="20"/>
          <w:color w:val="auto"/>
        </w:rPr>
      </w:pPr>
      <w:r>
        <w:rPr>
          <w:rFonts w:ascii="Arial" w:cs="Arial" w:eastAsia="Arial" w:hAnsi="Arial"/>
          <w:sz w:val="18"/>
          <w:szCs w:val="18"/>
          <w:color w:val="auto"/>
        </w:rPr>
        <w:t> </w:t>
      </w:r>
    </w:p>
    <w:p>
      <w:pPr>
        <w:spacing w:after="0" w:line="235" w:lineRule="auto"/>
        <w:rPr>
          <w:sz w:val="20"/>
          <w:szCs w:val="20"/>
          <w:color w:val="auto"/>
        </w:rPr>
      </w:pPr>
      <w:r>
        <w:rPr>
          <w:rFonts w:ascii="Arial" w:cs="Arial" w:eastAsia="Arial" w:hAnsi="Arial"/>
          <w:sz w:val="18"/>
          <w:szCs w:val="18"/>
          <w:color w:val="auto"/>
        </w:rPr>
        <w:t>Liberty Lake, Washington</w:t>
      </w:r>
    </w:p>
    <w:p>
      <w:pPr>
        <w:spacing w:after="0"/>
        <w:rPr>
          <w:sz w:val="20"/>
          <w:szCs w:val="20"/>
          <w:color w:val="auto"/>
        </w:rPr>
      </w:pPr>
      <w:r>
        <w:rPr>
          <w:rFonts w:ascii="Arial" w:cs="Arial" w:eastAsia="Arial" w:hAnsi="Arial"/>
          <w:sz w:val="18"/>
          <w:szCs w:val="18"/>
          <w:color w:val="auto"/>
        </w:rPr>
        <w:t>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417830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40" w:space="720"/>
            <w:col w:w="6560"/>
          </w:cols>
          <w:pgMar w:left="680" w:top="114"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gridSpan w:val="16"/>
          </w:tcPr>
          <w:p>
            <w:pPr>
              <w:spacing w:after="0"/>
              <w:rPr>
                <w:sz w:val="20"/>
                <w:szCs w:val="20"/>
                <w:color w:val="auto"/>
              </w:rPr>
            </w:pPr>
            <w:r>
              <w:rPr>
                <w:rFonts w:ascii="Arial" w:cs="Arial" w:eastAsia="Arial" w:hAnsi="Arial"/>
                <w:sz w:val="13"/>
                <w:szCs w:val="13"/>
                <w:b w:val="1"/>
                <w:bCs w:val="1"/>
                <w:color w:val="0000EE"/>
              </w:rPr>
              <w:t>PROXY STATEMENT</w:t>
            </w: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0000EE"/>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48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Borders>
              <w:bottom w:val="single" w:sz="8" w:color="5D6673"/>
            </w:tcBorders>
          </w:tcPr>
          <w:p>
            <w:pPr>
              <w:spacing w:after="0"/>
              <w:rPr>
                <w:sz w:val="10"/>
                <w:szCs w:val="10"/>
                <w:color w:val="auto"/>
              </w:rPr>
            </w:pPr>
          </w:p>
        </w:tc>
        <w:tc>
          <w:tcPr>
            <w:tcW w:w="80" w:type="dxa"/>
            <w:vAlign w:val="bottom"/>
            <w:tcBorders>
              <w:bottom w:val="single" w:sz="8" w:color="5D6673"/>
            </w:tcBorders>
          </w:tcPr>
          <w:p>
            <w:pPr>
              <w:spacing w:after="0"/>
              <w:rPr>
                <w:sz w:val="10"/>
                <w:szCs w:val="10"/>
                <w:color w:val="auto"/>
              </w:rPr>
            </w:pPr>
          </w:p>
        </w:tc>
        <w:tc>
          <w:tcPr>
            <w:tcW w:w="4140" w:type="dxa"/>
            <w:vAlign w:val="bottom"/>
            <w:tcBorders>
              <w:bottom w:val="single" w:sz="8" w:color="5D6673"/>
            </w:tcBorders>
            <w:gridSpan w:val="14"/>
          </w:tcPr>
          <w:p>
            <w:pPr>
              <w:spacing w:after="0" w:line="116" w:lineRule="exact"/>
              <w:rPr>
                <w:sz w:val="20"/>
                <w:szCs w:val="20"/>
                <w:color w:val="auto"/>
              </w:rPr>
            </w:pPr>
            <w:r>
              <w:rPr>
                <w:rFonts w:ascii="Arial" w:cs="Arial" w:eastAsia="Arial" w:hAnsi="Arial"/>
                <w:sz w:val="13"/>
                <w:szCs w:val="13"/>
                <w:color w:val="0000EE"/>
              </w:rPr>
              <w:t>Attending the Annual Meeting</w:t>
            </w:r>
          </w:p>
        </w:tc>
        <w:tc>
          <w:tcPr>
            <w:tcW w:w="140" w:type="dxa"/>
            <w:vAlign w:val="bottom"/>
            <w:tcBorders>
              <w:bottom w:val="single" w:sz="8" w:color="5D6673"/>
            </w:tcBorders>
            <w:gridSpan w:val="2"/>
          </w:tcPr>
          <w:p>
            <w:pPr>
              <w:jc w:val="right"/>
              <w:spacing w:after="0" w:line="116" w:lineRule="exact"/>
              <w:rPr>
                <w:sz w:val="20"/>
                <w:szCs w:val="20"/>
                <w:color w:val="auto"/>
              </w:rPr>
            </w:pPr>
            <w:r>
              <w:rPr>
                <w:rFonts w:ascii="Arial" w:cs="Arial" w:eastAsia="Arial" w:hAnsi="Arial"/>
                <w:sz w:val="13"/>
                <w:szCs w:val="13"/>
                <w:color w:val="0000EE"/>
              </w:rPr>
              <w:t>1</w:t>
            </w:r>
          </w:p>
        </w:tc>
        <w:tc>
          <w:tcPr>
            <w:tcW w:w="20" w:type="dxa"/>
            <w:vAlign w:val="bottom"/>
            <w:tcBorders>
              <w:bottom w:val="single" w:sz="8" w:color="5D6673"/>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Internet Availability of Annual Meeting Materials</w:t>
            </w:r>
          </w:p>
        </w:tc>
        <w:tc>
          <w:tcPr>
            <w:tcW w:w="140" w:type="dxa"/>
            <w:vAlign w:val="bottom"/>
            <w:tcBorders>
              <w:bottom w:val="single" w:sz="8" w:color="5D6673"/>
            </w:tcBorders>
            <w:gridSpan w:val="2"/>
          </w:tcPr>
          <w:p>
            <w:pPr>
              <w:jc w:val="right"/>
              <w:spacing w:after="0" w:line="135" w:lineRule="exact"/>
              <w:rPr>
                <w:sz w:val="20"/>
                <w:szCs w:val="20"/>
                <w:color w:val="auto"/>
              </w:rPr>
            </w:pPr>
            <w:r>
              <w:rPr>
                <w:rFonts w:ascii="Arial" w:cs="Arial" w:eastAsia="Arial" w:hAnsi="Arial"/>
                <w:sz w:val="13"/>
                <w:szCs w:val="13"/>
                <w:color w:val="0000EE"/>
              </w:rPr>
              <w:t>1</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Proposals to Be Voted on at the Annual Meeting</w:t>
            </w:r>
          </w:p>
        </w:tc>
        <w:tc>
          <w:tcPr>
            <w:tcW w:w="140" w:type="dxa"/>
            <w:vAlign w:val="bottom"/>
            <w:tcBorders>
              <w:bottom w:val="single" w:sz="8" w:color="5D6673"/>
            </w:tcBorders>
            <w:gridSpan w:val="2"/>
          </w:tcPr>
          <w:p>
            <w:pPr>
              <w:jc w:val="right"/>
              <w:spacing w:after="0" w:line="135" w:lineRule="exact"/>
              <w:rPr>
                <w:sz w:val="20"/>
                <w:szCs w:val="20"/>
                <w:color w:val="auto"/>
              </w:rPr>
            </w:pPr>
            <w:r>
              <w:rPr>
                <w:rFonts w:ascii="Arial" w:cs="Arial" w:eastAsia="Arial" w:hAnsi="Arial"/>
                <w:sz w:val="13"/>
                <w:szCs w:val="13"/>
                <w:color w:val="0000EE"/>
              </w:rPr>
              <w:t>1</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Record Date and Outstanding Shares</w:t>
            </w:r>
          </w:p>
        </w:tc>
        <w:tc>
          <w:tcPr>
            <w:tcW w:w="140" w:type="dxa"/>
            <w:vAlign w:val="bottom"/>
            <w:tcBorders>
              <w:bottom w:val="single" w:sz="8" w:color="5D6673"/>
            </w:tcBorders>
            <w:gridSpan w:val="2"/>
          </w:tcPr>
          <w:p>
            <w:pPr>
              <w:jc w:val="right"/>
              <w:spacing w:after="0" w:line="135" w:lineRule="exact"/>
              <w:rPr>
                <w:sz w:val="20"/>
                <w:szCs w:val="20"/>
                <w:color w:val="auto"/>
              </w:rPr>
            </w:pPr>
            <w:r>
              <w:rPr>
                <w:rFonts w:ascii="Arial" w:cs="Arial" w:eastAsia="Arial" w:hAnsi="Arial"/>
                <w:sz w:val="13"/>
                <w:szCs w:val="13"/>
                <w:color w:val="0000EE"/>
              </w:rPr>
              <w:t>2</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Quorum and Voting</w:t>
            </w:r>
          </w:p>
        </w:tc>
        <w:tc>
          <w:tcPr>
            <w:tcW w:w="140" w:type="dxa"/>
            <w:vAlign w:val="bottom"/>
            <w:tcBorders>
              <w:bottom w:val="single" w:sz="8" w:color="5D6673"/>
            </w:tcBorders>
            <w:gridSpan w:val="2"/>
          </w:tcPr>
          <w:p>
            <w:pPr>
              <w:jc w:val="right"/>
              <w:spacing w:after="0" w:line="135" w:lineRule="exact"/>
              <w:rPr>
                <w:sz w:val="20"/>
                <w:szCs w:val="20"/>
                <w:color w:val="auto"/>
              </w:rPr>
            </w:pPr>
            <w:r>
              <w:rPr>
                <w:rFonts w:ascii="Arial" w:cs="Arial" w:eastAsia="Arial" w:hAnsi="Arial"/>
                <w:sz w:val="13"/>
                <w:szCs w:val="13"/>
                <w:color w:val="0000EE"/>
              </w:rPr>
              <w:t>2</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Revocability of Proxies</w:t>
            </w:r>
          </w:p>
        </w:tc>
        <w:tc>
          <w:tcPr>
            <w:tcW w:w="140" w:type="dxa"/>
            <w:vAlign w:val="bottom"/>
            <w:tcBorders>
              <w:bottom w:val="single" w:sz="8" w:color="5D6673"/>
            </w:tcBorders>
            <w:gridSpan w:val="2"/>
          </w:tcPr>
          <w:p>
            <w:pPr>
              <w:jc w:val="right"/>
              <w:spacing w:after="0" w:line="135" w:lineRule="exact"/>
              <w:rPr>
                <w:sz w:val="20"/>
                <w:szCs w:val="20"/>
                <w:color w:val="auto"/>
              </w:rPr>
            </w:pPr>
            <w:r>
              <w:rPr>
                <w:rFonts w:ascii="Arial" w:cs="Arial" w:eastAsia="Arial" w:hAnsi="Arial"/>
                <w:sz w:val="13"/>
                <w:szCs w:val="13"/>
                <w:color w:val="0000EE"/>
              </w:rPr>
              <w:t>4</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140" w:type="dxa"/>
            <w:vAlign w:val="bottom"/>
            <w:gridSpan w:val="14"/>
          </w:tcPr>
          <w:p>
            <w:pPr>
              <w:spacing w:after="0" w:line="135" w:lineRule="exact"/>
              <w:rPr>
                <w:sz w:val="20"/>
                <w:szCs w:val="20"/>
                <w:color w:val="auto"/>
              </w:rPr>
            </w:pPr>
            <w:r>
              <w:rPr>
                <w:rFonts w:ascii="Arial" w:cs="Arial" w:eastAsia="Arial" w:hAnsi="Arial"/>
                <w:sz w:val="13"/>
                <w:szCs w:val="13"/>
                <w:color w:val="0000EE"/>
              </w:rPr>
              <w:t>Proxy Solicitation</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0000EE"/>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Borders>
              <w:bottom w:val="single" w:sz="8" w:color="FFC729"/>
            </w:tcBorders>
            <w:shd w:val="clear" w:color="auto" w:fill="FFC729"/>
          </w:tcPr>
          <w:p>
            <w:pPr>
              <w:spacing w:after="0"/>
              <w:rPr>
                <w:sz w:val="17"/>
                <w:szCs w:val="17"/>
                <w:color w:val="auto"/>
              </w:rPr>
            </w:pPr>
          </w:p>
        </w:tc>
        <w:tc>
          <w:tcPr>
            <w:tcW w:w="80" w:type="dxa"/>
            <w:vAlign w:val="bottom"/>
            <w:tcBorders>
              <w:bottom w:val="single" w:sz="8" w:color="0063A6"/>
            </w:tcBorders>
            <w:shd w:val="clear" w:color="auto" w:fill="0063A6"/>
          </w:tcPr>
          <w:p>
            <w:pPr>
              <w:spacing w:after="0"/>
              <w:rPr>
                <w:sz w:val="17"/>
                <w:szCs w:val="17"/>
                <w:color w:val="auto"/>
              </w:rPr>
            </w:pPr>
          </w:p>
        </w:tc>
        <w:tc>
          <w:tcPr>
            <w:tcW w:w="4140" w:type="dxa"/>
            <w:vAlign w:val="bottom"/>
            <w:tcBorders>
              <w:bottom w:val="single" w:sz="8" w:color="0063A6"/>
            </w:tcBorders>
            <w:gridSpan w:val="14"/>
            <w:shd w:val="clear" w:color="auto" w:fill="0063A6"/>
          </w:tcPr>
          <w:p>
            <w:pPr>
              <w:ind w:left="40"/>
              <w:spacing w:after="0"/>
              <w:rPr>
                <w:sz w:val="20"/>
                <w:szCs w:val="20"/>
                <w:color w:val="auto"/>
              </w:rPr>
            </w:pPr>
            <w:r>
              <w:rPr>
                <w:rFonts w:ascii="Arial" w:cs="Arial" w:eastAsia="Arial" w:hAnsi="Arial"/>
                <w:sz w:val="13"/>
                <w:szCs w:val="13"/>
                <w:b w:val="1"/>
                <w:bCs w:val="1"/>
                <w:color w:val="FFFFFF"/>
              </w:rPr>
              <w:t>PROPOSAL 1 – ELECTION OF DIRECTOR</w:t>
            </w:r>
          </w:p>
        </w:tc>
        <w:tc>
          <w:tcPr>
            <w:tcW w:w="140" w:type="dxa"/>
            <w:vAlign w:val="bottom"/>
            <w:tcBorders>
              <w:bottom w:val="single" w:sz="8" w:color="0063A6"/>
            </w:tcBorders>
            <w:gridSpan w:val="2"/>
            <w:shd w:val="clear" w:color="auto" w:fill="0063A6"/>
          </w:tcPr>
          <w:p>
            <w:pPr>
              <w:jc w:val="right"/>
              <w:spacing w:after="0"/>
              <w:rPr>
                <w:sz w:val="20"/>
                <w:szCs w:val="20"/>
                <w:color w:val="auto"/>
              </w:rPr>
            </w:pPr>
            <w:r>
              <w:rPr>
                <w:rFonts w:ascii="Arial" w:cs="Arial" w:eastAsia="Arial" w:hAnsi="Arial"/>
                <w:sz w:val="13"/>
                <w:szCs w:val="13"/>
                <w:b w:val="1"/>
                <w:bCs w:val="1"/>
                <w:color w:val="FFFFFF"/>
              </w:rPr>
              <w:t>5</w:t>
            </w:r>
          </w:p>
        </w:tc>
        <w:tc>
          <w:tcPr>
            <w:tcW w:w="20" w:type="dxa"/>
            <w:vAlign w:val="bottom"/>
            <w:tcBorders>
              <w:bottom w:val="single" w:sz="8" w:color="0063A6"/>
            </w:tcBorders>
            <w:shd w:val="clear" w:color="auto" w:fill="0063A6"/>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320" w:type="dxa"/>
            <w:vAlign w:val="bottom"/>
            <w:gridSpan w:val="16"/>
          </w:tcPr>
          <w:p>
            <w:pPr>
              <w:spacing w:after="0" w:line="135" w:lineRule="exact"/>
              <w:rPr>
                <w:sz w:val="20"/>
                <w:szCs w:val="20"/>
                <w:color w:val="auto"/>
              </w:rPr>
            </w:pPr>
            <w:r>
              <w:rPr>
                <w:rFonts w:ascii="Arial" w:cs="Arial" w:eastAsia="Arial" w:hAnsi="Arial"/>
                <w:sz w:val="13"/>
                <w:szCs w:val="13"/>
                <w:b w:val="1"/>
                <w:bCs w:val="1"/>
                <w:color w:val="0000EE"/>
              </w:rPr>
              <w:t>MORE INFORMATION ABOUT OUR DIRECTORS</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0000EE"/>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4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Borders>
              <w:bottom w:val="single" w:sz="8" w:color="5D6673"/>
            </w:tcBorders>
          </w:tcPr>
          <w:p>
            <w:pPr>
              <w:spacing w:after="0"/>
              <w:rPr>
                <w:sz w:val="10"/>
                <w:szCs w:val="10"/>
                <w:color w:val="auto"/>
              </w:rPr>
            </w:pPr>
          </w:p>
        </w:tc>
        <w:tc>
          <w:tcPr>
            <w:tcW w:w="80" w:type="dxa"/>
            <w:vAlign w:val="bottom"/>
            <w:tcBorders>
              <w:bottom w:val="single" w:sz="8" w:color="5D6673"/>
            </w:tcBorders>
          </w:tcPr>
          <w:p>
            <w:pPr>
              <w:spacing w:after="0"/>
              <w:rPr>
                <w:sz w:val="10"/>
                <w:szCs w:val="10"/>
                <w:color w:val="auto"/>
              </w:rPr>
            </w:pPr>
          </w:p>
        </w:tc>
        <w:tc>
          <w:tcPr>
            <w:tcW w:w="4140" w:type="dxa"/>
            <w:vAlign w:val="bottom"/>
            <w:tcBorders>
              <w:bottom w:val="single" w:sz="8" w:color="5D6673"/>
            </w:tcBorders>
            <w:gridSpan w:val="14"/>
          </w:tcPr>
          <w:p>
            <w:pPr>
              <w:spacing w:after="0" w:line="116" w:lineRule="exact"/>
              <w:rPr>
                <w:sz w:val="20"/>
                <w:szCs w:val="20"/>
                <w:color w:val="auto"/>
              </w:rPr>
            </w:pPr>
            <w:r>
              <w:rPr>
                <w:rFonts w:ascii="Arial" w:cs="Arial" w:eastAsia="Arial" w:hAnsi="Arial"/>
                <w:sz w:val="13"/>
                <w:szCs w:val="13"/>
                <w:color w:val="0000EE"/>
              </w:rPr>
              <w:t>Compensation of Directors</w:t>
            </w:r>
          </w:p>
        </w:tc>
        <w:tc>
          <w:tcPr>
            <w:tcW w:w="160" w:type="dxa"/>
            <w:vAlign w:val="bottom"/>
            <w:tcBorders>
              <w:bottom w:val="single" w:sz="8" w:color="5D6673"/>
            </w:tcBorders>
            <w:gridSpan w:val="3"/>
          </w:tcPr>
          <w:p>
            <w:pPr>
              <w:jc w:val="right"/>
              <w:ind w:right="20"/>
              <w:spacing w:after="0" w:line="116" w:lineRule="exact"/>
              <w:rPr>
                <w:sz w:val="20"/>
                <w:szCs w:val="20"/>
                <w:color w:val="auto"/>
              </w:rPr>
            </w:pPr>
            <w:r>
              <w:rPr>
                <w:rFonts w:ascii="Arial" w:cs="Arial" w:eastAsia="Arial" w:hAnsi="Arial"/>
                <w:sz w:val="13"/>
                <w:szCs w:val="13"/>
                <w:color w:val="0000EE"/>
                <w:w w:val="82"/>
              </w:rPr>
              <w:t>15</w:t>
            </w:r>
          </w:p>
        </w:tc>
        <w:tc>
          <w:tcPr>
            <w:tcW w:w="0" w:type="dxa"/>
            <w:vAlign w:val="bottom"/>
          </w:tcPr>
          <w:p>
            <w:pPr>
              <w:spacing w:after="0"/>
              <w:rPr>
                <w:sz w:val="1"/>
                <w:szCs w:val="1"/>
                <w:color w:val="auto"/>
              </w:rPr>
            </w:pPr>
          </w:p>
        </w:tc>
      </w:tr>
      <w:tr>
        <w:trPr>
          <w:trHeight w:val="135"/>
        </w:trPr>
        <w:tc>
          <w:tcPr>
            <w:tcW w:w="4320" w:type="dxa"/>
            <w:vAlign w:val="bottom"/>
            <w:gridSpan w:val="16"/>
          </w:tcPr>
          <w:p>
            <w:pPr>
              <w:spacing w:after="0" w:line="135" w:lineRule="exact"/>
              <w:rPr>
                <w:sz w:val="20"/>
                <w:szCs w:val="20"/>
                <w:color w:val="auto"/>
              </w:rPr>
            </w:pPr>
            <w:r>
              <w:rPr>
                <w:rFonts w:ascii="Arial" w:cs="Arial" w:eastAsia="Arial" w:hAnsi="Arial"/>
                <w:sz w:val="13"/>
                <w:szCs w:val="13"/>
                <w:b w:val="1"/>
                <w:bCs w:val="1"/>
                <w:color w:val="0000EE"/>
              </w:rPr>
              <w:t>CORPORATE GOVERNANCE</w:t>
            </w:r>
          </w:p>
        </w:tc>
        <w:tc>
          <w:tcPr>
            <w:tcW w:w="16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0000EE"/>
                <w:w w:val="82"/>
              </w:rPr>
              <w:t>17</w:t>
            </w: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48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Borders>
              <w:bottom w:val="single" w:sz="8" w:color="5D6673"/>
            </w:tcBorders>
          </w:tcPr>
          <w:p>
            <w:pPr>
              <w:spacing w:after="0"/>
              <w:rPr>
                <w:sz w:val="10"/>
                <w:szCs w:val="10"/>
                <w:color w:val="auto"/>
              </w:rPr>
            </w:pPr>
          </w:p>
        </w:tc>
        <w:tc>
          <w:tcPr>
            <w:tcW w:w="80" w:type="dxa"/>
            <w:vAlign w:val="bottom"/>
            <w:tcBorders>
              <w:bottom w:val="single" w:sz="8" w:color="5D6673"/>
            </w:tcBorders>
          </w:tcPr>
          <w:p>
            <w:pPr>
              <w:spacing w:after="0"/>
              <w:rPr>
                <w:sz w:val="10"/>
                <w:szCs w:val="10"/>
                <w:color w:val="auto"/>
              </w:rPr>
            </w:pPr>
          </w:p>
        </w:tc>
        <w:tc>
          <w:tcPr>
            <w:tcW w:w="4140" w:type="dxa"/>
            <w:vAlign w:val="bottom"/>
            <w:tcBorders>
              <w:bottom w:val="single" w:sz="8" w:color="5D6673"/>
            </w:tcBorders>
            <w:gridSpan w:val="14"/>
          </w:tcPr>
          <w:p>
            <w:pPr>
              <w:spacing w:after="0" w:line="116" w:lineRule="exact"/>
              <w:rPr>
                <w:sz w:val="20"/>
                <w:szCs w:val="20"/>
                <w:color w:val="auto"/>
              </w:rPr>
            </w:pPr>
            <w:r>
              <w:rPr>
                <w:rFonts w:ascii="Arial" w:cs="Arial" w:eastAsia="Arial" w:hAnsi="Arial"/>
                <w:sz w:val="13"/>
                <w:szCs w:val="13"/>
                <w:color w:val="0000EE"/>
              </w:rPr>
              <w:t>Leadership Structure of the Board of Directors</w:t>
            </w:r>
          </w:p>
        </w:tc>
        <w:tc>
          <w:tcPr>
            <w:tcW w:w="160" w:type="dxa"/>
            <w:vAlign w:val="bottom"/>
            <w:tcBorders>
              <w:bottom w:val="single" w:sz="8" w:color="5D6673"/>
            </w:tcBorders>
            <w:gridSpan w:val="3"/>
          </w:tcPr>
          <w:p>
            <w:pPr>
              <w:jc w:val="right"/>
              <w:ind w:right="20"/>
              <w:spacing w:after="0" w:line="116" w:lineRule="exact"/>
              <w:rPr>
                <w:sz w:val="20"/>
                <w:szCs w:val="20"/>
                <w:color w:val="auto"/>
              </w:rPr>
            </w:pPr>
            <w:r>
              <w:rPr>
                <w:rFonts w:ascii="Arial" w:cs="Arial" w:eastAsia="Arial" w:hAnsi="Arial"/>
                <w:sz w:val="13"/>
                <w:szCs w:val="13"/>
                <w:color w:val="0000EE"/>
                <w:w w:val="82"/>
              </w:rPr>
              <w:t>17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Corporate Governance Guiding Principles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Board Matters – Meeting Attendance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Director Independence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Committees of the Board</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18</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Nominating and Corporate Governance Committee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18</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Audit/Finance Committee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19</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Compensation Committee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19</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140" w:type="dxa"/>
            <w:vAlign w:val="bottom"/>
            <w:gridSpan w:val="14"/>
          </w:tcPr>
          <w:p>
            <w:pPr>
              <w:spacing w:after="0" w:line="135" w:lineRule="exact"/>
              <w:rPr>
                <w:sz w:val="20"/>
                <w:szCs w:val="20"/>
                <w:color w:val="auto"/>
              </w:rPr>
            </w:pPr>
            <w:r>
              <w:rPr>
                <w:rFonts w:ascii="Arial" w:cs="Arial" w:eastAsia="Arial" w:hAnsi="Arial"/>
                <w:sz w:val="13"/>
                <w:szCs w:val="13"/>
                <w:color w:val="0000EE"/>
              </w:rPr>
              <w:t>Compensation Committee Interlocks and Insider</w:t>
            </w: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0000EE"/>
                <w:w w:val="82"/>
              </w:rPr>
              <w:t>19</w:t>
            </w:r>
          </w:p>
        </w:tc>
        <w:tc>
          <w:tcPr>
            <w:tcW w:w="0" w:type="dxa"/>
            <w:vAlign w:val="bottom"/>
          </w:tcPr>
          <w:p>
            <w:pPr>
              <w:spacing w:after="0"/>
              <w:rPr>
                <w:sz w:val="1"/>
                <w:szCs w:val="1"/>
                <w:color w:val="auto"/>
              </w:rPr>
            </w:pPr>
          </w:p>
        </w:tc>
      </w:tr>
      <w:tr>
        <w:trPr>
          <w:trHeight w:val="136"/>
        </w:trPr>
        <w:tc>
          <w:tcPr>
            <w:tcW w:w="100" w:type="dxa"/>
            <w:vAlign w:val="bottom"/>
            <w:tcBorders>
              <w:bottom w:val="single" w:sz="8" w:color="5D6673"/>
            </w:tcBorders>
          </w:tcPr>
          <w:p>
            <w:pPr>
              <w:spacing w:after="0"/>
              <w:rPr>
                <w:sz w:val="11"/>
                <w:szCs w:val="11"/>
                <w:color w:val="auto"/>
              </w:rPr>
            </w:pPr>
          </w:p>
        </w:tc>
        <w:tc>
          <w:tcPr>
            <w:tcW w:w="80" w:type="dxa"/>
            <w:vAlign w:val="bottom"/>
            <w:tcBorders>
              <w:bottom w:val="single" w:sz="8" w:color="5D6673"/>
            </w:tcBorders>
          </w:tcPr>
          <w:p>
            <w:pPr>
              <w:spacing w:after="0"/>
              <w:rPr>
                <w:sz w:val="11"/>
                <w:szCs w:val="11"/>
                <w:color w:val="auto"/>
              </w:rPr>
            </w:pPr>
          </w:p>
        </w:tc>
        <w:tc>
          <w:tcPr>
            <w:tcW w:w="2800" w:type="dxa"/>
            <w:vAlign w:val="bottom"/>
            <w:tcBorders>
              <w:top w:val="single" w:sz="8" w:color="0000EE"/>
              <w:bottom w:val="single" w:sz="8" w:color="5D6673"/>
            </w:tcBorders>
            <w:gridSpan w:val="13"/>
          </w:tcPr>
          <w:p>
            <w:pPr>
              <w:spacing w:after="0" w:line="129" w:lineRule="exact"/>
              <w:rPr>
                <w:sz w:val="20"/>
                <w:szCs w:val="20"/>
                <w:color w:val="auto"/>
              </w:rPr>
            </w:pPr>
            <w:r>
              <w:rPr>
                <w:rFonts w:ascii="Arial" w:cs="Arial" w:eastAsia="Arial" w:hAnsi="Arial"/>
                <w:sz w:val="13"/>
                <w:szCs w:val="13"/>
                <w:color w:val="0000EE"/>
              </w:rPr>
              <w:t>Participation</w:t>
            </w:r>
          </w:p>
        </w:tc>
        <w:tc>
          <w:tcPr>
            <w:tcW w:w="1340" w:type="dxa"/>
            <w:vAlign w:val="bottom"/>
            <w:tcBorders>
              <w:bottom w:val="single" w:sz="8" w:color="5D6673"/>
            </w:tcBorders>
          </w:tcPr>
          <w:p>
            <w:pPr>
              <w:spacing w:after="0"/>
              <w:rPr>
                <w:sz w:val="11"/>
                <w:szCs w:val="11"/>
                <w:color w:val="auto"/>
              </w:rPr>
            </w:pPr>
          </w:p>
        </w:tc>
        <w:tc>
          <w:tcPr>
            <w:tcW w:w="160" w:type="dxa"/>
            <w:vAlign w:val="bottom"/>
            <w:tcBorders>
              <w:bottom w:val="single" w:sz="8" w:color="5D6673"/>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Transactions with Related Persons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19</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Our Board’s Role in Risk Oversight</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19</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Code of Conduct</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Insider Trading Policies and Procedures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Anti-Hedging Policy</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Director Term Limit and Retirement Guidelines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Director Nominations by Shareholders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21</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Shareholder Communications with the Board</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21</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3"/>
                <w:szCs w:val="13"/>
                <w:color w:val="0000EE"/>
                <w:w w:val="96"/>
              </w:rPr>
              <w:t>Corporate​</w:t>
            </w:r>
          </w:p>
        </w:tc>
        <w:tc>
          <w:tcPr>
            <w:tcW w:w="1220" w:type="dxa"/>
            <w:vAlign w:val="bottom"/>
            <w:tcBorders>
              <w:bottom w:val="single" w:sz="8" w:color="0000EE"/>
            </w:tcBorders>
            <w:gridSpan w:val="5"/>
          </w:tcPr>
          <w:p>
            <w:pPr>
              <w:ind w:left="20"/>
              <w:spacing w:after="0" w:line="135" w:lineRule="exact"/>
              <w:rPr>
                <w:sz w:val="20"/>
                <w:szCs w:val="20"/>
                <w:color w:val="auto"/>
              </w:rPr>
            </w:pPr>
            <w:r>
              <w:rPr>
                <w:rFonts w:ascii="Arial" w:cs="Arial" w:eastAsia="Arial" w:hAnsi="Arial"/>
                <w:sz w:val="13"/>
                <w:szCs w:val="13"/>
                <w:color w:val="0000EE"/>
                <w:w w:val="98"/>
              </w:rPr>
              <w:t>Sustainability Report</w:t>
            </w:r>
          </w:p>
        </w:tc>
        <w:tc>
          <w:tcPr>
            <w:tcW w:w="2340" w:type="dxa"/>
            <w:vAlign w:val="bottom"/>
            <w:gridSpan w:val="7"/>
          </w:tcPr>
          <w:p>
            <w:pPr>
              <w:spacing w:after="0"/>
              <w:rPr>
                <w:sz w:val="12"/>
                <w:szCs w:val="12"/>
                <w:color w:val="auto"/>
              </w:rPr>
            </w:pPr>
          </w:p>
        </w:tc>
        <w:tc>
          <w:tcPr>
            <w:tcW w:w="140" w:type="dxa"/>
            <w:vAlign w:val="bottom"/>
            <w:tcBorders>
              <w:bottom w:val="single" w:sz="8" w:color="0000EE"/>
            </w:tcBorders>
            <w:gridSpan w:val="2"/>
          </w:tcPr>
          <w:p>
            <w:pPr>
              <w:jc w:val="right"/>
              <w:spacing w:after="0" w:line="135" w:lineRule="exact"/>
              <w:rPr>
                <w:sz w:val="20"/>
                <w:szCs w:val="20"/>
                <w:color w:val="auto"/>
              </w:rPr>
            </w:pPr>
            <w:r>
              <w:rPr>
                <w:rFonts w:ascii="Arial" w:cs="Arial" w:eastAsia="Arial" w:hAnsi="Arial"/>
                <w:sz w:val="13"/>
                <w:szCs w:val="13"/>
                <w:color w:val="0000EE"/>
                <w:w w:val="82"/>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shd w:val="clear" w:color="auto" w:fill="FFC729"/>
          </w:tcPr>
          <w:p>
            <w:pPr>
              <w:spacing w:after="0"/>
              <w:rPr>
                <w:sz w:val="13"/>
                <w:szCs w:val="13"/>
                <w:color w:val="auto"/>
              </w:rPr>
            </w:pPr>
          </w:p>
        </w:tc>
        <w:tc>
          <w:tcPr>
            <w:tcW w:w="80" w:type="dxa"/>
            <w:vAlign w:val="bottom"/>
            <w:shd w:val="clear" w:color="auto" w:fill="0063A6"/>
          </w:tcPr>
          <w:p>
            <w:pPr>
              <w:spacing w:after="0"/>
              <w:rPr>
                <w:sz w:val="13"/>
                <w:szCs w:val="13"/>
                <w:color w:val="auto"/>
              </w:rPr>
            </w:pPr>
          </w:p>
        </w:tc>
        <w:tc>
          <w:tcPr>
            <w:tcW w:w="4140" w:type="dxa"/>
            <w:vAlign w:val="bottom"/>
            <w:gridSpan w:val="14"/>
            <w:shd w:val="clear" w:color="auto" w:fill="0063A6"/>
          </w:tcPr>
          <w:p>
            <w:pPr>
              <w:ind w:left="40"/>
              <w:spacing w:after="0"/>
              <w:rPr>
                <w:sz w:val="20"/>
                <w:szCs w:val="20"/>
                <w:color w:val="auto"/>
              </w:rPr>
            </w:pPr>
            <w:r>
              <w:rPr>
                <w:rFonts w:ascii="Arial" w:cs="Arial" w:eastAsia="Arial" w:hAnsi="Arial"/>
                <w:sz w:val="13"/>
                <w:szCs w:val="13"/>
                <w:b w:val="1"/>
                <w:bCs w:val="1"/>
                <w:color w:val="FFFFFF"/>
              </w:rPr>
              <w:t>PROPOSAL 2 – ADVISORY APPROVAL OF EXECUTIVE</w:t>
            </w:r>
          </w:p>
        </w:tc>
        <w:tc>
          <w:tcPr>
            <w:tcW w:w="60" w:type="dxa"/>
            <w:vAlign w:val="bottom"/>
            <w:shd w:val="clear" w:color="auto" w:fill="0063A6"/>
          </w:tcPr>
          <w:p>
            <w:pPr>
              <w:spacing w:after="0"/>
              <w:rPr>
                <w:sz w:val="13"/>
                <w:szCs w:val="13"/>
                <w:color w:val="auto"/>
              </w:rPr>
            </w:pPr>
          </w:p>
        </w:tc>
        <w:tc>
          <w:tcPr>
            <w:tcW w:w="80" w:type="dxa"/>
            <w:vAlign w:val="bottom"/>
            <w:shd w:val="clear" w:color="auto" w:fill="0063A6"/>
          </w:tcPr>
          <w:p>
            <w:pPr>
              <w:spacing w:after="0"/>
              <w:rPr>
                <w:sz w:val="13"/>
                <w:szCs w:val="13"/>
                <w:color w:val="auto"/>
              </w:rPr>
            </w:pPr>
          </w:p>
        </w:tc>
        <w:tc>
          <w:tcPr>
            <w:tcW w:w="2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FFC729"/>
            </w:tcBorders>
            <w:shd w:val="clear" w:color="auto" w:fill="FFC729"/>
          </w:tcPr>
          <w:p>
            <w:pPr>
              <w:spacing w:after="0"/>
              <w:rPr>
                <w:sz w:val="16"/>
                <w:szCs w:val="16"/>
                <w:color w:val="auto"/>
              </w:rPr>
            </w:pPr>
          </w:p>
        </w:tc>
        <w:tc>
          <w:tcPr>
            <w:tcW w:w="80" w:type="dxa"/>
            <w:vAlign w:val="bottom"/>
            <w:tcBorders>
              <w:bottom w:val="single" w:sz="8" w:color="0063A6"/>
            </w:tcBorders>
            <w:shd w:val="clear" w:color="auto" w:fill="0063A6"/>
          </w:tcPr>
          <w:p>
            <w:pPr>
              <w:spacing w:after="0"/>
              <w:rPr>
                <w:sz w:val="16"/>
                <w:szCs w:val="16"/>
                <w:color w:val="auto"/>
              </w:rPr>
            </w:pPr>
          </w:p>
        </w:tc>
        <w:tc>
          <w:tcPr>
            <w:tcW w:w="4140" w:type="dxa"/>
            <w:vAlign w:val="bottom"/>
            <w:tcBorders>
              <w:bottom w:val="single" w:sz="8" w:color="0063A6"/>
            </w:tcBorders>
            <w:gridSpan w:val="14"/>
            <w:shd w:val="clear" w:color="auto" w:fill="0063A6"/>
          </w:tcPr>
          <w:p>
            <w:pPr>
              <w:ind w:left="40"/>
              <w:spacing w:after="0"/>
              <w:rPr>
                <w:sz w:val="20"/>
                <w:szCs w:val="20"/>
                <w:color w:val="auto"/>
              </w:rPr>
            </w:pPr>
            <w:r>
              <w:rPr>
                <w:rFonts w:ascii="Arial" w:cs="Arial" w:eastAsia="Arial" w:hAnsi="Arial"/>
                <w:sz w:val="13"/>
                <w:szCs w:val="13"/>
                <w:b w:val="1"/>
                <w:bCs w:val="1"/>
                <w:color w:val="FFFFFF"/>
              </w:rPr>
              <w:t>COMPENSATION (SAY-ON-PAY)</w:t>
            </w:r>
          </w:p>
        </w:tc>
        <w:tc>
          <w:tcPr>
            <w:tcW w:w="160" w:type="dxa"/>
            <w:vAlign w:val="bottom"/>
            <w:tcBorders>
              <w:bottom w:val="single" w:sz="8" w:color="0063A6"/>
            </w:tcBorders>
            <w:gridSpan w:val="3"/>
            <w:shd w:val="clear" w:color="auto" w:fill="0063A6"/>
          </w:tcPr>
          <w:p>
            <w:pPr>
              <w:jc w:val="right"/>
              <w:ind w:right="20"/>
              <w:spacing w:after="0"/>
              <w:rPr>
                <w:sz w:val="20"/>
                <w:szCs w:val="20"/>
                <w:color w:val="auto"/>
              </w:rPr>
            </w:pPr>
            <w:r>
              <w:rPr>
                <w:rFonts w:ascii="Arial" w:cs="Arial" w:eastAsia="Arial" w:hAnsi="Arial"/>
                <w:sz w:val="13"/>
                <w:szCs w:val="13"/>
                <w:b w:val="1"/>
                <w:bCs w:val="1"/>
                <w:color w:val="FFFFFF"/>
                <w:w w:val="82"/>
              </w:rPr>
              <w:t>24</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220" w:type="dxa"/>
            <w:vAlign w:val="bottom"/>
            <w:gridSpan w:val="15"/>
          </w:tcPr>
          <w:p>
            <w:pPr>
              <w:spacing w:after="0" w:line="135" w:lineRule="exact"/>
              <w:rPr>
                <w:sz w:val="20"/>
                <w:szCs w:val="20"/>
                <w:color w:val="auto"/>
              </w:rPr>
            </w:pPr>
            <w:r>
              <w:rPr>
                <w:rFonts w:ascii="Arial" w:cs="Arial" w:eastAsia="Arial" w:hAnsi="Arial"/>
                <w:sz w:val="13"/>
                <w:szCs w:val="13"/>
                <w:b w:val="1"/>
                <w:bCs w:val="1"/>
                <w:color w:val="0000EE"/>
              </w:rPr>
              <w:t>EXECUTIVE COMPENSATION</w:t>
            </w:r>
          </w:p>
        </w:tc>
        <w:tc>
          <w:tcPr>
            <w:tcW w:w="16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0000EE"/>
                <w:w w:val="82"/>
              </w:rPr>
              <w:t>26</w:t>
            </w: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48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320" w:type="dxa"/>
            <w:vAlign w:val="bottom"/>
            <w:gridSpan w:val="16"/>
          </w:tcPr>
          <w:p>
            <w:pPr>
              <w:spacing w:after="0" w:line="116" w:lineRule="exact"/>
              <w:rPr>
                <w:sz w:val="20"/>
                <w:szCs w:val="20"/>
                <w:color w:val="auto"/>
              </w:rPr>
            </w:pPr>
            <w:r>
              <w:rPr>
                <w:rFonts w:ascii="Arial" w:cs="Arial" w:eastAsia="Arial" w:hAnsi="Arial"/>
                <w:sz w:val="13"/>
                <w:szCs w:val="13"/>
                <w:b w:val="1"/>
                <w:bCs w:val="1"/>
                <w:color w:val="0000EE"/>
              </w:rPr>
              <w:t>Compensation Discussion and Analysis</w:t>
            </w:r>
          </w:p>
        </w:tc>
        <w:tc>
          <w:tcPr>
            <w:tcW w:w="160" w:type="dxa"/>
            <w:vAlign w:val="bottom"/>
            <w:gridSpan w:val="3"/>
          </w:tcPr>
          <w:p>
            <w:pPr>
              <w:jc w:val="right"/>
              <w:ind w:right="20"/>
              <w:spacing w:after="0" w:line="116" w:lineRule="exact"/>
              <w:rPr>
                <w:sz w:val="20"/>
                <w:szCs w:val="20"/>
                <w:color w:val="auto"/>
              </w:rPr>
            </w:pPr>
            <w:r>
              <w:rPr>
                <w:rFonts w:ascii="Arial" w:cs="Arial" w:eastAsia="Arial" w:hAnsi="Arial"/>
                <w:sz w:val="13"/>
                <w:szCs w:val="13"/>
                <w:b w:val="1"/>
                <w:bCs w:val="1"/>
                <w:color w:val="0000EE"/>
                <w:w w:val="82"/>
              </w:rPr>
              <w:t>26</w:t>
            </w: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4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Borders>
              <w:bottom w:val="single" w:sz="8" w:color="5D6673"/>
            </w:tcBorders>
          </w:tcPr>
          <w:p>
            <w:pPr>
              <w:spacing w:after="0"/>
              <w:rPr>
                <w:sz w:val="10"/>
                <w:szCs w:val="10"/>
                <w:color w:val="auto"/>
              </w:rPr>
            </w:pPr>
          </w:p>
        </w:tc>
        <w:tc>
          <w:tcPr>
            <w:tcW w:w="80" w:type="dxa"/>
            <w:vAlign w:val="bottom"/>
            <w:tcBorders>
              <w:bottom w:val="single" w:sz="8" w:color="5D6673"/>
            </w:tcBorders>
          </w:tcPr>
          <w:p>
            <w:pPr>
              <w:spacing w:after="0"/>
              <w:rPr>
                <w:sz w:val="10"/>
                <w:szCs w:val="10"/>
                <w:color w:val="auto"/>
              </w:rPr>
            </w:pPr>
          </w:p>
        </w:tc>
        <w:tc>
          <w:tcPr>
            <w:tcW w:w="4140" w:type="dxa"/>
            <w:vAlign w:val="bottom"/>
            <w:tcBorders>
              <w:bottom w:val="single" w:sz="8" w:color="5D6673"/>
            </w:tcBorders>
            <w:gridSpan w:val="14"/>
          </w:tcPr>
          <w:p>
            <w:pPr>
              <w:spacing w:after="0" w:line="116" w:lineRule="exact"/>
              <w:rPr>
                <w:sz w:val="20"/>
                <w:szCs w:val="20"/>
                <w:color w:val="auto"/>
              </w:rPr>
            </w:pPr>
            <w:r>
              <w:rPr>
                <w:rFonts w:ascii="Arial" w:cs="Arial" w:eastAsia="Arial" w:hAnsi="Arial"/>
                <w:sz w:val="13"/>
                <w:szCs w:val="13"/>
                <w:color w:val="0000EE"/>
              </w:rPr>
              <w:t>Executive Summary</w:t>
            </w:r>
          </w:p>
        </w:tc>
        <w:tc>
          <w:tcPr>
            <w:tcW w:w="160" w:type="dxa"/>
            <w:vAlign w:val="bottom"/>
            <w:tcBorders>
              <w:bottom w:val="single" w:sz="8" w:color="5D6673"/>
            </w:tcBorders>
            <w:gridSpan w:val="3"/>
          </w:tcPr>
          <w:p>
            <w:pPr>
              <w:jc w:val="right"/>
              <w:ind w:right="20"/>
              <w:spacing w:after="0" w:line="116" w:lineRule="exact"/>
              <w:rPr>
                <w:sz w:val="20"/>
                <w:szCs w:val="20"/>
                <w:color w:val="auto"/>
              </w:rPr>
            </w:pPr>
            <w:r>
              <w:rPr>
                <w:rFonts w:ascii="Arial" w:cs="Arial" w:eastAsia="Arial" w:hAnsi="Arial"/>
                <w:sz w:val="13"/>
                <w:szCs w:val="13"/>
                <w:color w:val="0000EE"/>
                <w:w w:val="82"/>
              </w:rPr>
              <w:t>26</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Business Performance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26</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Compensation Highlights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Best Compensation Practices &amp; Policies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2024 Say-on-Pay &amp; Shareholder Engagement</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27</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What Guides Our Program</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28</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Our Compensation Philosophy &amp; Objectives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28</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960" w:type="dxa"/>
            <w:vAlign w:val="bottom"/>
            <w:gridSpan w:val="13"/>
          </w:tcPr>
          <w:p>
            <w:pPr>
              <w:spacing w:after="0" w:line="135" w:lineRule="exact"/>
              <w:rPr>
                <w:sz w:val="20"/>
                <w:szCs w:val="20"/>
                <w:color w:val="auto"/>
              </w:rPr>
            </w:pPr>
            <w:r>
              <w:rPr>
                <w:rFonts w:ascii="Arial" w:cs="Arial" w:eastAsia="Arial" w:hAnsi="Arial"/>
                <w:sz w:val="13"/>
                <w:szCs w:val="13"/>
                <w:color w:val="0000EE"/>
              </w:rPr>
              <w:t>The Principal Elements of Pay: Total Direct</w:t>
            </w: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0000EE"/>
                <w:w w:val="82"/>
              </w:rPr>
              <w:t>29</w:t>
            </w:r>
          </w:p>
        </w:tc>
        <w:tc>
          <w:tcPr>
            <w:tcW w:w="0" w:type="dxa"/>
            <w:vAlign w:val="bottom"/>
          </w:tcPr>
          <w:p>
            <w:pPr>
              <w:spacing w:after="0"/>
              <w:rPr>
                <w:sz w:val="1"/>
                <w:szCs w:val="1"/>
                <w:color w:val="auto"/>
              </w:rPr>
            </w:pPr>
          </w:p>
        </w:tc>
      </w:tr>
      <w:tr>
        <w:trPr>
          <w:trHeight w:val="135"/>
        </w:trPr>
        <w:tc>
          <w:tcPr>
            <w:tcW w:w="100" w:type="dxa"/>
            <w:vAlign w:val="bottom"/>
            <w:tcBorders>
              <w:bottom w:val="single" w:sz="8" w:color="5D6673"/>
            </w:tcBorders>
          </w:tcPr>
          <w:p>
            <w:pPr>
              <w:spacing w:after="0"/>
              <w:rPr>
                <w:sz w:val="11"/>
                <w:szCs w:val="11"/>
                <w:color w:val="auto"/>
              </w:rPr>
            </w:pPr>
          </w:p>
        </w:tc>
        <w:tc>
          <w:tcPr>
            <w:tcW w:w="80" w:type="dxa"/>
            <w:vAlign w:val="bottom"/>
            <w:tcBorders>
              <w:bottom w:val="single" w:sz="8" w:color="5D6673"/>
            </w:tcBorders>
          </w:tcPr>
          <w:p>
            <w:pPr>
              <w:spacing w:after="0"/>
              <w:rPr>
                <w:sz w:val="11"/>
                <w:szCs w:val="11"/>
                <w:color w:val="auto"/>
              </w:rPr>
            </w:pPr>
          </w:p>
        </w:tc>
        <w:tc>
          <w:tcPr>
            <w:tcW w:w="180" w:type="dxa"/>
            <w:vAlign w:val="bottom"/>
            <w:tcBorders>
              <w:bottom w:val="single" w:sz="8" w:color="5D6673"/>
            </w:tcBorders>
          </w:tcPr>
          <w:p>
            <w:pPr>
              <w:spacing w:after="0"/>
              <w:rPr>
                <w:sz w:val="11"/>
                <w:szCs w:val="11"/>
                <w:color w:val="auto"/>
              </w:rPr>
            </w:pPr>
          </w:p>
        </w:tc>
        <w:tc>
          <w:tcPr>
            <w:tcW w:w="2480" w:type="dxa"/>
            <w:vAlign w:val="bottom"/>
            <w:tcBorders>
              <w:top w:val="single" w:sz="8" w:color="0000EE"/>
              <w:bottom w:val="single" w:sz="8" w:color="5D6673"/>
            </w:tcBorders>
            <w:gridSpan w:val="9"/>
          </w:tcPr>
          <w:p>
            <w:pPr>
              <w:spacing w:after="0" w:line="129" w:lineRule="exact"/>
              <w:rPr>
                <w:sz w:val="20"/>
                <w:szCs w:val="20"/>
                <w:color w:val="auto"/>
              </w:rPr>
            </w:pPr>
            <w:r>
              <w:rPr>
                <w:rFonts w:ascii="Arial" w:cs="Arial" w:eastAsia="Arial" w:hAnsi="Arial"/>
                <w:sz w:val="13"/>
                <w:szCs w:val="13"/>
                <w:color w:val="0000EE"/>
              </w:rPr>
              <w:t>Compensation (TDC)</w:t>
            </w:r>
          </w:p>
        </w:tc>
        <w:tc>
          <w:tcPr>
            <w:tcW w:w="60" w:type="dxa"/>
            <w:vAlign w:val="bottom"/>
            <w:tcBorders>
              <w:bottom w:val="single" w:sz="8" w:color="5D6673"/>
            </w:tcBorders>
          </w:tcPr>
          <w:p>
            <w:pPr>
              <w:spacing w:after="0"/>
              <w:rPr>
                <w:sz w:val="11"/>
                <w:szCs w:val="11"/>
                <w:color w:val="auto"/>
              </w:rPr>
            </w:pPr>
          </w:p>
        </w:tc>
        <w:tc>
          <w:tcPr>
            <w:tcW w:w="80" w:type="dxa"/>
            <w:vAlign w:val="bottom"/>
            <w:tcBorders>
              <w:bottom w:val="single" w:sz="8" w:color="5D6673"/>
            </w:tcBorders>
            <w:gridSpan w:val="2"/>
          </w:tcPr>
          <w:p>
            <w:pPr>
              <w:spacing w:after="0"/>
              <w:rPr>
                <w:sz w:val="11"/>
                <w:szCs w:val="11"/>
                <w:color w:val="auto"/>
              </w:rPr>
            </w:pPr>
          </w:p>
        </w:tc>
        <w:tc>
          <w:tcPr>
            <w:tcW w:w="1340" w:type="dxa"/>
            <w:vAlign w:val="bottom"/>
            <w:tcBorders>
              <w:bottom w:val="single" w:sz="8" w:color="5D6673"/>
            </w:tcBorders>
          </w:tcPr>
          <w:p>
            <w:pPr>
              <w:spacing w:after="0"/>
              <w:rPr>
                <w:sz w:val="11"/>
                <w:szCs w:val="11"/>
                <w:color w:val="auto"/>
              </w:rPr>
            </w:pPr>
          </w:p>
        </w:tc>
        <w:tc>
          <w:tcPr>
            <w:tcW w:w="160" w:type="dxa"/>
            <w:vAlign w:val="bottom"/>
            <w:tcBorders>
              <w:bottom w:val="single" w:sz="8" w:color="5D6673"/>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Linking Pay and Performance</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Our Decision-Making Process</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The 2024 Executive Compensation Program in Detail</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32</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Base Salary</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32</w:t>
            </w:r>
          </w:p>
        </w:tc>
        <w:tc>
          <w:tcPr>
            <w:tcW w:w="0" w:type="dxa"/>
            <w:vAlign w:val="bottom"/>
          </w:tcPr>
          <w:p>
            <w:pPr>
              <w:spacing w:after="0"/>
              <w:rPr>
                <w:sz w:val="1"/>
                <w:szCs w:val="1"/>
                <w:color w:val="auto"/>
              </w:rPr>
            </w:pPr>
          </w:p>
        </w:tc>
      </w:tr>
      <w:tr>
        <w:trPr>
          <w:trHeight w:val="142"/>
        </w:trPr>
        <w:tc>
          <w:tcPr>
            <w:tcW w:w="100" w:type="dxa"/>
            <w:vAlign w:val="bottom"/>
            <w:tcBorders>
              <w:bottom w:val="single" w:sz="8" w:color="5D6673"/>
            </w:tcBorders>
          </w:tcPr>
          <w:p>
            <w:pPr>
              <w:spacing w:after="0"/>
              <w:rPr>
                <w:sz w:val="12"/>
                <w:szCs w:val="12"/>
                <w:color w:val="auto"/>
              </w:rPr>
            </w:pPr>
          </w:p>
        </w:tc>
        <w:tc>
          <w:tcPr>
            <w:tcW w:w="80" w:type="dxa"/>
            <w:vAlign w:val="bottom"/>
            <w:tcBorders>
              <w:bottom w:val="single" w:sz="8" w:color="5D6673"/>
            </w:tcBorders>
          </w:tcPr>
          <w:p>
            <w:pPr>
              <w:spacing w:after="0"/>
              <w:rPr>
                <w:sz w:val="12"/>
                <w:szCs w:val="12"/>
                <w:color w:val="auto"/>
              </w:rPr>
            </w:pPr>
          </w:p>
        </w:tc>
        <w:tc>
          <w:tcPr>
            <w:tcW w:w="180" w:type="dxa"/>
            <w:vAlign w:val="bottom"/>
            <w:tcBorders>
              <w:bottom w:val="single" w:sz="8" w:color="5D6673"/>
            </w:tcBorders>
          </w:tcPr>
          <w:p>
            <w:pPr>
              <w:spacing w:after="0"/>
              <w:rPr>
                <w:sz w:val="12"/>
                <w:szCs w:val="12"/>
                <w:color w:val="auto"/>
              </w:rPr>
            </w:pPr>
          </w:p>
        </w:tc>
        <w:tc>
          <w:tcPr>
            <w:tcW w:w="3960" w:type="dxa"/>
            <w:vAlign w:val="bottom"/>
            <w:tcBorders>
              <w:bottom w:val="single" w:sz="8" w:color="5D6673"/>
            </w:tcBorders>
            <w:gridSpan w:val="13"/>
          </w:tcPr>
          <w:p>
            <w:pPr>
              <w:spacing w:after="0" w:line="135" w:lineRule="exact"/>
              <w:rPr>
                <w:sz w:val="20"/>
                <w:szCs w:val="20"/>
                <w:color w:val="auto"/>
              </w:rPr>
            </w:pPr>
            <w:r>
              <w:rPr>
                <w:rFonts w:ascii="Arial" w:cs="Arial" w:eastAsia="Arial" w:hAnsi="Arial"/>
                <w:sz w:val="13"/>
                <w:szCs w:val="13"/>
                <w:color w:val="0000EE"/>
              </w:rPr>
              <w:t>Annual Cash Incentives: The Itron Incentive Plan (IIP)</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32</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960" w:type="dxa"/>
            <w:vAlign w:val="bottom"/>
            <w:gridSpan w:val="13"/>
          </w:tcPr>
          <w:p>
            <w:pPr>
              <w:spacing w:after="0" w:line="135" w:lineRule="exact"/>
              <w:rPr>
                <w:sz w:val="20"/>
                <w:szCs w:val="20"/>
                <w:color w:val="auto"/>
              </w:rPr>
            </w:pPr>
            <w:r>
              <w:rPr>
                <w:rFonts w:ascii="Arial" w:cs="Arial" w:eastAsia="Arial" w:hAnsi="Arial"/>
                <w:sz w:val="13"/>
                <w:szCs w:val="13"/>
                <w:color w:val="0000EE"/>
              </w:rPr>
              <w:t>Long-Term Equity Incentive: The Long-Term</w:t>
            </w: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0000EE"/>
                <w:w w:val="82"/>
              </w:rPr>
              <w:t>34</w:t>
            </w:r>
          </w:p>
        </w:tc>
        <w:tc>
          <w:tcPr>
            <w:tcW w:w="0" w:type="dxa"/>
            <w:vAlign w:val="bottom"/>
          </w:tcPr>
          <w:p>
            <w:pPr>
              <w:spacing w:after="0"/>
              <w:rPr>
                <w:sz w:val="1"/>
                <w:szCs w:val="1"/>
                <w:color w:val="auto"/>
              </w:rPr>
            </w:pPr>
          </w:p>
        </w:tc>
      </w:tr>
      <w:tr>
        <w:trPr>
          <w:trHeight w:val="135"/>
        </w:trPr>
        <w:tc>
          <w:tcPr>
            <w:tcW w:w="100" w:type="dxa"/>
            <w:vAlign w:val="bottom"/>
            <w:tcBorders>
              <w:bottom w:val="single" w:sz="8" w:color="5D6673"/>
            </w:tcBorders>
          </w:tcPr>
          <w:p>
            <w:pPr>
              <w:spacing w:after="0"/>
              <w:rPr>
                <w:sz w:val="11"/>
                <w:szCs w:val="11"/>
                <w:color w:val="auto"/>
              </w:rPr>
            </w:pPr>
          </w:p>
        </w:tc>
        <w:tc>
          <w:tcPr>
            <w:tcW w:w="80" w:type="dxa"/>
            <w:vAlign w:val="bottom"/>
            <w:tcBorders>
              <w:bottom w:val="single" w:sz="8" w:color="5D6673"/>
            </w:tcBorders>
          </w:tcPr>
          <w:p>
            <w:pPr>
              <w:spacing w:after="0"/>
              <w:rPr>
                <w:sz w:val="11"/>
                <w:szCs w:val="11"/>
                <w:color w:val="auto"/>
              </w:rPr>
            </w:pPr>
          </w:p>
        </w:tc>
        <w:tc>
          <w:tcPr>
            <w:tcW w:w="180" w:type="dxa"/>
            <w:vAlign w:val="bottom"/>
            <w:tcBorders>
              <w:bottom w:val="single" w:sz="8" w:color="5D6673"/>
            </w:tcBorders>
          </w:tcPr>
          <w:p>
            <w:pPr>
              <w:spacing w:after="0"/>
              <w:rPr>
                <w:sz w:val="11"/>
                <w:szCs w:val="11"/>
                <w:color w:val="auto"/>
              </w:rPr>
            </w:pPr>
          </w:p>
        </w:tc>
        <w:tc>
          <w:tcPr>
            <w:tcW w:w="2540" w:type="dxa"/>
            <w:vAlign w:val="bottom"/>
            <w:tcBorders>
              <w:top w:val="single" w:sz="8" w:color="0000EE"/>
              <w:bottom w:val="single" w:sz="8" w:color="5D6673"/>
            </w:tcBorders>
            <w:gridSpan w:val="10"/>
          </w:tcPr>
          <w:p>
            <w:pPr>
              <w:spacing w:after="0" w:line="129" w:lineRule="exact"/>
              <w:rPr>
                <w:sz w:val="20"/>
                <w:szCs w:val="20"/>
                <w:color w:val="auto"/>
              </w:rPr>
            </w:pPr>
            <w:r>
              <w:rPr>
                <w:rFonts w:ascii="Arial" w:cs="Arial" w:eastAsia="Arial" w:hAnsi="Arial"/>
                <w:sz w:val="13"/>
                <w:szCs w:val="13"/>
                <w:color w:val="0000EE"/>
              </w:rPr>
              <w:t>Incentive Plan (LTIP)</w:t>
            </w:r>
          </w:p>
        </w:tc>
        <w:tc>
          <w:tcPr>
            <w:tcW w:w="1420" w:type="dxa"/>
            <w:vAlign w:val="bottom"/>
            <w:tcBorders>
              <w:bottom w:val="single" w:sz="8" w:color="5D6673"/>
            </w:tcBorders>
            <w:gridSpan w:val="3"/>
          </w:tcPr>
          <w:p>
            <w:pPr>
              <w:spacing w:after="0"/>
              <w:rPr>
                <w:sz w:val="11"/>
                <w:szCs w:val="11"/>
                <w:color w:val="auto"/>
              </w:rPr>
            </w:pPr>
          </w:p>
        </w:tc>
        <w:tc>
          <w:tcPr>
            <w:tcW w:w="160" w:type="dxa"/>
            <w:vAlign w:val="bottom"/>
            <w:tcBorders>
              <w:bottom w:val="single" w:sz="8" w:color="5D6673"/>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gridSpan w:val="16"/>
          </w:tcPr>
          <w:p>
            <w:pPr>
              <w:spacing w:after="0" w:line="135" w:lineRule="exact"/>
              <w:rPr>
                <w:sz w:val="20"/>
                <w:szCs w:val="20"/>
                <w:color w:val="auto"/>
              </w:rPr>
            </w:pPr>
            <w:r>
              <w:rPr>
                <w:rFonts w:ascii="Arial" w:cs="Arial" w:eastAsia="Arial" w:hAnsi="Arial"/>
                <w:sz w:val="13"/>
                <w:szCs w:val="13"/>
                <w:b w:val="1"/>
                <w:bCs w:val="1"/>
                <w:color w:val="0000EE"/>
              </w:rPr>
              <w:t>Other Practices, Policies and Guidelines</w:t>
            </w:r>
          </w:p>
        </w:tc>
        <w:tc>
          <w:tcPr>
            <w:tcW w:w="16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0000EE"/>
                <w:w w:val="82"/>
              </w:rPr>
              <w:t>37</w:t>
            </w:r>
          </w:p>
        </w:tc>
        <w:tc>
          <w:tcPr>
            <w:tcW w:w="0" w:type="dxa"/>
            <w:vAlign w:val="bottom"/>
          </w:tcPr>
          <w:p>
            <w:pPr>
              <w:spacing w:after="0"/>
              <w:rPr>
                <w:sz w:val="1"/>
                <w:szCs w:val="1"/>
                <w:color w:val="auto"/>
              </w:rPr>
            </w:pPr>
          </w:p>
        </w:tc>
      </w:tr>
      <w:tr>
        <w:trPr>
          <w:trHeight w:val="20"/>
        </w:trPr>
        <w:tc>
          <w:tcPr>
            <w:tcW w:w="10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100" w:type="dxa"/>
            <w:vAlign w:val="bottom"/>
            <w:tcBorders>
              <w:top w:val="single" w:sz="8" w:color="0000EE"/>
              <w:bottom w:val="single" w:sz="8" w:color="0063A6"/>
            </w:tcBorders>
          </w:tcPr>
          <w:p>
            <w:pPr>
              <w:spacing w:after="0" w:line="20" w:lineRule="exact"/>
              <w:rPr>
                <w:sz w:val="1"/>
                <w:szCs w:val="1"/>
                <w:color w:val="auto"/>
              </w:rPr>
            </w:pPr>
          </w:p>
        </w:tc>
        <w:tc>
          <w:tcPr>
            <w:tcW w:w="52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4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340" w:type="dxa"/>
            <w:vAlign w:val="bottom"/>
            <w:tcBorders>
              <w:bottom w:val="single" w:sz="8" w:color="0063A6"/>
            </w:tcBorders>
          </w:tcPr>
          <w:p>
            <w:pPr>
              <w:spacing w:after="0" w:line="20" w:lineRule="exact"/>
              <w:rPr>
                <w:sz w:val="1"/>
                <w:szCs w:val="1"/>
                <w:color w:val="auto"/>
              </w:rPr>
            </w:pPr>
          </w:p>
        </w:tc>
        <w:tc>
          <w:tcPr>
            <w:tcW w:w="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Borders>
              <w:bottom w:val="single" w:sz="8" w:color="5D6673"/>
            </w:tcBorders>
          </w:tcPr>
          <w:p>
            <w:pPr>
              <w:spacing w:after="0"/>
              <w:rPr>
                <w:sz w:val="10"/>
                <w:szCs w:val="10"/>
                <w:color w:val="auto"/>
              </w:rPr>
            </w:pPr>
          </w:p>
        </w:tc>
        <w:tc>
          <w:tcPr>
            <w:tcW w:w="80" w:type="dxa"/>
            <w:vAlign w:val="bottom"/>
            <w:tcBorders>
              <w:bottom w:val="single" w:sz="8" w:color="5D6673"/>
            </w:tcBorders>
          </w:tcPr>
          <w:p>
            <w:pPr>
              <w:spacing w:after="0"/>
              <w:rPr>
                <w:sz w:val="10"/>
                <w:szCs w:val="10"/>
                <w:color w:val="auto"/>
              </w:rPr>
            </w:pPr>
          </w:p>
        </w:tc>
        <w:tc>
          <w:tcPr>
            <w:tcW w:w="4140" w:type="dxa"/>
            <w:vAlign w:val="bottom"/>
            <w:tcBorders>
              <w:bottom w:val="single" w:sz="8" w:color="5D6673"/>
            </w:tcBorders>
            <w:gridSpan w:val="14"/>
          </w:tcPr>
          <w:p>
            <w:pPr>
              <w:spacing w:after="0" w:line="116" w:lineRule="exact"/>
              <w:rPr>
                <w:sz w:val="20"/>
                <w:szCs w:val="20"/>
                <w:color w:val="auto"/>
              </w:rPr>
            </w:pPr>
            <w:r>
              <w:rPr>
                <w:rFonts w:ascii="Arial" w:cs="Arial" w:eastAsia="Arial" w:hAnsi="Arial"/>
                <w:sz w:val="13"/>
                <w:szCs w:val="13"/>
                <w:color w:val="0000EE"/>
              </w:rPr>
              <w:t>Stock Ownership Guidelines</w:t>
            </w:r>
          </w:p>
        </w:tc>
        <w:tc>
          <w:tcPr>
            <w:tcW w:w="160" w:type="dxa"/>
            <w:vAlign w:val="bottom"/>
            <w:tcBorders>
              <w:bottom w:val="single" w:sz="8" w:color="5D6673"/>
            </w:tcBorders>
            <w:gridSpan w:val="3"/>
          </w:tcPr>
          <w:p>
            <w:pPr>
              <w:jc w:val="right"/>
              <w:ind w:right="20"/>
              <w:spacing w:after="0" w:line="116" w:lineRule="exact"/>
              <w:rPr>
                <w:sz w:val="20"/>
                <w:szCs w:val="20"/>
                <w:color w:val="auto"/>
              </w:rPr>
            </w:pPr>
            <w:r>
              <w:rPr>
                <w:rFonts w:ascii="Arial" w:cs="Arial" w:eastAsia="Arial" w:hAnsi="Arial"/>
                <w:sz w:val="13"/>
                <w:szCs w:val="13"/>
                <w:color w:val="0000EE"/>
                <w:w w:val="82"/>
              </w:rPr>
              <w:t>37</w:t>
            </w:r>
          </w:p>
        </w:tc>
        <w:tc>
          <w:tcPr>
            <w:tcW w:w="0" w:type="dxa"/>
            <w:vAlign w:val="bottom"/>
          </w:tcPr>
          <w:p>
            <w:pPr>
              <w:spacing w:after="0"/>
              <w:rPr>
                <w:sz w:val="1"/>
                <w:szCs w:val="1"/>
                <w:color w:val="auto"/>
              </w:rPr>
            </w:pPr>
          </w:p>
        </w:tc>
      </w:tr>
      <w:tr>
        <w:trPr>
          <w:trHeight w:val="156"/>
        </w:trPr>
        <w:tc>
          <w:tcPr>
            <w:tcW w:w="100" w:type="dxa"/>
            <w:vAlign w:val="bottom"/>
            <w:tcBorders>
              <w:bottom w:val="single" w:sz="8" w:color="5D6673"/>
            </w:tcBorders>
          </w:tcPr>
          <w:p>
            <w:pPr>
              <w:spacing w:after="0"/>
              <w:rPr>
                <w:sz w:val="13"/>
                <w:szCs w:val="13"/>
                <w:color w:val="auto"/>
              </w:rPr>
            </w:pPr>
          </w:p>
        </w:tc>
        <w:tc>
          <w:tcPr>
            <w:tcW w:w="80" w:type="dxa"/>
            <w:vAlign w:val="bottom"/>
            <w:tcBorders>
              <w:bottom w:val="single" w:sz="8" w:color="5D6673"/>
            </w:tcBorders>
          </w:tcPr>
          <w:p>
            <w:pPr>
              <w:spacing w:after="0"/>
              <w:rPr>
                <w:sz w:val="13"/>
                <w:szCs w:val="13"/>
                <w:color w:val="auto"/>
              </w:rPr>
            </w:pPr>
          </w:p>
        </w:tc>
        <w:tc>
          <w:tcPr>
            <w:tcW w:w="4140" w:type="dxa"/>
            <w:vAlign w:val="bottom"/>
            <w:tcBorders>
              <w:bottom w:val="single" w:sz="8" w:color="5D6673"/>
            </w:tcBorders>
            <w:gridSpan w:val="14"/>
          </w:tcPr>
          <w:p>
            <w:pPr>
              <w:spacing w:after="0" w:line="135" w:lineRule="exact"/>
              <w:rPr>
                <w:sz w:val="20"/>
                <w:szCs w:val="20"/>
                <w:color w:val="auto"/>
              </w:rPr>
            </w:pPr>
            <w:r>
              <w:rPr>
                <w:rFonts w:ascii="Arial" w:cs="Arial" w:eastAsia="Arial" w:hAnsi="Arial"/>
                <w:sz w:val="13"/>
                <w:szCs w:val="13"/>
                <w:color w:val="0000EE"/>
              </w:rPr>
              <w:t>Anti-Hedging Policy</w:t>
            </w:r>
          </w:p>
        </w:tc>
        <w:tc>
          <w:tcPr>
            <w:tcW w:w="160" w:type="dxa"/>
            <w:vAlign w:val="bottom"/>
            <w:tcBorders>
              <w:bottom w:val="single" w:sz="8" w:color="5D6673"/>
            </w:tcBorders>
            <w:gridSpan w:val="3"/>
          </w:tcPr>
          <w:p>
            <w:pPr>
              <w:jc w:val="right"/>
              <w:ind w:right="20"/>
              <w:spacing w:after="0" w:line="135" w:lineRule="exact"/>
              <w:rPr>
                <w:sz w:val="20"/>
                <w:szCs w:val="20"/>
                <w:color w:val="auto"/>
              </w:rPr>
            </w:pPr>
            <w:r>
              <w:rPr>
                <w:rFonts w:ascii="Arial" w:cs="Arial" w:eastAsia="Arial" w:hAnsi="Arial"/>
                <w:sz w:val="13"/>
                <w:szCs w:val="13"/>
                <w:color w:val="0000EE"/>
                <w:w w:val="82"/>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111125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-4722495</wp:posOffset>
            </wp:positionV>
            <wp:extent cx="16249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4965"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-4722495</wp:posOffset>
            </wp:positionV>
            <wp:extent cx="45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-2313940</wp:posOffset>
            </wp:positionV>
            <wp:extent cx="21475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757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-2219325</wp:posOffset>
            </wp:positionV>
            <wp:extent cx="1233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380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-2219325</wp:posOffset>
            </wp:positionV>
            <wp:extent cx="914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80" w:type="dxa"/>
            <w:vAlign w:val="bottom"/>
            <w:tcBorders>
              <w:bottom w:val="single" w:sz="8" w:color="5D6673"/>
            </w:tcBorders>
          </w:tcPr>
          <w:p>
            <w:pPr>
              <w:spacing w:after="0"/>
              <w:rPr>
                <w:sz w:val="13"/>
                <w:szCs w:val="13"/>
                <w:color w:val="auto"/>
              </w:rPr>
            </w:pPr>
          </w:p>
        </w:tc>
        <w:tc>
          <w:tcPr>
            <w:tcW w:w="4060" w:type="dxa"/>
            <w:vAlign w:val="bottom"/>
            <w:tcBorders>
              <w:bottom w:val="single" w:sz="8" w:color="5D6673"/>
            </w:tcBorders>
            <w:gridSpan w:val="22"/>
          </w:tcPr>
          <w:p>
            <w:pPr>
              <w:spacing w:after="0"/>
              <w:rPr>
                <w:sz w:val="20"/>
                <w:szCs w:val="20"/>
                <w:color w:val="auto"/>
              </w:rPr>
            </w:pPr>
            <w:r>
              <w:rPr>
                <w:rFonts w:ascii="Arial" w:cs="Arial" w:eastAsia="Arial" w:hAnsi="Arial"/>
                <w:sz w:val="13"/>
                <w:szCs w:val="13"/>
                <w:color w:val="0000EE"/>
              </w:rPr>
              <w:t>Change-in-Control Agreements</w:t>
            </w:r>
          </w:p>
        </w:tc>
        <w:tc>
          <w:tcPr>
            <w:tcW w:w="200" w:type="dxa"/>
            <w:vAlign w:val="bottom"/>
            <w:tcBorders>
              <w:bottom w:val="single" w:sz="8" w:color="5D6673"/>
            </w:tcBorders>
            <w:gridSpan w:val="3"/>
          </w:tcPr>
          <w:p>
            <w:pPr>
              <w:jc w:val="center"/>
              <w:spacing w:after="0"/>
              <w:rPr>
                <w:sz w:val="20"/>
                <w:szCs w:val="20"/>
                <w:color w:val="auto"/>
              </w:rPr>
            </w:pPr>
            <w:r>
              <w:rPr>
                <w:rFonts w:ascii="Arial" w:cs="Arial" w:eastAsia="Arial" w:hAnsi="Arial"/>
                <w:sz w:val="13"/>
                <w:szCs w:val="13"/>
                <w:color w:val="0000EE"/>
                <w:w w:val="96"/>
              </w:rPr>
              <w:t>37</w:t>
            </w:r>
          </w:p>
        </w:tc>
        <w:tc>
          <w:tcPr>
            <w:tcW w:w="20" w:type="dxa"/>
            <w:vAlign w:val="bottom"/>
            <w:tcBorders>
              <w:bottom w:val="single" w:sz="8" w:color="5D6673"/>
            </w:tcBorders>
          </w:tcPr>
          <w:p>
            <w:pPr>
              <w:spacing w:after="0"/>
              <w:rPr>
                <w:sz w:val="13"/>
                <w:szCs w:val="13"/>
                <w:color w:val="auto"/>
              </w:rPr>
            </w:pPr>
          </w:p>
        </w:tc>
        <w:tc>
          <w:tcPr>
            <w:tcW w:w="2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Employment Agreements; Severance Policy</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37</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Incentive Compensation Recovery (Clawback) Policy</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37</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Executive Deferred Compensation Plan</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38</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General Benefits and Perquisites</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38</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401(k) Plan and Employee Stock Purchase Plan</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38</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Impact of Tax and Accounting</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38</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3"/>
          </w:tcPr>
          <w:p>
            <w:pPr>
              <w:spacing w:after="0" w:line="135" w:lineRule="exact"/>
              <w:rPr>
                <w:sz w:val="20"/>
                <w:szCs w:val="20"/>
                <w:color w:val="auto"/>
              </w:rPr>
            </w:pPr>
            <w:r>
              <w:rPr>
                <w:rFonts w:ascii="Arial" w:cs="Arial" w:eastAsia="Arial" w:hAnsi="Arial"/>
                <w:sz w:val="13"/>
                <w:szCs w:val="13"/>
                <w:b w:val="1"/>
                <w:bCs w:val="1"/>
                <w:color w:val="0000EE"/>
              </w:rPr>
              <w:t>Compensation Committee Report</w:t>
            </w:r>
          </w:p>
        </w:tc>
        <w:tc>
          <w:tcPr>
            <w:tcW w:w="2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00EE"/>
                <w:w w:val="96"/>
              </w:rPr>
              <w:t>39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Executive Compensation Tables</w:t>
            </w:r>
          </w:p>
        </w:tc>
        <w:tc>
          <w:tcPr>
            <w:tcW w:w="200" w:type="dxa"/>
            <w:vAlign w:val="bottom"/>
            <w:gridSpan w:val="3"/>
          </w:tcPr>
          <w:p>
            <w:pPr>
              <w:jc w:val="center"/>
              <w:spacing w:after="0" w:line="116" w:lineRule="exact"/>
              <w:rPr>
                <w:sz w:val="20"/>
                <w:szCs w:val="20"/>
                <w:color w:val="auto"/>
              </w:rPr>
            </w:pPr>
            <w:r>
              <w:rPr>
                <w:rFonts w:ascii="Arial" w:cs="Arial" w:eastAsia="Arial" w:hAnsi="Arial"/>
                <w:sz w:val="13"/>
                <w:szCs w:val="13"/>
                <w:b w:val="1"/>
                <w:bCs w:val="1"/>
                <w:color w:val="0000EE"/>
                <w:w w:val="96"/>
              </w:rPr>
              <w:t>40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 w:type="dxa"/>
            <w:vAlign w:val="bottom"/>
            <w:tcBorders>
              <w:bottom w:val="single" w:sz="8" w:color="5D6673"/>
            </w:tcBorders>
          </w:tcPr>
          <w:p>
            <w:pPr>
              <w:spacing w:after="0"/>
              <w:rPr>
                <w:sz w:val="10"/>
                <w:szCs w:val="10"/>
                <w:color w:val="auto"/>
              </w:rPr>
            </w:pPr>
          </w:p>
        </w:tc>
        <w:tc>
          <w:tcPr>
            <w:tcW w:w="4060" w:type="dxa"/>
            <w:vAlign w:val="bottom"/>
            <w:tcBorders>
              <w:bottom w:val="single" w:sz="8" w:color="5D6673"/>
            </w:tcBorders>
            <w:gridSpan w:val="22"/>
          </w:tcPr>
          <w:p>
            <w:pPr>
              <w:spacing w:after="0" w:line="116" w:lineRule="exact"/>
              <w:rPr>
                <w:sz w:val="20"/>
                <w:szCs w:val="20"/>
                <w:color w:val="auto"/>
              </w:rPr>
            </w:pPr>
            <w:r>
              <w:rPr>
                <w:rFonts w:ascii="Arial" w:cs="Arial" w:eastAsia="Arial" w:hAnsi="Arial"/>
                <w:sz w:val="13"/>
                <w:szCs w:val="13"/>
                <w:color w:val="0000EE"/>
              </w:rPr>
              <w:t>Summary Compensation Table</w:t>
            </w:r>
          </w:p>
        </w:tc>
        <w:tc>
          <w:tcPr>
            <w:tcW w:w="200" w:type="dxa"/>
            <w:vAlign w:val="bottom"/>
            <w:tcBorders>
              <w:bottom w:val="single" w:sz="8" w:color="5D6673"/>
            </w:tcBorders>
            <w:gridSpan w:val="3"/>
          </w:tcPr>
          <w:p>
            <w:pPr>
              <w:jc w:val="center"/>
              <w:spacing w:after="0" w:line="116" w:lineRule="exact"/>
              <w:rPr>
                <w:sz w:val="20"/>
                <w:szCs w:val="20"/>
                <w:color w:val="auto"/>
              </w:rPr>
            </w:pPr>
            <w:r>
              <w:rPr>
                <w:rFonts w:ascii="Arial" w:cs="Arial" w:eastAsia="Arial" w:hAnsi="Arial"/>
                <w:sz w:val="13"/>
                <w:szCs w:val="13"/>
                <w:color w:val="0000EE"/>
                <w:w w:val="96"/>
              </w:rPr>
              <w:t>40</w:t>
            </w:r>
          </w:p>
        </w:tc>
        <w:tc>
          <w:tcPr>
            <w:tcW w:w="20" w:type="dxa"/>
            <w:vAlign w:val="bottom"/>
            <w:tcBorders>
              <w:bottom w:val="single" w:sz="8" w:color="5D6673"/>
            </w:tcBorders>
          </w:tcPr>
          <w:p>
            <w:pPr>
              <w:spacing w:after="0"/>
              <w:rPr>
                <w:sz w:val="10"/>
                <w:szCs w:val="10"/>
                <w:color w:val="auto"/>
              </w:rPr>
            </w:pPr>
          </w:p>
        </w:tc>
        <w:tc>
          <w:tcPr>
            <w:tcW w:w="20" w:type="dxa"/>
            <w:vAlign w:val="bottom"/>
            <w:tcBorders>
              <w:bottom w:val="single" w:sz="8" w:color="5D6673"/>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2024 Grants of Plan-Based Awards Table</w:t>
            </w:r>
          </w:p>
        </w:tc>
        <w:tc>
          <w:tcPr>
            <w:tcW w:w="200" w:type="dxa"/>
            <w:vAlign w:val="bottom"/>
            <w:tcBorders>
              <w:bottom w:val="single" w:sz="8" w:color="5D6673"/>
            </w:tcBorders>
            <w:gridSpan w:val="3"/>
          </w:tcPr>
          <w:p>
            <w:pPr>
              <w:jc w:val="center"/>
              <w:spacing w:after="0" w:line="135" w:lineRule="exact"/>
              <w:rPr>
                <w:sz w:val="20"/>
                <w:szCs w:val="20"/>
                <w:color w:val="auto"/>
              </w:rPr>
            </w:pPr>
            <w:r>
              <w:rPr>
                <w:rFonts w:ascii="Arial" w:cs="Arial" w:eastAsia="Arial" w:hAnsi="Arial"/>
                <w:sz w:val="13"/>
                <w:szCs w:val="13"/>
                <w:color w:val="0000EE"/>
                <w:w w:val="96"/>
              </w:rPr>
              <w:t>41</w:t>
            </w:r>
          </w:p>
        </w:tc>
        <w:tc>
          <w:tcPr>
            <w:tcW w:w="20" w:type="dxa"/>
            <w:vAlign w:val="bottom"/>
            <w:tcBorders>
              <w:bottom w:val="single" w:sz="8" w:color="5D6673"/>
            </w:tcBorders>
          </w:tcPr>
          <w:p>
            <w:pPr>
              <w:spacing w:after="0"/>
              <w:rPr>
                <w:sz w:val="12"/>
                <w:szCs w:val="12"/>
                <w:color w:val="auto"/>
              </w:rPr>
            </w:pP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2"/>
          </w:tcPr>
          <w:p>
            <w:pPr>
              <w:spacing w:after="0" w:line="135" w:lineRule="exact"/>
              <w:rPr>
                <w:sz w:val="20"/>
                <w:szCs w:val="20"/>
                <w:color w:val="auto"/>
              </w:rPr>
            </w:pPr>
            <w:r>
              <w:rPr>
                <w:rFonts w:ascii="Arial" w:cs="Arial" w:eastAsia="Arial" w:hAnsi="Arial"/>
                <w:sz w:val="13"/>
                <w:szCs w:val="13"/>
                <w:color w:val="0000EE"/>
              </w:rPr>
              <w:t>2024 Outstanding Equity Awards at Fiscal Year-End</w:t>
            </w:r>
          </w:p>
        </w:tc>
        <w:tc>
          <w:tcPr>
            <w:tcW w:w="220" w:type="dxa"/>
            <w:vAlign w:val="bottom"/>
            <w:gridSpan w:val="4"/>
            <w:vMerge w:val="restart"/>
          </w:tcPr>
          <w:p>
            <w:pPr>
              <w:jc w:val="center"/>
              <w:spacing w:after="0"/>
              <w:rPr>
                <w:sz w:val="20"/>
                <w:szCs w:val="20"/>
                <w:color w:val="auto"/>
              </w:rPr>
            </w:pPr>
            <w:r>
              <w:rPr>
                <w:rFonts w:ascii="Arial" w:cs="Arial" w:eastAsia="Arial" w:hAnsi="Arial"/>
                <w:sz w:val="13"/>
                <w:szCs w:val="13"/>
                <w:color w:val="0000EE"/>
                <w:w w:val="96"/>
              </w:rPr>
              <w:t>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0" w:type="dxa"/>
            <w:vAlign w:val="bottom"/>
            <w:tcBorders>
              <w:bottom w:val="single" w:sz="8" w:color="5D6673"/>
            </w:tcBorders>
          </w:tcPr>
          <w:p>
            <w:pPr>
              <w:spacing w:after="0"/>
              <w:rPr>
                <w:sz w:val="11"/>
                <w:szCs w:val="11"/>
                <w:color w:val="auto"/>
              </w:rPr>
            </w:pPr>
          </w:p>
        </w:tc>
        <w:tc>
          <w:tcPr>
            <w:tcW w:w="3000" w:type="dxa"/>
            <w:vAlign w:val="bottom"/>
            <w:tcBorders>
              <w:top w:val="single" w:sz="8" w:color="0000EE"/>
              <w:bottom w:val="single" w:sz="8" w:color="5D6673"/>
            </w:tcBorders>
            <w:gridSpan w:val="12"/>
          </w:tcPr>
          <w:p>
            <w:pPr>
              <w:spacing w:after="0" w:line="129" w:lineRule="exact"/>
              <w:rPr>
                <w:sz w:val="20"/>
                <w:szCs w:val="20"/>
                <w:color w:val="auto"/>
              </w:rPr>
            </w:pPr>
            <w:r>
              <w:rPr>
                <w:rFonts w:ascii="Arial" w:cs="Arial" w:eastAsia="Arial" w:hAnsi="Arial"/>
                <w:sz w:val="13"/>
                <w:szCs w:val="13"/>
                <w:color w:val="0000EE"/>
              </w:rPr>
              <w:t>Table</w:t>
            </w:r>
          </w:p>
        </w:tc>
        <w:tc>
          <w:tcPr>
            <w:tcW w:w="280" w:type="dxa"/>
            <w:vAlign w:val="bottom"/>
            <w:tcBorders>
              <w:bottom w:val="single" w:sz="8" w:color="5D6673"/>
            </w:tcBorders>
          </w:tcPr>
          <w:p>
            <w:pPr>
              <w:spacing w:after="0"/>
              <w:rPr>
                <w:sz w:val="11"/>
                <w:szCs w:val="11"/>
                <w:color w:val="auto"/>
              </w:rPr>
            </w:pPr>
          </w:p>
        </w:tc>
        <w:tc>
          <w:tcPr>
            <w:tcW w:w="420" w:type="dxa"/>
            <w:vAlign w:val="bottom"/>
            <w:tcBorders>
              <w:bottom w:val="single" w:sz="8" w:color="5D6673"/>
            </w:tcBorders>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60" w:type="dxa"/>
            <w:vAlign w:val="bottom"/>
            <w:tcBorders>
              <w:bottom w:val="single" w:sz="8" w:color="5D6673"/>
            </w:tcBorders>
          </w:tcPr>
          <w:p>
            <w:pPr>
              <w:spacing w:after="0"/>
              <w:rPr>
                <w:sz w:val="11"/>
                <w:szCs w:val="11"/>
                <w:color w:val="auto"/>
              </w:rPr>
            </w:pPr>
          </w:p>
        </w:tc>
        <w:tc>
          <w:tcPr>
            <w:tcW w:w="100" w:type="dxa"/>
            <w:vAlign w:val="bottom"/>
            <w:tcBorders>
              <w:bottom w:val="single" w:sz="8" w:color="5D6673"/>
            </w:tcBorders>
          </w:tcPr>
          <w:p>
            <w:pPr>
              <w:spacing w:after="0"/>
              <w:rPr>
                <w:sz w:val="11"/>
                <w:szCs w:val="11"/>
                <w:color w:val="auto"/>
              </w:rPr>
            </w:pPr>
          </w:p>
        </w:tc>
        <w:tc>
          <w:tcPr>
            <w:tcW w:w="100" w:type="dxa"/>
            <w:vAlign w:val="bottom"/>
            <w:tcBorders>
              <w:bottom w:val="single" w:sz="8" w:color="5D6673"/>
            </w:tcBorders>
          </w:tcPr>
          <w:p>
            <w:pPr>
              <w:spacing w:after="0"/>
              <w:rPr>
                <w:sz w:val="11"/>
                <w:szCs w:val="11"/>
                <w:color w:val="auto"/>
              </w:rPr>
            </w:pPr>
          </w:p>
        </w:tc>
        <w:tc>
          <w:tcPr>
            <w:tcW w:w="220" w:type="dxa"/>
            <w:vAlign w:val="bottom"/>
            <w:tcBorders>
              <w:bottom w:val="single" w:sz="8" w:color="5D6673"/>
            </w:tcBorders>
            <w:gridSpan w:val="4"/>
            <w:vMerge w:val="continue"/>
          </w:tcPr>
          <w:p>
            <w:pPr>
              <w:spacing w:after="0"/>
              <w:rPr>
                <w:sz w:val="11"/>
                <w:szCs w:val="11"/>
                <w:color w:val="auto"/>
              </w:rPr>
            </w:pPr>
          </w:p>
        </w:tc>
        <w:tc>
          <w:tcPr>
            <w:tcW w:w="20" w:type="dxa"/>
            <w:vAlign w:val="bottom"/>
            <w:tcBorders>
              <w:bottom w:val="single" w:sz="8" w:color="5D6673"/>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2024 Option Exercises and Stock Vested Table</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43</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2024 Nonqualified Deferred Compensation Table</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44</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Potential Payments Upon Termination</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44</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Potential Payments Upon Change-in-Control</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46</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Termination Payment Tables for NEOs</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48</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2024 Compensation Risk Assessment</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53</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5D6673"/>
            </w:tcBorders>
          </w:tcPr>
          <w:p>
            <w:pPr>
              <w:spacing w:after="0"/>
              <w:rPr>
                <w:sz w:val="12"/>
                <w:szCs w:val="12"/>
                <w:color w:val="auto"/>
              </w:rPr>
            </w:pPr>
          </w:p>
        </w:tc>
        <w:tc>
          <w:tcPr>
            <w:tcW w:w="4060" w:type="dxa"/>
            <w:vAlign w:val="bottom"/>
            <w:tcBorders>
              <w:bottom w:val="single" w:sz="8" w:color="5D6673"/>
            </w:tcBorders>
            <w:gridSpan w:val="22"/>
          </w:tcPr>
          <w:p>
            <w:pPr>
              <w:spacing w:after="0" w:line="135" w:lineRule="exact"/>
              <w:rPr>
                <w:sz w:val="20"/>
                <w:szCs w:val="20"/>
                <w:color w:val="auto"/>
              </w:rPr>
            </w:pPr>
            <w:r>
              <w:rPr>
                <w:rFonts w:ascii="Arial" w:cs="Arial" w:eastAsia="Arial" w:hAnsi="Arial"/>
                <w:sz w:val="13"/>
                <w:szCs w:val="13"/>
                <w:color w:val="0000EE"/>
              </w:rPr>
              <w:t>CEO Pay Ratio</w:t>
            </w:r>
          </w:p>
        </w:tc>
        <w:tc>
          <w:tcPr>
            <w:tcW w:w="220" w:type="dxa"/>
            <w:vAlign w:val="bottom"/>
            <w:tcBorders>
              <w:bottom w:val="single" w:sz="8" w:color="5D6673"/>
            </w:tcBorders>
            <w:gridSpan w:val="4"/>
          </w:tcPr>
          <w:p>
            <w:pPr>
              <w:jc w:val="center"/>
              <w:spacing w:after="0" w:line="135" w:lineRule="exact"/>
              <w:rPr>
                <w:sz w:val="20"/>
                <w:szCs w:val="20"/>
                <w:color w:val="auto"/>
              </w:rPr>
            </w:pPr>
            <w:r>
              <w:rPr>
                <w:rFonts w:ascii="Arial" w:cs="Arial" w:eastAsia="Arial" w:hAnsi="Arial"/>
                <w:sz w:val="13"/>
                <w:szCs w:val="13"/>
                <w:color w:val="0000EE"/>
                <w:w w:val="96"/>
              </w:rPr>
              <w:t>53</w:t>
            </w:r>
          </w:p>
        </w:tc>
        <w:tc>
          <w:tcPr>
            <w:tcW w:w="2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2"/>
          </w:tcPr>
          <w:p>
            <w:pPr>
              <w:spacing w:after="0" w:line="135" w:lineRule="exact"/>
              <w:rPr>
                <w:sz w:val="20"/>
                <w:szCs w:val="20"/>
                <w:color w:val="auto"/>
              </w:rPr>
            </w:pPr>
            <w:r>
              <w:rPr>
                <w:rFonts w:ascii="Arial" w:cs="Arial" w:eastAsia="Arial" w:hAnsi="Arial"/>
                <w:sz w:val="13"/>
                <w:szCs w:val="13"/>
                <w:color w:val="0000EE"/>
              </w:rPr>
              <w:t>Pay Versus Performance</w:t>
            </w:r>
          </w:p>
        </w:tc>
        <w:tc>
          <w:tcPr>
            <w:tcW w:w="220" w:type="dxa"/>
            <w:vAlign w:val="bottom"/>
            <w:gridSpan w:val="4"/>
          </w:tcPr>
          <w:p>
            <w:pPr>
              <w:jc w:val="center"/>
              <w:spacing w:after="0" w:line="135" w:lineRule="exact"/>
              <w:rPr>
                <w:sz w:val="20"/>
                <w:szCs w:val="20"/>
                <w:color w:val="auto"/>
              </w:rPr>
            </w:pPr>
            <w:r>
              <w:rPr>
                <w:rFonts w:ascii="Arial" w:cs="Arial" w:eastAsia="Arial" w:hAnsi="Arial"/>
                <w:sz w:val="13"/>
                <w:szCs w:val="13"/>
                <w:color w:val="0000EE"/>
                <w:w w:val="96"/>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line="141" w:lineRule="exact"/>
              <w:rPr>
                <w:sz w:val="20"/>
                <w:szCs w:val="20"/>
                <w:color w:val="auto"/>
              </w:rPr>
            </w:pPr>
            <w:r>
              <w:rPr>
                <w:rFonts w:ascii="Arial" w:cs="Arial" w:eastAsia="Arial" w:hAnsi="Arial"/>
                <w:sz w:val="13"/>
                <w:szCs w:val="13"/>
                <w:b w:val="1"/>
                <w:bCs w:val="1"/>
                <w:color w:val="FFFFFF"/>
                <w:w w:val="99"/>
              </w:rPr>
              <w:t>PROPOSAL 3 – APPROVAL OF AN AMENDMENT OF THE ITRON,</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INC. AMENDED AND RESTATED ARTICLES OF</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w w:val="99"/>
              </w:rPr>
              <w:t>INCORPORATION TO INCREASE THE AUTHORIZED SHARES OF</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5D6673"/>
              <w:right w:val="single" w:sz="8" w:color="0063A6"/>
            </w:tcBorders>
            <w:shd w:val="clear" w:color="auto" w:fill="FFC729"/>
          </w:tcPr>
          <w:p>
            <w:pPr>
              <w:spacing w:after="0"/>
              <w:rPr>
                <w:sz w:val="13"/>
                <w:szCs w:val="13"/>
                <w:color w:val="auto"/>
              </w:rPr>
            </w:pPr>
          </w:p>
        </w:tc>
        <w:tc>
          <w:tcPr>
            <w:tcW w:w="4060" w:type="dxa"/>
            <w:vAlign w:val="bottom"/>
            <w:tcBorders>
              <w:bottom w:val="single" w:sz="8" w:color="5D6673"/>
            </w:tcBorders>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COMMON STOCK</w:t>
            </w:r>
          </w:p>
        </w:tc>
        <w:tc>
          <w:tcPr>
            <w:tcW w:w="220" w:type="dxa"/>
            <w:vAlign w:val="bottom"/>
            <w:tcBorders>
              <w:bottom w:val="single" w:sz="8" w:color="5D6673"/>
            </w:tcBorders>
            <w:gridSpan w:val="4"/>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57</w:t>
            </w:r>
          </w:p>
        </w:tc>
        <w:tc>
          <w:tcPr>
            <w:tcW w:w="20" w:type="dxa"/>
            <w:vAlign w:val="bottom"/>
            <w:tcBorders>
              <w:bottom w:val="single" w:sz="8" w:color="5D6673"/>
            </w:tcBorders>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80" w:type="dxa"/>
            <w:vAlign w:val="bottom"/>
            <w:tcBorders>
              <w:right w:val="single" w:sz="8" w:color="0063A6"/>
            </w:tcBorders>
            <w:shd w:val="clear" w:color="auto" w:fill="FFC729"/>
          </w:tcPr>
          <w:p>
            <w:pPr>
              <w:spacing w:after="0"/>
              <w:rPr>
                <w:sz w:val="11"/>
                <w:szCs w:val="11"/>
                <w:color w:val="auto"/>
              </w:rPr>
            </w:pPr>
          </w:p>
        </w:tc>
        <w:tc>
          <w:tcPr>
            <w:tcW w:w="4060" w:type="dxa"/>
            <w:vAlign w:val="bottom"/>
            <w:gridSpan w:val="22"/>
            <w:shd w:val="clear" w:color="auto" w:fill="0063A6"/>
          </w:tcPr>
          <w:p>
            <w:pPr>
              <w:ind w:left="40"/>
              <w:spacing w:after="0" w:line="134" w:lineRule="exact"/>
              <w:rPr>
                <w:sz w:val="20"/>
                <w:szCs w:val="20"/>
                <w:color w:val="auto"/>
              </w:rPr>
            </w:pPr>
            <w:r>
              <w:rPr>
                <w:rFonts w:ascii="Arial" w:cs="Arial" w:eastAsia="Arial" w:hAnsi="Arial"/>
                <w:sz w:val="13"/>
                <w:szCs w:val="13"/>
                <w:b w:val="1"/>
                <w:bCs w:val="1"/>
                <w:color w:val="FFFFFF"/>
              </w:rPr>
              <w:t>PROPOSAL 4 – APPROVAL OF AMENDMENTS OF THE ITRON,</w:t>
            </w:r>
          </w:p>
        </w:tc>
        <w:tc>
          <w:tcPr>
            <w:tcW w:w="2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14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INC. AMENDED AND RESTATED ARTICLES OF</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INCORPORATION TO MAKE CERTAIN TECHNICAL AND</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5D6673"/>
              <w:right w:val="single" w:sz="8" w:color="0063A6"/>
            </w:tcBorders>
            <w:shd w:val="clear" w:color="auto" w:fill="FFC729"/>
          </w:tcPr>
          <w:p>
            <w:pPr>
              <w:spacing w:after="0"/>
              <w:rPr>
                <w:sz w:val="13"/>
                <w:szCs w:val="13"/>
                <w:color w:val="auto"/>
              </w:rPr>
            </w:pPr>
          </w:p>
        </w:tc>
        <w:tc>
          <w:tcPr>
            <w:tcW w:w="4060" w:type="dxa"/>
            <w:vAlign w:val="bottom"/>
            <w:tcBorders>
              <w:bottom w:val="single" w:sz="8" w:color="5D6673"/>
            </w:tcBorders>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ADMINISTRATIVE CHANGES</w:t>
            </w:r>
          </w:p>
        </w:tc>
        <w:tc>
          <w:tcPr>
            <w:tcW w:w="220" w:type="dxa"/>
            <w:vAlign w:val="bottom"/>
            <w:tcBorders>
              <w:bottom w:val="single" w:sz="8" w:color="5D6673"/>
            </w:tcBorders>
            <w:gridSpan w:val="4"/>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59</w:t>
            </w:r>
          </w:p>
        </w:tc>
        <w:tc>
          <w:tcPr>
            <w:tcW w:w="20" w:type="dxa"/>
            <w:vAlign w:val="bottom"/>
            <w:tcBorders>
              <w:bottom w:val="single" w:sz="8" w:color="5D6673"/>
            </w:tcBorders>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80" w:type="dxa"/>
            <w:vAlign w:val="bottom"/>
            <w:tcBorders>
              <w:right w:val="single" w:sz="8" w:color="0063A6"/>
            </w:tcBorders>
            <w:shd w:val="clear" w:color="auto" w:fill="FFC729"/>
          </w:tcPr>
          <w:p>
            <w:pPr>
              <w:spacing w:after="0"/>
              <w:rPr>
                <w:sz w:val="11"/>
                <w:szCs w:val="11"/>
                <w:color w:val="auto"/>
              </w:rPr>
            </w:pPr>
          </w:p>
        </w:tc>
        <w:tc>
          <w:tcPr>
            <w:tcW w:w="4060" w:type="dxa"/>
            <w:vAlign w:val="bottom"/>
            <w:gridSpan w:val="22"/>
            <w:shd w:val="clear" w:color="auto" w:fill="0063A6"/>
          </w:tcPr>
          <w:p>
            <w:pPr>
              <w:ind w:left="40"/>
              <w:spacing w:after="0" w:line="134" w:lineRule="exact"/>
              <w:rPr>
                <w:sz w:val="20"/>
                <w:szCs w:val="20"/>
                <w:color w:val="auto"/>
              </w:rPr>
            </w:pPr>
            <w:r>
              <w:rPr>
                <w:rFonts w:ascii="Arial" w:cs="Arial" w:eastAsia="Arial" w:hAnsi="Arial"/>
                <w:sz w:val="13"/>
                <w:szCs w:val="13"/>
                <w:b w:val="1"/>
                <w:bCs w:val="1"/>
                <w:color w:val="FFFFFF"/>
                <w:w w:val="99"/>
              </w:rPr>
              <w:t>PROPOSAL 5 – APPROVAL OF AN AMENDMENT TO THE ITRON,</w:t>
            </w:r>
          </w:p>
        </w:tc>
        <w:tc>
          <w:tcPr>
            <w:tcW w:w="2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14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0063A6"/>
            </w:tcBorders>
            <w:shd w:val="clear" w:color="auto" w:fill="FFC729"/>
          </w:tcPr>
          <w:p>
            <w:pPr>
              <w:spacing w:after="0"/>
              <w:rPr>
                <w:sz w:val="12"/>
                <w:szCs w:val="12"/>
                <w:color w:val="auto"/>
              </w:rPr>
            </w:pPr>
          </w:p>
        </w:tc>
        <w:tc>
          <w:tcPr>
            <w:tcW w:w="4060" w:type="dxa"/>
            <w:vAlign w:val="bottom"/>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INC. AMENDED AND RESTATED ARTICLES OF</w:t>
            </w:r>
          </w:p>
        </w:tc>
        <w:tc>
          <w:tcPr>
            <w:tcW w:w="2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5D6673"/>
              <w:right w:val="single" w:sz="8" w:color="0063A6"/>
            </w:tcBorders>
            <w:shd w:val="clear" w:color="auto" w:fill="FFC729"/>
          </w:tcPr>
          <w:p>
            <w:pPr>
              <w:spacing w:after="0"/>
              <w:rPr>
                <w:sz w:val="13"/>
                <w:szCs w:val="13"/>
                <w:color w:val="auto"/>
              </w:rPr>
            </w:pPr>
          </w:p>
        </w:tc>
        <w:tc>
          <w:tcPr>
            <w:tcW w:w="4060" w:type="dxa"/>
            <w:vAlign w:val="bottom"/>
            <w:tcBorders>
              <w:bottom w:val="single" w:sz="8" w:color="5D6673"/>
            </w:tcBorders>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INCORPORATION TO INCLUDE INDEMNIFICATION PROVISIONS</w:t>
            </w:r>
          </w:p>
        </w:tc>
        <w:tc>
          <w:tcPr>
            <w:tcW w:w="220" w:type="dxa"/>
            <w:vAlign w:val="bottom"/>
            <w:tcBorders>
              <w:bottom w:val="single" w:sz="8" w:color="5D6673"/>
            </w:tcBorders>
            <w:gridSpan w:val="4"/>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60</w:t>
            </w:r>
          </w:p>
        </w:tc>
        <w:tc>
          <w:tcPr>
            <w:tcW w:w="20" w:type="dxa"/>
            <w:vAlign w:val="bottom"/>
            <w:tcBorders>
              <w:bottom w:val="single" w:sz="8" w:color="5D6673"/>
            </w:tcBorders>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80" w:type="dxa"/>
            <w:vAlign w:val="bottom"/>
            <w:tcBorders>
              <w:right w:val="single" w:sz="8" w:color="0063A6"/>
            </w:tcBorders>
            <w:shd w:val="clear" w:color="auto" w:fill="FFC729"/>
          </w:tcPr>
          <w:p>
            <w:pPr>
              <w:spacing w:after="0"/>
              <w:rPr>
                <w:sz w:val="11"/>
                <w:szCs w:val="11"/>
                <w:color w:val="auto"/>
              </w:rPr>
            </w:pPr>
          </w:p>
        </w:tc>
        <w:tc>
          <w:tcPr>
            <w:tcW w:w="4060" w:type="dxa"/>
            <w:vAlign w:val="bottom"/>
            <w:gridSpan w:val="22"/>
            <w:shd w:val="clear" w:color="auto" w:fill="0063A6"/>
          </w:tcPr>
          <w:p>
            <w:pPr>
              <w:ind w:left="40"/>
              <w:spacing w:after="0" w:line="134" w:lineRule="exact"/>
              <w:rPr>
                <w:sz w:val="20"/>
                <w:szCs w:val="20"/>
                <w:color w:val="auto"/>
              </w:rPr>
            </w:pPr>
            <w:r>
              <w:rPr>
                <w:rFonts w:ascii="Arial" w:cs="Arial" w:eastAsia="Arial" w:hAnsi="Arial"/>
                <w:sz w:val="13"/>
                <w:szCs w:val="13"/>
                <w:b w:val="1"/>
                <w:bCs w:val="1"/>
                <w:color w:val="FFFFFF"/>
              </w:rPr>
              <w:t>PROPOSAL 6 – RATIFICATION OF INDEPENDENT REGISTERED</w:t>
            </w:r>
          </w:p>
        </w:tc>
        <w:tc>
          <w:tcPr>
            <w:tcW w:w="2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14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2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80" w:type="dxa"/>
            <w:vAlign w:val="bottom"/>
            <w:tcBorders>
              <w:bottom w:val="single" w:sz="8" w:color="FFC729"/>
              <w:right w:val="single" w:sz="8" w:color="0063A6"/>
            </w:tcBorders>
            <w:shd w:val="clear" w:color="auto" w:fill="FFC729"/>
          </w:tcPr>
          <w:p>
            <w:pPr>
              <w:spacing w:after="0"/>
              <w:rPr>
                <w:sz w:val="16"/>
                <w:szCs w:val="16"/>
                <w:color w:val="auto"/>
              </w:rPr>
            </w:pPr>
          </w:p>
        </w:tc>
        <w:tc>
          <w:tcPr>
            <w:tcW w:w="4060" w:type="dxa"/>
            <w:vAlign w:val="bottom"/>
            <w:tcBorders>
              <w:bottom w:val="single" w:sz="8" w:color="0063A6"/>
            </w:tcBorders>
            <w:gridSpan w:val="22"/>
            <w:shd w:val="clear" w:color="auto" w:fill="0063A6"/>
          </w:tcPr>
          <w:p>
            <w:pPr>
              <w:ind w:left="40"/>
              <w:spacing w:after="0"/>
              <w:rPr>
                <w:sz w:val="20"/>
                <w:szCs w:val="20"/>
                <w:color w:val="auto"/>
              </w:rPr>
            </w:pPr>
            <w:r>
              <w:rPr>
                <w:rFonts w:ascii="Arial" w:cs="Arial" w:eastAsia="Arial" w:hAnsi="Arial"/>
                <w:sz w:val="13"/>
                <w:szCs w:val="13"/>
                <w:b w:val="1"/>
                <w:bCs w:val="1"/>
                <w:color w:val="FFFFFF"/>
              </w:rPr>
              <w:t>PUBLIC ACCOUNTANT</w:t>
            </w:r>
          </w:p>
        </w:tc>
        <w:tc>
          <w:tcPr>
            <w:tcW w:w="220" w:type="dxa"/>
            <w:vAlign w:val="bottom"/>
            <w:tcBorders>
              <w:bottom w:val="single" w:sz="8" w:color="0063A6"/>
            </w:tcBorders>
            <w:gridSpan w:val="4"/>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61</w:t>
            </w:r>
          </w:p>
        </w:tc>
        <w:tc>
          <w:tcPr>
            <w:tcW w:w="20" w:type="dxa"/>
            <w:vAlign w:val="bottom"/>
            <w:tcBorders>
              <w:bottom w:val="single" w:sz="8" w:color="0063A6"/>
            </w:tcBorders>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2"/>
          </w:tcPr>
          <w:p>
            <w:pPr>
              <w:spacing w:after="0" w:line="135" w:lineRule="exact"/>
              <w:rPr>
                <w:sz w:val="20"/>
                <w:szCs w:val="20"/>
                <w:color w:val="auto"/>
              </w:rPr>
            </w:pPr>
            <w:r>
              <w:rPr>
                <w:rFonts w:ascii="Arial" w:cs="Arial" w:eastAsia="Arial" w:hAnsi="Arial"/>
                <w:sz w:val="13"/>
                <w:szCs w:val="13"/>
                <w:b w:val="1"/>
                <w:bCs w:val="1"/>
                <w:color w:val="0000EE"/>
                <w:w w:val="97"/>
              </w:rPr>
              <w:t>INDEPENDENT REGISTERED PUBLIC ACCOUNTING FIRM’S AUDIT</w:t>
            </w:r>
          </w:p>
        </w:tc>
        <w:tc>
          <w:tcPr>
            <w:tcW w:w="2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0000EE"/>
                <w:w w:val="96"/>
              </w:rPr>
              <w:t>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140" w:type="dxa"/>
            <w:vAlign w:val="bottom"/>
            <w:tcBorders>
              <w:top w:val="single" w:sz="8" w:color="0000EE"/>
            </w:tcBorders>
            <w:gridSpan w:val="22"/>
          </w:tcPr>
          <w:p>
            <w:pPr>
              <w:spacing w:after="0" w:line="129" w:lineRule="exact"/>
              <w:rPr>
                <w:sz w:val="20"/>
                <w:szCs w:val="20"/>
                <w:color w:val="auto"/>
              </w:rPr>
            </w:pPr>
            <w:r>
              <w:rPr>
                <w:rFonts w:ascii="Arial" w:cs="Arial" w:eastAsia="Arial" w:hAnsi="Arial"/>
                <w:sz w:val="13"/>
                <w:szCs w:val="13"/>
                <w:b w:val="1"/>
                <w:bCs w:val="1"/>
                <w:color w:val="0000EE"/>
              </w:rPr>
              <w:t>FEES AND SERVICES</w:t>
            </w:r>
          </w:p>
        </w:tc>
        <w:tc>
          <w:tcPr>
            <w:tcW w:w="100" w:type="dxa"/>
            <w:vAlign w:val="bottom"/>
          </w:tcPr>
          <w:p>
            <w:pPr>
              <w:spacing w:after="0"/>
              <w:rPr>
                <w:sz w:val="11"/>
                <w:szCs w:val="11"/>
                <w:color w:val="auto"/>
              </w:rPr>
            </w:pPr>
          </w:p>
        </w:tc>
        <w:tc>
          <w:tcPr>
            <w:tcW w:w="2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2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2024 AUDIT/FINANCE COMMITTEE REPORT</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EQUITY COMPENSATION PLAN INFORMATION</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SECURITY OWNERSHIP OF CERTAIN BENEFICIAL OWNERS AND</w:t>
            </w:r>
          </w:p>
        </w:tc>
        <w:tc>
          <w:tcPr>
            <w:tcW w:w="2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0000EE"/>
                <w:w w:val="96"/>
              </w:rPr>
              <w:t>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40" w:type="dxa"/>
            <w:vAlign w:val="bottom"/>
            <w:tcBorders>
              <w:top w:val="single" w:sz="8" w:color="0000EE"/>
            </w:tcBorders>
            <w:gridSpan w:val="21"/>
          </w:tcPr>
          <w:p>
            <w:pPr>
              <w:spacing w:after="0" w:line="129" w:lineRule="exact"/>
              <w:rPr>
                <w:sz w:val="20"/>
                <w:szCs w:val="20"/>
                <w:color w:val="auto"/>
              </w:rPr>
            </w:pPr>
            <w:r>
              <w:rPr>
                <w:rFonts w:ascii="Arial" w:cs="Arial" w:eastAsia="Arial" w:hAnsi="Arial"/>
                <w:sz w:val="13"/>
                <w:szCs w:val="13"/>
                <w:b w:val="1"/>
                <w:bCs w:val="1"/>
                <w:color w:val="0000EE"/>
              </w:rPr>
              <w:t>MANAGEMENT</w:t>
            </w:r>
          </w:p>
        </w:tc>
        <w:tc>
          <w:tcPr>
            <w:tcW w:w="200" w:type="dxa"/>
            <w:vAlign w:val="bottom"/>
            <w:gridSpan w:val="2"/>
          </w:tcPr>
          <w:p>
            <w:pPr>
              <w:spacing w:after="0"/>
              <w:rPr>
                <w:sz w:val="11"/>
                <w:szCs w:val="11"/>
                <w:color w:val="auto"/>
              </w:rPr>
            </w:pPr>
          </w:p>
        </w:tc>
        <w:tc>
          <w:tcPr>
            <w:tcW w:w="2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2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LIST OF SHAREHOLDERS OF RECORD</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ANNUAL REPORT AND FINANCIAL STATEMENTS</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SHAREHOLDER PROPOSALS FOR THE 2026 ANNUAL MEETING</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4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OTHER INFORMATION</w:t>
            </w:r>
          </w:p>
        </w:tc>
        <w:tc>
          <w:tcPr>
            <w:tcW w:w="220" w:type="dxa"/>
            <w:vAlign w:val="bottom"/>
            <w:gridSpan w:val="4"/>
          </w:tcPr>
          <w:p>
            <w:pPr>
              <w:jc w:val="center"/>
              <w:spacing w:after="0" w:line="116" w:lineRule="exact"/>
              <w:rPr>
                <w:sz w:val="20"/>
                <w:szCs w:val="20"/>
                <w:color w:val="auto"/>
              </w:rPr>
            </w:pPr>
            <w:r>
              <w:rPr>
                <w:rFonts w:ascii="Arial" w:cs="Arial" w:eastAsia="Arial" w:hAnsi="Arial"/>
                <w:sz w:val="13"/>
                <w:szCs w:val="13"/>
                <w:b w:val="1"/>
                <w:bCs w:val="1"/>
                <w:color w:val="0000EE"/>
                <w:w w:val="96"/>
              </w:rPr>
              <w:t>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bottom w:val="single" w:sz="8" w:color="0063A6"/>
            </w:tcBorders>
          </w:tcPr>
          <w:p>
            <w:pPr>
              <w:spacing w:after="0" w:line="20" w:lineRule="exact"/>
              <w:rPr>
                <w:sz w:val="1"/>
                <w:szCs w:val="1"/>
                <w:color w:val="auto"/>
              </w:rPr>
            </w:pPr>
          </w:p>
        </w:tc>
        <w:tc>
          <w:tcPr>
            <w:tcW w:w="3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38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APPENDIX A: PROPOSAL 3 – AMENDMENT TO THE ITRON, INC.</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960" w:type="dxa"/>
            <w:vAlign w:val="bottom"/>
            <w:tcBorders>
              <w:top w:val="single" w:sz="8" w:color="0000EE"/>
            </w:tcBorders>
            <w:gridSpan w:val="19"/>
          </w:tcPr>
          <w:p>
            <w:pPr>
              <w:spacing w:after="0" w:line="129" w:lineRule="exact"/>
              <w:rPr>
                <w:sz w:val="20"/>
                <w:szCs w:val="20"/>
                <w:color w:val="auto"/>
              </w:rPr>
            </w:pPr>
            <w:r>
              <w:rPr>
                <w:rFonts w:ascii="Arial" w:cs="Arial" w:eastAsia="Arial" w:hAnsi="Arial"/>
                <w:sz w:val="13"/>
                <w:szCs w:val="13"/>
                <w:b w:val="1"/>
                <w:bCs w:val="1"/>
                <w:color w:val="0000EE"/>
                <w:w w:val="99"/>
              </w:rPr>
              <w:t>AMENDED AND RESTATED ARTICLES OF INCORPORATION TO</w:t>
            </w:r>
          </w:p>
        </w:tc>
        <w:tc>
          <w:tcPr>
            <w:tcW w:w="280" w:type="dxa"/>
            <w:vAlign w:val="bottom"/>
            <w:gridSpan w:val="4"/>
          </w:tcPr>
          <w:p>
            <w:pPr>
              <w:spacing w:after="0"/>
              <w:rPr>
                <w:sz w:val="11"/>
                <w:szCs w:val="11"/>
                <w:color w:val="auto"/>
              </w:rPr>
            </w:pPr>
          </w:p>
        </w:tc>
        <w:tc>
          <w:tcPr>
            <w:tcW w:w="2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0000EE"/>
                <w:w w:val="95"/>
              </w:rPr>
              <w:t>A-1</w:t>
            </w:r>
          </w:p>
        </w:tc>
        <w:tc>
          <w:tcPr>
            <w:tcW w:w="0" w:type="dxa"/>
            <w:vAlign w:val="bottom"/>
          </w:tcPr>
          <w:p>
            <w:pPr>
              <w:spacing w:after="0"/>
              <w:rPr>
                <w:sz w:val="1"/>
                <w:szCs w:val="1"/>
                <w:color w:val="auto"/>
              </w:rPr>
            </w:pPr>
          </w:p>
        </w:tc>
      </w:tr>
      <w:tr>
        <w:trPr>
          <w:trHeight w:val="128"/>
        </w:trPr>
        <w:tc>
          <w:tcPr>
            <w:tcW w:w="3920" w:type="dxa"/>
            <w:vAlign w:val="bottom"/>
            <w:tcBorders>
              <w:top w:val="single" w:sz="8" w:color="0000EE"/>
            </w:tcBorders>
            <w:gridSpan w:val="17"/>
          </w:tcPr>
          <w:p>
            <w:pPr>
              <w:spacing w:after="0" w:line="129" w:lineRule="exact"/>
              <w:rPr>
                <w:sz w:val="20"/>
                <w:szCs w:val="20"/>
                <w:color w:val="auto"/>
              </w:rPr>
            </w:pPr>
            <w:r>
              <w:rPr>
                <w:rFonts w:ascii="Arial" w:cs="Arial" w:eastAsia="Arial" w:hAnsi="Arial"/>
                <w:sz w:val="13"/>
                <w:szCs w:val="13"/>
                <w:b w:val="1"/>
                <w:bCs w:val="1"/>
                <w:color w:val="0000EE"/>
              </w:rPr>
              <w:t>INCREASE AUTHORIZED SHARES OF COMMON STOCK</w:t>
            </w:r>
          </w:p>
        </w:tc>
        <w:tc>
          <w:tcPr>
            <w:tcW w:w="20" w:type="dxa"/>
            <w:vAlign w:val="bottom"/>
          </w:tcPr>
          <w:p>
            <w:pPr>
              <w:spacing w:after="0"/>
              <w:rPr>
                <w:sz w:val="11"/>
                <w:szCs w:val="11"/>
                <w:color w:val="auto"/>
              </w:rPr>
            </w:pPr>
          </w:p>
        </w:tc>
        <w:tc>
          <w:tcPr>
            <w:tcW w:w="300" w:type="dxa"/>
            <w:vAlign w:val="bottom"/>
            <w:gridSpan w:val="5"/>
          </w:tcPr>
          <w:p>
            <w:pPr>
              <w:spacing w:after="0"/>
              <w:rPr>
                <w:sz w:val="11"/>
                <w:szCs w:val="11"/>
                <w:color w:val="auto"/>
              </w:rPr>
            </w:pPr>
          </w:p>
        </w:tc>
        <w:tc>
          <w:tcPr>
            <w:tcW w:w="2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APPENDIX B: PROPOSAL 4 AMENDMENTS TO THE ITRON, INC.</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940" w:type="dxa"/>
            <w:vAlign w:val="bottom"/>
            <w:tcBorders>
              <w:top w:val="single" w:sz="8" w:color="0000EE"/>
            </w:tcBorders>
            <w:gridSpan w:val="18"/>
          </w:tcPr>
          <w:p>
            <w:pPr>
              <w:spacing w:after="0" w:line="129" w:lineRule="exact"/>
              <w:rPr>
                <w:sz w:val="20"/>
                <w:szCs w:val="20"/>
                <w:color w:val="auto"/>
              </w:rPr>
            </w:pPr>
            <w:r>
              <w:rPr>
                <w:rFonts w:ascii="Arial" w:cs="Arial" w:eastAsia="Arial" w:hAnsi="Arial"/>
                <w:sz w:val="13"/>
                <w:szCs w:val="13"/>
                <w:b w:val="1"/>
                <w:bCs w:val="1"/>
                <w:color w:val="0000EE"/>
                <w:w w:val="98"/>
              </w:rPr>
              <w:t>AMENDED AND RESTATED ARTICLES OF INCORPORATION TO</w:t>
            </w:r>
          </w:p>
        </w:tc>
        <w:tc>
          <w:tcPr>
            <w:tcW w:w="300" w:type="dxa"/>
            <w:vAlign w:val="bottom"/>
            <w:gridSpan w:val="5"/>
          </w:tcPr>
          <w:p>
            <w:pPr>
              <w:spacing w:after="0"/>
              <w:rPr>
                <w:sz w:val="11"/>
                <w:szCs w:val="11"/>
                <w:color w:val="auto"/>
              </w:rPr>
            </w:pPr>
          </w:p>
        </w:tc>
        <w:tc>
          <w:tcPr>
            <w:tcW w:w="2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0000EE"/>
                <w:w w:val="95"/>
              </w:rPr>
              <w:t>B-1</w:t>
            </w:r>
          </w:p>
        </w:tc>
        <w:tc>
          <w:tcPr>
            <w:tcW w:w="0" w:type="dxa"/>
            <w:vAlign w:val="bottom"/>
          </w:tcPr>
          <w:p>
            <w:pPr>
              <w:spacing w:after="0"/>
              <w:rPr>
                <w:sz w:val="1"/>
                <w:szCs w:val="1"/>
                <w:color w:val="auto"/>
              </w:rPr>
            </w:pPr>
          </w:p>
        </w:tc>
      </w:tr>
      <w:tr>
        <w:trPr>
          <w:trHeight w:val="128"/>
        </w:trPr>
        <w:tc>
          <w:tcPr>
            <w:tcW w:w="3920" w:type="dxa"/>
            <w:vAlign w:val="bottom"/>
            <w:tcBorders>
              <w:top w:val="single" w:sz="8" w:color="0000EE"/>
            </w:tcBorders>
            <w:gridSpan w:val="17"/>
          </w:tcPr>
          <w:p>
            <w:pPr>
              <w:spacing w:after="0" w:line="129" w:lineRule="exact"/>
              <w:rPr>
                <w:sz w:val="20"/>
                <w:szCs w:val="20"/>
                <w:color w:val="auto"/>
              </w:rPr>
            </w:pPr>
            <w:r>
              <w:rPr>
                <w:rFonts w:ascii="Arial" w:cs="Arial" w:eastAsia="Arial" w:hAnsi="Arial"/>
                <w:sz w:val="13"/>
                <w:szCs w:val="13"/>
                <w:b w:val="1"/>
                <w:bCs w:val="1"/>
                <w:color w:val="0000EE"/>
                <w:w w:val="99"/>
              </w:rPr>
              <w:t>MAKE CERTAIN TECHNICAL AND ADMINISTRATIVE CHANGES</w:t>
            </w:r>
          </w:p>
        </w:tc>
        <w:tc>
          <w:tcPr>
            <w:tcW w:w="320" w:type="dxa"/>
            <w:vAlign w:val="bottom"/>
            <w:gridSpan w:val="6"/>
          </w:tcPr>
          <w:p>
            <w:pPr>
              <w:spacing w:after="0"/>
              <w:rPr>
                <w:sz w:val="11"/>
                <w:szCs w:val="11"/>
                <w:color w:val="auto"/>
              </w:rPr>
            </w:pPr>
          </w:p>
        </w:tc>
        <w:tc>
          <w:tcPr>
            <w:tcW w:w="2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16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top w:val="single" w:sz="8" w:color="0000EE"/>
              <w:bottom w:val="single" w:sz="8" w:color="0063A6"/>
            </w:tcBorders>
          </w:tcPr>
          <w:p>
            <w:pPr>
              <w:spacing w:after="0" w:line="20" w:lineRule="exact"/>
              <w:rPr>
                <w:sz w:val="1"/>
                <w:szCs w:val="1"/>
                <w:color w:val="auto"/>
              </w:rPr>
            </w:pPr>
          </w:p>
        </w:tc>
        <w:tc>
          <w:tcPr>
            <w:tcW w:w="280" w:type="dxa"/>
            <w:vAlign w:val="bottom"/>
            <w:tcBorders>
              <w:top w:val="single" w:sz="8" w:color="0000EE"/>
              <w:bottom w:val="single" w:sz="8" w:color="0063A6"/>
            </w:tcBorders>
          </w:tcPr>
          <w:p>
            <w:pPr>
              <w:spacing w:after="0" w:line="20" w:lineRule="exact"/>
              <w:rPr>
                <w:sz w:val="1"/>
                <w:szCs w:val="1"/>
                <w:color w:val="auto"/>
              </w:rPr>
            </w:pPr>
          </w:p>
        </w:tc>
        <w:tc>
          <w:tcPr>
            <w:tcW w:w="4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40" w:type="dxa"/>
            <w:vAlign w:val="bottom"/>
            <w:gridSpan w:val="23"/>
          </w:tcPr>
          <w:p>
            <w:pPr>
              <w:spacing w:after="0" w:line="116" w:lineRule="exact"/>
              <w:rPr>
                <w:sz w:val="20"/>
                <w:szCs w:val="20"/>
                <w:color w:val="auto"/>
              </w:rPr>
            </w:pPr>
            <w:r>
              <w:rPr>
                <w:rFonts w:ascii="Arial" w:cs="Arial" w:eastAsia="Arial" w:hAnsi="Arial"/>
                <w:sz w:val="13"/>
                <w:szCs w:val="13"/>
                <w:b w:val="1"/>
                <w:bCs w:val="1"/>
                <w:color w:val="0000EE"/>
              </w:rPr>
              <w:t>APPENDIX C: PROPOSAL 5 – AMENDMENT TO THE ITRON, INC.</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960" w:type="dxa"/>
            <w:vAlign w:val="bottom"/>
            <w:tcBorders>
              <w:top w:val="single" w:sz="8" w:color="0000EE"/>
            </w:tcBorders>
            <w:gridSpan w:val="19"/>
          </w:tcPr>
          <w:p>
            <w:pPr>
              <w:spacing w:after="0" w:line="129" w:lineRule="exact"/>
              <w:rPr>
                <w:sz w:val="20"/>
                <w:szCs w:val="20"/>
                <w:color w:val="auto"/>
              </w:rPr>
            </w:pPr>
            <w:r>
              <w:rPr>
                <w:rFonts w:ascii="Arial" w:cs="Arial" w:eastAsia="Arial" w:hAnsi="Arial"/>
                <w:sz w:val="13"/>
                <w:szCs w:val="13"/>
                <w:b w:val="1"/>
                <w:bCs w:val="1"/>
                <w:color w:val="0000EE"/>
              </w:rPr>
              <w:t>AMENDED AND RESTATEDARTICLES OF INCORPORATION TO</w:t>
            </w:r>
          </w:p>
        </w:tc>
        <w:tc>
          <w:tcPr>
            <w:tcW w:w="280" w:type="dxa"/>
            <w:vAlign w:val="bottom"/>
            <w:gridSpan w:val="4"/>
          </w:tcPr>
          <w:p>
            <w:pPr>
              <w:spacing w:after="0"/>
              <w:rPr>
                <w:sz w:val="11"/>
                <w:szCs w:val="11"/>
                <w:color w:val="auto"/>
              </w:rPr>
            </w:pPr>
          </w:p>
        </w:tc>
        <w:tc>
          <w:tcPr>
            <w:tcW w:w="2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0000EE"/>
                <w:w w:val="95"/>
              </w:rPr>
              <w:t>C-1</w:t>
            </w:r>
          </w:p>
        </w:tc>
        <w:tc>
          <w:tcPr>
            <w:tcW w:w="0" w:type="dxa"/>
            <w:vAlign w:val="bottom"/>
          </w:tcPr>
          <w:p>
            <w:pPr>
              <w:spacing w:after="0"/>
              <w:rPr>
                <w:sz w:val="1"/>
                <w:szCs w:val="1"/>
                <w:color w:val="auto"/>
              </w:rPr>
            </w:pPr>
          </w:p>
        </w:tc>
      </w:tr>
      <w:tr>
        <w:trPr>
          <w:trHeight w:val="128"/>
        </w:trPr>
        <w:tc>
          <w:tcPr>
            <w:tcW w:w="3880" w:type="dxa"/>
            <w:vAlign w:val="bottom"/>
            <w:tcBorders>
              <w:top w:val="single" w:sz="8" w:color="0000EE"/>
            </w:tcBorders>
            <w:gridSpan w:val="15"/>
          </w:tcPr>
          <w:p>
            <w:pPr>
              <w:spacing w:after="0" w:line="129" w:lineRule="exact"/>
              <w:rPr>
                <w:sz w:val="20"/>
                <w:szCs w:val="20"/>
                <w:color w:val="auto"/>
              </w:rPr>
            </w:pPr>
            <w:r>
              <w:rPr>
                <w:rFonts w:ascii="Arial" w:cs="Arial" w:eastAsia="Arial" w:hAnsi="Arial"/>
                <w:sz w:val="13"/>
                <w:szCs w:val="13"/>
                <w:b w:val="1"/>
                <w:bCs w:val="1"/>
                <w:color w:val="0000EE"/>
              </w:rPr>
              <w:t>INCLUDE INDEMNIFICATION PROVISIONS</w:t>
            </w:r>
          </w:p>
        </w:tc>
        <w:tc>
          <w:tcPr>
            <w:tcW w:w="360" w:type="dxa"/>
            <w:vAlign w:val="bottom"/>
            <w:gridSpan w:val="8"/>
          </w:tcPr>
          <w:p>
            <w:pPr>
              <w:spacing w:after="0"/>
              <w:rPr>
                <w:sz w:val="11"/>
                <w:szCs w:val="11"/>
                <w:color w:val="auto"/>
              </w:rPr>
            </w:pPr>
          </w:p>
        </w:tc>
        <w:tc>
          <w:tcPr>
            <w:tcW w:w="2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63A6"/>
            </w:tcBorders>
          </w:tcPr>
          <w:p>
            <w:pPr>
              <w:spacing w:after="0" w:line="20" w:lineRule="exact"/>
              <w:rPr>
                <w:sz w:val="1"/>
                <w:szCs w:val="1"/>
                <w:color w:val="auto"/>
              </w:rPr>
            </w:pPr>
          </w:p>
        </w:tc>
        <w:tc>
          <w:tcPr>
            <w:tcW w:w="760" w:type="dxa"/>
            <w:vAlign w:val="bottom"/>
            <w:tcBorders>
              <w:top w:val="single" w:sz="8" w:color="0000EE"/>
              <w:bottom w:val="single" w:sz="8" w:color="0063A6"/>
            </w:tcBorders>
          </w:tcPr>
          <w:p>
            <w:pPr>
              <w:spacing w:after="0" w:line="20" w:lineRule="exact"/>
              <w:rPr>
                <w:sz w:val="1"/>
                <w:szCs w:val="1"/>
                <w:color w:val="auto"/>
              </w:rPr>
            </w:pPr>
          </w:p>
        </w:tc>
        <w:tc>
          <w:tcPr>
            <w:tcW w:w="400" w:type="dxa"/>
            <w:vAlign w:val="bottom"/>
            <w:tcBorders>
              <w:top w:val="single" w:sz="8" w:color="0000EE"/>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220" w:type="dxa"/>
            <w:vAlign w:val="bottom"/>
            <w:tcBorders>
              <w:top w:val="single" w:sz="8" w:color="0000EE"/>
              <w:bottom w:val="single" w:sz="8" w:color="0063A6"/>
            </w:tcBorders>
          </w:tcPr>
          <w:p>
            <w:pPr>
              <w:spacing w:after="0" w:line="20" w:lineRule="exact"/>
              <w:rPr>
                <w:sz w:val="1"/>
                <w:szCs w:val="1"/>
                <w:color w:val="auto"/>
              </w:rPr>
            </w:pPr>
          </w:p>
        </w:tc>
        <w:tc>
          <w:tcPr>
            <w:tcW w:w="360" w:type="dxa"/>
            <w:vAlign w:val="bottom"/>
            <w:tcBorders>
              <w:top w:val="single" w:sz="8" w:color="0000EE"/>
              <w:bottom w:val="single" w:sz="8" w:color="0063A6"/>
            </w:tcBorders>
          </w:tcPr>
          <w:p>
            <w:pPr>
              <w:spacing w:after="0" w:line="20" w:lineRule="exact"/>
              <w:rPr>
                <w:sz w:val="1"/>
                <w:szCs w:val="1"/>
                <w:color w:val="auto"/>
              </w:rPr>
            </w:pPr>
          </w:p>
        </w:tc>
        <w:tc>
          <w:tcPr>
            <w:tcW w:w="80" w:type="dxa"/>
            <w:vAlign w:val="bottom"/>
            <w:tcBorders>
              <w:top w:val="single" w:sz="8" w:color="0000EE"/>
              <w:bottom w:val="single" w:sz="8" w:color="0063A6"/>
            </w:tcBorders>
          </w:tcPr>
          <w:p>
            <w:pPr>
              <w:spacing w:after="0" w:line="20" w:lineRule="exact"/>
              <w:rPr>
                <w:sz w:val="1"/>
                <w:szCs w:val="1"/>
                <w:color w:val="auto"/>
              </w:rPr>
            </w:pPr>
          </w:p>
        </w:tc>
        <w:tc>
          <w:tcPr>
            <w:tcW w:w="380" w:type="dxa"/>
            <w:vAlign w:val="bottom"/>
            <w:tcBorders>
              <w:top w:val="single" w:sz="8" w:color="0000EE"/>
              <w:bottom w:val="single" w:sz="8" w:color="0063A6"/>
            </w:tcBorders>
          </w:tcPr>
          <w:p>
            <w:pPr>
              <w:spacing w:after="0" w:line="20" w:lineRule="exact"/>
              <w:rPr>
                <w:sz w:val="1"/>
                <w:szCs w:val="1"/>
                <w:color w:val="auto"/>
              </w:rPr>
            </w:pPr>
          </w:p>
        </w:tc>
        <w:tc>
          <w:tcPr>
            <w:tcW w:w="180" w:type="dxa"/>
            <w:vAlign w:val="bottom"/>
            <w:tcBorders>
              <w:top w:val="single" w:sz="8" w:color="0000EE"/>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80" w:type="dxa"/>
            <w:vAlign w:val="bottom"/>
            <w:tcBorders>
              <w:bottom w:val="single" w:sz="8" w:color="0063A6"/>
            </w:tcBorders>
          </w:tcPr>
          <w:p>
            <w:pPr>
              <w:spacing w:after="0" w:line="20" w:lineRule="exact"/>
              <w:rPr>
                <w:sz w:val="1"/>
                <w:szCs w:val="1"/>
                <w:color w:val="auto"/>
              </w:rPr>
            </w:pPr>
          </w:p>
        </w:tc>
        <w:tc>
          <w:tcPr>
            <w:tcW w:w="4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top w:val="single" w:sz="8" w:color="0000EE"/>
              <w:bottom w:val="single" w:sz="8" w:color="0063A6"/>
            </w:tcBorders>
          </w:tcPr>
          <w:p>
            <w:pPr>
              <w:spacing w:after="0" w:line="20" w:lineRule="exact"/>
              <w:rPr>
                <w:sz w:val="1"/>
                <w:szCs w:val="1"/>
                <w:color w:val="auto"/>
              </w:rPr>
            </w:pPr>
          </w:p>
        </w:tc>
        <w:tc>
          <w:tcPr>
            <w:tcW w:w="14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top w:val="single" w:sz="8" w:color="0000EE"/>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40" w:type="dxa"/>
            <w:vAlign w:val="bottom"/>
            <w:tcBorders>
              <w:bottom w:val="single" w:sz="8" w:color="5D6673"/>
            </w:tcBorders>
            <w:gridSpan w:val="23"/>
          </w:tcPr>
          <w:p>
            <w:pPr>
              <w:spacing w:after="0" w:line="116" w:lineRule="exact"/>
              <w:rPr>
                <w:sz w:val="20"/>
                <w:szCs w:val="20"/>
                <w:color w:val="auto"/>
              </w:rPr>
            </w:pPr>
            <w:r>
              <w:rPr>
                <w:rFonts w:ascii="Arial" w:cs="Arial" w:eastAsia="Arial" w:hAnsi="Arial"/>
                <w:sz w:val="13"/>
                <w:szCs w:val="13"/>
                <w:b w:val="1"/>
                <w:bCs w:val="1"/>
                <w:color w:val="0000EE"/>
              </w:rPr>
              <w:t>APPENDIX D: NON-GAAP RECONCILIATION</w:t>
            </w:r>
          </w:p>
        </w:tc>
        <w:tc>
          <w:tcPr>
            <w:tcW w:w="240" w:type="dxa"/>
            <w:vAlign w:val="bottom"/>
            <w:tcBorders>
              <w:bottom w:val="single" w:sz="8" w:color="5D6673"/>
            </w:tcBorders>
            <w:gridSpan w:val="5"/>
          </w:tcPr>
          <w:p>
            <w:pPr>
              <w:jc w:val="center"/>
              <w:spacing w:after="0" w:line="116" w:lineRule="exact"/>
              <w:rPr>
                <w:sz w:val="20"/>
                <w:szCs w:val="20"/>
                <w:color w:val="auto"/>
              </w:rPr>
            </w:pPr>
            <w:r>
              <w:rPr>
                <w:rFonts w:ascii="Arial" w:cs="Arial" w:eastAsia="Arial" w:hAnsi="Arial"/>
                <w:sz w:val="13"/>
                <w:szCs w:val="13"/>
                <w:b w:val="1"/>
                <w:bCs w:val="1"/>
                <w:color w:val="0000EE"/>
                <w:w w:val="95"/>
              </w:rPr>
              <w:t>D-1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-3282315</wp:posOffset>
            </wp:positionV>
            <wp:extent cx="25342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428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-3188335</wp:posOffset>
            </wp:positionV>
            <wp:extent cx="18288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880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-3093720</wp:posOffset>
            </wp:positionV>
            <wp:extent cx="2527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793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-2999740</wp:posOffset>
            </wp:positionV>
            <wp:extent cx="692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785" cy="825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-2999740</wp:posOffset>
            </wp:positionV>
            <wp:extent cx="914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-2896870</wp:posOffset>
            </wp:positionV>
            <wp:extent cx="2447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472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-2802255</wp:posOffset>
            </wp:positionV>
            <wp:extent cx="18288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880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-2708275</wp:posOffset>
            </wp:positionV>
            <wp:extent cx="21748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7487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-2614295</wp:posOffset>
            </wp:positionV>
            <wp:extent cx="1149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9985" cy="8890"/>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-2614295</wp:posOffset>
            </wp:positionV>
            <wp:extent cx="91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44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-2510790</wp:posOffset>
            </wp:positionV>
            <wp:extent cx="2533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3301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-2416810</wp:posOffset>
            </wp:positionV>
            <wp:extent cx="18288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880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-2322195</wp:posOffset>
            </wp:positionV>
            <wp:extent cx="26847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78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-2219325</wp:posOffset>
            </wp:positionV>
            <wp:extent cx="24961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618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-2125345</wp:posOffset>
            </wp:positionV>
            <wp:extent cx="9258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-2125345</wp:posOffset>
            </wp:positionV>
            <wp:extent cx="91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ectPr>
          <w:pgSz w:w="11900" w:h="16838" w:orient="portrait"/>
          <w:cols w:equalWidth="0" w:num="2">
            <w:col w:w="4480" w:space="220"/>
            <w:col w:w="4480"/>
          </w:cols>
          <w:pgMar w:left="1360" w:top="114" w:right="1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TABLE OF CONTENTS</w:t>
      </w:r>
    </w:p>
    <w:p>
      <w:pPr>
        <w:spacing w:after="0" w:line="253"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This proxy statement includes several website addresses and references to additional materials found on those websites. Content on the websites, including content on our Company website, is not, and shall not be deemed to be, part of this proxy statement or incorporated herein or into any of our other filings with the Securities and Exchange Commission (SEC).</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including statements regarding our goals, commitments, and strategies and our executive compensation program. These statements involve risks and uncertainties. Actual results could differ materially from any future results expressed or implied by the forward-looking statements for a variety of reasons, including due to the risks, uncertainties, and other important factors that are discussed in our most recently filed periodic reports on Form 10-K and Form 10-Q and subsequent Securities and Exchange Commission filings. We assume no obligation to update any forward-looking statements, which speak only as of the date they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98425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 w:name="page6"/>
    <w:bookmarkEnd w:id="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102870</wp:posOffset>
            </wp:positionV>
            <wp:extent cx="822960" cy="351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9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
        <w:spacing w:after="0"/>
        <w:rPr>
          <w:sz w:val="20"/>
          <w:szCs w:val="20"/>
          <w:color w:val="auto"/>
        </w:rPr>
      </w:pPr>
      <w:r>
        <w:rPr>
          <w:rFonts w:ascii="Arial" w:cs="Arial" w:eastAsia="Arial" w:hAnsi="Arial"/>
          <w:sz w:val="16"/>
          <w:szCs w:val="16"/>
          <w:color w:val="auto"/>
        </w:rPr>
        <w:t> </w:t>
      </w:r>
    </w:p>
    <w:p>
      <w:pPr>
        <w:spacing w:after="0" w:line="140" w:lineRule="exact"/>
        <w:rPr>
          <w:sz w:val="20"/>
          <w:szCs w:val="20"/>
          <w:color w:val="auto"/>
        </w:rPr>
      </w:pPr>
    </w:p>
    <w:p>
      <w:pPr>
        <w:ind w:left="6"/>
        <w:spacing w:after="0" w:line="251" w:lineRule="auto"/>
        <w:rPr>
          <w:sz w:val="20"/>
          <w:szCs w:val="20"/>
          <w:color w:val="auto"/>
        </w:rPr>
      </w:pPr>
      <w:r>
        <w:rPr>
          <w:rFonts w:ascii="Arial" w:cs="Arial" w:eastAsia="Arial" w:hAnsi="Arial"/>
          <w:sz w:val="16"/>
          <w:szCs w:val="16"/>
          <w:color w:val="auto"/>
        </w:rPr>
        <w:t>This proxy statement is being furnished to shareholders of Itron, Inc. (the Company or Itron) in connection with the solicitation by our Board of Directors of proxies for use at the 2025 annual meeting of shareholders. The meeting is scheduled to be held on May 8, 2025, at 9:00 a.m., Pacific Time, via live webcast through the link, for the purposes listed in the accompanying Notice of Annual Meeting of Shareholders. You will need the 16-digit control number provided on the Notice of Internet Availability of Proxy Materials or your proxy card (if applicable). We have made these materials available to you over the Internet or have delivered printed versions of these materials to you by mail, in connection with the Board’s solicitation of proxies for use at the annual meeting. This solicitation is for proxies for use at the annual meeting or at any reconvened meeting after an adjournment or postponement of the annual meeting. The Company’s principal executive office is at 2111 North Molter Road, Liberty Lake, Washington, 99019.</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Attending the Annual Meeting</w:t>
      </w:r>
    </w:p>
    <w:p>
      <w:pPr>
        <w:spacing w:after="0" w:line="45" w:lineRule="exact"/>
        <w:rPr>
          <w:sz w:val="20"/>
          <w:szCs w:val="20"/>
          <w:color w:val="auto"/>
        </w:rPr>
      </w:pPr>
    </w:p>
    <w:p>
      <w:pPr>
        <w:ind w:left="6" w:right="60"/>
        <w:spacing w:after="0" w:line="253" w:lineRule="auto"/>
        <w:rPr>
          <w:sz w:val="20"/>
          <w:szCs w:val="20"/>
          <w:color w:val="auto"/>
        </w:rPr>
      </w:pPr>
      <w:r>
        <w:rPr>
          <w:rFonts w:ascii="Arial" w:cs="Arial" w:eastAsia="Arial" w:hAnsi="Arial"/>
          <w:sz w:val="16"/>
          <w:szCs w:val="16"/>
          <w:color w:val="auto"/>
        </w:rPr>
        <w:t xml:space="preserve">You are entitled to attend the virtual annual meeting only if you were a shareholder of record as of the Record Date for the annual meeting, or you hold a valid proxy for the annual meeting. You may attend the annual meeting, vote, and submit a question during the annual meeting by visiting </w:t>
      </w:r>
      <w:r>
        <w:rPr>
          <w:rFonts w:ascii="Arial" w:cs="Arial" w:eastAsia="Arial" w:hAnsi="Arial"/>
          <w:sz w:val="16"/>
          <w:szCs w:val="16"/>
          <w:b w:val="1"/>
          <w:bCs w:val="1"/>
          <w:color w:val="0063A6"/>
        </w:rPr>
        <w:t>www.virtualshareholdermeeting.com/ITRI2025</w:t>
      </w:r>
      <w:r>
        <w:rPr>
          <w:rFonts w:ascii="Arial" w:cs="Arial" w:eastAsia="Arial" w:hAnsi="Arial"/>
          <w:sz w:val="16"/>
          <w:szCs w:val="16"/>
          <w:color w:val="auto"/>
        </w:rPr>
        <w:t xml:space="preserve"> and using your 16-digit control number to enter the meeting. If you are not a shareholder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14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Internet Availability of Annual Meeting Materials</w:t>
      </w:r>
    </w:p>
    <w:p>
      <w:pPr>
        <w:spacing w:after="0" w:line="45"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color w:val="auto"/>
        </w:rPr>
        <w:t>Our proxy materials will be available for you to access over the Internet. On or about March 28, 2025,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3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proxy materials will be available for you to review online:</w:t>
      </w:r>
    </w:p>
    <w:p>
      <w:pPr>
        <w:spacing w:after="0" w:line="113"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Notice of Annual Meeting of Shareholders;</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2025 Proxy Statement;</w:t>
      </w:r>
    </w:p>
    <w:p>
      <w:pPr>
        <w:spacing w:after="0" w:line="113" w:lineRule="exact"/>
        <w:rPr>
          <w:rFonts w:ascii="Arial" w:cs="Arial" w:eastAsia="Arial" w:hAnsi="Arial"/>
          <w:sz w:val="16"/>
          <w:szCs w:val="16"/>
          <w:color w:val="auto"/>
        </w:rPr>
      </w:pPr>
    </w:p>
    <w:p>
      <w:pPr>
        <w:ind w:left="226" w:right="240" w:hanging="226"/>
        <w:spacing w:after="0" w:line="286"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Annual Report to Shareholders for the year ended December 31, 2024 (which is not deemed to be part of the official proxy soliciting materials); and</w:t>
      </w:r>
    </w:p>
    <w:p>
      <w:pPr>
        <w:spacing w:after="0" w:line="47" w:lineRule="exact"/>
        <w:rPr>
          <w:rFonts w:ascii="Arial" w:cs="Arial" w:eastAsia="Arial" w:hAnsi="Arial"/>
          <w:sz w:val="16"/>
          <w:szCs w:val="16"/>
          <w:color w:val="auto"/>
        </w:rPr>
      </w:pPr>
    </w:p>
    <w:p>
      <w:pPr>
        <w:ind w:left="226" w:right="180" w:hanging="226"/>
        <w:spacing w:after="0" w:line="286"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amendments to the foregoing materials that may be required to be furnished to the shareholders by the Securities and Exchange Commission.</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Proposals to Be Voted on at the Annual Meeting</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6"/>
          <w:szCs w:val="16"/>
          <w:color w:val="auto"/>
        </w:rPr>
        <w:t>At the annual meeting, we will consider and vote on the following proposals:</w:t>
      </w:r>
    </w:p>
    <w:p>
      <w:pPr>
        <w:spacing w:after="0" w:line="181" w:lineRule="exact"/>
        <w:rPr>
          <w:sz w:val="20"/>
          <w:szCs w:val="20"/>
          <w:color w:val="auto"/>
        </w:rPr>
      </w:pPr>
    </w:p>
    <w:p>
      <w:pPr>
        <w:ind w:left="346" w:right="100"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one director to the Itron, Inc. Board of Directors, for a term of three years ending upon our 2028 annual meeting of shareholders;</w:t>
      </w:r>
    </w:p>
    <w:p>
      <w:pPr>
        <w:spacing w:after="0" w:line="47" w:lineRule="exact"/>
        <w:rPr>
          <w:rFonts w:ascii="Arial" w:cs="Arial" w:eastAsia="Arial" w:hAnsi="Arial"/>
          <w:sz w:val="16"/>
          <w:szCs w:val="16"/>
          <w:color w:val="auto"/>
        </w:rPr>
      </w:pPr>
    </w:p>
    <w:p>
      <w:pPr>
        <w:ind w:left="346" w:right="240"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for the fiscal year ended December 31, 2024 (Say-on-Pay vote);</w:t>
      </w:r>
    </w:p>
    <w:p>
      <w:pPr>
        <w:spacing w:after="0" w:line="47" w:lineRule="exact"/>
        <w:rPr>
          <w:rFonts w:ascii="Arial" w:cs="Arial" w:eastAsia="Arial" w:hAnsi="Arial"/>
          <w:sz w:val="16"/>
          <w:szCs w:val="16"/>
          <w:color w:val="auto"/>
        </w:rPr>
      </w:pPr>
    </w:p>
    <w:p>
      <w:pPr>
        <w:ind w:left="346" w:right="80"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an amendment to Itron’s Amended and Restated Articles of Incorporation to increase the number of authorized shares of common stock;</w:t>
      </w:r>
    </w:p>
    <w:p>
      <w:pPr>
        <w:spacing w:after="0" w:line="47" w:lineRule="exact"/>
        <w:rPr>
          <w:rFonts w:ascii="Arial" w:cs="Arial" w:eastAsia="Arial" w:hAnsi="Arial"/>
          <w:sz w:val="16"/>
          <w:szCs w:val="16"/>
          <w:color w:val="auto"/>
        </w:rPr>
      </w:pPr>
    </w:p>
    <w:p>
      <w:pPr>
        <w:ind w:left="346" w:right="760"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amendments to Itron’s Amended and Restated Articles of Incorporation to make certain technical and administrative changes;</w:t>
      </w:r>
    </w:p>
    <w:p>
      <w:pPr>
        <w:spacing w:after="0" w:line="47" w:lineRule="exact"/>
        <w:rPr>
          <w:rFonts w:ascii="Arial" w:cs="Arial" w:eastAsia="Arial" w:hAnsi="Arial"/>
          <w:sz w:val="16"/>
          <w:szCs w:val="16"/>
          <w:color w:val="auto"/>
        </w:rPr>
      </w:pPr>
    </w:p>
    <w:p>
      <w:pPr>
        <w:ind w:left="346" w:hanging="346"/>
        <w:spacing w:after="0"/>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an amendment to Itron’s Amended and Restated Articles of Incorporation to include indemnification provisions;</w:t>
      </w:r>
    </w:p>
    <w:p>
      <w:pPr>
        <w:spacing w:after="0" w:line="113" w:lineRule="exact"/>
        <w:rPr>
          <w:rFonts w:ascii="Arial" w:cs="Arial" w:eastAsia="Arial" w:hAnsi="Arial"/>
          <w:sz w:val="16"/>
          <w:szCs w:val="16"/>
          <w:color w:val="auto"/>
        </w:rPr>
      </w:pPr>
    </w:p>
    <w:p>
      <w:pPr>
        <w:ind w:left="346" w:hanging="346"/>
        <w:spacing w:after="0" w:line="286"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registered public accountant for the 2025 fiscal year; and</w:t>
      </w:r>
    </w:p>
    <w:p>
      <w:pPr>
        <w:spacing w:after="0" w:line="47" w:lineRule="exact"/>
        <w:rPr>
          <w:rFonts w:ascii="Arial" w:cs="Arial" w:eastAsia="Arial" w:hAnsi="Arial"/>
          <w:sz w:val="16"/>
          <w:szCs w:val="16"/>
          <w:color w:val="auto"/>
        </w:rPr>
      </w:pPr>
    </w:p>
    <w:p>
      <w:pPr>
        <w:ind w:left="346" w:hanging="346"/>
        <w:spacing w:after="0"/>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6" w:lineRule="exact"/>
        <w:rPr>
          <w:sz w:val="20"/>
          <w:szCs w:val="20"/>
          <w:color w:val="auto"/>
        </w:rPr>
      </w:pPr>
    </w:p>
    <w:p>
      <w:pPr>
        <w:ind w:left="46"/>
        <w:spacing w:after="0"/>
        <w:tabs>
          <w:tab w:leader="none" w:pos="3046" w:val="left"/>
          <w:tab w:leader="none" w:pos="902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6" w:name="page7"/>
    <w:bookmarkEnd w:id="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Proxy Statement</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Record Date and Outstanding Shares</w:t>
      </w:r>
    </w:p>
    <w:p>
      <w:pPr>
        <w:spacing w:after="0" w:line="72" w:lineRule="exact"/>
        <w:rPr>
          <w:sz w:val="20"/>
          <w:szCs w:val="20"/>
          <w:color w:val="auto"/>
        </w:rPr>
      </w:pPr>
    </w:p>
    <w:p>
      <w:pPr>
        <w:ind w:left="6"/>
        <w:spacing w:after="0" w:line="249" w:lineRule="auto"/>
        <w:rPr>
          <w:sz w:val="20"/>
          <w:szCs w:val="20"/>
          <w:color w:val="auto"/>
        </w:rPr>
      </w:pPr>
      <w:r>
        <w:rPr>
          <w:rFonts w:ascii="Arial" w:cs="Arial" w:eastAsia="Arial" w:hAnsi="Arial"/>
          <w:sz w:val="16"/>
          <w:szCs w:val="16"/>
          <w:color w:val="auto"/>
        </w:rPr>
        <w:t>Holders of record of our common stock at the close of business on March 4, 2025, are entitled to notice of, and to vote at, the annual meeting. On the record date, there were 45,570,047 shares of our common stock outstanding. Each outstanding share of our common stock will entitle its holder to one vote on the one director to be elected and one vote on each other matter to be voted on at the annual meeting. Each of our directors and executive officers intends to vote or direct the vote of all shares of common stock over which he or she has voting control in favor of: (1) the election of the nominee for director; (2) the advisory approval of the compensation we paid our named executive officers in 2024; (3) the approval of an amendment to Itron’s Amended and Restated Articles of Incorporation to increase the number of authorized shares of common stock; (4) the approval of amendments to Itron’s Amended and Restated Articles of Incorporation to make certain technical and administrative changes;</w:t>
      </w:r>
    </w:p>
    <w:p>
      <w:pPr>
        <w:spacing w:after="0" w:line="1" w:lineRule="exact"/>
        <w:rPr>
          <w:sz w:val="20"/>
          <w:szCs w:val="20"/>
          <w:color w:val="auto"/>
        </w:rPr>
      </w:pPr>
    </w:p>
    <w:p>
      <w:pPr>
        <w:ind w:left="6" w:right="120" w:hanging="6"/>
        <w:spacing w:after="0" w:line="256"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approval of an amendment to Itron’s Amended and Restated Articles of Incorporation to include indemnification provisions; and (6) the ratification of Deloitte &amp; Touche LLP as our independent registered public accountant for the 2025 fiscal year.</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Quorum and Voting</w:t>
      </w:r>
    </w:p>
    <w:p>
      <w:pPr>
        <w:spacing w:after="0" w:line="72" w:lineRule="exact"/>
        <w:rPr>
          <w:sz w:val="20"/>
          <w:szCs w:val="20"/>
          <w:color w:val="auto"/>
        </w:rPr>
      </w:pPr>
    </w:p>
    <w:p>
      <w:pPr>
        <w:ind w:left="6"/>
        <w:spacing w:after="0" w:line="253" w:lineRule="auto"/>
        <w:rPr>
          <w:sz w:val="20"/>
          <w:szCs w:val="20"/>
          <w:color w:val="auto"/>
        </w:rPr>
      </w:pPr>
      <w:r>
        <w:rPr>
          <w:rFonts w:ascii="Arial" w:cs="Arial" w:eastAsia="Arial" w:hAnsi="Arial"/>
          <w:sz w:val="16"/>
          <w:szCs w:val="16"/>
          <w:color w:val="auto"/>
        </w:rPr>
        <w:t>Each shareholder is entitled to one vote per share of common stock held on each matter to be voted on. Our annual meeting will be through a virtual-only format solely through means of remote communication, and participation by such means shall constitute presence in person at the meeting. The presence at the annual meeting, in person or by proxy, of holders of a majority of the outstanding shares of common stock on the record date will constitute a quorum. Attendance by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389"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summarizes the votes required for passage of each proposal:</w:t>
      </w:r>
    </w:p>
    <w:p>
      <w:pPr>
        <w:spacing w:after="0" w:line="181" w:lineRule="exact"/>
        <w:rPr>
          <w:sz w:val="20"/>
          <w:szCs w:val="20"/>
          <w:color w:val="auto"/>
        </w:rPr>
      </w:pPr>
    </w:p>
    <w:p>
      <w:pPr>
        <w:ind w:left="6" w:right="80"/>
        <w:spacing w:after="0" w:line="254" w:lineRule="auto"/>
        <w:rPr>
          <w:sz w:val="20"/>
          <w:szCs w:val="20"/>
          <w:color w:val="auto"/>
        </w:rPr>
      </w:pPr>
      <w:r>
        <w:rPr>
          <w:rFonts w:ascii="Arial" w:cs="Arial" w:eastAsia="Arial" w:hAnsi="Arial"/>
          <w:sz w:val="16"/>
          <w:szCs w:val="16"/>
          <w:i w:val="1"/>
          <w:iCs w:val="1"/>
          <w:u w:val="single" w:color="auto"/>
          <w:color w:val="auto"/>
        </w:rPr>
        <w:t>Proposal One – Election of Director</w:t>
      </w:r>
      <w:r>
        <w:rPr>
          <w:rFonts w:ascii="Arial" w:cs="Arial" w:eastAsia="Arial" w:hAnsi="Arial"/>
          <w:sz w:val="16"/>
          <w:szCs w:val="16"/>
          <w:color w:val="auto"/>
        </w:rPr>
        <w:t>: The nominee for director is elected by the vote of the majority of the votes cast (meaning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number of votes cast “for” the nominee must exceed the number of votes cast “against” the nominee). Holders of common stock are not entitled to cumulative votes in the election of directors. Abstentions from voting on this matter will not be counted. Brokers and other holders of record do not have discretionary voting authority to vote your shares in the election of the director, absent voting instructions from you. Therefore, if you are a beneficial shareholder and do not provide voting instructions on Proposal 1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in the election of the director.</w:t>
      </w:r>
    </w:p>
    <w:p>
      <w:pPr>
        <w:spacing w:after="0" w:line="141" w:lineRule="exact"/>
        <w:rPr>
          <w:sz w:val="20"/>
          <w:szCs w:val="20"/>
          <w:color w:val="auto"/>
        </w:rPr>
      </w:pPr>
    </w:p>
    <w:p>
      <w:pPr>
        <w:ind w:left="6" w:right="20"/>
        <w:spacing w:after="0" w:line="254" w:lineRule="auto"/>
        <w:rPr>
          <w:sz w:val="20"/>
          <w:szCs w:val="20"/>
          <w:color w:val="auto"/>
        </w:rPr>
      </w:pPr>
      <w:r>
        <w:rPr>
          <w:rFonts w:ascii="Arial" w:cs="Arial" w:eastAsia="Arial" w:hAnsi="Arial"/>
          <w:sz w:val="16"/>
          <w:szCs w:val="16"/>
          <w:i w:val="1"/>
          <w:iCs w:val="1"/>
          <w:u w:val="single" w:color="auto"/>
          <w:color w:val="auto"/>
        </w:rPr>
        <w:t>Proposal Two – Say-on-Pay Vote (non-binding)</w:t>
      </w:r>
      <w:r>
        <w:rPr>
          <w:rFonts w:ascii="Arial" w:cs="Arial" w:eastAsia="Arial" w:hAnsi="Arial"/>
          <w:sz w:val="16"/>
          <w:szCs w:val="16"/>
          <w:color w:val="auto"/>
        </w:rPr>
        <w:t>: The non-binding advisory vote on this proposal will be approved if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votes cast are in favor of the proposal (meaning the number of votes cast “for” the proposal must exceed the number of votes cast “against”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2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on this proposal.</w:t>
      </w:r>
    </w:p>
    <w:p>
      <w:pPr>
        <w:spacing w:after="0" w:line="157" w:lineRule="exact"/>
        <w:rPr>
          <w:sz w:val="20"/>
          <w:szCs w:val="20"/>
          <w:color w:val="auto"/>
        </w:rPr>
      </w:pPr>
    </w:p>
    <w:p>
      <w:pPr>
        <w:ind w:left="6"/>
        <w:spacing w:after="0" w:line="255" w:lineRule="auto"/>
        <w:rPr>
          <w:sz w:val="20"/>
          <w:szCs w:val="20"/>
          <w:color w:val="auto"/>
        </w:rPr>
      </w:pPr>
      <w:r>
        <w:rPr>
          <w:rFonts w:ascii="Arial" w:cs="Arial" w:eastAsia="Arial" w:hAnsi="Arial"/>
          <w:sz w:val="16"/>
          <w:szCs w:val="16"/>
          <w:i w:val="1"/>
          <w:iCs w:val="1"/>
          <w:u w:val="single" w:color="auto"/>
          <w:color w:val="auto"/>
        </w:rPr>
        <w:t>Proposal Three – Approval of An Amendment to Itron’s Amended and Restated Articles of Incorporation to Increase the Number of Authorized Shares of Common Stock</w:t>
      </w:r>
      <w:r>
        <w:rPr>
          <w:rFonts w:ascii="Arial" w:cs="Arial" w:eastAsia="Arial" w:hAnsi="Arial"/>
          <w:sz w:val="16"/>
          <w:szCs w:val="16"/>
          <w:color w:val="auto"/>
        </w:rPr>
        <w:t>: The proposal will be approved if a majority of the votes entitled to be cast on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are cast in favor of the proposal. Abstentions from voting on this matter will count as a vote against this proposal. Brokers and other holders of record do have discretionary voting authority to vote your shares for this proposal. Therefore, there will be no broker non-votes on this proposal.</w:t>
      </w:r>
    </w:p>
    <w:p>
      <w:pPr>
        <w:spacing w:after="0" w:line="143" w:lineRule="exact"/>
        <w:rPr>
          <w:sz w:val="20"/>
          <w:szCs w:val="20"/>
          <w:color w:val="auto"/>
        </w:rPr>
      </w:pPr>
    </w:p>
    <w:p>
      <w:pPr>
        <w:ind w:left="6"/>
        <w:spacing w:after="0" w:line="255" w:lineRule="auto"/>
        <w:rPr>
          <w:sz w:val="20"/>
          <w:szCs w:val="20"/>
          <w:color w:val="auto"/>
        </w:rPr>
      </w:pPr>
      <w:r>
        <w:rPr>
          <w:rFonts w:ascii="Arial" w:cs="Arial" w:eastAsia="Arial" w:hAnsi="Arial"/>
          <w:sz w:val="16"/>
          <w:szCs w:val="16"/>
          <w:i w:val="1"/>
          <w:iCs w:val="1"/>
          <w:u w:val="single" w:color="auto"/>
          <w:color w:val="auto"/>
        </w:rPr>
        <w:t>Proposal Four – Approval of Amendments to Itron’s Amended and Restated Articles of Incorporation to Make Certain Technical and Administrative Changes</w:t>
      </w:r>
      <w:r>
        <w:rPr>
          <w:rFonts w:ascii="Arial" w:cs="Arial" w:eastAsia="Arial" w:hAnsi="Arial"/>
          <w:sz w:val="16"/>
          <w:szCs w:val="16"/>
          <w:color w:val="auto"/>
        </w:rPr>
        <w:t>: The proposal will be approved if a majority of the votes entitled to be cast on this proposal are cast</w:t>
      </w:r>
      <w:r>
        <w:rPr>
          <w:rFonts w:ascii="Arial" w:cs="Arial" w:eastAsia="Arial" w:hAnsi="Arial"/>
          <w:sz w:val="16"/>
          <w:szCs w:val="16"/>
          <w:i w:val="1"/>
          <w:iCs w:val="1"/>
          <w:color w:val="auto"/>
        </w:rPr>
        <w:t xml:space="preserve"> </w:t>
      </w:r>
      <w:r>
        <w:rPr>
          <w:rFonts w:ascii="Arial" w:cs="Arial" w:eastAsia="Arial" w:hAnsi="Arial"/>
          <w:sz w:val="16"/>
          <w:szCs w:val="16"/>
          <w:color w:val="auto"/>
        </w:rPr>
        <w:t>in favor of the proposal. Abstentions from voting on this matter will count as a vote against this proposal. Brokers and other holders of record do have discretionary voting authority to vote your shares for this proposal. Therefore, there will be no broker non-votes on this proposal.</w:t>
      </w:r>
    </w:p>
    <w:p>
      <w:pPr>
        <w:spacing w:after="0" w:line="143" w:lineRule="exact"/>
        <w:rPr>
          <w:sz w:val="20"/>
          <w:szCs w:val="20"/>
          <w:color w:val="auto"/>
        </w:rPr>
      </w:pPr>
    </w:p>
    <w:p>
      <w:pPr>
        <w:ind w:left="6" w:right="40"/>
        <w:spacing w:after="0" w:line="254" w:lineRule="auto"/>
        <w:rPr>
          <w:sz w:val="20"/>
          <w:szCs w:val="20"/>
          <w:color w:val="auto"/>
        </w:rPr>
      </w:pPr>
      <w:r>
        <w:rPr>
          <w:rFonts w:ascii="Arial" w:cs="Arial" w:eastAsia="Arial" w:hAnsi="Arial"/>
          <w:sz w:val="16"/>
          <w:szCs w:val="16"/>
          <w:i w:val="1"/>
          <w:iCs w:val="1"/>
          <w:u w:val="single" w:color="auto"/>
          <w:color w:val="auto"/>
        </w:rPr>
        <w:t>Proposal Five – Approval of An Amendment to Itron’s Amended and Restated Articles of Incorporation to Include Indemnification Provisions</w:t>
      </w:r>
      <w:r>
        <w:rPr>
          <w:rFonts w:ascii="Arial" w:cs="Arial" w:eastAsia="Arial" w:hAnsi="Arial"/>
          <w:sz w:val="16"/>
          <w:szCs w:val="16"/>
          <w:color w:val="auto"/>
        </w:rPr>
        <w:t>: The proposal will be approved if a majority of the votes entitled to be cast on this proposal are cast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favor of the proposal. Abstentions from voting on this matter will count as a vote against this proposal. Brokers and other holders of record do not have discretionary voting authority to vote your shares for this proposal, absent voting instructions from you. Therefore, if you are a beneficial shareholder and do not provide voting instructions on Proposal 5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5829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5"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7" w:name="page8"/>
    <w:bookmarkEnd w:id="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8086"/>
        <w:spacing w:after="0"/>
        <w:rPr>
          <w:sz w:val="20"/>
          <w:szCs w:val="20"/>
          <w:color w:val="auto"/>
        </w:rPr>
      </w:pPr>
      <w:r>
        <w:rPr>
          <w:rFonts w:ascii="Arial" w:cs="Arial" w:eastAsia="Arial" w:hAnsi="Arial"/>
          <w:sz w:val="14"/>
          <w:szCs w:val="14"/>
          <w:color w:val="5D6673"/>
        </w:rPr>
        <w:t>Proxy Statement</w:t>
      </w:r>
    </w:p>
    <w:p>
      <w:pPr>
        <w:spacing w:after="0" w:line="104" w:lineRule="exact"/>
        <w:rPr>
          <w:sz w:val="20"/>
          <w:szCs w:val="20"/>
          <w:color w:val="auto"/>
        </w:rPr>
      </w:pPr>
    </w:p>
    <w:p>
      <w:pPr>
        <w:ind w:left="6"/>
        <w:spacing w:after="0" w:line="254" w:lineRule="auto"/>
        <w:rPr>
          <w:sz w:val="20"/>
          <w:szCs w:val="20"/>
          <w:color w:val="auto"/>
        </w:rPr>
      </w:pPr>
      <w:r>
        <w:rPr>
          <w:rFonts w:ascii="Arial" w:cs="Arial" w:eastAsia="Arial" w:hAnsi="Arial"/>
          <w:sz w:val="16"/>
          <w:szCs w:val="16"/>
          <w:i w:val="1"/>
          <w:iCs w:val="1"/>
          <w:u w:val="single" w:color="auto"/>
          <w:color w:val="auto"/>
        </w:rPr>
        <w:t>Proposal Six – Ratification of Appointment of Independent Auditor</w:t>
      </w:r>
      <w:r>
        <w:rPr>
          <w:rFonts w:ascii="Arial" w:cs="Arial" w:eastAsia="Arial" w:hAnsi="Arial"/>
          <w:sz w:val="16"/>
          <w:szCs w:val="16"/>
          <w:color w:val="auto"/>
        </w:rPr>
        <w:t>: The appointment of Deloitte &amp; Touche LLP as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independent registered public accountant for 2025 will be ratified if the majority of the votes cast are in favor of the proposal (meaning the number of votes cast “for” the proposal must exceed the number of votes cast “against” the proposal). Abstentions from voting on this matter will not be counted. Brokers and other holders of record </w:t>
      </w:r>
      <w:r>
        <w:rPr>
          <w:rFonts w:ascii="Arial" w:cs="Arial" w:eastAsia="Arial" w:hAnsi="Arial"/>
          <w:sz w:val="16"/>
          <w:szCs w:val="16"/>
          <w:i w:val="1"/>
          <w:iCs w:val="1"/>
          <w:color w:val="auto"/>
        </w:rPr>
        <w:t>do</w:t>
      </w:r>
      <w:r>
        <w:rPr>
          <w:rFonts w:ascii="Arial" w:cs="Arial" w:eastAsia="Arial" w:hAnsi="Arial"/>
          <w:sz w:val="16"/>
          <w:szCs w:val="16"/>
          <w:color w:val="auto"/>
        </w:rPr>
        <w:t xml:space="preserve"> have discretionary authority to vote shares on this matter. Therefore, there will be no broker non-votes on the ratification of the Company’s independent registered public accountant.</w:t>
      </w:r>
    </w:p>
    <w:p>
      <w:pPr>
        <w:spacing w:after="0" w:line="141" w:lineRule="exact"/>
        <w:rPr>
          <w:sz w:val="20"/>
          <w:szCs w:val="20"/>
          <w:color w:val="auto"/>
        </w:rPr>
      </w:pPr>
    </w:p>
    <w:p>
      <w:pPr>
        <w:ind w:left="6" w:right="80"/>
        <w:spacing w:after="0" w:line="259" w:lineRule="auto"/>
        <w:rPr>
          <w:sz w:val="20"/>
          <w:szCs w:val="20"/>
          <w:color w:val="auto"/>
        </w:rPr>
      </w:pPr>
      <w:r>
        <w:rPr>
          <w:rFonts w:ascii="Arial" w:cs="Arial" w:eastAsia="Arial" w:hAnsi="Arial"/>
          <w:sz w:val="16"/>
          <w:szCs w:val="16"/>
          <w:color w:val="auto"/>
        </w:rPr>
        <w:t>Unless contrary instructions are specified, if the proxy is completed and submitted (and not revoked) prior to the annual meeting, the shares represented by the proxy will be voted as follows: (i) FOR the one nominee presented under Proposal One and FOR Proposals Two, Three, Four, Five and Six; and (ii) in accordance with the best judgment of the named proxies on any other matters properly brought before the annual meeting.</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How to Vote Your Shares in Person and Participate at the Annual Meeting</w:t>
      </w:r>
    </w:p>
    <w:p>
      <w:pPr>
        <w:spacing w:after="0" w:line="90" w:lineRule="exact"/>
        <w:rPr>
          <w:sz w:val="20"/>
          <w:szCs w:val="20"/>
          <w:color w:val="auto"/>
        </w:rPr>
      </w:pPr>
    </w:p>
    <w:p>
      <w:pPr>
        <w:ind w:left="6" w:right="40"/>
        <w:spacing w:after="0" w:line="253" w:lineRule="auto"/>
        <w:rPr>
          <w:sz w:val="20"/>
          <w:szCs w:val="20"/>
          <w:color w:val="auto"/>
        </w:rPr>
      </w:pPr>
      <w:r>
        <w:rPr>
          <w:rFonts w:ascii="Arial" w:cs="Arial" w:eastAsia="Arial" w:hAnsi="Arial"/>
          <w:sz w:val="16"/>
          <w:szCs w:val="16"/>
          <w:color w:val="auto"/>
        </w:rPr>
        <w:t xml:space="preserve">This year’s annual meeting will be held entirely online. Shareholders may participate in the annual meeting by visiting the following website: </w:t>
      </w:r>
      <w:r>
        <w:rPr>
          <w:rFonts w:ascii="Arial" w:cs="Arial" w:eastAsia="Arial" w:hAnsi="Arial"/>
          <w:sz w:val="16"/>
          <w:szCs w:val="16"/>
          <w:b w:val="1"/>
          <w:bCs w:val="1"/>
          <w:color w:val="0063A6"/>
        </w:rPr>
        <w:t>www.virtualshareholdermeeting.com/ITRI2025</w:t>
      </w:r>
      <w:r>
        <w:rPr>
          <w:rFonts w:ascii="Arial" w:cs="Arial" w:eastAsia="Arial" w:hAnsi="Arial"/>
          <w:sz w:val="16"/>
          <w:szCs w:val="16"/>
          <w:color w:val="auto"/>
        </w:rPr>
        <w:t>. To participate in the meeting, you will need the 16-digit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may also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25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How to Vote Your Shares without Attending the Annual Meeting</w:t>
      </w:r>
    </w:p>
    <w:p>
      <w:pPr>
        <w:spacing w:after="0" w:line="90"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To vote your shares without attending the meeting, please follow the instructions for Internet or telephone voting on the Notice. If you request printed copies of the proxy materials by mail, you may also vote by signing and submitting your proxy card and returning it by mail, if you are the shareholder of record, or by signing the voter instruction form provided by your bank or broker and returning it by mail, if you are the beneficial owner but not the shareholder of record. This way your shares will be represented whether or not you are able to attend the meeting.</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color w:val="auto"/>
        </w:rPr>
        <w:t>You may vote your shares in one of several ways, depending on how you own your shares.</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Registered Shareholders (Shares held in your name)</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16"/>
          <w:szCs w:val="16"/>
          <w:color w:val="auto"/>
        </w:rPr>
        <w:t>Registered shareholders can vote in person, by Internet, by telephone, or by mail, by casting their vote as follows:</w:t>
      </w:r>
    </w:p>
    <w:p>
      <w:pPr>
        <w:spacing w:after="0" w:line="181" w:lineRule="exact"/>
        <w:rPr>
          <w:sz w:val="20"/>
          <w:szCs w:val="20"/>
          <w:color w:val="auto"/>
        </w:rPr>
      </w:pPr>
    </w:p>
    <w:p>
      <w:pPr>
        <w:ind w:left="346" w:right="120" w:hanging="346"/>
        <w:spacing w:after="0" w:line="286" w:lineRule="auto"/>
        <w:tabs>
          <w:tab w:leader="none" w:pos="346"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Accessing the Internet website specified in the Notice of Internet Availability and following the instructions provided on the website (or if printed copies of the proxy materials were requested, as specified in the printed proxy card);</w:t>
      </w:r>
    </w:p>
    <w:p>
      <w:pPr>
        <w:spacing w:after="0" w:line="47" w:lineRule="exact"/>
        <w:rPr>
          <w:rFonts w:ascii="Arial" w:cs="Arial" w:eastAsia="Arial" w:hAnsi="Arial"/>
          <w:sz w:val="16"/>
          <w:szCs w:val="16"/>
          <w:color w:val="auto"/>
        </w:rPr>
      </w:pPr>
    </w:p>
    <w:p>
      <w:pPr>
        <w:ind w:left="346" w:right="40" w:hanging="346"/>
        <w:spacing w:after="0" w:line="266" w:lineRule="auto"/>
        <w:tabs>
          <w:tab w:leader="none" w:pos="346" w:val="left"/>
        </w:tabs>
        <w:numPr>
          <w:ilvl w:val="0"/>
          <w:numId w:val="6"/>
        </w:numPr>
        <w:rPr>
          <w:rFonts w:ascii="Arial" w:cs="Arial" w:eastAsia="Arial" w:hAnsi="Arial"/>
          <w:sz w:val="16"/>
          <w:szCs w:val="16"/>
          <w:color w:val="auto"/>
        </w:rPr>
      </w:pPr>
      <w:r>
        <w:rPr>
          <w:rFonts w:ascii="Arial" w:cs="Arial" w:eastAsia="Arial" w:hAnsi="Arial"/>
          <w:sz w:val="16"/>
          <w:szCs w:val="16"/>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49" w:lineRule="exact"/>
        <w:rPr>
          <w:rFonts w:ascii="Arial" w:cs="Arial" w:eastAsia="Arial" w:hAnsi="Arial"/>
          <w:sz w:val="16"/>
          <w:szCs w:val="16"/>
          <w:color w:val="auto"/>
        </w:rPr>
      </w:pPr>
    </w:p>
    <w:p>
      <w:pPr>
        <w:ind w:left="346" w:hanging="346"/>
        <w:spacing w:after="0"/>
        <w:tabs>
          <w:tab w:leader="none" w:pos="346" w:val="left"/>
        </w:tabs>
        <w:numPr>
          <w:ilvl w:val="0"/>
          <w:numId w:val="6"/>
        </w:numPr>
        <w:rPr>
          <w:rFonts w:ascii="Arial" w:cs="Arial" w:eastAsia="Arial" w:hAnsi="Arial"/>
          <w:sz w:val="16"/>
          <w:szCs w:val="16"/>
          <w:color w:val="auto"/>
        </w:rPr>
      </w:pPr>
      <w:r>
        <w:rPr>
          <w:rFonts w:ascii="Arial" w:cs="Arial" w:eastAsia="Arial" w:hAnsi="Arial"/>
          <w:sz w:val="16"/>
          <w:szCs w:val="16"/>
          <w:color w:val="auto"/>
        </w:rPr>
        <w:t>Attending and voting in person at the annual meeting.</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Beneficial Shareholders (Shares held in the name of a broker, bank, or other holder of record on your behalf)</w:t>
      </w:r>
    </w:p>
    <w:p>
      <w:pPr>
        <w:spacing w:after="0" w:line="100" w:lineRule="exact"/>
        <w:rPr>
          <w:sz w:val="20"/>
          <w:szCs w:val="20"/>
          <w:color w:val="auto"/>
        </w:rPr>
      </w:pPr>
    </w:p>
    <w:p>
      <w:pPr>
        <w:ind w:left="6" w:right="120"/>
        <w:spacing w:after="0" w:line="266" w:lineRule="auto"/>
        <w:rPr>
          <w:sz w:val="20"/>
          <w:szCs w:val="20"/>
          <w:color w:val="auto"/>
        </w:rPr>
      </w:pPr>
      <w:r>
        <w:rPr>
          <w:rFonts w:ascii="Arial" w:cs="Arial" w:eastAsia="Arial" w:hAnsi="Arial"/>
          <w:sz w:val="16"/>
          <w:szCs w:val="16"/>
          <w:color w:val="auto"/>
        </w:rPr>
        <w:t>If your shares are held in the name of a broker, bank, or other nominee or holder of record, follow the voting instructions on the voting instruction form provided to you by the holder of record to vote your shares. Uninstructed shares will not be counted as votes cast except with respect to the Proposal 6, for which brokers and custodians have discretion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6" w:lineRule="exact"/>
        <w:rPr>
          <w:sz w:val="20"/>
          <w:szCs w:val="20"/>
          <w:color w:val="auto"/>
        </w:rPr>
      </w:pPr>
    </w:p>
    <w:p>
      <w:pPr>
        <w:ind w:left="46"/>
        <w:spacing w:after="0"/>
        <w:tabs>
          <w:tab w:leader="none" w:pos="3046" w:val="left"/>
          <w:tab w:leader="none" w:pos="902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8" w:name="page9"/>
    <w:bookmarkEnd w:id="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Proxy Statement</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Revocability of Proxies</w:t>
      </w:r>
    </w:p>
    <w:p>
      <w:pPr>
        <w:spacing w:after="0" w:line="72" w:lineRule="exact"/>
        <w:rPr>
          <w:sz w:val="20"/>
          <w:szCs w:val="20"/>
          <w:color w:val="auto"/>
        </w:rPr>
      </w:pPr>
    </w:p>
    <w:p>
      <w:pPr>
        <w:ind w:left="6"/>
        <w:spacing w:after="0" w:line="266" w:lineRule="auto"/>
        <w:rPr>
          <w:sz w:val="20"/>
          <w:szCs w:val="20"/>
          <w:color w:val="auto"/>
        </w:rPr>
      </w:pPr>
      <w:r>
        <w:rPr>
          <w:rFonts w:ascii="Arial" w:cs="Arial" w:eastAsia="Arial" w:hAnsi="Arial"/>
          <w:sz w:val="16"/>
          <w:szCs w:val="16"/>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63" w:lineRule="exact"/>
        <w:rPr>
          <w:sz w:val="20"/>
          <w:szCs w:val="20"/>
          <w:color w:val="auto"/>
        </w:rPr>
      </w:pPr>
    </w:p>
    <w:p>
      <w:pPr>
        <w:ind w:left="226" w:hanging="226"/>
        <w:spacing w:after="0"/>
        <w:tabs>
          <w:tab w:leader="none" w:pos="226"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submitting a later-dated proxy by mail, by Internet or by telephone for the same shares at any time before the proxy is voted;</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delivering written notice of revocation to the Corporate Secretary of the Company at any time before the vote; or</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7"/>
        </w:numPr>
        <w:rPr>
          <w:rFonts w:ascii="Arial" w:cs="Arial" w:eastAsia="Arial" w:hAnsi="Arial"/>
          <w:sz w:val="16"/>
          <w:szCs w:val="16"/>
          <w:color w:val="auto"/>
        </w:rPr>
      </w:pPr>
      <w:r>
        <w:rPr>
          <w:rFonts w:ascii="Arial" w:cs="Arial" w:eastAsia="Arial" w:hAnsi="Arial"/>
          <w:sz w:val="16"/>
          <w:szCs w:val="16"/>
          <w:color w:val="auto"/>
        </w:rPr>
        <w:t>attending the annual meeting and voting in person.</w:t>
      </w:r>
    </w:p>
    <w:p>
      <w:pPr>
        <w:spacing w:after="0" w:line="181" w:lineRule="exact"/>
        <w:rPr>
          <w:sz w:val="20"/>
          <w:szCs w:val="20"/>
          <w:color w:val="auto"/>
        </w:rPr>
      </w:pPr>
    </w:p>
    <w:p>
      <w:pPr>
        <w:ind w:left="6" w:right="60"/>
        <w:spacing w:after="0" w:line="266" w:lineRule="auto"/>
        <w:rPr>
          <w:sz w:val="20"/>
          <w:szCs w:val="20"/>
          <w:color w:val="auto"/>
        </w:rPr>
      </w:pPr>
      <w:r>
        <w:rPr>
          <w:rFonts w:ascii="Arial" w:cs="Arial" w:eastAsia="Arial" w:hAnsi="Arial"/>
          <w:sz w:val="16"/>
          <w:szCs w:val="16"/>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Proxy Solicitation</w:t>
      </w:r>
    </w:p>
    <w:p>
      <w:pPr>
        <w:spacing w:after="0" w:line="85" w:lineRule="exact"/>
        <w:rPr>
          <w:sz w:val="20"/>
          <w:szCs w:val="20"/>
          <w:color w:val="auto"/>
        </w:rPr>
      </w:pPr>
    </w:p>
    <w:p>
      <w:pPr>
        <w:ind w:left="6" w:right="160"/>
        <w:spacing w:after="0" w:line="253" w:lineRule="auto"/>
        <w:rPr>
          <w:sz w:val="20"/>
          <w:szCs w:val="20"/>
          <w:color w:val="auto"/>
        </w:rPr>
      </w:pPr>
      <w:r>
        <w:rPr>
          <w:rFonts w:ascii="Arial" w:cs="Arial" w:eastAsia="Arial" w:hAnsi="Arial"/>
          <w:sz w:val="16"/>
          <w:szCs w:val="16"/>
          <w:color w:val="auto"/>
        </w:rPr>
        <w:t>The Board of Directors is responsible for the solicitation of proxies for the annual meeting. We have retained Broadridge Financial Solutions, Inc. to assist in the distribution of proxy materials and provide voting and tabulation services. We will bear the cost of such solicitation of proxies. We pay for the cost of proxy preparation and solicitation, and we may reimburse brokerage firms and other persons representing beneficial owners of our common stock for their reasonable expenses in forwarding solicitation materials to the beneficial owners. We may solicit proxies by personal contact, mail, email or telephone. In addition, our directors, officers, and employees may also solicit proxies personally or by telephone, without additional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5829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PROPOSAL 1 – ELECTION OF DIRECTOR</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Board of Directors (Board) is divided into three classes, with each director holding office for a three-year term or until his or her successor has been duly elected and qualified, or until his or her death, resignation, or removal from office. At the annual meeting, shareholders are being asked to elect one Class 3 director for a term of three years, or until her death, resignation, or removal from office or her successor is duly elected and qualified.</w:t>
      </w:r>
    </w:p>
    <w:p>
      <w:pPr>
        <w:spacing w:after="0" w:line="137"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Unless authority is withheld, the persons named as proxies will vote for the election of the nominee listed below. If the nominee becomes unavailable to serve, the persons named as proxies will have discretionary authority to vote for a substitute nominee.</w:t>
      </w:r>
    </w:p>
    <w:p>
      <w:pPr>
        <w:spacing w:after="0" w:line="12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Board has nominated the following person for election to the Board. The nominee is currently a director and has indicated that she is willing and able to continue to serve as a director.</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Class 3 (to serve until the 2028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Diana D. Tremblay</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We have concluded that the nominee up for re-election, as well as the other directors who will continue in office, have the skills, experience, knowledge, and personal attributes that are necessary to effectively serve on our Board. As described below in their biographies and the section “ </w:t>
      </w:r>
      <w:r>
        <w:rPr>
          <w:rFonts w:ascii="Arial" w:cs="Arial" w:eastAsia="Arial" w:hAnsi="Arial"/>
          <w:sz w:val="16"/>
          <w:szCs w:val="16"/>
          <w:i w:val="1"/>
          <w:iCs w:val="1"/>
          <w:color w:val="auto"/>
        </w:rPr>
        <w:t>Director and Director Nominee Qualifications</w:t>
      </w:r>
      <w:r>
        <w:rPr>
          <w:rFonts w:ascii="Arial" w:cs="Arial" w:eastAsia="Arial" w:hAnsi="Arial"/>
          <w:sz w:val="16"/>
          <w:szCs w:val="16"/>
          <w:color w:val="auto"/>
        </w:rPr>
        <w:t>” that follows, the qualifications of our directors and director nominee support our conclusion that each of the individuals should serve as a director in light of our current business operations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80010</wp:posOffset>
            </wp:positionV>
            <wp:extent cx="248285" cy="6000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8285" cy="600075"/>
                    </a:xfrm>
                    <a:prstGeom prst="rect">
                      <a:avLst/>
                    </a:prstGeom>
                    <a:noFill/>
                  </pic:spPr>
                </pic:pic>
              </a:graphicData>
            </a:graphic>
          </wp:anchor>
        </w:drawing>
      </w:r>
    </w:p>
    <w:p>
      <w:pPr>
        <w:spacing w:after="0" w:line="308"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recommends that shareholders</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vote “FOR” the election of the</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902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582930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14"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F"/>
        </w:rPr>
        <w:t>Class 3 Director Nominee – Three Year Term That Will Expire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104775</wp:posOffset>
            </wp:positionV>
            <wp:extent cx="1663065" cy="4072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63065" cy="4072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65</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rPr>
          <w:sz w:val="20"/>
          <w:szCs w:val="20"/>
          <w:color w:val="auto"/>
        </w:rPr>
      </w:pPr>
      <w:r>
        <w:rPr>
          <w:rFonts w:ascii="Arial" w:cs="Arial" w:eastAsia="Arial" w:hAnsi="Arial"/>
          <w:sz w:val="16"/>
          <w:szCs w:val="16"/>
          <w:color w:val="auto"/>
        </w:rPr>
        <w:t>Chair of the Board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b w:val="1"/>
          <w:bCs w:val="1"/>
          <w:color w:val="5D6673"/>
        </w:rPr>
        <w:t xml:space="preserve">OTHER PREVIOUS PUBLIC DIRECTORSHIPS </w:t>
      </w:r>
      <w:r>
        <w:rPr>
          <w:rFonts w:ascii="Arial" w:cs="Arial" w:eastAsia="Arial" w:hAnsi="Arial"/>
          <w:sz w:val="17"/>
          <w:szCs w:val="17"/>
          <w:i w:val="1"/>
          <w:iCs w:val="1"/>
          <w:color w:val="5D6673"/>
        </w:rPr>
        <w:t xml:space="preserve">(within the past 5 years) </w:t>
      </w:r>
      <w:r>
        <w:rPr>
          <w:rFonts w:ascii="Arial" w:cs="Arial" w:eastAsia="Arial" w:hAnsi="Arial"/>
          <w:sz w:val="17"/>
          <w:szCs w:val="17"/>
          <w:color w:val="5D6673"/>
        </w:rPr>
        <w:t>Lightning eMotors,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Diana D. Tremblay</w:t>
      </w:r>
    </w:p>
    <w:p>
      <w:pPr>
        <w:spacing w:after="0" w:line="18" w:lineRule="exact"/>
        <w:rPr>
          <w:sz w:val="20"/>
          <w:szCs w:val="20"/>
          <w:color w:val="auto"/>
        </w:rPr>
      </w:pPr>
    </w:p>
    <w:p>
      <w:pPr>
        <w:ind w:right="2480"/>
        <w:spacing w:after="0" w:line="264" w:lineRule="auto"/>
        <w:rPr>
          <w:sz w:val="20"/>
          <w:szCs w:val="20"/>
          <w:color w:val="auto"/>
        </w:rPr>
      </w:pPr>
      <w:r>
        <w:rPr>
          <w:rFonts w:ascii="Arial" w:cs="Arial" w:eastAsia="Arial" w:hAnsi="Arial"/>
          <w:sz w:val="17"/>
          <w:szCs w:val="17"/>
          <w:i w:val="1"/>
          <w:iCs w:val="1"/>
          <w:color w:val="5D6673"/>
        </w:rPr>
        <w:t>CEO of Riverhawk Consulting, LLC Former General Motors Vice President of Manufacturing and Global Business Services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 </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Contributes valuable insights gleaned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from her leadership experience as vice president of manufacturing and of global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business services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PUBLIC BOARD AND GOVERNANCE EXPERIENCE: </w:t>
      </w:r>
      <w:r>
        <w:rPr>
          <w:rFonts w:ascii="Arial" w:cs="Arial" w:eastAsia="Arial" w:hAnsi="Arial"/>
          <w:sz w:val="16"/>
          <w:szCs w:val="16"/>
          <w:color w:val="auto"/>
        </w:rPr>
        <w:t>Applies extensive 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experience in strategy and corporate governance, from board roles and as lead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Brings expertise in managing international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operations, streamlining administrative processes worldwide, and improving global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service quality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MANUFACTURING AND SUPPLY CHAIN EXPERTISE: </w:t>
      </w:r>
      <w:r>
        <w:rPr>
          <w:rFonts w:ascii="Arial" w:cs="Arial" w:eastAsia="Arial" w:hAnsi="Arial"/>
          <w:sz w:val="16"/>
          <w:szCs w:val="16"/>
          <w:color w:val="auto"/>
        </w:rPr>
        <w:t>Draws on her rich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background in managing global manufacturing and supply chain processes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automotive industry, including deep experience in a lower margin, long lead time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cyclical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jc w:val="both"/>
        <w:ind w:left="160" w:right="700" w:hanging="170"/>
        <w:spacing w:after="0" w:line="26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40 years of operational experience with General Motors as an</w:t>
      </w:r>
      <w:r>
        <w:rPr>
          <w:rFonts w:ascii="Arial" w:cs="Arial" w:eastAsia="Arial" w:hAnsi="Arial"/>
          <w:sz w:val="16"/>
          <w:szCs w:val="16"/>
          <w:color w:val="D02A2E"/>
        </w:rPr>
        <w:t xml:space="preserve"> </w:t>
      </w:r>
      <w:r>
        <w:rPr>
          <w:rFonts w:ascii="Arial" w:cs="Arial" w:eastAsia="Arial" w:hAnsi="Arial"/>
          <w:sz w:val="16"/>
          <w:szCs w:val="16"/>
          <w:color w:val="000000"/>
        </w:rPr>
        <w:t>engineer, plant manager, head of manufacturing and lead labor relations negotiator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Served extensively in leadership positions on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158115</wp:posOffset>
            </wp:positionV>
            <wp:extent cx="5829300" cy="1405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0" cy="1405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25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5D6673"/>
              </w:rPr>
              <w:t>FINANCIAL</w:t>
            </w:r>
          </w:p>
        </w:tc>
        <w:tc>
          <w:tcPr>
            <w:tcW w:w="60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Arial" w:cs="Arial" w:eastAsia="Arial" w:hAnsi="Arial"/>
                <w:sz w:val="14"/>
                <w:szCs w:val="14"/>
                <w:b w:val="1"/>
                <w:bCs w:val="1"/>
                <w:color w:val="5D6673"/>
              </w:rPr>
              <w:t>PUBLIC BOARD</w:t>
            </w:r>
          </w:p>
        </w:tc>
        <w:tc>
          <w:tcPr>
            <w:tcW w:w="2240" w:type="dxa"/>
            <w:vAlign w:val="bottom"/>
            <w:vMerge w:val="restart"/>
          </w:tcPr>
          <w:p>
            <w:pPr>
              <w:ind w:left="92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LEADERSHIP</w:t>
            </w:r>
          </w:p>
        </w:tc>
        <w:tc>
          <w:tcPr>
            <w:tcW w:w="20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40" w:type="dxa"/>
            <w:vAlign w:val="bottom"/>
            <w:vMerge w:val="restart"/>
          </w:tcPr>
          <w:p>
            <w:pPr>
              <w:ind w:left="440"/>
              <w:spacing w:after="0"/>
              <w:rPr>
                <w:sz w:val="20"/>
                <w:szCs w:val="20"/>
                <w:color w:val="auto"/>
              </w:rPr>
            </w:pPr>
            <w:r>
              <w:rPr>
                <w:rFonts w:ascii="Arial" w:cs="Arial" w:eastAsia="Arial" w:hAnsi="Arial"/>
                <w:sz w:val="14"/>
                <w:szCs w:val="14"/>
                <w:b w:val="1"/>
                <w:bCs w:val="1"/>
                <w:color w:val="5D6673"/>
              </w:rPr>
              <w:t>AND GOVERNANCE</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5D6673"/>
              </w:rPr>
              <w:t>LITERACY/CFO</w:t>
            </w:r>
          </w:p>
        </w:tc>
        <w:tc>
          <w:tcPr>
            <w:tcW w:w="60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2240" w:type="dxa"/>
            <w:vAlign w:val="bottom"/>
            <w:vMerge w:val="restart"/>
          </w:tcPr>
          <w:p>
            <w:pPr>
              <w:ind w:left="92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tcPr>
          <w:p>
            <w:pPr>
              <w:spacing w:after="0"/>
              <w:rPr>
                <w:sz w:val="8"/>
                <w:szCs w:val="8"/>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EXPERIENCE</w:t>
            </w:r>
          </w:p>
        </w:tc>
        <w:tc>
          <w:tcPr>
            <w:tcW w:w="20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040" w:type="dxa"/>
            <w:vAlign w:val="bottom"/>
            <w:vMerge w:val="restart"/>
          </w:tcPr>
          <w:p>
            <w:pPr>
              <w:ind w:left="440"/>
              <w:spacing w:after="0"/>
              <w:rPr>
                <w:sz w:val="20"/>
                <w:szCs w:val="20"/>
                <w:color w:val="auto"/>
              </w:rPr>
            </w:pPr>
            <w:r>
              <w:rPr>
                <w:rFonts w:ascii="Arial" w:cs="Arial" w:eastAsia="Arial" w:hAnsi="Arial"/>
                <w:sz w:val="14"/>
                <w:szCs w:val="14"/>
                <w:b w:val="1"/>
                <w:bCs w:val="1"/>
                <w:color w:val="5D6673"/>
              </w:rPr>
              <w:t>EXPERIENCE</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540" w:type="dxa"/>
            <w:vAlign w:val="bottom"/>
            <w:vMerge w:val="continue"/>
            <w:shd w:val="clear" w:color="auto" w:fill="DCDEE4"/>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2000" w:type="dxa"/>
            <w:vAlign w:val="bottom"/>
            <w:vMerge w:val="restart"/>
          </w:tcPr>
          <w:p>
            <w:pPr>
              <w:ind w:left="120"/>
              <w:spacing w:after="0"/>
              <w:rPr>
                <w:sz w:val="20"/>
                <w:szCs w:val="20"/>
                <w:color w:val="auto"/>
              </w:rPr>
            </w:pPr>
            <w:r>
              <w:rPr>
                <w:rFonts w:ascii="Arial" w:cs="Arial" w:eastAsia="Arial" w:hAnsi="Arial"/>
                <w:sz w:val="14"/>
                <w:szCs w:val="14"/>
                <w:b w:val="1"/>
                <w:bCs w:val="1"/>
                <w:color w:val="5D6673"/>
              </w:rPr>
              <w:t> </w:t>
            </w:r>
          </w:p>
        </w:tc>
        <w:tc>
          <w:tcPr>
            <w:tcW w:w="60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 </w:t>
            </w:r>
          </w:p>
        </w:tc>
        <w:tc>
          <w:tcPr>
            <w:tcW w:w="2040" w:type="dxa"/>
            <w:vAlign w:val="bottom"/>
            <w:vMerge w:val="continue"/>
          </w:tcPr>
          <w:p>
            <w:pPr>
              <w:spacing w:after="0"/>
              <w:rPr>
                <w:sz w:val="8"/>
                <w:szCs w:val="8"/>
                <w:color w:val="auto"/>
              </w:rPr>
            </w:pPr>
          </w:p>
        </w:tc>
        <w:tc>
          <w:tcPr>
            <w:tcW w:w="2240" w:type="dxa"/>
            <w:vAlign w:val="bottom"/>
            <w:vMerge w:val="restart"/>
          </w:tcPr>
          <w:p>
            <w:pPr>
              <w:ind w:left="20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shd w:val="clear" w:color="auto" w:fill="DCDEE4"/>
          </w:tcPr>
          <w:p>
            <w:pPr>
              <w:spacing w:after="0"/>
              <w:rPr>
                <w:sz w:val="24"/>
                <w:szCs w:val="24"/>
                <w:color w:val="auto"/>
              </w:rPr>
            </w:pPr>
          </w:p>
        </w:tc>
        <w:tc>
          <w:tcPr>
            <w:tcW w:w="1500" w:type="dxa"/>
            <w:vAlign w:val="bottom"/>
            <w:shd w:val="clear" w:color="auto" w:fill="DCDEE4"/>
          </w:tcPr>
          <w:p>
            <w:pPr>
              <w:ind w:left="80"/>
              <w:spacing w:after="0"/>
              <w:rPr>
                <w:sz w:val="20"/>
                <w:szCs w:val="20"/>
                <w:color w:val="auto"/>
              </w:rPr>
            </w:pPr>
            <w:r>
              <w:rPr>
                <w:rFonts w:ascii="Arial" w:cs="Arial" w:eastAsia="Arial" w:hAnsi="Arial"/>
                <w:sz w:val="14"/>
                <w:szCs w:val="14"/>
                <w:b w:val="1"/>
                <w:bCs w:val="1"/>
                <w:color w:val="5D6673"/>
              </w:rPr>
              <w:t>MANUFACTURING</w:t>
            </w:r>
          </w:p>
        </w:tc>
        <w:tc>
          <w:tcPr>
            <w:tcW w:w="2000" w:type="dxa"/>
            <w:vAlign w:val="bottom"/>
            <w:vMerge w:val="restart"/>
            <w:shd w:val="clear" w:color="auto" w:fill="DCDEE4"/>
          </w:tcPr>
          <w:p>
            <w:pPr>
              <w:ind w:left="820"/>
              <w:spacing w:after="0"/>
              <w:rPr>
                <w:sz w:val="20"/>
                <w:szCs w:val="20"/>
                <w:color w:val="auto"/>
              </w:rPr>
            </w:pPr>
            <w:r>
              <w:rPr>
                <w:rFonts w:ascii="Arial" w:cs="Arial" w:eastAsia="Arial" w:hAnsi="Arial"/>
                <w:sz w:val="14"/>
                <w:szCs w:val="14"/>
                <w:b w:val="1"/>
                <w:bCs w:val="1"/>
                <w:color w:val="5D6673"/>
              </w:rPr>
              <w:t>MERGERS AND</w:t>
            </w:r>
          </w:p>
        </w:tc>
        <w:tc>
          <w:tcPr>
            <w:tcW w:w="600" w:type="dxa"/>
            <w:vAlign w:val="bottom"/>
            <w:shd w:val="clear" w:color="auto" w:fill="DCDEE4"/>
          </w:tcPr>
          <w:p>
            <w:pPr>
              <w:spacing w:after="0"/>
              <w:rPr>
                <w:sz w:val="24"/>
                <w:szCs w:val="24"/>
                <w:color w:val="auto"/>
              </w:rPr>
            </w:pPr>
          </w:p>
        </w:tc>
        <w:tc>
          <w:tcPr>
            <w:tcW w:w="2040" w:type="dxa"/>
            <w:vAlign w:val="bottom"/>
            <w:shd w:val="clear" w:color="auto" w:fill="DCDEE4"/>
          </w:tcPr>
          <w:p>
            <w:pPr>
              <w:ind w:left="440"/>
              <w:spacing w:after="0"/>
              <w:rPr>
                <w:sz w:val="20"/>
                <w:szCs w:val="20"/>
                <w:color w:val="auto"/>
              </w:rPr>
            </w:pPr>
            <w:r>
              <w:rPr>
                <w:rFonts w:ascii="Arial" w:cs="Arial" w:eastAsia="Arial" w:hAnsi="Arial"/>
                <w:sz w:val="14"/>
                <w:szCs w:val="14"/>
                <w:b w:val="1"/>
                <w:bCs w:val="1"/>
                <w:color w:val="5D6673"/>
              </w:rPr>
              <w:t>MANUFACTURING</w:t>
            </w:r>
          </w:p>
        </w:tc>
        <w:tc>
          <w:tcPr>
            <w:tcW w:w="224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50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AND/OR SUPPLY</w:t>
            </w:r>
          </w:p>
        </w:tc>
        <w:tc>
          <w:tcPr>
            <w:tcW w:w="2000" w:type="dxa"/>
            <w:vAlign w:val="bottom"/>
            <w:vMerge w:val="continue"/>
            <w:shd w:val="clear" w:color="auto" w:fill="DCDEE4"/>
          </w:tcPr>
          <w:p>
            <w:pPr>
              <w:spacing w:after="0"/>
              <w:rPr>
                <w:sz w:val="7"/>
                <w:szCs w:val="7"/>
                <w:color w:val="auto"/>
              </w:rPr>
            </w:pPr>
          </w:p>
        </w:tc>
        <w:tc>
          <w:tcPr>
            <w:tcW w:w="600" w:type="dxa"/>
            <w:vAlign w:val="bottom"/>
            <w:shd w:val="clear" w:color="auto" w:fill="DCDEE4"/>
          </w:tcPr>
          <w:p>
            <w:pPr>
              <w:spacing w:after="0"/>
              <w:rPr>
                <w:sz w:val="7"/>
                <w:szCs w:val="7"/>
                <w:color w:val="auto"/>
              </w:rPr>
            </w:pPr>
          </w:p>
        </w:tc>
        <w:tc>
          <w:tcPr>
            <w:tcW w:w="2040" w:type="dxa"/>
            <w:vAlign w:val="bottom"/>
            <w:vMerge w:val="restart"/>
            <w:shd w:val="clear" w:color="auto" w:fill="DCDEE4"/>
          </w:tcPr>
          <w:p>
            <w:pPr>
              <w:ind w:left="440"/>
              <w:spacing w:after="0"/>
              <w:rPr>
                <w:sz w:val="20"/>
                <w:szCs w:val="20"/>
                <w:color w:val="auto"/>
              </w:rPr>
            </w:pPr>
            <w:r>
              <w:rPr>
                <w:rFonts w:ascii="Arial" w:cs="Arial" w:eastAsia="Arial" w:hAnsi="Arial"/>
                <w:sz w:val="14"/>
                <w:szCs w:val="14"/>
                <w:b w:val="1"/>
                <w:bCs w:val="1"/>
                <w:color w:val="5D6673"/>
              </w:rPr>
              <w:t>IMPROVEMENT AND</w:t>
            </w:r>
          </w:p>
        </w:tc>
        <w:tc>
          <w:tcPr>
            <w:tcW w:w="22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500" w:type="dxa"/>
            <w:vAlign w:val="bottom"/>
            <w:vMerge w:val="continue"/>
            <w:shd w:val="clear" w:color="auto" w:fill="DCDEE4"/>
          </w:tcPr>
          <w:p>
            <w:pPr>
              <w:spacing w:after="0"/>
              <w:rPr>
                <w:sz w:val="7"/>
                <w:szCs w:val="7"/>
                <w:color w:val="auto"/>
              </w:rPr>
            </w:pPr>
          </w:p>
        </w:tc>
        <w:tc>
          <w:tcPr>
            <w:tcW w:w="2000" w:type="dxa"/>
            <w:vAlign w:val="bottom"/>
            <w:vMerge w:val="restart"/>
            <w:shd w:val="clear" w:color="auto" w:fill="DCDEE4"/>
          </w:tcPr>
          <w:p>
            <w:pPr>
              <w:ind w:left="820"/>
              <w:spacing w:after="0"/>
              <w:rPr>
                <w:sz w:val="20"/>
                <w:szCs w:val="20"/>
                <w:color w:val="auto"/>
              </w:rPr>
            </w:pPr>
            <w:r>
              <w:rPr>
                <w:rFonts w:ascii="Arial" w:cs="Arial" w:eastAsia="Arial" w:hAnsi="Arial"/>
                <w:sz w:val="14"/>
                <w:szCs w:val="14"/>
                <w:b w:val="1"/>
                <w:bCs w:val="1"/>
                <w:color w:val="5D6673"/>
              </w:rPr>
              <w:t>ACQUISITIONS</w:t>
            </w:r>
          </w:p>
        </w:tc>
        <w:tc>
          <w:tcPr>
            <w:tcW w:w="600" w:type="dxa"/>
            <w:vAlign w:val="bottom"/>
            <w:shd w:val="clear" w:color="auto" w:fill="DCDEE4"/>
          </w:tcPr>
          <w:p>
            <w:pPr>
              <w:spacing w:after="0"/>
              <w:rPr>
                <w:sz w:val="7"/>
                <w:szCs w:val="7"/>
                <w:color w:val="auto"/>
              </w:rPr>
            </w:pPr>
          </w:p>
        </w:tc>
        <w:tc>
          <w:tcPr>
            <w:tcW w:w="2040" w:type="dxa"/>
            <w:vAlign w:val="bottom"/>
            <w:vMerge w:val="continue"/>
            <w:shd w:val="clear" w:color="auto" w:fill="DCDEE4"/>
          </w:tcPr>
          <w:p>
            <w:pPr>
              <w:spacing w:after="0"/>
              <w:rPr>
                <w:sz w:val="7"/>
                <w:szCs w:val="7"/>
                <w:color w:val="auto"/>
              </w:rPr>
            </w:pPr>
          </w:p>
        </w:tc>
        <w:tc>
          <w:tcPr>
            <w:tcW w:w="22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shd w:val="clear" w:color="auto" w:fill="DCDEE4"/>
          </w:tcPr>
          <w:p>
            <w:pPr>
              <w:spacing w:after="0"/>
              <w:rPr>
                <w:sz w:val="9"/>
                <w:szCs w:val="9"/>
                <w:color w:val="auto"/>
              </w:rPr>
            </w:pPr>
          </w:p>
        </w:tc>
        <w:tc>
          <w:tcPr>
            <w:tcW w:w="150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CHAIN EXPERTISE</w:t>
            </w:r>
          </w:p>
        </w:tc>
        <w:tc>
          <w:tcPr>
            <w:tcW w:w="2000" w:type="dxa"/>
            <w:vAlign w:val="bottom"/>
            <w:vMerge w:val="continue"/>
            <w:shd w:val="clear" w:color="auto" w:fill="DCDEE4"/>
          </w:tcPr>
          <w:p>
            <w:pPr>
              <w:spacing w:after="0"/>
              <w:rPr>
                <w:sz w:val="9"/>
                <w:szCs w:val="9"/>
                <w:color w:val="auto"/>
              </w:rPr>
            </w:pPr>
          </w:p>
        </w:tc>
        <w:tc>
          <w:tcPr>
            <w:tcW w:w="600" w:type="dxa"/>
            <w:vAlign w:val="bottom"/>
            <w:shd w:val="clear" w:color="auto" w:fill="DCDEE4"/>
          </w:tcPr>
          <w:p>
            <w:pPr>
              <w:spacing w:after="0"/>
              <w:rPr>
                <w:sz w:val="9"/>
                <w:szCs w:val="9"/>
                <w:color w:val="auto"/>
              </w:rPr>
            </w:pPr>
          </w:p>
        </w:tc>
        <w:tc>
          <w:tcPr>
            <w:tcW w:w="2040" w:type="dxa"/>
            <w:vAlign w:val="bottom"/>
            <w:vMerge w:val="restart"/>
            <w:shd w:val="clear" w:color="auto" w:fill="DCDEE4"/>
          </w:tcPr>
          <w:p>
            <w:pPr>
              <w:ind w:left="440"/>
              <w:spacing w:after="0"/>
              <w:rPr>
                <w:sz w:val="20"/>
                <w:szCs w:val="20"/>
                <w:color w:val="auto"/>
              </w:rPr>
            </w:pPr>
            <w:r>
              <w:rPr>
                <w:rFonts w:ascii="Arial" w:cs="Arial" w:eastAsia="Arial" w:hAnsi="Arial"/>
                <w:sz w:val="14"/>
                <w:szCs w:val="14"/>
                <w:b w:val="1"/>
                <w:bCs w:val="1"/>
                <w:color w:val="5D6673"/>
              </w:rPr>
              <w:t>PROCESSES</w:t>
            </w:r>
          </w:p>
        </w:tc>
        <w:tc>
          <w:tcPr>
            <w:tcW w:w="2240" w:type="dxa"/>
            <w:vAlign w:val="bottom"/>
            <w:shd w:val="clear" w:color="auto" w:fill="DCDEE4"/>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500" w:type="dxa"/>
            <w:vAlign w:val="bottom"/>
            <w:vMerge w:val="continue"/>
            <w:shd w:val="clear" w:color="auto" w:fill="DCDEE4"/>
          </w:tcPr>
          <w:p>
            <w:pPr>
              <w:spacing w:after="0"/>
              <w:rPr>
                <w:sz w:val="7"/>
                <w:szCs w:val="7"/>
                <w:color w:val="auto"/>
              </w:rPr>
            </w:pPr>
          </w:p>
        </w:tc>
        <w:tc>
          <w:tcPr>
            <w:tcW w:w="2000" w:type="dxa"/>
            <w:vAlign w:val="bottom"/>
            <w:vMerge w:val="restart"/>
            <w:shd w:val="clear" w:color="auto" w:fill="DCDEE4"/>
          </w:tcPr>
          <w:p>
            <w:pPr>
              <w:ind w:left="120"/>
              <w:spacing w:after="0"/>
              <w:rPr>
                <w:sz w:val="20"/>
                <w:szCs w:val="20"/>
                <w:color w:val="auto"/>
              </w:rPr>
            </w:pPr>
            <w:r>
              <w:rPr>
                <w:rFonts w:ascii="Arial" w:cs="Arial" w:eastAsia="Arial" w:hAnsi="Arial"/>
                <w:sz w:val="14"/>
                <w:szCs w:val="14"/>
                <w:b w:val="1"/>
                <w:bCs w:val="1"/>
                <w:color w:val="5D6673"/>
              </w:rPr>
              <w:t> </w:t>
            </w:r>
          </w:p>
        </w:tc>
        <w:tc>
          <w:tcPr>
            <w:tcW w:w="60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2040" w:type="dxa"/>
            <w:vAlign w:val="bottom"/>
            <w:vMerge w:val="continue"/>
            <w:shd w:val="clear" w:color="auto" w:fill="DCDEE4"/>
          </w:tcPr>
          <w:p>
            <w:pPr>
              <w:spacing w:after="0"/>
              <w:rPr>
                <w:sz w:val="7"/>
                <w:szCs w:val="7"/>
                <w:color w:val="auto"/>
              </w:rPr>
            </w:pPr>
          </w:p>
        </w:tc>
        <w:tc>
          <w:tcPr>
            <w:tcW w:w="22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60" w:type="dxa"/>
            <w:vAlign w:val="bottom"/>
          </w:tcPr>
          <w:p>
            <w:pPr>
              <w:spacing w:after="0"/>
              <w:rPr>
                <w:sz w:val="9"/>
                <w:szCs w:val="9"/>
                <w:color w:val="auto"/>
              </w:rPr>
            </w:pPr>
          </w:p>
        </w:tc>
        <w:tc>
          <w:tcPr>
            <w:tcW w:w="540" w:type="dxa"/>
            <w:vAlign w:val="bottom"/>
            <w:vMerge w:val="continue"/>
            <w:shd w:val="clear" w:color="auto" w:fill="DCDEE4"/>
          </w:tcPr>
          <w:p>
            <w:pPr>
              <w:spacing w:after="0"/>
              <w:rPr>
                <w:sz w:val="9"/>
                <w:szCs w:val="9"/>
                <w:color w:val="auto"/>
              </w:rPr>
            </w:pPr>
          </w:p>
        </w:tc>
        <w:tc>
          <w:tcPr>
            <w:tcW w:w="100" w:type="dxa"/>
            <w:vAlign w:val="bottom"/>
            <w:shd w:val="clear" w:color="auto" w:fill="DCDEE4"/>
          </w:tcPr>
          <w:p>
            <w:pPr>
              <w:spacing w:after="0"/>
              <w:rPr>
                <w:sz w:val="9"/>
                <w:szCs w:val="9"/>
                <w:color w:val="auto"/>
              </w:rPr>
            </w:pPr>
          </w:p>
        </w:tc>
        <w:tc>
          <w:tcPr>
            <w:tcW w:w="1500" w:type="dxa"/>
            <w:vAlign w:val="bottom"/>
            <w:shd w:val="clear" w:color="auto" w:fill="DCDEE4"/>
          </w:tcPr>
          <w:p>
            <w:pPr>
              <w:spacing w:after="0"/>
              <w:rPr>
                <w:sz w:val="9"/>
                <w:szCs w:val="9"/>
                <w:color w:val="auto"/>
              </w:rPr>
            </w:pPr>
          </w:p>
        </w:tc>
        <w:tc>
          <w:tcPr>
            <w:tcW w:w="2000" w:type="dxa"/>
            <w:vAlign w:val="bottom"/>
            <w:vMerge w:val="continue"/>
            <w:shd w:val="clear" w:color="auto" w:fill="DCDEE4"/>
          </w:tcPr>
          <w:p>
            <w:pPr>
              <w:spacing w:after="0"/>
              <w:rPr>
                <w:sz w:val="9"/>
                <w:szCs w:val="9"/>
                <w:color w:val="auto"/>
              </w:rPr>
            </w:pPr>
          </w:p>
        </w:tc>
        <w:tc>
          <w:tcPr>
            <w:tcW w:w="600" w:type="dxa"/>
            <w:vAlign w:val="bottom"/>
            <w:vMerge w:val="continue"/>
            <w:shd w:val="clear" w:color="auto" w:fill="DCDEE4"/>
          </w:tcPr>
          <w:p>
            <w:pPr>
              <w:spacing w:after="0"/>
              <w:rPr>
                <w:sz w:val="9"/>
                <w:szCs w:val="9"/>
                <w:color w:val="auto"/>
              </w:rPr>
            </w:pPr>
          </w:p>
        </w:tc>
        <w:tc>
          <w:tcPr>
            <w:tcW w:w="2040" w:type="dxa"/>
            <w:vAlign w:val="bottom"/>
            <w:shd w:val="clear" w:color="auto" w:fill="DCDEE4"/>
          </w:tcPr>
          <w:p>
            <w:pPr>
              <w:spacing w:after="0"/>
              <w:rPr>
                <w:sz w:val="9"/>
                <w:szCs w:val="9"/>
                <w:color w:val="auto"/>
              </w:rPr>
            </w:pPr>
          </w:p>
        </w:tc>
        <w:tc>
          <w:tcPr>
            <w:tcW w:w="2240" w:type="dxa"/>
            <w:vAlign w:val="bottom"/>
            <w:shd w:val="clear" w:color="auto" w:fill="DCDEE4"/>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00" w:type="dxa"/>
            <w:vAlign w:val="bottom"/>
            <w:shd w:val="clear" w:color="auto" w:fill="DCDEE4"/>
          </w:tcPr>
          <w:p>
            <w:pPr>
              <w:spacing w:after="0"/>
              <w:rPr>
                <w:sz w:val="10"/>
                <w:szCs w:val="10"/>
                <w:color w:val="auto"/>
              </w:rPr>
            </w:pPr>
          </w:p>
        </w:tc>
        <w:tc>
          <w:tcPr>
            <w:tcW w:w="1500" w:type="dxa"/>
            <w:vAlign w:val="bottom"/>
            <w:shd w:val="clear" w:color="auto" w:fill="DCDEE4"/>
          </w:tcPr>
          <w:p>
            <w:pPr>
              <w:spacing w:after="0"/>
              <w:rPr>
                <w:sz w:val="10"/>
                <w:szCs w:val="10"/>
                <w:color w:val="auto"/>
              </w:rPr>
            </w:pPr>
          </w:p>
        </w:tc>
        <w:tc>
          <w:tcPr>
            <w:tcW w:w="2000" w:type="dxa"/>
            <w:vAlign w:val="bottom"/>
            <w:shd w:val="clear" w:color="auto" w:fill="DCDEE4"/>
          </w:tcPr>
          <w:p>
            <w:pPr>
              <w:spacing w:after="0"/>
              <w:rPr>
                <w:sz w:val="10"/>
                <w:szCs w:val="10"/>
                <w:color w:val="auto"/>
              </w:rPr>
            </w:pPr>
          </w:p>
        </w:tc>
        <w:tc>
          <w:tcPr>
            <w:tcW w:w="600" w:type="dxa"/>
            <w:vAlign w:val="bottom"/>
            <w:shd w:val="clear" w:color="auto" w:fill="DCDEE4"/>
          </w:tcPr>
          <w:p>
            <w:pPr>
              <w:spacing w:after="0"/>
              <w:rPr>
                <w:sz w:val="10"/>
                <w:szCs w:val="10"/>
                <w:color w:val="auto"/>
              </w:rPr>
            </w:pPr>
          </w:p>
        </w:tc>
        <w:tc>
          <w:tcPr>
            <w:tcW w:w="2040" w:type="dxa"/>
            <w:vAlign w:val="bottom"/>
            <w:shd w:val="clear" w:color="auto" w:fill="DCDEE4"/>
          </w:tcPr>
          <w:p>
            <w:pPr>
              <w:spacing w:after="0"/>
              <w:rPr>
                <w:sz w:val="10"/>
                <w:szCs w:val="10"/>
                <w:color w:val="auto"/>
              </w:rPr>
            </w:pPr>
          </w:p>
        </w:tc>
        <w:tc>
          <w:tcPr>
            <w:tcW w:w="224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00" w:type="dxa"/>
            <w:vAlign w:val="bottom"/>
            <w:tcBorders>
              <w:bottom w:val="single" w:sz="8" w:color="D02A2E"/>
            </w:tcBorders>
          </w:tcPr>
          <w:p>
            <w:pPr>
              <w:spacing w:after="0"/>
              <w:rPr>
                <w:sz w:val="18"/>
                <w:szCs w:val="18"/>
                <w:color w:val="auto"/>
              </w:rPr>
            </w:pPr>
          </w:p>
        </w:tc>
        <w:tc>
          <w:tcPr>
            <w:tcW w:w="1500" w:type="dxa"/>
            <w:vAlign w:val="bottom"/>
            <w:tcBorders>
              <w:bottom w:val="single" w:sz="8" w:color="D02A2E"/>
            </w:tcBorders>
          </w:tcPr>
          <w:p>
            <w:pPr>
              <w:spacing w:after="0"/>
              <w:rPr>
                <w:sz w:val="18"/>
                <w:szCs w:val="18"/>
                <w:color w:val="auto"/>
              </w:rPr>
            </w:pPr>
          </w:p>
        </w:tc>
        <w:tc>
          <w:tcPr>
            <w:tcW w:w="2000" w:type="dxa"/>
            <w:vAlign w:val="bottom"/>
            <w:tcBorders>
              <w:bottom w:val="single" w:sz="8" w:color="D02A2E"/>
            </w:tcBorders>
          </w:tcPr>
          <w:p>
            <w:pPr>
              <w:spacing w:after="0"/>
              <w:rPr>
                <w:sz w:val="18"/>
                <w:szCs w:val="18"/>
                <w:color w:val="auto"/>
              </w:rPr>
            </w:pPr>
          </w:p>
        </w:tc>
        <w:tc>
          <w:tcPr>
            <w:tcW w:w="600" w:type="dxa"/>
            <w:vAlign w:val="bottom"/>
            <w:tcBorders>
              <w:bottom w:val="single" w:sz="8" w:color="D02A2E"/>
            </w:tcBorders>
          </w:tcPr>
          <w:p>
            <w:pPr>
              <w:spacing w:after="0"/>
              <w:rPr>
                <w:sz w:val="18"/>
                <w:szCs w:val="18"/>
                <w:color w:val="auto"/>
              </w:rPr>
            </w:pPr>
          </w:p>
        </w:tc>
        <w:tc>
          <w:tcPr>
            <w:tcW w:w="2040" w:type="dxa"/>
            <w:vAlign w:val="bottom"/>
            <w:tcBorders>
              <w:bottom w:val="single" w:sz="8" w:color="D02A2E"/>
            </w:tcBorders>
          </w:tcPr>
          <w:p>
            <w:pPr>
              <w:spacing w:after="0"/>
              <w:rPr>
                <w:sz w:val="18"/>
                <w:szCs w:val="18"/>
                <w:color w:val="auto"/>
              </w:rPr>
            </w:pPr>
          </w:p>
        </w:tc>
        <w:tc>
          <w:tcPr>
            <w:tcW w:w="224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588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82930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Current Class 2 Directors – Directors with Terms That Will Expire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183515</wp:posOffset>
            </wp:positionV>
            <wp:extent cx="1663065" cy="3686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63065" cy="368617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58</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No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b w:val="1"/>
          <w:bCs w:val="1"/>
          <w:color w:val="5D6673"/>
        </w:rPr>
        <w:t>OTHER CURRENT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Onsemi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Thomas L. Deitrich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President and CEO of Itron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Enriches the board with more than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 years of executive experience in the global technology industry and informed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perspective as CEO of Itron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b w:val="1"/>
          <w:bCs w:val="1"/>
          <w:color w:val="auto"/>
        </w:rPr>
        <w:t xml:space="preserve">INDUSTRY EXPERIENCE: </w:t>
      </w:r>
      <w:r>
        <w:rPr>
          <w:rFonts w:ascii="Arial" w:cs="Arial" w:eastAsia="Arial" w:hAnsi="Arial"/>
          <w:sz w:val="16"/>
          <w:szCs w:val="16"/>
          <w:color w:val="auto"/>
        </w:rPr>
        <w:t>As CEO, brings crucial utility insights into Itron’s global</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finances and product development from a management view  </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MANUFACTURING AND/OR SUPPLY CHAIN EXPERIENCE: </w:t>
      </w:r>
      <w:r>
        <w:rPr>
          <w:rFonts w:ascii="Arial" w:cs="Arial" w:eastAsia="Arial" w:hAnsi="Arial"/>
          <w:sz w:val="16"/>
          <w:szCs w:val="16"/>
          <w:color w:val="auto"/>
        </w:rPr>
        <w:t>Leverages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extensive expertise in manufacturing and supply chain management in 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machinery industries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Offers a rich executive background in 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business, with roles in business development and product research, development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manufacturing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5" w:lineRule="exact"/>
        <w:rPr>
          <w:sz w:val="20"/>
          <w:szCs w:val="20"/>
          <w:color w:val="auto"/>
        </w:rPr>
      </w:pPr>
    </w:p>
    <w:p>
      <w:pPr>
        <w:ind w:left="160" w:right="66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Technology industry executive with extensive experience in industrial IoT,</w:t>
      </w:r>
      <w:r>
        <w:rPr>
          <w:rFonts w:ascii="Arial" w:cs="Arial" w:eastAsia="Arial" w:hAnsi="Arial"/>
          <w:sz w:val="16"/>
          <w:szCs w:val="16"/>
          <w:color w:val="D02A2E"/>
        </w:rPr>
        <w:t xml:space="preserve"> </w:t>
      </w:r>
      <w:r>
        <w:rPr>
          <w:rFonts w:ascii="Arial" w:cs="Arial" w:eastAsia="Arial" w:hAnsi="Arial"/>
          <w:sz w:val="16"/>
          <w:szCs w:val="16"/>
          <w:color w:val="000000"/>
        </w:rPr>
        <w:t>networking and smart utility management</w:t>
      </w:r>
    </w:p>
    <w:p>
      <w:pPr>
        <w:spacing w:after="0" w:line="34" w:lineRule="exact"/>
        <w:rPr>
          <w:sz w:val="20"/>
          <w:szCs w:val="20"/>
          <w:color w:val="auto"/>
        </w:rPr>
      </w:pPr>
    </w:p>
    <w:p>
      <w:pPr>
        <w:ind w:left="160" w:right="480" w:hanging="170"/>
        <w:spacing w:after="0" w:line="26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Expertise in product management, research and development, supply chain</w:t>
      </w:r>
      <w:r>
        <w:rPr>
          <w:rFonts w:ascii="Arial" w:cs="Arial" w:eastAsia="Arial" w:hAnsi="Arial"/>
          <w:sz w:val="16"/>
          <w:szCs w:val="16"/>
          <w:color w:val="D02A2E"/>
        </w:rPr>
        <w:t xml:space="preserve"> </w:t>
      </w:r>
      <w:r>
        <w:rPr>
          <w:rFonts w:ascii="Arial" w:cs="Arial" w:eastAsia="Arial" w:hAnsi="Arial"/>
          <w:sz w:val="16"/>
          <w:szCs w:val="16"/>
          <w:color w:val="000000"/>
        </w:rPr>
        <w:t>management and business development in several industries, including industrial equipment, telecommunications and semiconductors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117475</wp:posOffset>
            </wp:positionV>
            <wp:extent cx="5829300" cy="1997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9300" cy="1997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EXECUTIVE</w:t>
            </w:r>
          </w:p>
        </w:tc>
        <w:tc>
          <w:tcPr>
            <w:tcW w:w="460" w:type="dxa"/>
            <w:vAlign w:val="bottom"/>
          </w:tcPr>
          <w:p>
            <w:pPr>
              <w:spacing w:after="0"/>
              <w:rPr>
                <w:sz w:val="24"/>
                <w:szCs w:val="24"/>
                <w:color w:val="auto"/>
              </w:rPr>
            </w:pPr>
          </w:p>
        </w:tc>
        <w:tc>
          <w:tcPr>
            <w:tcW w:w="18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FINANCIAL</w:t>
            </w:r>
          </w:p>
        </w:tc>
        <w:tc>
          <w:tcPr>
            <w:tcW w:w="260" w:type="dxa"/>
            <w:vAlign w:val="bottom"/>
          </w:tcPr>
          <w:p>
            <w:pPr>
              <w:spacing w:after="0"/>
              <w:rPr>
                <w:sz w:val="24"/>
                <w:szCs w:val="24"/>
                <w:color w:val="auto"/>
              </w:rPr>
            </w:pPr>
          </w:p>
        </w:tc>
        <w:tc>
          <w:tcPr>
            <w:tcW w:w="2220" w:type="dxa"/>
            <w:vAlign w:val="bottom"/>
          </w:tcPr>
          <w:p>
            <w:pPr>
              <w:ind w:left="680"/>
              <w:spacing w:after="0"/>
              <w:rPr>
                <w:sz w:val="20"/>
                <w:szCs w:val="20"/>
                <w:color w:val="auto"/>
              </w:rPr>
            </w:pPr>
            <w:r>
              <w:rPr>
                <w:rFonts w:ascii="Arial" w:cs="Arial" w:eastAsia="Arial" w:hAnsi="Arial"/>
                <w:sz w:val="14"/>
                <w:szCs w:val="14"/>
                <w:b w:val="1"/>
                <w:bCs w:val="1"/>
                <w:color w:val="auto"/>
              </w:rPr>
              <w:t>PUBLIC BOARD</w:t>
            </w:r>
          </w:p>
        </w:tc>
        <w:tc>
          <w:tcPr>
            <w:tcW w:w="25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LEADERSHIP</w:t>
            </w:r>
          </w:p>
        </w:tc>
        <w:tc>
          <w:tcPr>
            <w:tcW w:w="4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AND GOVERNANCE</w:t>
            </w: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18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LITERACY/CFO</w:t>
            </w:r>
          </w:p>
        </w:tc>
        <w:tc>
          <w:tcPr>
            <w:tcW w:w="26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25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EXPERTISE</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EXPERIENCE</w:t>
            </w:r>
          </w:p>
        </w:tc>
        <w:tc>
          <w:tcPr>
            <w:tcW w:w="4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EXPERIENCE</w:t>
            </w: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54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w:t>
            </w:r>
          </w:p>
        </w:tc>
        <w:tc>
          <w:tcPr>
            <w:tcW w:w="1820" w:type="dxa"/>
            <w:vAlign w:val="bottom"/>
          </w:tcPr>
          <w:p>
            <w:pPr>
              <w:spacing w:after="0"/>
              <w:rPr>
                <w:sz w:val="10"/>
                <w:szCs w:val="10"/>
                <w:color w:val="auto"/>
              </w:rPr>
            </w:pPr>
          </w:p>
        </w:tc>
        <w:tc>
          <w:tcPr>
            <w:tcW w:w="2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w:t>
            </w:r>
          </w:p>
        </w:tc>
        <w:tc>
          <w:tcPr>
            <w:tcW w:w="2220" w:type="dxa"/>
            <w:vAlign w:val="bottom"/>
            <w:vMerge w:val="continue"/>
          </w:tcPr>
          <w:p>
            <w:pPr>
              <w:spacing w:after="0"/>
              <w:rPr>
                <w:sz w:val="10"/>
                <w:szCs w:val="10"/>
                <w:color w:val="auto"/>
              </w:rPr>
            </w:pPr>
          </w:p>
        </w:tc>
        <w:tc>
          <w:tcPr>
            <w:tcW w:w="25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60" w:type="dxa"/>
            <w:vAlign w:val="bottom"/>
            <w:shd w:val="clear" w:color="auto" w:fill="DCDEE4"/>
          </w:tcPr>
          <w:p>
            <w:pPr>
              <w:spacing w:after="0"/>
              <w:rPr>
                <w:sz w:val="24"/>
                <w:szCs w:val="24"/>
                <w:color w:val="auto"/>
              </w:rPr>
            </w:pPr>
          </w:p>
        </w:tc>
        <w:tc>
          <w:tcPr>
            <w:tcW w:w="1200" w:type="dxa"/>
            <w:vAlign w:val="bottom"/>
            <w:gridSpan w:val="2"/>
            <w:vMerge w:val="restart"/>
            <w:shd w:val="clear" w:color="auto" w:fill="DCDEE4"/>
          </w:tcPr>
          <w:p>
            <w:pPr>
              <w:ind w:left="80"/>
              <w:spacing w:after="0"/>
              <w:rPr>
                <w:sz w:val="20"/>
                <w:szCs w:val="20"/>
                <w:color w:val="auto"/>
              </w:rPr>
            </w:pPr>
            <w:r>
              <w:rPr>
                <w:rFonts w:ascii="Arial" w:cs="Arial" w:eastAsia="Arial" w:hAnsi="Arial"/>
                <w:sz w:val="14"/>
                <w:szCs w:val="14"/>
                <w:b w:val="1"/>
                <w:bCs w:val="1"/>
                <w:color w:val="auto"/>
              </w:rPr>
              <w:t>GLOBAL</w:t>
            </w:r>
          </w:p>
        </w:tc>
        <w:tc>
          <w:tcPr>
            <w:tcW w:w="460" w:type="dxa"/>
            <w:vAlign w:val="bottom"/>
            <w:shd w:val="clear" w:color="auto" w:fill="DCDEE4"/>
          </w:tcPr>
          <w:p>
            <w:pPr>
              <w:spacing w:after="0"/>
              <w:rPr>
                <w:sz w:val="24"/>
                <w:szCs w:val="24"/>
                <w:color w:val="auto"/>
              </w:rPr>
            </w:pPr>
          </w:p>
        </w:tc>
        <w:tc>
          <w:tcPr>
            <w:tcW w:w="1820" w:type="dxa"/>
            <w:vAlign w:val="bottom"/>
            <w:shd w:val="clear" w:color="auto" w:fill="DCDEE4"/>
          </w:tcPr>
          <w:p>
            <w:pPr>
              <w:ind w:left="320"/>
              <w:spacing w:after="0"/>
              <w:rPr>
                <w:sz w:val="20"/>
                <w:szCs w:val="20"/>
                <w:color w:val="auto"/>
              </w:rPr>
            </w:pPr>
            <w:r>
              <w:rPr>
                <w:rFonts w:ascii="Arial" w:cs="Arial" w:eastAsia="Arial" w:hAnsi="Arial"/>
                <w:sz w:val="14"/>
                <w:szCs w:val="14"/>
                <w:b w:val="1"/>
                <w:bCs w:val="1"/>
                <w:color w:val="auto"/>
              </w:rPr>
              <w:t>MANUFACTURING</w:t>
            </w:r>
          </w:p>
        </w:tc>
        <w:tc>
          <w:tcPr>
            <w:tcW w:w="260" w:type="dxa"/>
            <w:vAlign w:val="bottom"/>
            <w:shd w:val="clear" w:color="auto" w:fill="DCDEE4"/>
          </w:tcPr>
          <w:p>
            <w:pPr>
              <w:spacing w:after="0"/>
              <w:rPr>
                <w:sz w:val="24"/>
                <w:szCs w:val="24"/>
                <w:color w:val="auto"/>
              </w:rPr>
            </w:pPr>
          </w:p>
        </w:tc>
        <w:tc>
          <w:tcPr>
            <w:tcW w:w="222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auto"/>
              </w:rPr>
              <w:t>PRODUCT</w:t>
            </w:r>
          </w:p>
        </w:tc>
        <w:tc>
          <w:tcPr>
            <w:tcW w:w="2500" w:type="dxa"/>
            <w:vAlign w:val="bottom"/>
            <w:vMerge w:val="restart"/>
            <w:shd w:val="clear" w:color="auto" w:fill="DCDEE4"/>
          </w:tcPr>
          <w:p>
            <w:pPr>
              <w:ind w:left="920"/>
              <w:spacing w:after="0"/>
              <w:rPr>
                <w:sz w:val="20"/>
                <w:szCs w:val="20"/>
                <w:color w:val="auto"/>
              </w:rPr>
            </w:pPr>
            <w:r>
              <w:rPr>
                <w:rFonts w:ascii="Arial" w:cs="Arial" w:eastAsia="Arial" w:hAnsi="Arial"/>
                <w:sz w:val="14"/>
                <w:szCs w:val="14"/>
                <w:b w:val="1"/>
                <w:bCs w:val="1"/>
                <w:color w:val="auto"/>
              </w:rPr>
              <w:t>MARKETING/SALES</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60" w:type="dxa"/>
            <w:vAlign w:val="bottom"/>
            <w:shd w:val="clear" w:color="auto" w:fill="DCDEE4"/>
          </w:tcPr>
          <w:p>
            <w:pPr>
              <w:spacing w:after="0"/>
              <w:rPr>
                <w:sz w:val="7"/>
                <w:szCs w:val="7"/>
                <w:color w:val="auto"/>
              </w:rPr>
            </w:pPr>
          </w:p>
        </w:tc>
        <w:tc>
          <w:tcPr>
            <w:tcW w:w="1200" w:type="dxa"/>
            <w:vAlign w:val="bottom"/>
            <w:gridSpan w:val="2"/>
            <w:vMerge w:val="continue"/>
            <w:shd w:val="clear" w:color="auto" w:fill="DCDEE4"/>
          </w:tcPr>
          <w:p>
            <w:pPr>
              <w:spacing w:after="0"/>
              <w:rPr>
                <w:sz w:val="7"/>
                <w:szCs w:val="7"/>
                <w:color w:val="auto"/>
              </w:rPr>
            </w:pPr>
          </w:p>
        </w:tc>
        <w:tc>
          <w:tcPr>
            <w:tcW w:w="460" w:type="dxa"/>
            <w:vAlign w:val="bottom"/>
            <w:shd w:val="clear" w:color="auto" w:fill="DCDEE4"/>
          </w:tcPr>
          <w:p>
            <w:pPr>
              <w:spacing w:after="0"/>
              <w:rPr>
                <w:sz w:val="7"/>
                <w:szCs w:val="7"/>
                <w:color w:val="auto"/>
              </w:rPr>
            </w:pPr>
          </w:p>
        </w:tc>
        <w:tc>
          <w:tcPr>
            <w:tcW w:w="1820" w:type="dxa"/>
            <w:vAlign w:val="bottom"/>
            <w:vMerge w:val="restart"/>
            <w:shd w:val="clear" w:color="auto" w:fill="DCDEE4"/>
          </w:tcPr>
          <w:p>
            <w:pPr>
              <w:ind w:left="320"/>
              <w:spacing w:after="0"/>
              <w:rPr>
                <w:sz w:val="20"/>
                <w:szCs w:val="20"/>
                <w:color w:val="auto"/>
              </w:rPr>
            </w:pPr>
            <w:r>
              <w:rPr>
                <w:rFonts w:ascii="Arial" w:cs="Arial" w:eastAsia="Arial" w:hAnsi="Arial"/>
                <w:sz w:val="14"/>
                <w:szCs w:val="14"/>
                <w:b w:val="1"/>
                <w:bCs w:val="1"/>
                <w:color w:val="auto"/>
              </w:rPr>
              <w:t>AND/OR SUPPLY</w:t>
            </w:r>
          </w:p>
        </w:tc>
        <w:tc>
          <w:tcPr>
            <w:tcW w:w="260" w:type="dxa"/>
            <w:vAlign w:val="bottom"/>
            <w:shd w:val="clear" w:color="auto" w:fill="DCDEE4"/>
          </w:tcPr>
          <w:p>
            <w:pPr>
              <w:spacing w:after="0"/>
              <w:rPr>
                <w:sz w:val="7"/>
                <w:szCs w:val="7"/>
                <w:color w:val="auto"/>
              </w:rPr>
            </w:pPr>
          </w:p>
        </w:tc>
        <w:tc>
          <w:tcPr>
            <w:tcW w:w="2220" w:type="dxa"/>
            <w:vAlign w:val="bottom"/>
            <w:vMerge w:val="continue"/>
            <w:shd w:val="clear" w:color="auto" w:fill="DCDEE4"/>
          </w:tcPr>
          <w:p>
            <w:pPr>
              <w:spacing w:after="0"/>
              <w:rPr>
                <w:sz w:val="7"/>
                <w:szCs w:val="7"/>
                <w:color w:val="auto"/>
              </w:rPr>
            </w:pPr>
          </w:p>
        </w:tc>
        <w:tc>
          <w:tcPr>
            <w:tcW w:w="250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60" w:type="dxa"/>
            <w:vAlign w:val="bottom"/>
            <w:shd w:val="clear" w:color="auto" w:fill="DCDEE4"/>
          </w:tcPr>
          <w:p>
            <w:pPr>
              <w:spacing w:after="0"/>
              <w:rPr>
                <w:sz w:val="7"/>
                <w:szCs w:val="7"/>
                <w:color w:val="auto"/>
              </w:rPr>
            </w:pPr>
          </w:p>
        </w:tc>
        <w:tc>
          <w:tcPr>
            <w:tcW w:w="1200" w:type="dxa"/>
            <w:vAlign w:val="bottom"/>
            <w:gridSpan w:val="2"/>
            <w:vMerge w:val="restart"/>
            <w:shd w:val="clear" w:color="auto" w:fill="DCDEE4"/>
          </w:tcPr>
          <w:p>
            <w:pPr>
              <w:ind w:left="80"/>
              <w:spacing w:after="0"/>
              <w:rPr>
                <w:sz w:val="20"/>
                <w:szCs w:val="20"/>
                <w:color w:val="auto"/>
              </w:rPr>
            </w:pPr>
            <w:r>
              <w:rPr>
                <w:rFonts w:ascii="Arial" w:cs="Arial" w:eastAsia="Arial" w:hAnsi="Arial"/>
                <w:sz w:val="14"/>
                <w:szCs w:val="14"/>
                <w:b w:val="1"/>
                <w:bCs w:val="1"/>
                <w:color w:val="auto"/>
              </w:rPr>
              <w:t>EXPERIENCE</w:t>
            </w:r>
          </w:p>
        </w:tc>
        <w:tc>
          <w:tcPr>
            <w:tcW w:w="460" w:type="dxa"/>
            <w:vAlign w:val="bottom"/>
            <w:shd w:val="clear" w:color="auto" w:fill="DCDEE4"/>
          </w:tcPr>
          <w:p>
            <w:pPr>
              <w:spacing w:after="0"/>
              <w:rPr>
                <w:sz w:val="7"/>
                <w:szCs w:val="7"/>
                <w:color w:val="auto"/>
              </w:rPr>
            </w:pPr>
          </w:p>
        </w:tc>
        <w:tc>
          <w:tcPr>
            <w:tcW w:w="1820" w:type="dxa"/>
            <w:vAlign w:val="bottom"/>
            <w:vMerge w:val="continue"/>
            <w:shd w:val="clear" w:color="auto" w:fill="DCDEE4"/>
          </w:tcPr>
          <w:p>
            <w:pPr>
              <w:spacing w:after="0"/>
              <w:rPr>
                <w:sz w:val="7"/>
                <w:szCs w:val="7"/>
                <w:color w:val="auto"/>
              </w:rPr>
            </w:pPr>
          </w:p>
        </w:tc>
        <w:tc>
          <w:tcPr>
            <w:tcW w:w="260" w:type="dxa"/>
            <w:vAlign w:val="bottom"/>
            <w:shd w:val="clear" w:color="auto" w:fill="DCDEE4"/>
          </w:tcPr>
          <w:p>
            <w:pPr>
              <w:spacing w:after="0"/>
              <w:rPr>
                <w:sz w:val="7"/>
                <w:szCs w:val="7"/>
                <w:color w:val="auto"/>
              </w:rPr>
            </w:pPr>
          </w:p>
        </w:tc>
        <w:tc>
          <w:tcPr>
            <w:tcW w:w="222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auto"/>
              </w:rPr>
              <w:t>TECHNOLOGY</w:t>
            </w:r>
          </w:p>
        </w:tc>
        <w:tc>
          <w:tcPr>
            <w:tcW w:w="2500" w:type="dxa"/>
            <w:vAlign w:val="bottom"/>
            <w:vMerge w:val="restart"/>
            <w:shd w:val="clear" w:color="auto" w:fill="DCDEE4"/>
          </w:tcPr>
          <w:p>
            <w:pPr>
              <w:ind w:left="920"/>
              <w:spacing w:after="0"/>
              <w:rPr>
                <w:sz w:val="20"/>
                <w:szCs w:val="20"/>
                <w:color w:val="auto"/>
              </w:rPr>
            </w:pPr>
            <w:r>
              <w:rPr>
                <w:rFonts w:ascii="Arial" w:cs="Arial" w:eastAsia="Arial" w:hAnsi="Arial"/>
                <w:sz w:val="14"/>
                <w:szCs w:val="14"/>
                <w:b w:val="1"/>
                <w:bCs w:val="1"/>
                <w:color w:val="auto"/>
              </w:rPr>
              <w:t>EXPERTISE</w:t>
            </w: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54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auto"/>
              </w:rPr>
              <w:t> </w:t>
            </w:r>
          </w:p>
        </w:tc>
        <w:tc>
          <w:tcPr>
            <w:tcW w:w="60" w:type="dxa"/>
            <w:vAlign w:val="bottom"/>
            <w:shd w:val="clear" w:color="auto" w:fill="DCDEE4"/>
          </w:tcPr>
          <w:p>
            <w:pPr>
              <w:spacing w:after="0"/>
              <w:rPr>
                <w:sz w:val="10"/>
                <w:szCs w:val="10"/>
                <w:color w:val="auto"/>
              </w:rPr>
            </w:pPr>
          </w:p>
        </w:tc>
        <w:tc>
          <w:tcPr>
            <w:tcW w:w="1200" w:type="dxa"/>
            <w:vAlign w:val="bottom"/>
            <w:gridSpan w:val="2"/>
            <w:vMerge w:val="continue"/>
            <w:shd w:val="clear" w:color="auto" w:fill="DCDEE4"/>
          </w:tcPr>
          <w:p>
            <w:pPr>
              <w:spacing w:after="0"/>
              <w:rPr>
                <w:sz w:val="10"/>
                <w:szCs w:val="10"/>
                <w:color w:val="auto"/>
              </w:rPr>
            </w:pPr>
          </w:p>
        </w:tc>
        <w:tc>
          <w:tcPr>
            <w:tcW w:w="46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auto"/>
              </w:rPr>
              <w:t> </w:t>
            </w:r>
          </w:p>
        </w:tc>
        <w:tc>
          <w:tcPr>
            <w:tcW w:w="1820" w:type="dxa"/>
            <w:vAlign w:val="bottom"/>
            <w:vMerge w:val="restart"/>
            <w:shd w:val="clear" w:color="auto" w:fill="DCDEE4"/>
          </w:tcPr>
          <w:p>
            <w:pPr>
              <w:ind w:left="320"/>
              <w:spacing w:after="0"/>
              <w:rPr>
                <w:sz w:val="20"/>
                <w:szCs w:val="20"/>
                <w:color w:val="auto"/>
              </w:rPr>
            </w:pPr>
            <w:r>
              <w:rPr>
                <w:rFonts w:ascii="Arial" w:cs="Arial" w:eastAsia="Arial" w:hAnsi="Arial"/>
                <w:sz w:val="14"/>
                <w:szCs w:val="14"/>
                <w:b w:val="1"/>
                <w:bCs w:val="1"/>
                <w:color w:val="auto"/>
              </w:rPr>
              <w:t>CHAIN EXPERTISE</w:t>
            </w:r>
          </w:p>
        </w:tc>
        <w:tc>
          <w:tcPr>
            <w:tcW w:w="260" w:type="dxa"/>
            <w:vAlign w:val="bottom"/>
            <w:shd w:val="clear" w:color="auto" w:fill="DCDEE4"/>
          </w:tcPr>
          <w:p>
            <w:pPr>
              <w:spacing w:after="0"/>
              <w:rPr>
                <w:sz w:val="10"/>
                <w:szCs w:val="10"/>
                <w:color w:val="auto"/>
              </w:rPr>
            </w:pPr>
          </w:p>
        </w:tc>
        <w:tc>
          <w:tcPr>
            <w:tcW w:w="2220" w:type="dxa"/>
            <w:vAlign w:val="bottom"/>
            <w:vMerge w:val="continue"/>
            <w:shd w:val="clear" w:color="auto" w:fill="DCDEE4"/>
          </w:tcPr>
          <w:p>
            <w:pPr>
              <w:spacing w:after="0"/>
              <w:rPr>
                <w:sz w:val="10"/>
                <w:szCs w:val="10"/>
                <w:color w:val="auto"/>
              </w:rPr>
            </w:pPr>
          </w:p>
        </w:tc>
        <w:tc>
          <w:tcPr>
            <w:tcW w:w="2500" w:type="dxa"/>
            <w:vAlign w:val="bottom"/>
            <w:vMerge w:val="continue"/>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60" w:type="dxa"/>
            <w:vAlign w:val="bottom"/>
            <w:shd w:val="clear" w:color="auto" w:fill="DCDEE4"/>
          </w:tcPr>
          <w:p>
            <w:pPr>
              <w:spacing w:after="0"/>
              <w:rPr>
                <w:sz w:val="7"/>
                <w:szCs w:val="7"/>
                <w:color w:val="auto"/>
              </w:rPr>
            </w:pPr>
          </w:p>
        </w:tc>
        <w:tc>
          <w:tcPr>
            <w:tcW w:w="80" w:type="dxa"/>
            <w:vAlign w:val="bottom"/>
            <w:shd w:val="clear" w:color="auto" w:fill="DCDEE4"/>
          </w:tcPr>
          <w:p>
            <w:pPr>
              <w:spacing w:after="0"/>
              <w:rPr>
                <w:sz w:val="7"/>
                <w:szCs w:val="7"/>
                <w:color w:val="auto"/>
              </w:rPr>
            </w:pPr>
          </w:p>
        </w:tc>
        <w:tc>
          <w:tcPr>
            <w:tcW w:w="1120" w:type="dxa"/>
            <w:vAlign w:val="bottom"/>
            <w:shd w:val="clear" w:color="auto" w:fill="DCDEE4"/>
          </w:tcPr>
          <w:p>
            <w:pPr>
              <w:spacing w:after="0"/>
              <w:rPr>
                <w:sz w:val="7"/>
                <w:szCs w:val="7"/>
                <w:color w:val="auto"/>
              </w:rPr>
            </w:pPr>
          </w:p>
        </w:tc>
        <w:tc>
          <w:tcPr>
            <w:tcW w:w="460" w:type="dxa"/>
            <w:vAlign w:val="bottom"/>
            <w:vMerge w:val="continue"/>
            <w:shd w:val="clear" w:color="auto" w:fill="DCDEE4"/>
          </w:tcPr>
          <w:p>
            <w:pPr>
              <w:spacing w:after="0"/>
              <w:rPr>
                <w:sz w:val="7"/>
                <w:szCs w:val="7"/>
                <w:color w:val="auto"/>
              </w:rPr>
            </w:pPr>
          </w:p>
        </w:tc>
        <w:tc>
          <w:tcPr>
            <w:tcW w:w="1820" w:type="dxa"/>
            <w:vAlign w:val="bottom"/>
            <w:vMerge w:val="continue"/>
            <w:shd w:val="clear" w:color="auto" w:fill="DCDEE4"/>
          </w:tcPr>
          <w:p>
            <w:pPr>
              <w:spacing w:after="0"/>
              <w:rPr>
                <w:sz w:val="7"/>
                <w:szCs w:val="7"/>
                <w:color w:val="auto"/>
              </w:rPr>
            </w:pPr>
          </w:p>
        </w:tc>
        <w:tc>
          <w:tcPr>
            <w:tcW w:w="260" w:type="dxa"/>
            <w:vAlign w:val="bottom"/>
            <w:shd w:val="clear" w:color="auto" w:fill="DCDEE4"/>
          </w:tcPr>
          <w:p>
            <w:pPr>
              <w:spacing w:after="0"/>
              <w:rPr>
                <w:sz w:val="7"/>
                <w:szCs w:val="7"/>
                <w:color w:val="auto"/>
              </w:rPr>
            </w:pPr>
          </w:p>
        </w:tc>
        <w:tc>
          <w:tcPr>
            <w:tcW w:w="2220" w:type="dxa"/>
            <w:vAlign w:val="bottom"/>
            <w:vMerge w:val="restart"/>
            <w:shd w:val="clear" w:color="auto" w:fill="DCDEE4"/>
          </w:tcPr>
          <w:p>
            <w:pPr>
              <w:ind w:left="20"/>
              <w:spacing w:after="0"/>
              <w:rPr>
                <w:sz w:val="20"/>
                <w:szCs w:val="20"/>
                <w:color w:val="auto"/>
              </w:rPr>
            </w:pPr>
            <w:r>
              <w:rPr>
                <w:rFonts w:ascii="Arial" w:cs="Arial" w:eastAsia="Arial" w:hAnsi="Arial"/>
                <w:sz w:val="14"/>
                <w:szCs w:val="14"/>
                <w:b w:val="1"/>
                <w:bCs w:val="1"/>
                <w:color w:val="auto"/>
              </w:rPr>
              <w:t> </w:t>
            </w:r>
          </w:p>
        </w:tc>
        <w:tc>
          <w:tcPr>
            <w:tcW w:w="2500" w:type="dxa"/>
            <w:vAlign w:val="bottom"/>
            <w:vMerge w:val="restart"/>
            <w:shd w:val="clear" w:color="auto" w:fill="DCDEE4"/>
          </w:tcPr>
          <w:p>
            <w:pPr>
              <w:ind w:left="260"/>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40" w:type="dxa"/>
            <w:vAlign w:val="bottom"/>
            <w:vMerge w:val="continue"/>
            <w:shd w:val="clear" w:color="auto" w:fill="DCDEE4"/>
          </w:tcPr>
          <w:p>
            <w:pPr>
              <w:spacing w:after="0"/>
              <w:rPr>
                <w:sz w:val="11"/>
                <w:szCs w:val="11"/>
                <w:color w:val="auto"/>
              </w:rPr>
            </w:pPr>
          </w:p>
        </w:tc>
        <w:tc>
          <w:tcPr>
            <w:tcW w:w="60" w:type="dxa"/>
            <w:vAlign w:val="bottom"/>
            <w:shd w:val="clear" w:color="auto" w:fill="DCDEE4"/>
          </w:tcPr>
          <w:p>
            <w:pPr>
              <w:spacing w:after="0"/>
              <w:rPr>
                <w:sz w:val="11"/>
                <w:szCs w:val="11"/>
                <w:color w:val="auto"/>
              </w:rPr>
            </w:pPr>
          </w:p>
        </w:tc>
        <w:tc>
          <w:tcPr>
            <w:tcW w:w="80" w:type="dxa"/>
            <w:vAlign w:val="bottom"/>
            <w:shd w:val="clear" w:color="auto" w:fill="DCDEE4"/>
          </w:tcPr>
          <w:p>
            <w:pPr>
              <w:spacing w:after="0"/>
              <w:rPr>
                <w:sz w:val="11"/>
                <w:szCs w:val="11"/>
                <w:color w:val="auto"/>
              </w:rPr>
            </w:pPr>
          </w:p>
        </w:tc>
        <w:tc>
          <w:tcPr>
            <w:tcW w:w="1120" w:type="dxa"/>
            <w:vAlign w:val="bottom"/>
            <w:shd w:val="clear" w:color="auto" w:fill="DCDEE4"/>
          </w:tcPr>
          <w:p>
            <w:pPr>
              <w:spacing w:after="0"/>
              <w:rPr>
                <w:sz w:val="11"/>
                <w:szCs w:val="11"/>
                <w:color w:val="auto"/>
              </w:rPr>
            </w:pPr>
          </w:p>
        </w:tc>
        <w:tc>
          <w:tcPr>
            <w:tcW w:w="460" w:type="dxa"/>
            <w:vAlign w:val="bottom"/>
            <w:vMerge w:val="continue"/>
            <w:shd w:val="clear" w:color="auto" w:fill="DCDEE4"/>
          </w:tcPr>
          <w:p>
            <w:pPr>
              <w:spacing w:after="0"/>
              <w:rPr>
                <w:sz w:val="11"/>
                <w:szCs w:val="11"/>
                <w:color w:val="auto"/>
              </w:rPr>
            </w:pPr>
          </w:p>
        </w:tc>
        <w:tc>
          <w:tcPr>
            <w:tcW w:w="1820" w:type="dxa"/>
            <w:vAlign w:val="bottom"/>
            <w:shd w:val="clear" w:color="auto" w:fill="DCDEE4"/>
          </w:tcPr>
          <w:p>
            <w:pPr>
              <w:spacing w:after="0"/>
              <w:rPr>
                <w:sz w:val="11"/>
                <w:szCs w:val="11"/>
                <w:color w:val="auto"/>
              </w:rPr>
            </w:pPr>
          </w:p>
        </w:tc>
        <w:tc>
          <w:tcPr>
            <w:tcW w:w="260" w:type="dxa"/>
            <w:vAlign w:val="bottom"/>
            <w:shd w:val="clear" w:color="auto" w:fill="DCDEE4"/>
          </w:tcPr>
          <w:p>
            <w:pPr>
              <w:spacing w:after="0"/>
              <w:rPr>
                <w:sz w:val="11"/>
                <w:szCs w:val="11"/>
                <w:color w:val="auto"/>
              </w:rPr>
            </w:pPr>
          </w:p>
        </w:tc>
        <w:tc>
          <w:tcPr>
            <w:tcW w:w="2220" w:type="dxa"/>
            <w:vAlign w:val="bottom"/>
            <w:vMerge w:val="continue"/>
            <w:shd w:val="clear" w:color="auto" w:fill="DCDEE4"/>
          </w:tcPr>
          <w:p>
            <w:pPr>
              <w:spacing w:after="0"/>
              <w:rPr>
                <w:sz w:val="11"/>
                <w:szCs w:val="11"/>
                <w:color w:val="auto"/>
              </w:rPr>
            </w:pPr>
          </w:p>
        </w:tc>
        <w:tc>
          <w:tcPr>
            <w:tcW w:w="2500" w:type="dxa"/>
            <w:vAlign w:val="bottom"/>
            <w:vMerge w:val="continue"/>
            <w:shd w:val="clear" w:color="auto" w:fill="DCDEE4"/>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60" w:type="dxa"/>
            <w:vAlign w:val="bottom"/>
            <w:shd w:val="clear" w:color="auto" w:fill="DCDEE4"/>
          </w:tcPr>
          <w:p>
            <w:pPr>
              <w:spacing w:after="0"/>
              <w:rPr>
                <w:sz w:val="24"/>
                <w:szCs w:val="24"/>
                <w:color w:val="auto"/>
              </w:rPr>
            </w:pPr>
          </w:p>
        </w:tc>
        <w:tc>
          <w:tcPr>
            <w:tcW w:w="80" w:type="dxa"/>
            <w:vAlign w:val="bottom"/>
            <w:shd w:val="clear" w:color="auto" w:fill="DCDEE4"/>
          </w:tcPr>
          <w:p>
            <w:pPr>
              <w:spacing w:after="0"/>
              <w:rPr>
                <w:sz w:val="24"/>
                <w:szCs w:val="24"/>
                <w:color w:val="auto"/>
              </w:rPr>
            </w:pPr>
          </w:p>
        </w:tc>
        <w:tc>
          <w:tcPr>
            <w:tcW w:w="1120" w:type="dxa"/>
            <w:vAlign w:val="bottom"/>
            <w:shd w:val="clear" w:color="auto" w:fill="DCDEE4"/>
          </w:tcPr>
          <w:p>
            <w:pPr>
              <w:spacing w:after="0"/>
              <w:rPr>
                <w:sz w:val="20"/>
                <w:szCs w:val="20"/>
                <w:color w:val="auto"/>
              </w:rPr>
            </w:pPr>
            <w:r>
              <w:rPr>
                <w:rFonts w:ascii="Arial" w:cs="Arial" w:eastAsia="Arial" w:hAnsi="Arial"/>
                <w:sz w:val="14"/>
                <w:szCs w:val="14"/>
                <w:b w:val="1"/>
                <w:bCs w:val="1"/>
                <w:color w:val="auto"/>
              </w:rPr>
              <w:t>GOVERNMENT</w:t>
            </w:r>
          </w:p>
        </w:tc>
        <w:tc>
          <w:tcPr>
            <w:tcW w:w="460" w:type="dxa"/>
            <w:vAlign w:val="bottom"/>
            <w:shd w:val="clear" w:color="auto" w:fill="DCDEE4"/>
          </w:tcPr>
          <w:p>
            <w:pPr>
              <w:spacing w:after="0"/>
              <w:rPr>
                <w:sz w:val="24"/>
                <w:szCs w:val="24"/>
                <w:color w:val="auto"/>
              </w:rPr>
            </w:pPr>
          </w:p>
        </w:tc>
        <w:tc>
          <w:tcPr>
            <w:tcW w:w="1820" w:type="dxa"/>
            <w:vAlign w:val="bottom"/>
            <w:shd w:val="clear" w:color="auto" w:fill="DCDEE4"/>
          </w:tcPr>
          <w:p>
            <w:pPr>
              <w:ind w:left="320"/>
              <w:spacing w:after="0"/>
              <w:rPr>
                <w:sz w:val="20"/>
                <w:szCs w:val="20"/>
                <w:color w:val="auto"/>
              </w:rPr>
            </w:pPr>
            <w:r>
              <w:rPr>
                <w:rFonts w:ascii="Arial" w:cs="Arial" w:eastAsia="Arial" w:hAnsi="Arial"/>
                <w:sz w:val="14"/>
                <w:szCs w:val="14"/>
                <w:b w:val="1"/>
                <w:bCs w:val="1"/>
                <w:color w:val="auto"/>
              </w:rPr>
              <w:t>MERGERS AND</w:t>
            </w:r>
          </w:p>
        </w:tc>
        <w:tc>
          <w:tcPr>
            <w:tcW w:w="260" w:type="dxa"/>
            <w:vAlign w:val="bottom"/>
            <w:shd w:val="clear" w:color="auto" w:fill="DCDEE4"/>
          </w:tcPr>
          <w:p>
            <w:pPr>
              <w:spacing w:after="0"/>
              <w:rPr>
                <w:sz w:val="24"/>
                <w:szCs w:val="24"/>
                <w:color w:val="auto"/>
              </w:rPr>
            </w:pPr>
          </w:p>
        </w:tc>
        <w:tc>
          <w:tcPr>
            <w:tcW w:w="222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auto"/>
              </w:rPr>
              <w:t>CYBERSECURITY</w:t>
            </w:r>
          </w:p>
        </w:tc>
        <w:tc>
          <w:tcPr>
            <w:tcW w:w="250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60" w:type="dxa"/>
            <w:vAlign w:val="bottom"/>
            <w:shd w:val="clear" w:color="auto" w:fill="DCDEE4"/>
          </w:tcPr>
          <w:p>
            <w:pPr>
              <w:spacing w:after="0"/>
              <w:rPr>
                <w:sz w:val="10"/>
                <w:szCs w:val="10"/>
                <w:color w:val="auto"/>
              </w:rPr>
            </w:pPr>
          </w:p>
        </w:tc>
        <w:tc>
          <w:tcPr>
            <w:tcW w:w="80" w:type="dxa"/>
            <w:vAlign w:val="bottom"/>
            <w:shd w:val="clear" w:color="auto" w:fill="DCDEE4"/>
          </w:tcPr>
          <w:p>
            <w:pPr>
              <w:spacing w:after="0"/>
              <w:rPr>
                <w:sz w:val="10"/>
                <w:szCs w:val="10"/>
                <w:color w:val="auto"/>
              </w:rPr>
            </w:pPr>
          </w:p>
        </w:tc>
        <w:tc>
          <w:tcPr>
            <w:tcW w:w="112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auto"/>
              </w:rPr>
              <w:t>EXPERTISE</w:t>
            </w:r>
          </w:p>
        </w:tc>
        <w:tc>
          <w:tcPr>
            <w:tcW w:w="460" w:type="dxa"/>
            <w:vAlign w:val="bottom"/>
            <w:shd w:val="clear" w:color="auto" w:fill="DCDEE4"/>
          </w:tcPr>
          <w:p>
            <w:pPr>
              <w:spacing w:after="0"/>
              <w:rPr>
                <w:sz w:val="10"/>
                <w:szCs w:val="10"/>
                <w:color w:val="auto"/>
              </w:rPr>
            </w:pPr>
          </w:p>
        </w:tc>
        <w:tc>
          <w:tcPr>
            <w:tcW w:w="1820" w:type="dxa"/>
            <w:vAlign w:val="bottom"/>
            <w:vMerge w:val="restart"/>
            <w:shd w:val="clear" w:color="auto" w:fill="DCDEE4"/>
          </w:tcPr>
          <w:p>
            <w:pPr>
              <w:ind w:left="320"/>
              <w:spacing w:after="0"/>
              <w:rPr>
                <w:sz w:val="20"/>
                <w:szCs w:val="20"/>
                <w:color w:val="auto"/>
              </w:rPr>
            </w:pPr>
            <w:r>
              <w:rPr>
                <w:rFonts w:ascii="Arial" w:cs="Arial" w:eastAsia="Arial" w:hAnsi="Arial"/>
                <w:sz w:val="14"/>
                <w:szCs w:val="14"/>
                <w:b w:val="1"/>
                <w:bCs w:val="1"/>
                <w:color w:val="auto"/>
              </w:rPr>
              <w:t>ACQUISITIONS</w:t>
            </w:r>
          </w:p>
        </w:tc>
        <w:tc>
          <w:tcPr>
            <w:tcW w:w="260" w:type="dxa"/>
            <w:vAlign w:val="bottom"/>
            <w:shd w:val="clear" w:color="auto" w:fill="DCDEE4"/>
          </w:tcPr>
          <w:p>
            <w:pPr>
              <w:spacing w:after="0"/>
              <w:rPr>
                <w:sz w:val="10"/>
                <w:szCs w:val="10"/>
                <w:color w:val="auto"/>
              </w:rPr>
            </w:pPr>
          </w:p>
        </w:tc>
        <w:tc>
          <w:tcPr>
            <w:tcW w:w="2220" w:type="dxa"/>
            <w:vAlign w:val="bottom"/>
            <w:vMerge w:val="continue"/>
            <w:shd w:val="clear" w:color="auto" w:fill="DCDEE4"/>
          </w:tcPr>
          <w:p>
            <w:pPr>
              <w:spacing w:after="0"/>
              <w:rPr>
                <w:sz w:val="10"/>
                <w:szCs w:val="10"/>
                <w:color w:val="auto"/>
              </w:rPr>
            </w:pPr>
          </w:p>
        </w:tc>
        <w:tc>
          <w:tcPr>
            <w:tcW w:w="250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auto"/>
              </w:rPr>
              <w:t> </w:t>
            </w:r>
          </w:p>
        </w:tc>
        <w:tc>
          <w:tcPr>
            <w:tcW w:w="60" w:type="dxa"/>
            <w:vAlign w:val="bottom"/>
            <w:shd w:val="clear" w:color="auto" w:fill="DCDEE4"/>
          </w:tcPr>
          <w:p>
            <w:pPr>
              <w:spacing w:after="0"/>
              <w:rPr>
                <w:sz w:val="7"/>
                <w:szCs w:val="7"/>
                <w:color w:val="auto"/>
              </w:rPr>
            </w:pPr>
          </w:p>
        </w:tc>
        <w:tc>
          <w:tcPr>
            <w:tcW w:w="80" w:type="dxa"/>
            <w:vAlign w:val="bottom"/>
            <w:shd w:val="clear" w:color="auto" w:fill="DCDEE4"/>
          </w:tcPr>
          <w:p>
            <w:pPr>
              <w:spacing w:after="0"/>
              <w:rPr>
                <w:sz w:val="7"/>
                <w:szCs w:val="7"/>
                <w:color w:val="auto"/>
              </w:rPr>
            </w:pPr>
          </w:p>
        </w:tc>
        <w:tc>
          <w:tcPr>
            <w:tcW w:w="1120" w:type="dxa"/>
            <w:vAlign w:val="bottom"/>
            <w:vMerge w:val="continue"/>
            <w:shd w:val="clear" w:color="auto" w:fill="DCDEE4"/>
          </w:tcPr>
          <w:p>
            <w:pPr>
              <w:spacing w:after="0"/>
              <w:rPr>
                <w:sz w:val="7"/>
                <w:szCs w:val="7"/>
                <w:color w:val="auto"/>
              </w:rPr>
            </w:pPr>
          </w:p>
        </w:tc>
        <w:tc>
          <w:tcPr>
            <w:tcW w:w="46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auto"/>
              </w:rPr>
              <w:t> </w:t>
            </w:r>
          </w:p>
        </w:tc>
        <w:tc>
          <w:tcPr>
            <w:tcW w:w="1820" w:type="dxa"/>
            <w:vAlign w:val="bottom"/>
            <w:vMerge w:val="continue"/>
            <w:shd w:val="clear" w:color="auto" w:fill="DCDEE4"/>
          </w:tcPr>
          <w:p>
            <w:pPr>
              <w:spacing w:after="0"/>
              <w:rPr>
                <w:sz w:val="7"/>
                <w:szCs w:val="7"/>
                <w:color w:val="auto"/>
              </w:rPr>
            </w:pPr>
          </w:p>
        </w:tc>
        <w:tc>
          <w:tcPr>
            <w:tcW w:w="260" w:type="dxa"/>
            <w:vAlign w:val="bottom"/>
            <w:shd w:val="clear" w:color="auto" w:fill="DCDEE4"/>
          </w:tcPr>
          <w:p>
            <w:pPr>
              <w:spacing w:after="0"/>
              <w:rPr>
                <w:sz w:val="7"/>
                <w:szCs w:val="7"/>
                <w:color w:val="auto"/>
              </w:rPr>
            </w:pPr>
          </w:p>
        </w:tc>
        <w:tc>
          <w:tcPr>
            <w:tcW w:w="2220" w:type="dxa"/>
            <w:vAlign w:val="bottom"/>
            <w:vMerge w:val="restart"/>
            <w:shd w:val="clear" w:color="auto" w:fill="DCDEE4"/>
          </w:tcPr>
          <w:p>
            <w:pPr>
              <w:ind w:left="20"/>
              <w:spacing w:after="0"/>
              <w:rPr>
                <w:sz w:val="20"/>
                <w:szCs w:val="20"/>
                <w:color w:val="auto"/>
              </w:rPr>
            </w:pPr>
            <w:r>
              <w:rPr>
                <w:rFonts w:ascii="Arial" w:cs="Arial" w:eastAsia="Arial" w:hAnsi="Arial"/>
                <w:sz w:val="14"/>
                <w:szCs w:val="14"/>
                <w:b w:val="1"/>
                <w:bCs w:val="1"/>
                <w:color w:val="auto"/>
              </w:rPr>
              <w:t> </w:t>
            </w:r>
          </w:p>
        </w:tc>
        <w:tc>
          <w:tcPr>
            <w:tcW w:w="250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540" w:type="dxa"/>
            <w:vAlign w:val="bottom"/>
            <w:vMerge w:val="continue"/>
            <w:shd w:val="clear" w:color="auto" w:fill="DCDEE4"/>
          </w:tcPr>
          <w:p>
            <w:pPr>
              <w:spacing w:after="0"/>
              <w:rPr>
                <w:sz w:val="14"/>
                <w:szCs w:val="14"/>
                <w:color w:val="auto"/>
              </w:rPr>
            </w:pPr>
          </w:p>
        </w:tc>
        <w:tc>
          <w:tcPr>
            <w:tcW w:w="60" w:type="dxa"/>
            <w:vAlign w:val="bottom"/>
            <w:shd w:val="clear" w:color="auto" w:fill="DCDEE4"/>
          </w:tcPr>
          <w:p>
            <w:pPr>
              <w:spacing w:after="0"/>
              <w:rPr>
                <w:sz w:val="14"/>
                <w:szCs w:val="14"/>
                <w:color w:val="auto"/>
              </w:rPr>
            </w:pPr>
          </w:p>
        </w:tc>
        <w:tc>
          <w:tcPr>
            <w:tcW w:w="80" w:type="dxa"/>
            <w:vAlign w:val="bottom"/>
            <w:shd w:val="clear" w:color="auto" w:fill="DCDEE4"/>
          </w:tcPr>
          <w:p>
            <w:pPr>
              <w:spacing w:after="0"/>
              <w:rPr>
                <w:sz w:val="14"/>
                <w:szCs w:val="14"/>
                <w:color w:val="auto"/>
              </w:rPr>
            </w:pPr>
          </w:p>
        </w:tc>
        <w:tc>
          <w:tcPr>
            <w:tcW w:w="1120" w:type="dxa"/>
            <w:vAlign w:val="bottom"/>
            <w:shd w:val="clear" w:color="auto" w:fill="DCDEE4"/>
          </w:tcPr>
          <w:p>
            <w:pPr>
              <w:spacing w:after="0"/>
              <w:rPr>
                <w:sz w:val="14"/>
                <w:szCs w:val="14"/>
                <w:color w:val="auto"/>
              </w:rPr>
            </w:pPr>
          </w:p>
        </w:tc>
        <w:tc>
          <w:tcPr>
            <w:tcW w:w="460" w:type="dxa"/>
            <w:vAlign w:val="bottom"/>
            <w:vMerge w:val="continue"/>
            <w:shd w:val="clear" w:color="auto" w:fill="DCDEE4"/>
          </w:tcPr>
          <w:p>
            <w:pPr>
              <w:spacing w:after="0"/>
              <w:rPr>
                <w:sz w:val="14"/>
                <w:szCs w:val="14"/>
                <w:color w:val="auto"/>
              </w:rPr>
            </w:pPr>
          </w:p>
        </w:tc>
        <w:tc>
          <w:tcPr>
            <w:tcW w:w="1820" w:type="dxa"/>
            <w:vAlign w:val="bottom"/>
            <w:shd w:val="clear" w:color="auto" w:fill="DCDEE4"/>
          </w:tcPr>
          <w:p>
            <w:pPr>
              <w:spacing w:after="0"/>
              <w:rPr>
                <w:sz w:val="14"/>
                <w:szCs w:val="14"/>
                <w:color w:val="auto"/>
              </w:rPr>
            </w:pPr>
          </w:p>
        </w:tc>
        <w:tc>
          <w:tcPr>
            <w:tcW w:w="260" w:type="dxa"/>
            <w:vAlign w:val="bottom"/>
            <w:shd w:val="clear" w:color="auto" w:fill="DCDEE4"/>
          </w:tcPr>
          <w:p>
            <w:pPr>
              <w:spacing w:after="0"/>
              <w:rPr>
                <w:sz w:val="14"/>
                <w:szCs w:val="14"/>
                <w:color w:val="auto"/>
              </w:rPr>
            </w:pPr>
          </w:p>
        </w:tc>
        <w:tc>
          <w:tcPr>
            <w:tcW w:w="2220" w:type="dxa"/>
            <w:vAlign w:val="bottom"/>
            <w:vMerge w:val="continue"/>
            <w:shd w:val="clear" w:color="auto" w:fill="DCDEE4"/>
          </w:tcPr>
          <w:p>
            <w:pPr>
              <w:spacing w:after="0"/>
              <w:rPr>
                <w:sz w:val="14"/>
                <w:szCs w:val="14"/>
                <w:color w:val="auto"/>
              </w:rPr>
            </w:pPr>
          </w:p>
        </w:tc>
        <w:tc>
          <w:tcPr>
            <w:tcW w:w="2500" w:type="dxa"/>
            <w:vAlign w:val="bottom"/>
            <w:shd w:val="clear" w:color="auto" w:fill="DCDEE4"/>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60" w:type="dxa"/>
            <w:vAlign w:val="bottom"/>
            <w:shd w:val="clear" w:color="auto" w:fill="DCDEE4"/>
          </w:tcPr>
          <w:p>
            <w:pPr>
              <w:spacing w:after="0"/>
              <w:rPr>
                <w:sz w:val="10"/>
                <w:szCs w:val="10"/>
                <w:color w:val="auto"/>
              </w:rPr>
            </w:pPr>
          </w:p>
        </w:tc>
        <w:tc>
          <w:tcPr>
            <w:tcW w:w="80" w:type="dxa"/>
            <w:vAlign w:val="bottom"/>
            <w:shd w:val="clear" w:color="auto" w:fill="DCDEE4"/>
          </w:tcPr>
          <w:p>
            <w:pPr>
              <w:spacing w:after="0"/>
              <w:rPr>
                <w:sz w:val="10"/>
                <w:szCs w:val="10"/>
                <w:color w:val="auto"/>
              </w:rPr>
            </w:pPr>
          </w:p>
        </w:tc>
        <w:tc>
          <w:tcPr>
            <w:tcW w:w="1120" w:type="dxa"/>
            <w:vAlign w:val="bottom"/>
            <w:shd w:val="clear" w:color="auto" w:fill="DCDEE4"/>
          </w:tcPr>
          <w:p>
            <w:pPr>
              <w:spacing w:after="0"/>
              <w:rPr>
                <w:sz w:val="10"/>
                <w:szCs w:val="10"/>
                <w:color w:val="auto"/>
              </w:rPr>
            </w:pPr>
          </w:p>
        </w:tc>
        <w:tc>
          <w:tcPr>
            <w:tcW w:w="460" w:type="dxa"/>
            <w:vAlign w:val="bottom"/>
            <w:shd w:val="clear" w:color="auto" w:fill="DCDEE4"/>
          </w:tcPr>
          <w:p>
            <w:pPr>
              <w:spacing w:after="0"/>
              <w:rPr>
                <w:sz w:val="10"/>
                <w:szCs w:val="10"/>
                <w:color w:val="auto"/>
              </w:rPr>
            </w:pPr>
          </w:p>
        </w:tc>
        <w:tc>
          <w:tcPr>
            <w:tcW w:w="1820" w:type="dxa"/>
            <w:vAlign w:val="bottom"/>
            <w:shd w:val="clear" w:color="auto" w:fill="DCDEE4"/>
          </w:tcPr>
          <w:p>
            <w:pPr>
              <w:spacing w:after="0"/>
              <w:rPr>
                <w:sz w:val="10"/>
                <w:szCs w:val="10"/>
                <w:color w:val="auto"/>
              </w:rPr>
            </w:pPr>
          </w:p>
        </w:tc>
        <w:tc>
          <w:tcPr>
            <w:tcW w:w="260" w:type="dxa"/>
            <w:vAlign w:val="bottom"/>
            <w:shd w:val="clear" w:color="auto" w:fill="DCDEE4"/>
          </w:tcPr>
          <w:p>
            <w:pPr>
              <w:spacing w:after="0"/>
              <w:rPr>
                <w:sz w:val="10"/>
                <w:szCs w:val="10"/>
                <w:color w:val="auto"/>
              </w:rPr>
            </w:pPr>
          </w:p>
        </w:tc>
        <w:tc>
          <w:tcPr>
            <w:tcW w:w="2220" w:type="dxa"/>
            <w:vAlign w:val="bottom"/>
            <w:shd w:val="clear" w:color="auto" w:fill="DCDEE4"/>
          </w:tcPr>
          <w:p>
            <w:pPr>
              <w:spacing w:after="0"/>
              <w:rPr>
                <w:sz w:val="10"/>
                <w:szCs w:val="10"/>
                <w:color w:val="auto"/>
              </w:rPr>
            </w:pPr>
          </w:p>
        </w:tc>
        <w:tc>
          <w:tcPr>
            <w:tcW w:w="250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60" w:type="dxa"/>
            <w:vAlign w:val="bottom"/>
            <w:tcBorders>
              <w:bottom w:val="single" w:sz="8" w:color="D02A2E"/>
            </w:tcBorders>
          </w:tcPr>
          <w:p>
            <w:pPr>
              <w:spacing w:after="0"/>
              <w:rPr>
                <w:sz w:val="18"/>
                <w:szCs w:val="18"/>
                <w:color w:val="auto"/>
              </w:rPr>
            </w:pPr>
          </w:p>
        </w:tc>
        <w:tc>
          <w:tcPr>
            <w:tcW w:w="80" w:type="dxa"/>
            <w:vAlign w:val="bottom"/>
            <w:tcBorders>
              <w:bottom w:val="single" w:sz="8" w:color="D02A2E"/>
            </w:tcBorders>
          </w:tcPr>
          <w:p>
            <w:pPr>
              <w:spacing w:after="0"/>
              <w:rPr>
                <w:sz w:val="18"/>
                <w:szCs w:val="18"/>
                <w:color w:val="auto"/>
              </w:rPr>
            </w:pPr>
          </w:p>
        </w:tc>
        <w:tc>
          <w:tcPr>
            <w:tcW w:w="1120" w:type="dxa"/>
            <w:vAlign w:val="bottom"/>
            <w:tcBorders>
              <w:bottom w:val="single" w:sz="8" w:color="D02A2E"/>
            </w:tcBorders>
          </w:tcPr>
          <w:p>
            <w:pPr>
              <w:spacing w:after="0"/>
              <w:rPr>
                <w:sz w:val="18"/>
                <w:szCs w:val="18"/>
                <w:color w:val="auto"/>
              </w:rPr>
            </w:pPr>
          </w:p>
        </w:tc>
        <w:tc>
          <w:tcPr>
            <w:tcW w:w="460" w:type="dxa"/>
            <w:vAlign w:val="bottom"/>
            <w:tcBorders>
              <w:bottom w:val="single" w:sz="8" w:color="D02A2E"/>
            </w:tcBorders>
          </w:tcPr>
          <w:p>
            <w:pPr>
              <w:spacing w:after="0"/>
              <w:rPr>
                <w:sz w:val="18"/>
                <w:szCs w:val="18"/>
                <w:color w:val="auto"/>
              </w:rPr>
            </w:pPr>
          </w:p>
        </w:tc>
        <w:tc>
          <w:tcPr>
            <w:tcW w:w="1820" w:type="dxa"/>
            <w:vAlign w:val="bottom"/>
            <w:tcBorders>
              <w:bottom w:val="single" w:sz="8" w:color="D02A2E"/>
            </w:tcBorders>
          </w:tcPr>
          <w:p>
            <w:pPr>
              <w:spacing w:after="0"/>
              <w:rPr>
                <w:sz w:val="18"/>
                <w:szCs w:val="18"/>
                <w:color w:val="auto"/>
              </w:rPr>
            </w:pPr>
          </w:p>
        </w:tc>
        <w:tc>
          <w:tcPr>
            <w:tcW w:w="260" w:type="dxa"/>
            <w:vAlign w:val="bottom"/>
            <w:tcBorders>
              <w:bottom w:val="single" w:sz="8" w:color="D02A2E"/>
            </w:tcBorders>
          </w:tcPr>
          <w:p>
            <w:pPr>
              <w:spacing w:after="0"/>
              <w:rPr>
                <w:sz w:val="18"/>
                <w:szCs w:val="18"/>
                <w:color w:val="auto"/>
              </w:rPr>
            </w:pPr>
          </w:p>
        </w:tc>
        <w:tc>
          <w:tcPr>
            <w:tcW w:w="2220" w:type="dxa"/>
            <w:vAlign w:val="bottom"/>
            <w:tcBorders>
              <w:bottom w:val="single" w:sz="8" w:color="D02A2E"/>
            </w:tcBorders>
          </w:tcPr>
          <w:p>
            <w:pPr>
              <w:spacing w:after="0"/>
              <w:rPr>
                <w:sz w:val="18"/>
                <w:szCs w:val="18"/>
                <w:color w:val="auto"/>
              </w:rPr>
            </w:pPr>
          </w:p>
        </w:tc>
        <w:tc>
          <w:tcPr>
            <w:tcW w:w="250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902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74930</wp:posOffset>
            </wp:positionV>
            <wp:extent cx="1663065" cy="3857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63065" cy="385762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73</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rPr>
          <w:sz w:val="20"/>
          <w:szCs w:val="20"/>
          <w:color w:val="auto"/>
        </w:rPr>
      </w:pPr>
      <w:r>
        <w:rPr>
          <w:rFonts w:ascii="Arial" w:cs="Arial" w:eastAsia="Arial" w:hAnsi="Arial"/>
          <w:sz w:val="16"/>
          <w:szCs w:val="16"/>
          <w:color w:val="auto"/>
        </w:rPr>
        <w:t>Chair of Audit/Finance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Timothy M. Leyden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Retired Western Digital Senior Executive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More than 43 years of executive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management experience across diverse sectors, including CIO, CFO and COO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roles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Enriches the board with international business insights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from a career across U.S. and U.K. multinationals and leading teams in Europe,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Asia and the Americas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Leverages executive level finance experience, including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former CFO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MERGERS AND ACQUISITIONS: </w:t>
      </w:r>
      <w:r>
        <w:rPr>
          <w:rFonts w:ascii="Arial" w:cs="Arial" w:eastAsia="Arial" w:hAnsi="Arial"/>
          <w:sz w:val="16"/>
          <w:szCs w:val="16"/>
          <w:color w:val="auto"/>
        </w:rPr>
        <w:t>Leverages his strong background in executing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successful mergers, playing a pivotal role in company expansions, integrations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 growth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160" w:right="76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Operational and finance industry executive with extensive experience in</w:t>
      </w:r>
      <w:r>
        <w:rPr>
          <w:rFonts w:ascii="Arial" w:cs="Arial" w:eastAsia="Arial" w:hAnsi="Arial"/>
          <w:sz w:val="16"/>
          <w:szCs w:val="16"/>
          <w:color w:val="D02A2E"/>
        </w:rPr>
        <w:t xml:space="preserve"> </w:t>
      </w:r>
      <w:r>
        <w:rPr>
          <w:rFonts w:ascii="Arial" w:cs="Arial" w:eastAsia="Arial" w:hAnsi="Arial"/>
          <w:sz w:val="16"/>
          <w:szCs w:val="16"/>
          <w:color w:val="000000"/>
        </w:rPr>
        <w:t>hardware, software and consumer goods sectors</w:t>
      </w:r>
    </w:p>
    <w:p>
      <w:pPr>
        <w:spacing w:after="0" w:line="34" w:lineRule="exact"/>
        <w:rPr>
          <w:sz w:val="20"/>
          <w:szCs w:val="20"/>
          <w:color w:val="auto"/>
        </w:rPr>
      </w:pPr>
    </w:p>
    <w:p>
      <w:pPr>
        <w:ind w:left="160" w:right="420" w:hanging="170"/>
        <w:spacing w:after="0" w:line="26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Diverse background in finance, operations, manufacturing, IT, strategy and a</w:t>
      </w:r>
      <w:r>
        <w:rPr>
          <w:rFonts w:ascii="Arial" w:cs="Arial" w:eastAsia="Arial" w:hAnsi="Arial"/>
          <w:sz w:val="16"/>
          <w:szCs w:val="16"/>
          <w:color w:val="D02A2E"/>
        </w:rPr>
        <w:t xml:space="preserve"> </w:t>
      </w:r>
      <w:r>
        <w:rPr>
          <w:rFonts w:ascii="Arial" w:cs="Arial" w:eastAsia="Arial" w:hAnsi="Arial"/>
          <w:sz w:val="16"/>
          <w:szCs w:val="16"/>
          <w:color w:val="000000"/>
        </w:rPr>
        <w:t>broad range of business functions, including marketing, engineering, sales, purchasing and HR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Member of the Chartered Institute of Management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217805</wp:posOffset>
            </wp:positionV>
            <wp:extent cx="5829300" cy="1440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9300" cy="1440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3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600" w:type="dxa"/>
            <w:vAlign w:val="bottom"/>
          </w:tcPr>
          <w:p>
            <w:pPr>
              <w:spacing w:after="0"/>
              <w:rPr>
                <w:sz w:val="24"/>
                <w:szCs w:val="24"/>
                <w:color w:val="auto"/>
              </w:rPr>
            </w:pPr>
          </w:p>
        </w:tc>
        <w:tc>
          <w:tcPr>
            <w:tcW w:w="198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FINANCIAL</w:t>
            </w:r>
          </w:p>
        </w:tc>
        <w:tc>
          <w:tcPr>
            <w:tcW w:w="1920" w:type="dxa"/>
            <w:vAlign w:val="bottom"/>
          </w:tcPr>
          <w:p>
            <w:pPr>
              <w:ind w:left="340"/>
              <w:spacing w:after="0"/>
              <w:rPr>
                <w:sz w:val="20"/>
                <w:szCs w:val="20"/>
                <w:color w:val="auto"/>
              </w:rPr>
            </w:pPr>
            <w:r>
              <w:rPr>
                <w:rFonts w:ascii="Arial" w:cs="Arial" w:eastAsia="Arial" w:hAnsi="Arial"/>
                <w:sz w:val="14"/>
                <w:szCs w:val="14"/>
                <w:b w:val="1"/>
                <w:bCs w:val="1"/>
                <w:color w:val="5D6673"/>
              </w:rPr>
              <w:t>PUBLIC BOARD</w:t>
            </w:r>
          </w:p>
        </w:tc>
        <w:tc>
          <w:tcPr>
            <w:tcW w:w="226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LEADERSHIP</w:t>
            </w:r>
          </w:p>
        </w:tc>
        <w:tc>
          <w:tcPr>
            <w:tcW w:w="60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AND GOVERNANCE</w:t>
            </w: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98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LITERACY/CFO</w:t>
            </w:r>
          </w:p>
        </w:tc>
        <w:tc>
          <w:tcPr>
            <w:tcW w:w="1920" w:type="dxa"/>
            <w:vAlign w:val="bottom"/>
            <w:vMerge w:val="continue"/>
          </w:tcPr>
          <w:p>
            <w:pPr>
              <w:spacing w:after="0"/>
              <w:rPr>
                <w:sz w:val="7"/>
                <w:szCs w:val="7"/>
                <w:color w:val="auto"/>
              </w:rPr>
            </w:pPr>
          </w:p>
        </w:tc>
        <w:tc>
          <w:tcPr>
            <w:tcW w:w="2260" w:type="dxa"/>
            <w:vAlign w:val="bottom"/>
            <w:vMerge w:val="restart"/>
          </w:tcPr>
          <w:p>
            <w:pPr>
              <w:ind w:left="94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tcPr>
          <w:p>
            <w:pPr>
              <w:spacing w:after="0"/>
              <w:rPr>
                <w:sz w:val="8"/>
                <w:szCs w:val="8"/>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EXPERIENCE</w:t>
            </w:r>
          </w:p>
        </w:tc>
        <w:tc>
          <w:tcPr>
            <w:tcW w:w="60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EXPERIENCE</w:t>
            </w: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540" w:type="dxa"/>
            <w:vAlign w:val="bottom"/>
            <w:vMerge w:val="continue"/>
            <w:shd w:val="clear" w:color="auto" w:fill="DCDEE4"/>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4"/>
                <w:szCs w:val="14"/>
                <w:b w:val="1"/>
                <w:bCs w:val="1"/>
                <w:color w:val="5D6673"/>
              </w:rPr>
              <w:t> </w:t>
            </w:r>
          </w:p>
        </w:tc>
        <w:tc>
          <w:tcPr>
            <w:tcW w:w="1980" w:type="dxa"/>
            <w:vAlign w:val="bottom"/>
            <w:vMerge w:val="restart"/>
          </w:tcPr>
          <w:p>
            <w:pPr>
              <w:ind w:left="160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continue"/>
          </w:tcPr>
          <w:p>
            <w:pPr>
              <w:spacing w:after="0"/>
              <w:rPr>
                <w:sz w:val="8"/>
                <w:szCs w:val="8"/>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6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00" w:type="dxa"/>
            <w:vAlign w:val="bottom"/>
            <w:shd w:val="clear" w:color="auto" w:fill="DCDEE4"/>
          </w:tcPr>
          <w:p>
            <w:pPr>
              <w:spacing w:after="0"/>
              <w:rPr>
                <w:sz w:val="24"/>
                <w:szCs w:val="24"/>
                <w:color w:val="auto"/>
              </w:rPr>
            </w:pPr>
          </w:p>
        </w:tc>
        <w:tc>
          <w:tcPr>
            <w:tcW w:w="1620" w:type="dxa"/>
            <w:vAlign w:val="bottom"/>
            <w:shd w:val="clear" w:color="auto" w:fill="DCDEE4"/>
          </w:tcPr>
          <w:p>
            <w:pPr>
              <w:ind w:left="80"/>
              <w:spacing w:after="0"/>
              <w:rPr>
                <w:sz w:val="20"/>
                <w:szCs w:val="20"/>
                <w:color w:val="auto"/>
              </w:rPr>
            </w:pPr>
            <w:r>
              <w:rPr>
                <w:rFonts w:ascii="Arial" w:cs="Arial" w:eastAsia="Arial" w:hAnsi="Arial"/>
                <w:sz w:val="14"/>
                <w:szCs w:val="14"/>
                <w:b w:val="1"/>
                <w:bCs w:val="1"/>
                <w:color w:val="5D6673"/>
              </w:rPr>
              <w:t>MANUFACTURING</w:t>
            </w:r>
          </w:p>
        </w:tc>
        <w:tc>
          <w:tcPr>
            <w:tcW w:w="600" w:type="dxa"/>
            <w:vAlign w:val="bottom"/>
            <w:shd w:val="clear" w:color="auto" w:fill="DCDEE4"/>
          </w:tcPr>
          <w:p>
            <w:pPr>
              <w:spacing w:after="0"/>
              <w:rPr>
                <w:sz w:val="24"/>
                <w:szCs w:val="24"/>
                <w:color w:val="auto"/>
              </w:rPr>
            </w:pPr>
          </w:p>
        </w:tc>
        <w:tc>
          <w:tcPr>
            <w:tcW w:w="1980" w:type="dxa"/>
            <w:vAlign w:val="bottom"/>
            <w:vMerge w:val="restart"/>
            <w:shd w:val="clear" w:color="auto" w:fill="DCDEE4"/>
          </w:tcPr>
          <w:p>
            <w:pPr>
              <w:ind w:left="340"/>
              <w:spacing w:after="0"/>
              <w:rPr>
                <w:sz w:val="20"/>
                <w:szCs w:val="20"/>
                <w:color w:val="auto"/>
              </w:rPr>
            </w:pPr>
            <w:r>
              <w:rPr>
                <w:rFonts w:ascii="Arial" w:cs="Arial" w:eastAsia="Arial" w:hAnsi="Arial"/>
                <w:sz w:val="14"/>
                <w:szCs w:val="14"/>
                <w:b w:val="1"/>
                <w:bCs w:val="1"/>
                <w:color w:val="5D6673"/>
              </w:rPr>
              <w:t>MERGERS AND</w:t>
            </w:r>
          </w:p>
        </w:tc>
        <w:tc>
          <w:tcPr>
            <w:tcW w:w="1920" w:type="dxa"/>
            <w:vAlign w:val="bottom"/>
            <w:shd w:val="clear" w:color="auto" w:fill="DCDEE4"/>
          </w:tcPr>
          <w:p>
            <w:pPr>
              <w:spacing w:after="0"/>
              <w:rPr>
                <w:sz w:val="24"/>
                <w:szCs w:val="24"/>
                <w:color w:val="auto"/>
              </w:rPr>
            </w:pPr>
          </w:p>
        </w:tc>
        <w:tc>
          <w:tcPr>
            <w:tcW w:w="226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AND/OR SUPPLY</w:t>
            </w:r>
          </w:p>
        </w:tc>
        <w:tc>
          <w:tcPr>
            <w:tcW w:w="600" w:type="dxa"/>
            <w:vAlign w:val="bottom"/>
            <w:shd w:val="clear" w:color="auto" w:fill="DCDEE4"/>
          </w:tcPr>
          <w:p>
            <w:pPr>
              <w:spacing w:after="0"/>
              <w:rPr>
                <w:sz w:val="7"/>
                <w:szCs w:val="7"/>
                <w:color w:val="auto"/>
              </w:rPr>
            </w:pPr>
          </w:p>
        </w:tc>
        <w:tc>
          <w:tcPr>
            <w:tcW w:w="1980" w:type="dxa"/>
            <w:vAlign w:val="bottom"/>
            <w:vMerge w:val="continue"/>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vMerge w:val="continue"/>
            <w:shd w:val="clear" w:color="auto" w:fill="DCDEE4"/>
          </w:tcPr>
          <w:p>
            <w:pPr>
              <w:spacing w:after="0"/>
              <w:rPr>
                <w:sz w:val="7"/>
                <w:szCs w:val="7"/>
                <w:color w:val="auto"/>
              </w:rPr>
            </w:pPr>
          </w:p>
        </w:tc>
        <w:tc>
          <w:tcPr>
            <w:tcW w:w="600" w:type="dxa"/>
            <w:vAlign w:val="bottom"/>
            <w:shd w:val="clear" w:color="auto" w:fill="DCDEE4"/>
          </w:tcPr>
          <w:p>
            <w:pPr>
              <w:spacing w:after="0"/>
              <w:rPr>
                <w:sz w:val="7"/>
                <w:szCs w:val="7"/>
                <w:color w:val="auto"/>
              </w:rPr>
            </w:pPr>
          </w:p>
        </w:tc>
        <w:tc>
          <w:tcPr>
            <w:tcW w:w="1980" w:type="dxa"/>
            <w:vAlign w:val="bottom"/>
            <w:vMerge w:val="restart"/>
            <w:shd w:val="clear" w:color="auto" w:fill="DCDEE4"/>
          </w:tcPr>
          <w:p>
            <w:pPr>
              <w:ind w:left="340"/>
              <w:spacing w:after="0"/>
              <w:rPr>
                <w:sz w:val="20"/>
                <w:szCs w:val="20"/>
                <w:color w:val="auto"/>
              </w:rPr>
            </w:pPr>
            <w:r>
              <w:rPr>
                <w:rFonts w:ascii="Arial" w:cs="Arial" w:eastAsia="Arial" w:hAnsi="Arial"/>
                <w:sz w:val="14"/>
                <w:szCs w:val="14"/>
                <w:b w:val="1"/>
                <w:bCs w:val="1"/>
                <w:color w:val="5D6673"/>
              </w:rPr>
              <w:t>ACQUISITIONS</w:t>
            </w:r>
          </w:p>
        </w:tc>
        <w:tc>
          <w:tcPr>
            <w:tcW w:w="1920" w:type="dxa"/>
            <w:vAlign w:val="bottom"/>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00" w:type="dxa"/>
            <w:vAlign w:val="bottom"/>
            <w:shd w:val="clear" w:color="auto" w:fill="DCDEE4"/>
          </w:tcPr>
          <w:p>
            <w:pPr>
              <w:spacing w:after="0"/>
              <w:rPr>
                <w:sz w:val="10"/>
                <w:szCs w:val="10"/>
                <w:color w:val="auto"/>
              </w:rPr>
            </w:pPr>
          </w:p>
        </w:tc>
        <w:tc>
          <w:tcPr>
            <w:tcW w:w="162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CHAIN EXPERTISE</w:t>
            </w:r>
          </w:p>
        </w:tc>
        <w:tc>
          <w:tcPr>
            <w:tcW w:w="600" w:type="dxa"/>
            <w:vAlign w:val="bottom"/>
            <w:vMerge w:val="restart"/>
            <w:shd w:val="clear" w:color="auto" w:fill="DCDEE4"/>
          </w:tcPr>
          <w:p>
            <w:pPr>
              <w:ind w:left="240"/>
              <w:spacing w:after="0"/>
              <w:rPr>
                <w:sz w:val="20"/>
                <w:szCs w:val="20"/>
                <w:color w:val="auto"/>
              </w:rPr>
            </w:pPr>
            <w:r>
              <w:rPr>
                <w:rFonts w:ascii="Arial" w:cs="Arial" w:eastAsia="Arial" w:hAnsi="Arial"/>
                <w:sz w:val="14"/>
                <w:szCs w:val="14"/>
                <w:b w:val="1"/>
                <w:bCs w:val="1"/>
                <w:color w:val="5D6673"/>
              </w:rPr>
              <w:t> </w:t>
            </w:r>
          </w:p>
        </w:tc>
        <w:tc>
          <w:tcPr>
            <w:tcW w:w="1980" w:type="dxa"/>
            <w:vAlign w:val="bottom"/>
            <w:vMerge w:val="continue"/>
            <w:shd w:val="clear" w:color="auto" w:fill="DCDEE4"/>
          </w:tcPr>
          <w:p>
            <w:pPr>
              <w:spacing w:after="0"/>
              <w:rPr>
                <w:sz w:val="10"/>
                <w:szCs w:val="10"/>
                <w:color w:val="auto"/>
              </w:rPr>
            </w:pPr>
          </w:p>
        </w:tc>
        <w:tc>
          <w:tcPr>
            <w:tcW w:w="1920" w:type="dxa"/>
            <w:vAlign w:val="bottom"/>
            <w:shd w:val="clear" w:color="auto" w:fill="DCDEE4"/>
          </w:tcPr>
          <w:p>
            <w:pPr>
              <w:spacing w:after="0"/>
              <w:rPr>
                <w:sz w:val="10"/>
                <w:szCs w:val="10"/>
                <w:color w:val="auto"/>
              </w:rPr>
            </w:pPr>
          </w:p>
        </w:tc>
        <w:tc>
          <w:tcPr>
            <w:tcW w:w="22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vMerge w:val="continue"/>
            <w:shd w:val="clear" w:color="auto" w:fill="DCDEE4"/>
          </w:tcPr>
          <w:p>
            <w:pPr>
              <w:spacing w:after="0"/>
              <w:rPr>
                <w:sz w:val="7"/>
                <w:szCs w:val="7"/>
                <w:color w:val="auto"/>
              </w:rPr>
            </w:pPr>
          </w:p>
        </w:tc>
        <w:tc>
          <w:tcPr>
            <w:tcW w:w="600" w:type="dxa"/>
            <w:vAlign w:val="bottom"/>
            <w:vMerge w:val="continue"/>
            <w:shd w:val="clear" w:color="auto" w:fill="DCDEE4"/>
          </w:tcPr>
          <w:p>
            <w:pPr>
              <w:spacing w:after="0"/>
              <w:rPr>
                <w:sz w:val="7"/>
                <w:szCs w:val="7"/>
                <w:color w:val="auto"/>
              </w:rPr>
            </w:pPr>
          </w:p>
        </w:tc>
        <w:tc>
          <w:tcPr>
            <w:tcW w:w="1980" w:type="dxa"/>
            <w:vAlign w:val="bottom"/>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 w:type="dxa"/>
            <w:vAlign w:val="bottom"/>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00" w:type="dxa"/>
            <w:vAlign w:val="bottom"/>
            <w:shd w:val="clear" w:color="auto" w:fill="DCDEE4"/>
          </w:tcPr>
          <w:p>
            <w:pPr>
              <w:spacing w:after="0"/>
              <w:rPr>
                <w:sz w:val="7"/>
                <w:szCs w:val="7"/>
                <w:color w:val="auto"/>
              </w:rPr>
            </w:pPr>
          </w:p>
        </w:tc>
        <w:tc>
          <w:tcPr>
            <w:tcW w:w="1620" w:type="dxa"/>
            <w:vAlign w:val="bottom"/>
            <w:shd w:val="clear" w:color="auto" w:fill="DCDEE4"/>
          </w:tcPr>
          <w:p>
            <w:pPr>
              <w:spacing w:after="0"/>
              <w:rPr>
                <w:sz w:val="7"/>
                <w:szCs w:val="7"/>
                <w:color w:val="auto"/>
              </w:rPr>
            </w:pPr>
          </w:p>
        </w:tc>
        <w:tc>
          <w:tcPr>
            <w:tcW w:w="600" w:type="dxa"/>
            <w:vAlign w:val="bottom"/>
            <w:vMerge w:val="continue"/>
            <w:shd w:val="clear" w:color="auto" w:fill="DCDEE4"/>
          </w:tcPr>
          <w:p>
            <w:pPr>
              <w:spacing w:after="0"/>
              <w:rPr>
                <w:sz w:val="7"/>
                <w:szCs w:val="7"/>
                <w:color w:val="auto"/>
              </w:rPr>
            </w:pPr>
          </w:p>
        </w:tc>
        <w:tc>
          <w:tcPr>
            <w:tcW w:w="1980" w:type="dxa"/>
            <w:vAlign w:val="bottom"/>
            <w:shd w:val="clear" w:color="auto" w:fill="DCDEE4"/>
          </w:tcPr>
          <w:p>
            <w:pPr>
              <w:spacing w:after="0"/>
              <w:rPr>
                <w:sz w:val="7"/>
                <w:szCs w:val="7"/>
                <w:color w:val="auto"/>
              </w:rPr>
            </w:pPr>
          </w:p>
        </w:tc>
        <w:tc>
          <w:tcPr>
            <w:tcW w:w="1920" w:type="dxa"/>
            <w:vAlign w:val="bottom"/>
            <w:shd w:val="clear" w:color="auto" w:fill="DCDEE4"/>
          </w:tcPr>
          <w:p>
            <w:pPr>
              <w:spacing w:after="0"/>
              <w:rPr>
                <w:sz w:val="7"/>
                <w:szCs w:val="7"/>
                <w:color w:val="auto"/>
              </w:rPr>
            </w:pPr>
          </w:p>
        </w:tc>
        <w:tc>
          <w:tcPr>
            <w:tcW w:w="226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00" w:type="dxa"/>
            <w:vAlign w:val="bottom"/>
            <w:shd w:val="clear" w:color="auto" w:fill="DCDEE4"/>
          </w:tcPr>
          <w:p>
            <w:pPr>
              <w:spacing w:after="0"/>
              <w:rPr>
                <w:sz w:val="10"/>
                <w:szCs w:val="10"/>
                <w:color w:val="auto"/>
              </w:rPr>
            </w:pPr>
          </w:p>
        </w:tc>
        <w:tc>
          <w:tcPr>
            <w:tcW w:w="1620" w:type="dxa"/>
            <w:vAlign w:val="bottom"/>
            <w:shd w:val="clear" w:color="auto" w:fill="DCDEE4"/>
          </w:tcPr>
          <w:p>
            <w:pPr>
              <w:spacing w:after="0"/>
              <w:rPr>
                <w:sz w:val="10"/>
                <w:szCs w:val="10"/>
                <w:color w:val="auto"/>
              </w:rPr>
            </w:pPr>
          </w:p>
        </w:tc>
        <w:tc>
          <w:tcPr>
            <w:tcW w:w="600" w:type="dxa"/>
            <w:vAlign w:val="bottom"/>
            <w:shd w:val="clear" w:color="auto" w:fill="DCDEE4"/>
          </w:tcPr>
          <w:p>
            <w:pPr>
              <w:spacing w:after="0"/>
              <w:rPr>
                <w:sz w:val="10"/>
                <w:szCs w:val="10"/>
                <w:color w:val="auto"/>
              </w:rPr>
            </w:pPr>
          </w:p>
        </w:tc>
        <w:tc>
          <w:tcPr>
            <w:tcW w:w="1980" w:type="dxa"/>
            <w:vAlign w:val="bottom"/>
            <w:shd w:val="clear" w:color="auto" w:fill="DCDEE4"/>
          </w:tcPr>
          <w:p>
            <w:pPr>
              <w:spacing w:after="0"/>
              <w:rPr>
                <w:sz w:val="10"/>
                <w:szCs w:val="10"/>
                <w:color w:val="auto"/>
              </w:rPr>
            </w:pPr>
          </w:p>
        </w:tc>
        <w:tc>
          <w:tcPr>
            <w:tcW w:w="1920" w:type="dxa"/>
            <w:vAlign w:val="bottom"/>
            <w:shd w:val="clear" w:color="auto" w:fill="DCDEE4"/>
          </w:tcPr>
          <w:p>
            <w:pPr>
              <w:spacing w:after="0"/>
              <w:rPr>
                <w:sz w:val="10"/>
                <w:szCs w:val="10"/>
                <w:color w:val="auto"/>
              </w:rPr>
            </w:pPr>
          </w:p>
        </w:tc>
        <w:tc>
          <w:tcPr>
            <w:tcW w:w="22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00" w:type="dxa"/>
            <w:vAlign w:val="bottom"/>
            <w:tcBorders>
              <w:bottom w:val="single" w:sz="8" w:color="D02A2E"/>
            </w:tcBorders>
          </w:tcPr>
          <w:p>
            <w:pPr>
              <w:spacing w:after="0"/>
              <w:rPr>
                <w:sz w:val="18"/>
                <w:szCs w:val="18"/>
                <w:color w:val="auto"/>
              </w:rPr>
            </w:pPr>
          </w:p>
        </w:tc>
        <w:tc>
          <w:tcPr>
            <w:tcW w:w="1620" w:type="dxa"/>
            <w:vAlign w:val="bottom"/>
            <w:tcBorders>
              <w:bottom w:val="single" w:sz="8" w:color="D02A2E"/>
            </w:tcBorders>
          </w:tcPr>
          <w:p>
            <w:pPr>
              <w:spacing w:after="0"/>
              <w:rPr>
                <w:sz w:val="18"/>
                <w:szCs w:val="18"/>
                <w:color w:val="auto"/>
              </w:rPr>
            </w:pPr>
          </w:p>
        </w:tc>
        <w:tc>
          <w:tcPr>
            <w:tcW w:w="600" w:type="dxa"/>
            <w:vAlign w:val="bottom"/>
            <w:tcBorders>
              <w:bottom w:val="single" w:sz="8" w:color="D02A2E"/>
            </w:tcBorders>
          </w:tcPr>
          <w:p>
            <w:pPr>
              <w:spacing w:after="0"/>
              <w:rPr>
                <w:sz w:val="18"/>
                <w:szCs w:val="18"/>
                <w:color w:val="auto"/>
              </w:rPr>
            </w:pPr>
          </w:p>
        </w:tc>
        <w:tc>
          <w:tcPr>
            <w:tcW w:w="1980" w:type="dxa"/>
            <w:vAlign w:val="bottom"/>
            <w:tcBorders>
              <w:bottom w:val="single" w:sz="8" w:color="D02A2E"/>
            </w:tcBorders>
          </w:tcPr>
          <w:p>
            <w:pPr>
              <w:spacing w:after="0"/>
              <w:rPr>
                <w:sz w:val="18"/>
                <w:szCs w:val="18"/>
                <w:color w:val="auto"/>
              </w:rPr>
            </w:pPr>
          </w:p>
        </w:tc>
        <w:tc>
          <w:tcPr>
            <w:tcW w:w="1920" w:type="dxa"/>
            <w:vAlign w:val="bottom"/>
            <w:tcBorders>
              <w:bottom w:val="single" w:sz="8" w:color="D02A2E"/>
            </w:tcBorders>
          </w:tcPr>
          <w:p>
            <w:pPr>
              <w:spacing w:after="0"/>
              <w:rPr>
                <w:sz w:val="18"/>
                <w:szCs w:val="18"/>
                <w:color w:val="auto"/>
              </w:rPr>
            </w:pPr>
          </w:p>
        </w:tc>
        <w:tc>
          <w:tcPr>
            <w:tcW w:w="226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74930</wp:posOffset>
            </wp:positionV>
            <wp:extent cx="1663065" cy="40462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63065" cy="404622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2021</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ind w:right="120"/>
        <w:spacing w:after="0" w:line="265" w:lineRule="auto"/>
        <w:rPr>
          <w:sz w:val="20"/>
          <w:szCs w:val="20"/>
          <w:color w:val="auto"/>
        </w:rPr>
      </w:pPr>
      <w:r>
        <w:rPr>
          <w:rFonts w:ascii="Arial" w:cs="Arial" w:eastAsia="Arial" w:hAnsi="Arial"/>
          <w:sz w:val="16"/>
          <w:szCs w:val="16"/>
          <w:color w:val="auto"/>
        </w:rPr>
        <w:t>Nominating &amp; Corporate Governance and Compensation</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Santiago Perez</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CEO of The Hiller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INDUSTRY EXPERIENCE: </w:t>
      </w:r>
      <w:r>
        <w:rPr>
          <w:rFonts w:ascii="Arial" w:cs="Arial" w:eastAsia="Arial" w:hAnsi="Arial"/>
          <w:sz w:val="16"/>
          <w:szCs w:val="16"/>
          <w:color w:val="auto"/>
        </w:rPr>
        <w:t>Brings 35 years of diverse global management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experience in high-tech industries, including energy, HVAC&amp;R, building automation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industrial automation sectors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MANUFACTURING AND SUPPLY CHAIN EXPERTISE: </w:t>
      </w:r>
      <w:r>
        <w:rPr>
          <w:rFonts w:ascii="Arial" w:cs="Arial" w:eastAsia="Arial" w:hAnsi="Arial"/>
          <w:sz w:val="16"/>
          <w:szCs w:val="16"/>
          <w:color w:val="auto"/>
        </w:rPr>
        <w:t>Leads with extensive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experience in global supply chain management, product development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engineering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520"/>
        <w:spacing w:after="0" w:line="249" w:lineRule="auto"/>
        <w:rPr>
          <w:sz w:val="20"/>
          <w:szCs w:val="20"/>
          <w:color w:val="auto"/>
        </w:rPr>
      </w:pPr>
      <w:r>
        <w:rPr>
          <w:rFonts w:ascii="Arial" w:cs="Arial" w:eastAsia="Arial" w:hAnsi="Arial"/>
          <w:sz w:val="16"/>
          <w:szCs w:val="16"/>
          <w:b w:val="1"/>
          <w:bCs w:val="1"/>
          <w:color w:val="auto"/>
        </w:rPr>
        <w:t xml:space="preserve">MARKETING/SALES EXPERTISE: </w:t>
      </w:r>
      <w:r>
        <w:rPr>
          <w:rFonts w:ascii="Arial" w:cs="Arial" w:eastAsia="Arial" w:hAnsi="Arial"/>
          <w:sz w:val="16"/>
          <w:szCs w:val="16"/>
          <w:color w:val="auto"/>
        </w:rPr>
        <w:t>Leverages valuable experience in driving</w:t>
      </w:r>
      <w:r>
        <w:rPr>
          <w:rFonts w:ascii="Arial" w:cs="Arial" w:eastAsia="Arial" w:hAnsi="Arial"/>
          <w:sz w:val="16"/>
          <w:szCs w:val="16"/>
          <w:b w:val="1"/>
          <w:bCs w:val="1"/>
          <w:color w:val="auto"/>
        </w:rPr>
        <w:t xml:space="preserve"> </w:t>
      </w:r>
      <w:r>
        <w:rPr>
          <w:rFonts w:ascii="Arial" w:cs="Arial" w:eastAsia="Arial" w:hAnsi="Arial"/>
          <w:sz w:val="16"/>
          <w:szCs w:val="16"/>
          <w:color w:val="auto"/>
        </w:rPr>
        <w:t>sales, distribution, contracting and service operations across global markets, including software-as-a-service recurring revenue  </w:t>
      </w:r>
    </w:p>
    <w:p>
      <w:pPr>
        <w:spacing w:after="0" w:line="183"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Offers unique insight from leading innovative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development and engineering initiatives for major corporations  </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160" w:right="6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High-tech executive with expertise in sales, product management, service</w:t>
      </w:r>
      <w:r>
        <w:rPr>
          <w:rFonts w:ascii="Arial" w:cs="Arial" w:eastAsia="Arial" w:hAnsi="Arial"/>
          <w:sz w:val="16"/>
          <w:szCs w:val="16"/>
          <w:color w:val="D02A2E"/>
        </w:rPr>
        <w:t xml:space="preserve"> </w:t>
      </w:r>
      <w:r>
        <w:rPr>
          <w:rFonts w:ascii="Arial" w:cs="Arial" w:eastAsia="Arial" w:hAnsi="Arial"/>
          <w:sz w:val="16"/>
          <w:szCs w:val="16"/>
          <w:color w:val="000000"/>
        </w:rPr>
        <w:t>operations and digital transformation in complex business environments</w:t>
      </w:r>
    </w:p>
    <w:p>
      <w:pPr>
        <w:spacing w:after="0" w:line="34" w:lineRule="exact"/>
        <w:rPr>
          <w:sz w:val="20"/>
          <w:szCs w:val="20"/>
          <w:color w:val="auto"/>
        </w:rPr>
      </w:pPr>
    </w:p>
    <w:p>
      <w:pPr>
        <w:ind w:left="160" w:right="200" w:hanging="170"/>
        <w:spacing w:after="0" w:line="254"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Held various leadership roles, including currently as CEO of The Hiller</w:t>
      </w:r>
      <w:r>
        <w:rPr>
          <w:rFonts w:ascii="Arial" w:cs="Arial" w:eastAsia="Arial" w:hAnsi="Arial"/>
          <w:sz w:val="16"/>
          <w:szCs w:val="16"/>
          <w:color w:val="D02A2E"/>
        </w:rPr>
        <w:t xml:space="preserve"> </w:t>
      </w:r>
      <w:r>
        <w:rPr>
          <w:rFonts w:ascii="Arial" w:cs="Arial" w:eastAsia="Arial" w:hAnsi="Arial"/>
          <w:sz w:val="16"/>
          <w:szCs w:val="16"/>
          <w:color w:val="000000"/>
        </w:rPr>
        <w:t>Companies since March 2023, formerly as CEO of Keter Environmental Services, LLC from January 2022 to June 2022, and as a Senior Advisor at Arsenal Capital Partners in 2021. Prior to this, Mr. Perez served as Chief Digital Officer &amp; Senior Vice President U.S. Services &amp; Solutions at Schneider Electric from 2017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193040</wp:posOffset>
            </wp:positionV>
            <wp:extent cx="5829300" cy="2040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9300" cy="2040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4"/>
                <w:szCs w:val="14"/>
                <w:b w:val="1"/>
                <w:bCs w:val="1"/>
                <w:color w:val="5D6673"/>
              </w:rPr>
              <w:t>EXECUTIVE</w:t>
            </w:r>
          </w:p>
        </w:tc>
        <w:tc>
          <w:tcPr>
            <w:tcW w:w="222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FINANCIAL</w:t>
            </w:r>
          </w:p>
        </w:tc>
        <w:tc>
          <w:tcPr>
            <w:tcW w:w="380" w:type="dxa"/>
            <w:vAlign w:val="bottom"/>
          </w:tcPr>
          <w:p>
            <w:pPr>
              <w:spacing w:after="0"/>
              <w:rPr>
                <w:sz w:val="24"/>
                <w:szCs w:val="24"/>
                <w:color w:val="auto"/>
              </w:rPr>
            </w:pPr>
          </w:p>
        </w:tc>
        <w:tc>
          <w:tcPr>
            <w:tcW w:w="2240" w:type="dxa"/>
            <w:vAlign w:val="bottom"/>
          </w:tcPr>
          <w:p>
            <w:pPr>
              <w:ind w:left="680"/>
              <w:spacing w:after="0"/>
              <w:rPr>
                <w:sz w:val="20"/>
                <w:szCs w:val="20"/>
                <w:color w:val="auto"/>
              </w:rPr>
            </w:pPr>
            <w:r>
              <w:rPr>
                <w:rFonts w:ascii="Arial" w:cs="Arial" w:eastAsia="Arial" w:hAnsi="Arial"/>
                <w:sz w:val="14"/>
                <w:szCs w:val="14"/>
                <w:b w:val="1"/>
                <w:bCs w:val="1"/>
                <w:color w:val="5D6673"/>
              </w:rPr>
              <w:t>PUBLIC BOARD</w:t>
            </w:r>
          </w:p>
        </w:tc>
        <w:tc>
          <w:tcPr>
            <w:tcW w:w="206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vMerge w:val="restart"/>
          </w:tcPr>
          <w:p>
            <w:pPr>
              <w:spacing w:after="0"/>
              <w:rPr>
                <w:sz w:val="20"/>
                <w:szCs w:val="20"/>
                <w:color w:val="auto"/>
              </w:rPr>
            </w:pPr>
            <w:r>
              <w:rPr>
                <w:rFonts w:ascii="Arial" w:cs="Arial" w:eastAsia="Arial" w:hAnsi="Arial"/>
                <w:sz w:val="14"/>
                <w:szCs w:val="14"/>
                <w:b w:val="1"/>
                <w:bCs w:val="1"/>
                <w:color w:val="5D6673"/>
              </w:rPr>
              <w:t>LEADERSHIP</w:t>
            </w:r>
          </w:p>
        </w:tc>
        <w:tc>
          <w:tcPr>
            <w:tcW w:w="22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240" w:type="dxa"/>
            <w:vAlign w:val="bottom"/>
            <w:vMerge w:val="restart"/>
          </w:tcPr>
          <w:p>
            <w:pPr>
              <w:ind w:left="680"/>
              <w:spacing w:after="0"/>
              <w:rPr>
                <w:sz w:val="20"/>
                <w:szCs w:val="20"/>
                <w:color w:val="auto"/>
              </w:rPr>
            </w:pPr>
            <w:r>
              <w:rPr>
                <w:rFonts w:ascii="Arial" w:cs="Arial" w:eastAsia="Arial" w:hAnsi="Arial"/>
                <w:sz w:val="14"/>
                <w:szCs w:val="14"/>
                <w:b w:val="1"/>
                <w:bCs w:val="1"/>
                <w:color w:val="5D6673"/>
              </w:rPr>
              <w:t>AND GOVERNANCE</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22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LITERACY/CFO</w:t>
            </w:r>
          </w:p>
        </w:tc>
        <w:tc>
          <w:tcPr>
            <w:tcW w:w="38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2060" w:type="dxa"/>
            <w:vAlign w:val="bottom"/>
            <w:vMerge w:val="restart"/>
          </w:tcPr>
          <w:p>
            <w:pPr>
              <w:ind w:left="84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40" w:type="dxa"/>
            <w:vAlign w:val="bottom"/>
          </w:tcPr>
          <w:p>
            <w:pPr>
              <w:spacing w:after="0"/>
              <w:rPr>
                <w:sz w:val="8"/>
                <w:szCs w:val="8"/>
                <w:color w:val="auto"/>
              </w:rPr>
            </w:pPr>
          </w:p>
        </w:tc>
        <w:tc>
          <w:tcPr>
            <w:tcW w:w="1480" w:type="dxa"/>
            <w:vAlign w:val="bottom"/>
            <w:vMerge w:val="restart"/>
          </w:tcPr>
          <w:p>
            <w:pPr>
              <w:spacing w:after="0"/>
              <w:rPr>
                <w:sz w:val="20"/>
                <w:szCs w:val="20"/>
                <w:color w:val="auto"/>
              </w:rPr>
            </w:pPr>
            <w:r>
              <w:rPr>
                <w:rFonts w:ascii="Arial" w:cs="Arial" w:eastAsia="Arial" w:hAnsi="Arial"/>
                <w:sz w:val="14"/>
                <w:szCs w:val="14"/>
                <w:b w:val="1"/>
                <w:bCs w:val="1"/>
                <w:color w:val="5D6673"/>
              </w:rPr>
              <w:t>EXPERIENCE</w:t>
            </w:r>
          </w:p>
        </w:tc>
        <w:tc>
          <w:tcPr>
            <w:tcW w:w="22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240" w:type="dxa"/>
            <w:vAlign w:val="bottom"/>
            <w:vMerge w:val="restart"/>
          </w:tcPr>
          <w:p>
            <w:pPr>
              <w:ind w:left="680"/>
              <w:spacing w:after="0"/>
              <w:rPr>
                <w:sz w:val="20"/>
                <w:szCs w:val="20"/>
                <w:color w:val="auto"/>
              </w:rPr>
            </w:pPr>
            <w:r>
              <w:rPr>
                <w:rFonts w:ascii="Arial" w:cs="Arial" w:eastAsia="Arial" w:hAnsi="Arial"/>
                <w:sz w:val="14"/>
                <w:szCs w:val="14"/>
                <w:b w:val="1"/>
                <w:bCs w:val="1"/>
                <w:color w:val="5D6673"/>
              </w:rPr>
              <w:t>EXPERIENCE</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40" w:type="dxa"/>
            <w:vAlign w:val="bottom"/>
            <w:vMerge w:val="continue"/>
            <w:shd w:val="clear" w:color="auto" w:fill="DCDEE4"/>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2220" w:type="dxa"/>
            <w:vAlign w:val="bottom"/>
            <w:vMerge w:val="restart"/>
          </w:tcPr>
          <w:p>
            <w:pPr>
              <w:ind w:left="160"/>
              <w:spacing w:after="0"/>
              <w:rPr>
                <w:sz w:val="20"/>
                <w:szCs w:val="20"/>
                <w:color w:val="auto"/>
              </w:rPr>
            </w:pPr>
            <w:r>
              <w:rPr>
                <w:rFonts w:ascii="Arial" w:cs="Arial" w:eastAsia="Arial" w:hAnsi="Arial"/>
                <w:sz w:val="14"/>
                <w:szCs w:val="14"/>
                <w:b w:val="1"/>
                <w:bCs w:val="1"/>
                <w:color w:val="5D6673"/>
              </w:rPr>
              <w:t> </w:t>
            </w:r>
          </w:p>
        </w:tc>
        <w:tc>
          <w:tcPr>
            <w:tcW w:w="38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 </w:t>
            </w:r>
          </w:p>
        </w:tc>
        <w:tc>
          <w:tcPr>
            <w:tcW w:w="2240" w:type="dxa"/>
            <w:vAlign w:val="bottom"/>
            <w:vMerge w:val="continue"/>
          </w:tcPr>
          <w:p>
            <w:pPr>
              <w:spacing w:after="0"/>
              <w:rPr>
                <w:sz w:val="8"/>
                <w:szCs w:val="8"/>
                <w:color w:val="auto"/>
              </w:rPr>
            </w:pPr>
          </w:p>
        </w:tc>
        <w:tc>
          <w:tcPr>
            <w:tcW w:w="2060" w:type="dxa"/>
            <w:vAlign w:val="bottom"/>
            <w:vMerge w:val="restart"/>
          </w:tcPr>
          <w:p>
            <w:pPr>
              <w:ind w:left="16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540" w:type="dxa"/>
            <w:vAlign w:val="bottom"/>
            <w:vMerge w:val="continue"/>
            <w:shd w:val="clear" w:color="auto" w:fill="DCDEE4"/>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4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MANUFACTURING</w:t>
            </w:r>
          </w:p>
        </w:tc>
        <w:tc>
          <w:tcPr>
            <w:tcW w:w="222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PRODUCT</w:t>
            </w:r>
          </w:p>
        </w:tc>
        <w:tc>
          <w:tcPr>
            <w:tcW w:w="380" w:type="dxa"/>
            <w:vAlign w:val="bottom"/>
            <w:shd w:val="clear" w:color="auto" w:fill="DCDEE4"/>
          </w:tcPr>
          <w:p>
            <w:pPr>
              <w:spacing w:after="0"/>
              <w:rPr>
                <w:sz w:val="24"/>
                <w:szCs w:val="24"/>
                <w:color w:val="auto"/>
              </w:rPr>
            </w:pPr>
          </w:p>
        </w:tc>
        <w:tc>
          <w:tcPr>
            <w:tcW w:w="224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5D6673"/>
              </w:rPr>
              <w:t>MARKETING/SALES</w:t>
            </w:r>
          </w:p>
        </w:tc>
        <w:tc>
          <w:tcPr>
            <w:tcW w:w="206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GOVERNMENT</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4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AND/OR SUPPLY</w:t>
            </w:r>
          </w:p>
        </w:tc>
        <w:tc>
          <w:tcPr>
            <w:tcW w:w="2220" w:type="dxa"/>
            <w:vAlign w:val="bottom"/>
            <w:vMerge w:val="continue"/>
            <w:shd w:val="clear" w:color="auto" w:fill="DCDEE4"/>
          </w:tcPr>
          <w:p>
            <w:pPr>
              <w:spacing w:after="0"/>
              <w:rPr>
                <w:sz w:val="7"/>
                <w:szCs w:val="7"/>
                <w:color w:val="auto"/>
              </w:rPr>
            </w:pPr>
          </w:p>
        </w:tc>
        <w:tc>
          <w:tcPr>
            <w:tcW w:w="380" w:type="dxa"/>
            <w:vAlign w:val="bottom"/>
            <w:shd w:val="clear" w:color="auto" w:fill="DCDEE4"/>
          </w:tcPr>
          <w:p>
            <w:pPr>
              <w:spacing w:after="0"/>
              <w:rPr>
                <w:sz w:val="7"/>
                <w:szCs w:val="7"/>
                <w:color w:val="auto"/>
              </w:rPr>
            </w:pPr>
          </w:p>
        </w:tc>
        <w:tc>
          <w:tcPr>
            <w:tcW w:w="2240" w:type="dxa"/>
            <w:vAlign w:val="bottom"/>
            <w:vMerge w:val="continue"/>
            <w:shd w:val="clear" w:color="auto" w:fill="DCDEE4"/>
          </w:tcPr>
          <w:p>
            <w:pPr>
              <w:spacing w:after="0"/>
              <w:rPr>
                <w:sz w:val="7"/>
                <w:szCs w:val="7"/>
                <w:color w:val="auto"/>
              </w:rPr>
            </w:pPr>
          </w:p>
        </w:tc>
        <w:tc>
          <w:tcPr>
            <w:tcW w:w="206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480" w:type="dxa"/>
            <w:vAlign w:val="bottom"/>
            <w:vMerge w:val="continue"/>
            <w:shd w:val="clear" w:color="auto" w:fill="DCDEE4"/>
          </w:tcPr>
          <w:p>
            <w:pPr>
              <w:spacing w:after="0"/>
              <w:rPr>
                <w:sz w:val="7"/>
                <w:szCs w:val="7"/>
                <w:color w:val="auto"/>
              </w:rPr>
            </w:pPr>
          </w:p>
        </w:tc>
        <w:tc>
          <w:tcPr>
            <w:tcW w:w="222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TECHNOLOGY</w:t>
            </w:r>
          </w:p>
        </w:tc>
        <w:tc>
          <w:tcPr>
            <w:tcW w:w="380" w:type="dxa"/>
            <w:vAlign w:val="bottom"/>
            <w:shd w:val="clear" w:color="auto" w:fill="DCDEE4"/>
          </w:tcPr>
          <w:p>
            <w:pPr>
              <w:spacing w:after="0"/>
              <w:rPr>
                <w:sz w:val="7"/>
                <w:szCs w:val="7"/>
                <w:color w:val="auto"/>
              </w:rPr>
            </w:pPr>
          </w:p>
        </w:tc>
        <w:tc>
          <w:tcPr>
            <w:tcW w:w="2240" w:type="dxa"/>
            <w:vAlign w:val="bottom"/>
            <w:vMerge w:val="restart"/>
            <w:shd w:val="clear" w:color="auto" w:fill="DCDEE4"/>
          </w:tcPr>
          <w:p>
            <w:pPr>
              <w:ind w:left="680"/>
              <w:spacing w:after="0"/>
              <w:rPr>
                <w:sz w:val="20"/>
                <w:szCs w:val="20"/>
                <w:color w:val="auto"/>
              </w:rPr>
            </w:pPr>
            <w:r>
              <w:rPr>
                <w:rFonts w:ascii="Arial" w:cs="Arial" w:eastAsia="Arial" w:hAnsi="Arial"/>
                <w:sz w:val="14"/>
                <w:szCs w:val="14"/>
                <w:b w:val="1"/>
                <w:bCs w:val="1"/>
                <w:color w:val="5D6673"/>
              </w:rPr>
              <w:t>EXPERTISE</w:t>
            </w:r>
          </w:p>
        </w:tc>
        <w:tc>
          <w:tcPr>
            <w:tcW w:w="2060" w:type="dxa"/>
            <w:vAlign w:val="bottom"/>
            <w:vMerge w:val="restart"/>
            <w:shd w:val="clear" w:color="auto" w:fill="DCDEE4"/>
          </w:tcPr>
          <w:p>
            <w:pPr>
              <w:ind w:left="840"/>
              <w:spacing w:after="0"/>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4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CHAIN EXPERTISE</w:t>
            </w:r>
          </w:p>
        </w:tc>
        <w:tc>
          <w:tcPr>
            <w:tcW w:w="2220" w:type="dxa"/>
            <w:vAlign w:val="bottom"/>
            <w:vMerge w:val="continue"/>
            <w:shd w:val="clear" w:color="auto" w:fill="DCDEE4"/>
          </w:tcPr>
          <w:p>
            <w:pPr>
              <w:spacing w:after="0"/>
              <w:rPr>
                <w:sz w:val="7"/>
                <w:szCs w:val="7"/>
                <w:color w:val="auto"/>
              </w:rPr>
            </w:pPr>
          </w:p>
        </w:tc>
        <w:tc>
          <w:tcPr>
            <w:tcW w:w="380" w:type="dxa"/>
            <w:vAlign w:val="bottom"/>
            <w:shd w:val="clear" w:color="auto" w:fill="DCDEE4"/>
          </w:tcPr>
          <w:p>
            <w:pPr>
              <w:spacing w:after="0"/>
              <w:rPr>
                <w:sz w:val="7"/>
                <w:szCs w:val="7"/>
                <w:color w:val="auto"/>
              </w:rPr>
            </w:pPr>
          </w:p>
        </w:tc>
        <w:tc>
          <w:tcPr>
            <w:tcW w:w="2240" w:type="dxa"/>
            <w:vAlign w:val="bottom"/>
            <w:vMerge w:val="continue"/>
            <w:shd w:val="clear" w:color="auto" w:fill="DCDEE4"/>
          </w:tcPr>
          <w:p>
            <w:pPr>
              <w:spacing w:after="0"/>
              <w:rPr>
                <w:sz w:val="7"/>
                <w:szCs w:val="7"/>
                <w:color w:val="auto"/>
              </w:rPr>
            </w:pPr>
          </w:p>
        </w:tc>
        <w:tc>
          <w:tcPr>
            <w:tcW w:w="206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40" w:type="dxa"/>
            <w:vAlign w:val="bottom"/>
            <w:shd w:val="clear" w:color="auto" w:fill="DCDEE4"/>
          </w:tcPr>
          <w:p>
            <w:pPr>
              <w:spacing w:after="0"/>
              <w:rPr>
                <w:sz w:val="10"/>
                <w:szCs w:val="10"/>
                <w:color w:val="auto"/>
              </w:rPr>
            </w:pPr>
          </w:p>
        </w:tc>
        <w:tc>
          <w:tcPr>
            <w:tcW w:w="1480" w:type="dxa"/>
            <w:vAlign w:val="bottom"/>
            <w:vMerge w:val="continue"/>
            <w:shd w:val="clear" w:color="auto" w:fill="DCDEE4"/>
          </w:tcPr>
          <w:p>
            <w:pPr>
              <w:spacing w:after="0"/>
              <w:rPr>
                <w:sz w:val="10"/>
                <w:szCs w:val="10"/>
                <w:color w:val="auto"/>
              </w:rPr>
            </w:pPr>
          </w:p>
        </w:tc>
        <w:tc>
          <w:tcPr>
            <w:tcW w:w="2220" w:type="dxa"/>
            <w:vAlign w:val="bottom"/>
            <w:vMerge w:val="restart"/>
            <w:shd w:val="clear" w:color="auto" w:fill="DCDEE4"/>
          </w:tcPr>
          <w:p>
            <w:pPr>
              <w:ind w:left="220"/>
              <w:spacing w:after="0"/>
              <w:rPr>
                <w:sz w:val="20"/>
                <w:szCs w:val="20"/>
                <w:color w:val="auto"/>
              </w:rPr>
            </w:pPr>
            <w:r>
              <w:rPr>
                <w:rFonts w:ascii="Arial" w:cs="Arial" w:eastAsia="Arial" w:hAnsi="Arial"/>
                <w:sz w:val="14"/>
                <w:szCs w:val="14"/>
                <w:b w:val="1"/>
                <w:bCs w:val="1"/>
                <w:color w:val="5D6673"/>
              </w:rPr>
              <w:t> </w:t>
            </w:r>
          </w:p>
        </w:tc>
        <w:tc>
          <w:tcPr>
            <w:tcW w:w="380" w:type="dxa"/>
            <w:vAlign w:val="bottom"/>
            <w:shd w:val="clear" w:color="auto" w:fill="DCDEE4"/>
          </w:tcPr>
          <w:p>
            <w:pPr>
              <w:spacing w:after="0"/>
              <w:rPr>
                <w:sz w:val="10"/>
                <w:szCs w:val="10"/>
                <w:color w:val="auto"/>
              </w:rPr>
            </w:pPr>
          </w:p>
        </w:tc>
        <w:tc>
          <w:tcPr>
            <w:tcW w:w="2240" w:type="dxa"/>
            <w:vAlign w:val="bottom"/>
            <w:vMerge w:val="restart"/>
            <w:shd w:val="clear" w:color="auto" w:fill="DCDEE4"/>
          </w:tcPr>
          <w:p>
            <w:pPr>
              <w:ind w:left="20"/>
              <w:spacing w:after="0"/>
              <w:rPr>
                <w:sz w:val="20"/>
                <w:szCs w:val="20"/>
                <w:color w:val="auto"/>
              </w:rPr>
            </w:pPr>
            <w:r>
              <w:rPr>
                <w:rFonts w:ascii="Arial" w:cs="Arial" w:eastAsia="Arial" w:hAnsi="Arial"/>
                <w:sz w:val="14"/>
                <w:szCs w:val="14"/>
                <w:b w:val="1"/>
                <w:bCs w:val="1"/>
                <w:color w:val="5D6673"/>
              </w:rPr>
              <w:t> </w:t>
            </w:r>
          </w:p>
        </w:tc>
        <w:tc>
          <w:tcPr>
            <w:tcW w:w="2060" w:type="dxa"/>
            <w:vAlign w:val="bottom"/>
            <w:vMerge w:val="restart"/>
            <w:shd w:val="clear" w:color="auto" w:fill="DCDEE4"/>
          </w:tcPr>
          <w:p>
            <w:pPr>
              <w:ind w:left="16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40" w:type="dxa"/>
            <w:vAlign w:val="bottom"/>
            <w:vMerge w:val="continue"/>
            <w:shd w:val="clear" w:color="auto" w:fill="DCDEE4"/>
          </w:tcPr>
          <w:p>
            <w:pPr>
              <w:spacing w:after="0"/>
              <w:rPr>
                <w:sz w:val="11"/>
                <w:szCs w:val="11"/>
                <w:color w:val="auto"/>
              </w:rPr>
            </w:pPr>
          </w:p>
        </w:tc>
        <w:tc>
          <w:tcPr>
            <w:tcW w:w="140" w:type="dxa"/>
            <w:vAlign w:val="bottom"/>
            <w:shd w:val="clear" w:color="auto" w:fill="DCDEE4"/>
          </w:tcPr>
          <w:p>
            <w:pPr>
              <w:spacing w:after="0"/>
              <w:rPr>
                <w:sz w:val="11"/>
                <w:szCs w:val="11"/>
                <w:color w:val="auto"/>
              </w:rPr>
            </w:pPr>
          </w:p>
        </w:tc>
        <w:tc>
          <w:tcPr>
            <w:tcW w:w="1480" w:type="dxa"/>
            <w:vAlign w:val="bottom"/>
            <w:shd w:val="clear" w:color="auto" w:fill="DCDEE4"/>
          </w:tcPr>
          <w:p>
            <w:pPr>
              <w:spacing w:after="0"/>
              <w:rPr>
                <w:sz w:val="11"/>
                <w:szCs w:val="11"/>
                <w:color w:val="auto"/>
              </w:rPr>
            </w:pPr>
          </w:p>
        </w:tc>
        <w:tc>
          <w:tcPr>
            <w:tcW w:w="2220" w:type="dxa"/>
            <w:vAlign w:val="bottom"/>
            <w:vMerge w:val="continue"/>
            <w:shd w:val="clear" w:color="auto" w:fill="DCDEE4"/>
          </w:tcPr>
          <w:p>
            <w:pPr>
              <w:spacing w:after="0"/>
              <w:rPr>
                <w:sz w:val="11"/>
                <w:szCs w:val="11"/>
                <w:color w:val="auto"/>
              </w:rPr>
            </w:pPr>
          </w:p>
        </w:tc>
        <w:tc>
          <w:tcPr>
            <w:tcW w:w="380" w:type="dxa"/>
            <w:vAlign w:val="bottom"/>
            <w:shd w:val="clear" w:color="auto" w:fill="DCDEE4"/>
          </w:tcPr>
          <w:p>
            <w:pPr>
              <w:spacing w:after="0"/>
              <w:rPr>
                <w:sz w:val="11"/>
                <w:szCs w:val="11"/>
                <w:color w:val="auto"/>
              </w:rPr>
            </w:pPr>
          </w:p>
        </w:tc>
        <w:tc>
          <w:tcPr>
            <w:tcW w:w="2240" w:type="dxa"/>
            <w:vAlign w:val="bottom"/>
            <w:vMerge w:val="continue"/>
            <w:shd w:val="clear" w:color="auto" w:fill="DCDEE4"/>
          </w:tcPr>
          <w:p>
            <w:pPr>
              <w:spacing w:after="0"/>
              <w:rPr>
                <w:sz w:val="11"/>
                <w:szCs w:val="11"/>
                <w:color w:val="auto"/>
              </w:rPr>
            </w:pPr>
          </w:p>
        </w:tc>
        <w:tc>
          <w:tcPr>
            <w:tcW w:w="2060" w:type="dxa"/>
            <w:vAlign w:val="bottom"/>
            <w:vMerge w:val="continue"/>
            <w:shd w:val="clear" w:color="auto" w:fill="DCDEE4"/>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120" w:type="dxa"/>
            <w:vAlign w:val="bottom"/>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4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MERGERS AND</w:t>
            </w:r>
          </w:p>
        </w:tc>
        <w:tc>
          <w:tcPr>
            <w:tcW w:w="2220" w:type="dxa"/>
            <w:vAlign w:val="bottom"/>
            <w:shd w:val="clear" w:color="auto" w:fill="DCDEE4"/>
          </w:tcPr>
          <w:p>
            <w:pPr>
              <w:spacing w:after="0"/>
              <w:rPr>
                <w:sz w:val="24"/>
                <w:szCs w:val="24"/>
                <w:color w:val="auto"/>
              </w:rPr>
            </w:pPr>
          </w:p>
        </w:tc>
        <w:tc>
          <w:tcPr>
            <w:tcW w:w="380" w:type="dxa"/>
            <w:vAlign w:val="bottom"/>
            <w:shd w:val="clear" w:color="auto" w:fill="DCDEE4"/>
          </w:tcPr>
          <w:p>
            <w:pPr>
              <w:spacing w:after="0"/>
              <w:rPr>
                <w:sz w:val="24"/>
                <w:szCs w:val="24"/>
                <w:color w:val="auto"/>
              </w:rPr>
            </w:pPr>
          </w:p>
        </w:tc>
        <w:tc>
          <w:tcPr>
            <w:tcW w:w="2240" w:type="dxa"/>
            <w:vAlign w:val="bottom"/>
            <w:shd w:val="clear" w:color="auto" w:fill="DCDEE4"/>
          </w:tcPr>
          <w:p>
            <w:pPr>
              <w:spacing w:after="0"/>
              <w:rPr>
                <w:sz w:val="24"/>
                <w:szCs w:val="24"/>
                <w:color w:val="auto"/>
              </w:rPr>
            </w:pPr>
          </w:p>
        </w:tc>
        <w:tc>
          <w:tcPr>
            <w:tcW w:w="206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140" w:type="dxa"/>
            <w:vAlign w:val="bottom"/>
            <w:shd w:val="clear" w:color="auto" w:fill="DCDEE4"/>
          </w:tcPr>
          <w:p>
            <w:pPr>
              <w:spacing w:after="0"/>
              <w:rPr>
                <w:sz w:val="17"/>
                <w:szCs w:val="17"/>
                <w:color w:val="auto"/>
              </w:rPr>
            </w:pPr>
          </w:p>
        </w:tc>
        <w:tc>
          <w:tcPr>
            <w:tcW w:w="14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ACQUISITIONS</w:t>
            </w:r>
          </w:p>
        </w:tc>
        <w:tc>
          <w:tcPr>
            <w:tcW w:w="2220" w:type="dxa"/>
            <w:vAlign w:val="bottom"/>
            <w:shd w:val="clear" w:color="auto" w:fill="DCDEE4"/>
          </w:tcPr>
          <w:p>
            <w:pPr>
              <w:spacing w:after="0"/>
              <w:rPr>
                <w:sz w:val="17"/>
                <w:szCs w:val="17"/>
                <w:color w:val="auto"/>
              </w:rPr>
            </w:pPr>
          </w:p>
        </w:tc>
        <w:tc>
          <w:tcPr>
            <w:tcW w:w="380" w:type="dxa"/>
            <w:vAlign w:val="bottom"/>
            <w:shd w:val="clear" w:color="auto" w:fill="DCDEE4"/>
          </w:tcPr>
          <w:p>
            <w:pPr>
              <w:spacing w:after="0"/>
              <w:rPr>
                <w:sz w:val="17"/>
                <w:szCs w:val="17"/>
                <w:color w:val="auto"/>
              </w:rPr>
            </w:pPr>
          </w:p>
        </w:tc>
        <w:tc>
          <w:tcPr>
            <w:tcW w:w="2240" w:type="dxa"/>
            <w:vAlign w:val="bottom"/>
            <w:shd w:val="clear" w:color="auto" w:fill="DCDEE4"/>
          </w:tcPr>
          <w:p>
            <w:pPr>
              <w:spacing w:after="0"/>
              <w:rPr>
                <w:sz w:val="17"/>
                <w:szCs w:val="17"/>
                <w:color w:val="auto"/>
              </w:rPr>
            </w:pPr>
          </w:p>
        </w:tc>
        <w:tc>
          <w:tcPr>
            <w:tcW w:w="2060" w:type="dxa"/>
            <w:vAlign w:val="bottom"/>
            <w:shd w:val="clear" w:color="auto" w:fill="DCDEE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540" w:type="dxa"/>
            <w:vAlign w:val="bottom"/>
            <w:vMerge w:val="continue"/>
            <w:shd w:val="clear" w:color="auto" w:fill="DCDEE4"/>
          </w:tcPr>
          <w:p>
            <w:pPr>
              <w:spacing w:after="0"/>
              <w:rPr>
                <w:sz w:val="14"/>
                <w:szCs w:val="14"/>
                <w:color w:val="auto"/>
              </w:rPr>
            </w:pPr>
          </w:p>
        </w:tc>
        <w:tc>
          <w:tcPr>
            <w:tcW w:w="140" w:type="dxa"/>
            <w:vAlign w:val="bottom"/>
            <w:shd w:val="clear" w:color="auto" w:fill="DCDEE4"/>
          </w:tcPr>
          <w:p>
            <w:pPr>
              <w:spacing w:after="0"/>
              <w:rPr>
                <w:sz w:val="14"/>
                <w:szCs w:val="14"/>
                <w:color w:val="auto"/>
              </w:rPr>
            </w:pPr>
          </w:p>
        </w:tc>
        <w:tc>
          <w:tcPr>
            <w:tcW w:w="1480" w:type="dxa"/>
            <w:vAlign w:val="bottom"/>
            <w:shd w:val="clear" w:color="auto" w:fill="DCDEE4"/>
          </w:tcPr>
          <w:p>
            <w:pPr>
              <w:spacing w:after="0"/>
              <w:rPr>
                <w:sz w:val="14"/>
                <w:szCs w:val="14"/>
                <w:color w:val="auto"/>
              </w:rPr>
            </w:pPr>
          </w:p>
        </w:tc>
        <w:tc>
          <w:tcPr>
            <w:tcW w:w="2220" w:type="dxa"/>
            <w:vAlign w:val="bottom"/>
            <w:shd w:val="clear" w:color="auto" w:fill="DCDEE4"/>
          </w:tcPr>
          <w:p>
            <w:pPr>
              <w:spacing w:after="0"/>
              <w:rPr>
                <w:sz w:val="14"/>
                <w:szCs w:val="14"/>
                <w:color w:val="auto"/>
              </w:rPr>
            </w:pPr>
          </w:p>
        </w:tc>
        <w:tc>
          <w:tcPr>
            <w:tcW w:w="380" w:type="dxa"/>
            <w:vAlign w:val="bottom"/>
            <w:shd w:val="clear" w:color="auto" w:fill="DCDEE4"/>
          </w:tcPr>
          <w:p>
            <w:pPr>
              <w:spacing w:after="0"/>
              <w:rPr>
                <w:sz w:val="14"/>
                <w:szCs w:val="14"/>
                <w:color w:val="auto"/>
              </w:rPr>
            </w:pPr>
          </w:p>
        </w:tc>
        <w:tc>
          <w:tcPr>
            <w:tcW w:w="2240" w:type="dxa"/>
            <w:vAlign w:val="bottom"/>
            <w:shd w:val="clear" w:color="auto" w:fill="DCDEE4"/>
          </w:tcPr>
          <w:p>
            <w:pPr>
              <w:spacing w:after="0"/>
              <w:rPr>
                <w:sz w:val="14"/>
                <w:szCs w:val="14"/>
                <w:color w:val="auto"/>
              </w:rPr>
            </w:pPr>
          </w:p>
        </w:tc>
        <w:tc>
          <w:tcPr>
            <w:tcW w:w="2060" w:type="dxa"/>
            <w:vAlign w:val="bottom"/>
            <w:shd w:val="clear" w:color="auto" w:fill="DCDEE4"/>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480" w:type="dxa"/>
            <w:vAlign w:val="bottom"/>
            <w:shd w:val="clear" w:color="auto" w:fill="DCDEE4"/>
          </w:tcPr>
          <w:p>
            <w:pPr>
              <w:spacing w:after="0"/>
              <w:rPr>
                <w:sz w:val="10"/>
                <w:szCs w:val="10"/>
                <w:color w:val="auto"/>
              </w:rPr>
            </w:pPr>
          </w:p>
        </w:tc>
        <w:tc>
          <w:tcPr>
            <w:tcW w:w="2220" w:type="dxa"/>
            <w:vAlign w:val="bottom"/>
            <w:shd w:val="clear" w:color="auto" w:fill="DCDEE4"/>
          </w:tcPr>
          <w:p>
            <w:pPr>
              <w:spacing w:after="0"/>
              <w:rPr>
                <w:sz w:val="10"/>
                <w:szCs w:val="10"/>
                <w:color w:val="auto"/>
              </w:rPr>
            </w:pPr>
          </w:p>
        </w:tc>
        <w:tc>
          <w:tcPr>
            <w:tcW w:w="380" w:type="dxa"/>
            <w:vAlign w:val="bottom"/>
            <w:shd w:val="clear" w:color="auto" w:fill="DCDEE4"/>
          </w:tcPr>
          <w:p>
            <w:pPr>
              <w:spacing w:after="0"/>
              <w:rPr>
                <w:sz w:val="10"/>
                <w:szCs w:val="10"/>
                <w:color w:val="auto"/>
              </w:rPr>
            </w:pPr>
          </w:p>
        </w:tc>
        <w:tc>
          <w:tcPr>
            <w:tcW w:w="2240" w:type="dxa"/>
            <w:vAlign w:val="bottom"/>
            <w:shd w:val="clear" w:color="auto" w:fill="DCDEE4"/>
          </w:tcPr>
          <w:p>
            <w:pPr>
              <w:spacing w:after="0"/>
              <w:rPr>
                <w:sz w:val="10"/>
                <w:szCs w:val="10"/>
                <w:color w:val="auto"/>
              </w:rPr>
            </w:pPr>
          </w:p>
        </w:tc>
        <w:tc>
          <w:tcPr>
            <w:tcW w:w="206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40" w:type="dxa"/>
            <w:vAlign w:val="bottom"/>
            <w:tcBorders>
              <w:bottom w:val="single" w:sz="8" w:color="D02A2E"/>
            </w:tcBorders>
          </w:tcPr>
          <w:p>
            <w:pPr>
              <w:spacing w:after="0"/>
              <w:rPr>
                <w:sz w:val="18"/>
                <w:szCs w:val="18"/>
                <w:color w:val="auto"/>
              </w:rPr>
            </w:pPr>
          </w:p>
        </w:tc>
        <w:tc>
          <w:tcPr>
            <w:tcW w:w="1480" w:type="dxa"/>
            <w:vAlign w:val="bottom"/>
            <w:tcBorders>
              <w:bottom w:val="single" w:sz="8" w:color="D02A2E"/>
            </w:tcBorders>
          </w:tcPr>
          <w:p>
            <w:pPr>
              <w:spacing w:after="0"/>
              <w:rPr>
                <w:sz w:val="18"/>
                <w:szCs w:val="18"/>
                <w:color w:val="auto"/>
              </w:rPr>
            </w:pPr>
          </w:p>
        </w:tc>
        <w:tc>
          <w:tcPr>
            <w:tcW w:w="2220" w:type="dxa"/>
            <w:vAlign w:val="bottom"/>
            <w:tcBorders>
              <w:bottom w:val="single" w:sz="8" w:color="D02A2E"/>
            </w:tcBorders>
          </w:tcPr>
          <w:p>
            <w:pPr>
              <w:spacing w:after="0"/>
              <w:rPr>
                <w:sz w:val="18"/>
                <w:szCs w:val="18"/>
                <w:color w:val="auto"/>
              </w:rPr>
            </w:pPr>
          </w:p>
        </w:tc>
        <w:tc>
          <w:tcPr>
            <w:tcW w:w="380" w:type="dxa"/>
            <w:vAlign w:val="bottom"/>
            <w:tcBorders>
              <w:bottom w:val="single" w:sz="8" w:color="D02A2E"/>
            </w:tcBorders>
          </w:tcPr>
          <w:p>
            <w:pPr>
              <w:spacing w:after="0"/>
              <w:rPr>
                <w:sz w:val="18"/>
                <w:szCs w:val="18"/>
                <w:color w:val="auto"/>
              </w:rPr>
            </w:pPr>
          </w:p>
        </w:tc>
        <w:tc>
          <w:tcPr>
            <w:tcW w:w="2240" w:type="dxa"/>
            <w:vAlign w:val="bottom"/>
            <w:tcBorders>
              <w:bottom w:val="single" w:sz="8" w:color="D02A2E"/>
            </w:tcBorders>
          </w:tcPr>
          <w:p>
            <w:pPr>
              <w:spacing w:after="0"/>
              <w:rPr>
                <w:sz w:val="18"/>
                <w:szCs w:val="18"/>
                <w:color w:val="auto"/>
              </w:rPr>
            </w:pPr>
          </w:p>
        </w:tc>
        <w:tc>
          <w:tcPr>
            <w:tcW w:w="206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902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82930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F"/>
        </w:rPr>
        <w:t>Current Class 1 Directors – Directors with Terms That Will Expire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1757680" cy="3463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57680" cy="346329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49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rPr>
          <w:sz w:val="20"/>
          <w:szCs w:val="20"/>
          <w:color w:val="auto"/>
        </w:rPr>
      </w:pPr>
      <w:r>
        <w:rPr>
          <w:rFonts w:ascii="Arial" w:cs="Arial" w:eastAsia="Arial" w:hAnsi="Arial"/>
          <w:sz w:val="16"/>
          <w:szCs w:val="16"/>
          <w:color w:val="auto"/>
        </w:rPr>
        <w:t>Audit/Finance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b w:val="1"/>
          <w:bCs w:val="1"/>
          <w:color w:val="5D6673"/>
        </w:rPr>
        <w:t>OTHER PREVIOUS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(within the past 5 years)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Indivior PLC</w:t>
      </w: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160" w:type="dxa"/>
        <w:tblCellMar>
          <w:top w:w="0" w:type="dxa"/>
          <w:left w:w="0" w:type="dxa"/>
          <w:bottom w:w="0" w:type="dxa"/>
          <w:right w:w="0" w:type="dxa"/>
        </w:tblCellMar>
      </w:tblPr>
      <w:tr>
        <w:trPr>
          <w:trHeight w:val="391"/>
        </w:trPr>
        <w:tc>
          <w:tcPr>
            <w:tcW w:w="640" w:type="dxa"/>
            <w:vAlign w:val="bottom"/>
            <w:shd w:val="clear" w:color="auto" w:fill="DCDEE4"/>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EXECUTIVE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DCDEE4"/>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LEADERSHIP</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tcPr>
          <w:p>
            <w:pPr>
              <w:spacing w:after="0"/>
              <w:rPr>
                <w:sz w:val="17"/>
                <w:szCs w:val="17"/>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EXPERIENCE</w:t>
            </w:r>
          </w:p>
        </w:tc>
        <w:tc>
          <w:tcPr>
            <w:tcW w:w="220" w:type="dxa"/>
            <w:vAlign w:val="bottom"/>
            <w:vMerge w:val="restart"/>
          </w:tcPr>
          <w:p>
            <w:pPr>
              <w:ind w:left="180"/>
              <w:spacing w:after="0"/>
              <w:rPr>
                <w:sz w:val="20"/>
                <w:szCs w:val="20"/>
                <w:color w:val="auto"/>
              </w:rPr>
            </w:pPr>
            <w:r>
              <w:rPr>
                <w:rFonts w:ascii="Arial" w:cs="Arial" w:eastAsia="Arial" w:hAnsi="Arial"/>
                <w:sz w:val="13"/>
                <w:szCs w:val="13"/>
                <w:b w:val="1"/>
                <w:bCs w:val="1"/>
                <w:color w:val="5D6673"/>
                <w:w w:val="75"/>
              </w:rPr>
              <w:t> </w:t>
            </w:r>
          </w:p>
        </w:tc>
        <w:tc>
          <w:tcPr>
            <w:tcW w:w="0" w:type="dxa"/>
            <w:vAlign w:val="bottom"/>
          </w:tcPr>
          <w:p>
            <w:pPr>
              <w:spacing w:after="0"/>
              <w:rPr>
                <w:sz w:val="1"/>
                <w:szCs w:val="1"/>
                <w:color w:val="auto"/>
              </w:rPr>
            </w:pPr>
          </w:p>
        </w:tc>
      </w:tr>
      <w:tr>
        <w:trPr>
          <w:trHeight w:val="81"/>
        </w:trPr>
        <w:tc>
          <w:tcPr>
            <w:tcW w:w="640" w:type="dxa"/>
            <w:vAlign w:val="bottom"/>
            <w:vMerge w:val="continue"/>
            <w:shd w:val="clear" w:color="auto" w:fill="DCDEE4"/>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640" w:type="dxa"/>
            <w:vAlign w:val="bottom"/>
            <w:shd w:val="clear" w:color="auto" w:fill="DCDEE4"/>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MERGERS AND</w:t>
            </w: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640" w:type="dxa"/>
            <w:vAlign w:val="bottom"/>
            <w:shd w:val="clear" w:color="auto" w:fill="DCDEE4"/>
          </w:tcPr>
          <w:p>
            <w:pPr>
              <w:spacing w:after="0"/>
              <w:rPr>
                <w:sz w:val="24"/>
                <w:szCs w:val="24"/>
                <w:color w:val="auto"/>
              </w:rPr>
            </w:pPr>
          </w:p>
        </w:tc>
        <w:tc>
          <w:tcPr>
            <w:tcW w:w="80" w:type="dxa"/>
            <w:vAlign w:val="bottom"/>
            <w:shd w:val="clear" w:color="auto" w:fill="DCDEE4"/>
          </w:tcPr>
          <w:p>
            <w:pPr>
              <w:spacing w:after="0"/>
              <w:rPr>
                <w:sz w:val="24"/>
                <w:szCs w:val="24"/>
                <w:color w:val="auto"/>
              </w:rPr>
            </w:pPr>
          </w:p>
        </w:tc>
        <w:tc>
          <w:tcPr>
            <w:tcW w:w="1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shd w:val="clear" w:color="auto" w:fill="DCDEE4"/>
          </w:tcPr>
          <w:p>
            <w:pPr>
              <w:spacing w:after="0"/>
              <w:rPr>
                <w:sz w:val="17"/>
                <w:szCs w:val="17"/>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5D6673"/>
              </w:rPr>
              <w:t>ACQUISITIONS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 w:type="dxa"/>
            <w:vAlign w:val="bottom"/>
            <w:vMerge w:val="continue"/>
            <w:shd w:val="clear" w:color="auto" w:fill="DCDEE4"/>
          </w:tcPr>
          <w:p>
            <w:pPr>
              <w:spacing w:after="0"/>
              <w:rPr>
                <w:sz w:val="16"/>
                <w:szCs w:val="16"/>
                <w:color w:val="auto"/>
              </w:rPr>
            </w:pPr>
          </w:p>
        </w:tc>
        <w:tc>
          <w:tcPr>
            <w:tcW w:w="80" w:type="dxa"/>
            <w:vAlign w:val="bottom"/>
            <w:shd w:val="clear" w:color="auto" w:fill="DCDEE4"/>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640" w:type="dxa"/>
            <w:vAlign w:val="bottom"/>
            <w:shd w:val="clear" w:color="auto" w:fill="DCDEE4"/>
          </w:tcPr>
          <w:p>
            <w:pPr>
              <w:spacing w:after="0"/>
              <w:rPr>
                <w:sz w:val="8"/>
                <w:szCs w:val="8"/>
                <w:color w:val="auto"/>
              </w:rPr>
            </w:pPr>
          </w:p>
        </w:tc>
        <w:tc>
          <w:tcPr>
            <w:tcW w:w="80" w:type="dxa"/>
            <w:vAlign w:val="bottom"/>
            <w:shd w:val="clear" w:color="auto" w:fill="DCDEE4"/>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D02A2E"/>
        </w:rPr>
        <w:t>Jerome J. Lande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D6673"/>
        </w:rPr>
        <w:t>Deputy CIO and Managing Partner</w:t>
      </w:r>
    </w:p>
    <w:p>
      <w:pPr>
        <w:ind w:left="40"/>
        <w:spacing w:after="0"/>
        <w:rPr>
          <w:sz w:val="20"/>
          <w:szCs w:val="20"/>
          <w:color w:val="auto"/>
        </w:rPr>
      </w:pPr>
      <w:r>
        <w:rPr>
          <w:rFonts w:ascii="Arial" w:cs="Arial" w:eastAsia="Arial" w:hAnsi="Arial"/>
          <w:sz w:val="18"/>
          <w:szCs w:val="18"/>
          <w:i w:val="1"/>
          <w:iCs w:val="1"/>
          <w:color w:val="5D6673"/>
        </w:rPr>
        <w:t>at Scopia Capital Management 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D02A2E"/>
        </w:rPr>
        <w:t>QUALIFICATIONS AND SKILLS</w:t>
      </w:r>
    </w:p>
    <w:p>
      <w:pPr>
        <w:ind w:left="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40" w:right="420"/>
        <w:spacing w:after="0" w:line="253" w:lineRule="auto"/>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Experienced investment manager</w:t>
      </w:r>
      <w:r>
        <w:rPr>
          <w:rFonts w:ascii="Arial" w:cs="Arial" w:eastAsia="Arial" w:hAnsi="Arial"/>
          <w:sz w:val="16"/>
          <w:szCs w:val="16"/>
          <w:b w:val="1"/>
          <w:bCs w:val="1"/>
          <w:color w:val="auto"/>
        </w:rPr>
        <w:t xml:space="preserve"> </w:t>
      </w:r>
      <w:r>
        <w:rPr>
          <w:rFonts w:ascii="Arial" w:cs="Arial" w:eastAsia="Arial" w:hAnsi="Arial"/>
          <w:sz w:val="16"/>
          <w:szCs w:val="16"/>
          <w:color w:val="auto"/>
        </w:rPr>
        <w:t>well-suited to advise on strategic business decisions  </w:t>
      </w:r>
    </w:p>
    <w:p>
      <w:pPr>
        <w:spacing w:after="0" w:line="179" w:lineRule="exact"/>
        <w:rPr>
          <w:sz w:val="20"/>
          <w:szCs w:val="20"/>
          <w:color w:val="auto"/>
        </w:rPr>
      </w:pPr>
    </w:p>
    <w:p>
      <w:pPr>
        <w:ind w:left="40" w:right="360"/>
        <w:spacing w:after="0" w:line="246" w:lineRule="auto"/>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25 years of experience in financial strategy from</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leadership at several asset management and equity investment firms  </w:t>
      </w:r>
    </w:p>
    <w:p>
      <w:pPr>
        <w:spacing w:after="0" w:line="1" w:lineRule="exact"/>
        <w:rPr>
          <w:sz w:val="20"/>
          <w:szCs w:val="20"/>
          <w:color w:val="auto"/>
        </w:rPr>
      </w:pPr>
    </w:p>
    <w:p>
      <w:pPr>
        <w:ind w:left="40" w:right="600"/>
        <w:spacing w:after="0" w:line="253" w:lineRule="auto"/>
        <w:rPr>
          <w:sz w:val="20"/>
          <w:szCs w:val="20"/>
          <w:color w:val="auto"/>
        </w:rPr>
      </w:pPr>
      <w:r>
        <w:rPr>
          <w:rFonts w:ascii="Arial" w:cs="Arial" w:eastAsia="Arial" w:hAnsi="Arial"/>
          <w:sz w:val="16"/>
          <w:szCs w:val="16"/>
          <w:b w:val="1"/>
          <w:bCs w:val="1"/>
          <w:color w:val="auto"/>
        </w:rPr>
        <w:t xml:space="preserve">PUBLIC BOARD AND GOVERNANCE: </w:t>
      </w:r>
      <w:r>
        <w:rPr>
          <w:rFonts w:ascii="Arial" w:cs="Arial" w:eastAsia="Arial" w:hAnsi="Arial"/>
          <w:sz w:val="16"/>
          <w:szCs w:val="16"/>
          <w:color w:val="auto"/>
        </w:rPr>
        <w:t>Previously served on boards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medical technology, pharmaceuticals, real estate and insurance sectors  </w:t>
      </w:r>
    </w:p>
    <w:p>
      <w:pPr>
        <w:spacing w:after="0" w:line="179" w:lineRule="exact"/>
        <w:rPr>
          <w:sz w:val="20"/>
          <w:szCs w:val="20"/>
          <w:color w:val="auto"/>
        </w:rPr>
      </w:pPr>
    </w:p>
    <w:p>
      <w:pPr>
        <w:ind w:left="40" w:right="680"/>
        <w:spacing w:after="0" w:line="254" w:lineRule="auto"/>
        <w:rPr>
          <w:sz w:val="20"/>
          <w:szCs w:val="20"/>
          <w:color w:val="auto"/>
        </w:rPr>
      </w:pPr>
      <w:r>
        <w:rPr>
          <w:rFonts w:ascii="Arial" w:cs="Arial" w:eastAsia="Arial" w:hAnsi="Arial"/>
          <w:sz w:val="16"/>
          <w:szCs w:val="16"/>
          <w:b w:val="1"/>
          <w:bCs w:val="1"/>
          <w:color w:val="auto"/>
        </w:rPr>
        <w:t xml:space="preserve">MARKETING/SALES EXPERIENCE: </w:t>
      </w:r>
      <w:r>
        <w:rPr>
          <w:rFonts w:ascii="Arial" w:cs="Arial" w:eastAsia="Arial" w:hAnsi="Arial"/>
          <w:sz w:val="16"/>
          <w:szCs w:val="16"/>
          <w:color w:val="auto"/>
        </w:rPr>
        <w:t>Extensive experience in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applying market dynamics and investment strategies to drive business expansion and value creation  </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200" w:right="2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Asset management firm executive with a strong background in equity investing</w:t>
      </w:r>
      <w:r>
        <w:rPr>
          <w:rFonts w:ascii="Arial" w:cs="Arial" w:eastAsia="Arial" w:hAnsi="Arial"/>
          <w:sz w:val="16"/>
          <w:szCs w:val="16"/>
          <w:color w:val="D02A2E"/>
        </w:rPr>
        <w:t xml:space="preserve"> </w:t>
      </w:r>
      <w:r>
        <w:rPr>
          <w:rFonts w:ascii="Arial" w:cs="Arial" w:eastAsia="Arial" w:hAnsi="Arial"/>
          <w:sz w:val="16"/>
          <w:szCs w:val="16"/>
          <w:color w:val="000000"/>
        </w:rPr>
        <w:t>and long-term value creation</w:t>
      </w:r>
    </w:p>
    <w:p>
      <w:pPr>
        <w:spacing w:after="0" w:line="34" w:lineRule="exact"/>
        <w:rPr>
          <w:sz w:val="20"/>
          <w:szCs w:val="20"/>
          <w:color w:val="auto"/>
        </w:rPr>
      </w:pPr>
    </w:p>
    <w:p>
      <w:pPr>
        <w:ind w:left="200" w:right="44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Plays a pivotal role in various executive advisory capacities, guiding firms in</w:t>
      </w:r>
      <w:r>
        <w:rPr>
          <w:rFonts w:ascii="Arial" w:cs="Arial" w:eastAsia="Arial" w:hAnsi="Arial"/>
          <w:sz w:val="16"/>
          <w:szCs w:val="16"/>
          <w:color w:val="D02A2E"/>
        </w:rPr>
        <w:t xml:space="preserve"> </w:t>
      </w:r>
      <w:r>
        <w:rPr>
          <w:rFonts w:ascii="Arial" w:cs="Arial" w:eastAsia="Arial" w:hAnsi="Arial"/>
          <w:sz w:val="16"/>
          <w:szCs w:val="16"/>
          <w:color w:val="000000"/>
        </w:rPr>
        <w:t>financial strategy and market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116205</wp:posOffset>
            </wp:positionV>
            <wp:extent cx="5829300" cy="1482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5D6673"/>
              </w:rPr>
              <w:t>FINANCIAL</w:t>
            </w:r>
          </w:p>
        </w:tc>
        <w:tc>
          <w:tcPr>
            <w:tcW w:w="540" w:type="dxa"/>
            <w:vAlign w:val="bottom"/>
          </w:tcPr>
          <w:p>
            <w:pPr>
              <w:spacing w:after="0"/>
              <w:rPr>
                <w:sz w:val="14"/>
                <w:szCs w:val="14"/>
                <w:color w:val="auto"/>
              </w:rPr>
            </w:pPr>
          </w:p>
        </w:tc>
        <w:tc>
          <w:tcPr>
            <w:tcW w:w="1920" w:type="dxa"/>
            <w:vAlign w:val="bottom"/>
          </w:tcPr>
          <w:p>
            <w:pPr>
              <w:ind w:left="340"/>
              <w:spacing w:after="0"/>
              <w:rPr>
                <w:sz w:val="20"/>
                <w:szCs w:val="20"/>
                <w:color w:val="auto"/>
              </w:rPr>
            </w:pPr>
            <w:r>
              <w:rPr>
                <w:rFonts w:ascii="Arial" w:cs="Arial" w:eastAsia="Arial" w:hAnsi="Arial"/>
                <w:sz w:val="14"/>
                <w:szCs w:val="14"/>
                <w:b w:val="1"/>
                <w:bCs w:val="1"/>
                <w:color w:val="5D6673"/>
              </w:rPr>
              <w:t>PUBLIC BOARD</w:t>
            </w:r>
          </w:p>
        </w:tc>
        <w:tc>
          <w:tcPr>
            <w:tcW w:w="1860" w:type="dxa"/>
            <w:vAlign w:val="bottom"/>
          </w:tcPr>
          <w:p>
            <w:pPr>
              <w:ind w:left="960"/>
              <w:spacing w:after="0"/>
              <w:rPr>
                <w:sz w:val="20"/>
                <w:szCs w:val="20"/>
                <w:color w:val="auto"/>
              </w:rPr>
            </w:pPr>
            <w:r>
              <w:rPr>
                <w:rFonts w:ascii="Arial" w:cs="Arial" w:eastAsia="Arial" w:hAnsi="Arial"/>
                <w:sz w:val="14"/>
                <w:szCs w:val="14"/>
                <w:b w:val="1"/>
                <w:bCs w:val="1"/>
                <w:color w:val="5D6673"/>
                <w:w w:val="99"/>
              </w:rPr>
              <w:t>MARKETING/</w:t>
            </w:r>
          </w:p>
        </w:tc>
        <w:tc>
          <w:tcPr>
            <w:tcW w:w="0" w:type="dxa"/>
            <w:vAlign w:val="bottom"/>
          </w:tcPr>
          <w:p>
            <w:pPr>
              <w:spacing w:after="0"/>
              <w:rPr>
                <w:sz w:val="1"/>
                <w:szCs w:val="1"/>
                <w:color w:val="auto"/>
              </w:rPr>
            </w:pPr>
          </w:p>
        </w:tc>
      </w:tr>
      <w:tr>
        <w:trPr>
          <w:trHeight w:val="81"/>
        </w:trPr>
        <w:tc>
          <w:tcPr>
            <w:tcW w:w="12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AND GOVERNANCE</w:t>
            </w:r>
          </w:p>
        </w:tc>
        <w:tc>
          <w:tcPr>
            <w:tcW w:w="1860" w:type="dxa"/>
            <w:vAlign w:val="bottom"/>
            <w:vMerge w:val="restart"/>
          </w:tcPr>
          <w:p>
            <w:pPr>
              <w:ind w:left="960"/>
              <w:spacing w:after="0"/>
              <w:rPr>
                <w:sz w:val="20"/>
                <w:szCs w:val="20"/>
                <w:color w:val="auto"/>
              </w:rPr>
            </w:pPr>
            <w:r>
              <w:rPr>
                <w:rFonts w:ascii="Arial" w:cs="Arial" w:eastAsia="Arial" w:hAnsi="Arial"/>
                <w:sz w:val="14"/>
                <w:szCs w:val="14"/>
                <w:b w:val="1"/>
                <w:bCs w:val="1"/>
                <w:color w:val="5D6673"/>
              </w:rPr>
              <w:t>SALES</w:t>
            </w:r>
          </w:p>
        </w:tc>
        <w:tc>
          <w:tcPr>
            <w:tcW w:w="0" w:type="dxa"/>
            <w:vAlign w:val="bottom"/>
          </w:tcPr>
          <w:p>
            <w:pPr>
              <w:spacing w:after="0"/>
              <w:rPr>
                <w:sz w:val="1"/>
                <w:szCs w:val="1"/>
                <w:color w:val="auto"/>
              </w:rPr>
            </w:pPr>
          </w:p>
        </w:tc>
      </w:tr>
      <w:tr>
        <w:trPr>
          <w:trHeight w:val="81"/>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5D6673"/>
              </w:rPr>
              <w:t>LITERACY/CFO</w:t>
            </w:r>
          </w:p>
        </w:tc>
        <w:tc>
          <w:tcPr>
            <w:tcW w:w="54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20" w:type="dxa"/>
            <w:vAlign w:val="bottom"/>
            <w:vMerge w:val="continue"/>
          </w:tcPr>
          <w:p>
            <w:pPr>
              <w:spacing w:after="0"/>
              <w:rPr>
                <w:sz w:val="10"/>
                <w:szCs w:val="10"/>
                <w:color w:val="auto"/>
              </w:rPr>
            </w:pPr>
          </w:p>
        </w:tc>
        <w:tc>
          <w:tcPr>
            <w:tcW w:w="540" w:type="dxa"/>
            <w:vAlign w:val="bottom"/>
            <w:vMerge w:val="restart"/>
          </w:tcPr>
          <w:p>
            <w:pPr>
              <w:ind w:left="18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restart"/>
          </w:tcPr>
          <w:p>
            <w:pPr>
              <w:ind w:left="340"/>
              <w:spacing w:after="0" w:line="145" w:lineRule="exact"/>
              <w:rPr>
                <w:sz w:val="20"/>
                <w:szCs w:val="20"/>
                <w:color w:val="auto"/>
              </w:rPr>
            </w:pPr>
            <w:r>
              <w:rPr>
                <w:rFonts w:ascii="Arial" w:cs="Arial" w:eastAsia="Arial" w:hAnsi="Arial"/>
                <w:sz w:val="14"/>
                <w:szCs w:val="14"/>
                <w:b w:val="1"/>
                <w:bCs w:val="1"/>
                <w:color w:val="5D6673"/>
              </w:rPr>
              <w:t>EXPERIENCE</w:t>
            </w:r>
          </w:p>
        </w:tc>
        <w:tc>
          <w:tcPr>
            <w:tcW w:w="1860" w:type="dxa"/>
            <w:vAlign w:val="bottom"/>
            <w:vMerge w:val="restart"/>
          </w:tcPr>
          <w:p>
            <w:pPr>
              <w:ind w:left="960"/>
              <w:spacing w:after="0" w:line="145" w:lineRule="exact"/>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29"/>
        </w:trPr>
        <w:tc>
          <w:tcPr>
            <w:tcW w:w="12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920" w:type="dxa"/>
            <w:vAlign w:val="bottom"/>
            <w:vMerge w:val="continue"/>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749935</wp:posOffset>
            </wp:positionV>
            <wp:extent cx="58293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164" w:lineRule="exact"/>
        <w:rPr>
          <w:sz w:val="20"/>
          <w:szCs w:val="20"/>
          <w:color w:val="auto"/>
        </w:rPr>
      </w:pPr>
    </w:p>
    <w:p>
      <w:pPr>
        <w:sectPr>
          <w:pgSz w:w="11900" w:h="16838" w:orient="portrait"/>
          <w:cols w:equalWidth="0" w:num="2">
            <w:col w:w="2420" w:space="660"/>
            <w:col w:w="6060"/>
          </w:cols>
          <w:pgMar w:left="1360" w:top="114" w:right="1399" w:bottom="1440" w:gutter="0" w:footer="0" w:header="0"/>
          <w:type w:val="continuous"/>
        </w:sectPr>
      </w:pPr>
    </w:p>
    <w:p>
      <w:pPr>
        <w:spacing w:after="0" w:line="13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10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1345565" cy="13455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67</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2015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ind w:right="440"/>
        <w:spacing w:after="0" w:line="256" w:lineRule="auto"/>
        <w:rPr>
          <w:sz w:val="20"/>
          <w:szCs w:val="20"/>
          <w:color w:val="auto"/>
        </w:rPr>
      </w:pPr>
      <w:r>
        <w:rPr>
          <w:rFonts w:ascii="Arial" w:cs="Arial" w:eastAsia="Arial" w:hAnsi="Arial"/>
          <w:sz w:val="16"/>
          <w:szCs w:val="16"/>
          <w:color w:val="auto"/>
        </w:rPr>
        <w:t>Chair of Compensation and Member of Nominating &amp; Corporate Governance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b w:val="1"/>
          <w:bCs w:val="1"/>
          <w:color w:val="5D6673"/>
        </w:rPr>
        <w:t>OTHER CURRENT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Nordson Corporation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49530</wp:posOffset>
            </wp:positionV>
            <wp:extent cx="8890" cy="42773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427736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Frank M. Jaehnert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Retired President and CEO of Brady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400"/>
        <w:spacing w:after="0" w:line="249" w:lineRule="auto"/>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17 years of executive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manufacturing sector, driving business and profit growth as a former CEO, president and vice president  </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Deep financial expertise as an SEC financial expert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former CFO, with broad experience in corporate strategy and audit committee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leadership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Extensive international business expertise, having</w:t>
      </w:r>
      <w:r>
        <w:rPr>
          <w:rFonts w:ascii="Arial" w:cs="Arial" w:eastAsia="Arial" w:hAnsi="Arial"/>
          <w:sz w:val="16"/>
          <w:szCs w:val="16"/>
          <w:b w:val="1"/>
          <w:bCs w:val="1"/>
          <w:color w:val="auto"/>
        </w:rPr>
        <w:t xml:space="preserve"> </w:t>
      </w:r>
      <w:r>
        <w:rPr>
          <w:rFonts w:ascii="Arial" w:cs="Arial" w:eastAsia="Arial" w:hAnsi="Arial"/>
          <w:sz w:val="16"/>
          <w:szCs w:val="16"/>
          <w:color w:val="auto"/>
        </w:rPr>
        <w:t>successfully led geographic expansions and operations across multiple continents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MERGERS AND ACQUISITIONS: </w:t>
      </w:r>
      <w:r>
        <w:rPr>
          <w:rFonts w:ascii="Arial" w:cs="Arial" w:eastAsia="Arial" w:hAnsi="Arial"/>
          <w:sz w:val="16"/>
          <w:szCs w:val="16"/>
          <w:color w:val="auto"/>
        </w:rPr>
        <w:t>Able to contribute insights into strategic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acquisitions and investments from effectively growing companies’ market presence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profitability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5" w:lineRule="exact"/>
        <w:rPr>
          <w:sz w:val="20"/>
          <w:szCs w:val="20"/>
          <w:color w:val="auto"/>
        </w:rPr>
      </w:pPr>
    </w:p>
    <w:p>
      <w:pPr>
        <w:ind w:left="160" w:right="54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Manufacturing and finance industry executive with extensive experience in</w:t>
      </w:r>
      <w:r>
        <w:rPr>
          <w:rFonts w:ascii="Arial" w:cs="Arial" w:eastAsia="Arial" w:hAnsi="Arial"/>
          <w:sz w:val="16"/>
          <w:szCs w:val="16"/>
          <w:color w:val="D02A2E"/>
        </w:rPr>
        <w:t xml:space="preserve"> </w:t>
      </w:r>
      <w:r>
        <w:rPr>
          <w:rFonts w:ascii="Arial" w:cs="Arial" w:eastAsia="Arial" w:hAnsi="Arial"/>
          <w:sz w:val="16"/>
          <w:szCs w:val="16"/>
          <w:color w:val="000000"/>
        </w:rPr>
        <w:t>multinational corporate leadership and operations</w:t>
      </w:r>
    </w:p>
    <w:p>
      <w:pPr>
        <w:spacing w:after="0" w:line="34" w:lineRule="exact"/>
        <w:rPr>
          <w:sz w:val="20"/>
          <w:szCs w:val="20"/>
          <w:color w:val="auto"/>
        </w:rPr>
      </w:pPr>
    </w:p>
    <w:p>
      <w:pPr>
        <w:ind w:left="160" w:right="48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30 years of expertise in international management, mergers and</w:t>
      </w:r>
      <w:r>
        <w:rPr>
          <w:rFonts w:ascii="Arial" w:cs="Arial" w:eastAsia="Arial" w:hAnsi="Arial"/>
          <w:sz w:val="16"/>
          <w:szCs w:val="16"/>
          <w:color w:val="D02A2E"/>
        </w:rPr>
        <w:t xml:space="preserve"> </w:t>
      </w:r>
      <w:r>
        <w:rPr>
          <w:rFonts w:ascii="Arial" w:cs="Arial" w:eastAsia="Arial" w:hAnsi="Arial"/>
          <w:sz w:val="16"/>
          <w:szCs w:val="16"/>
          <w:color w:val="000000"/>
        </w:rPr>
        <w:t>acquisitions and industrial operations</w:t>
      </w:r>
    </w:p>
    <w:p>
      <w:pPr>
        <w:spacing w:after="0" w:line="34" w:lineRule="exact"/>
        <w:rPr>
          <w:sz w:val="20"/>
          <w:szCs w:val="20"/>
          <w:color w:val="auto"/>
        </w:rPr>
      </w:pPr>
    </w:p>
    <w:p>
      <w:pPr>
        <w:ind w:left="160" w:right="28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Holds positions on several public company boards, including chair of the audit</w:t>
      </w:r>
      <w:r>
        <w:rPr>
          <w:rFonts w:ascii="Arial" w:cs="Arial" w:eastAsia="Arial" w:hAnsi="Arial"/>
          <w:sz w:val="16"/>
          <w:szCs w:val="16"/>
          <w:color w:val="D02A2E"/>
        </w:rPr>
        <w:t xml:space="preserve"> </w:t>
      </w:r>
      <w:r>
        <w:rPr>
          <w:rFonts w:ascii="Arial" w:cs="Arial" w:eastAsia="Arial" w:hAnsi="Arial"/>
          <w:sz w:val="16"/>
          <w:szCs w:val="16"/>
          <w:color w:val="000000"/>
        </w:rPr>
        <w:t>committee for a large manufacturing company</w:t>
      </w:r>
    </w:p>
    <w:p>
      <w:pPr>
        <w:spacing w:after="0" w:line="21" w:lineRule="exact"/>
        <w:rPr>
          <w:sz w:val="20"/>
          <w:szCs w:val="20"/>
          <w:color w:val="auto"/>
        </w:rPr>
      </w:pPr>
    </w:p>
    <w:p>
      <w:pPr>
        <w:ind w:left="160" w:right="90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Earned recognition as one of the first professionals to become NACD</w:t>
      </w:r>
      <w:r>
        <w:rPr>
          <w:rFonts w:ascii="Arial" w:cs="Arial" w:eastAsia="Arial" w:hAnsi="Arial"/>
          <w:sz w:val="16"/>
          <w:szCs w:val="16"/>
          <w:color w:val="D02A2E"/>
        </w:rPr>
        <w:t xml:space="preserve"> </w:t>
      </w:r>
      <w:r>
        <w:rPr>
          <w:rFonts w:ascii="Arial" w:cs="Arial" w:eastAsia="Arial" w:hAnsi="Arial"/>
          <w:sz w:val="16"/>
          <w:szCs w:val="16"/>
          <w:color w:val="000000"/>
        </w:rPr>
        <w:t>Directorship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176530</wp:posOffset>
            </wp:positionV>
            <wp:extent cx="5829300" cy="1440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9300" cy="1440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20"/>
          </w:cols>
          <w:pgMar w:left="1360" w:top="114" w:right="1399" w:bottom="1440" w:gutter="0" w:footer="0" w:header="0"/>
        </w:sect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02A2E"/>
        </w:rPr>
        <w:t>EXPERTISE</w:t>
      </w:r>
    </w:p>
    <w:p>
      <w:pPr>
        <w:spacing w:after="0" w:line="262"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Arial" w:cs="Arial" w:eastAsia="Arial" w:hAnsi="Arial"/>
                <w:sz w:val="14"/>
                <w:szCs w:val="14"/>
                <w:b w:val="1"/>
                <w:bCs w:val="1"/>
                <w:color w:val="5D6673"/>
              </w:rPr>
              <w:t>EXECUTIVE</w:t>
            </w:r>
          </w:p>
        </w:tc>
        <w:tc>
          <w:tcPr>
            <w:tcW w:w="620" w:type="dxa"/>
            <w:vAlign w:val="bottom"/>
          </w:tcPr>
          <w:p>
            <w:pPr>
              <w:spacing w:after="0"/>
              <w:rPr>
                <w:sz w:val="14"/>
                <w:szCs w:val="14"/>
                <w:color w:val="auto"/>
              </w:rPr>
            </w:pPr>
          </w:p>
        </w:tc>
        <w:tc>
          <w:tcPr>
            <w:tcW w:w="212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FINANCIAL</w:t>
            </w:r>
          </w:p>
        </w:tc>
        <w:tc>
          <w:tcPr>
            <w:tcW w:w="1920" w:type="dxa"/>
            <w:vAlign w:val="bottom"/>
          </w:tcPr>
          <w:p>
            <w:pPr>
              <w:ind w:left="340"/>
              <w:spacing w:after="0"/>
              <w:rPr>
                <w:sz w:val="20"/>
                <w:szCs w:val="20"/>
                <w:color w:val="auto"/>
              </w:rPr>
            </w:pPr>
            <w:r>
              <w:rPr>
                <w:rFonts w:ascii="Arial" w:cs="Arial" w:eastAsia="Arial" w:hAnsi="Arial"/>
                <w:sz w:val="14"/>
                <w:szCs w:val="14"/>
                <w:b w:val="1"/>
                <w:bCs w:val="1"/>
                <w:color w:val="5D6673"/>
              </w:rPr>
              <w:t>PUBLIC BOARD</w:t>
            </w:r>
          </w:p>
        </w:tc>
        <w:tc>
          <w:tcPr>
            <w:tcW w:w="1820" w:type="dxa"/>
            <w:vAlign w:val="bottom"/>
            <w:vMerge w:val="restart"/>
          </w:tcPr>
          <w:p>
            <w:pPr>
              <w:ind w:left="90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150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LEADERSHIP</w:t>
            </w:r>
          </w:p>
        </w:tc>
        <w:tc>
          <w:tcPr>
            <w:tcW w:w="62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AND GOVERNANCE</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12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LITERACY/CFO</w:t>
            </w:r>
          </w:p>
        </w:tc>
        <w:tc>
          <w:tcPr>
            <w:tcW w:w="1920" w:type="dxa"/>
            <w:vAlign w:val="bottom"/>
            <w:vMerge w:val="continue"/>
          </w:tcPr>
          <w:p>
            <w:pPr>
              <w:spacing w:after="0"/>
              <w:rPr>
                <w:sz w:val="7"/>
                <w:szCs w:val="7"/>
                <w:color w:val="auto"/>
              </w:rPr>
            </w:pPr>
          </w:p>
        </w:tc>
        <w:tc>
          <w:tcPr>
            <w:tcW w:w="1820" w:type="dxa"/>
            <w:vAlign w:val="bottom"/>
            <w:vMerge w:val="restart"/>
          </w:tcPr>
          <w:p>
            <w:pPr>
              <w:ind w:left="900"/>
              <w:spacing w:after="0"/>
              <w:rPr>
                <w:sz w:val="20"/>
                <w:szCs w:val="20"/>
                <w:color w:val="auto"/>
              </w:rPr>
            </w:pPr>
            <w:r>
              <w:rPr>
                <w:rFonts w:ascii="Arial" w:cs="Arial" w:eastAsia="Arial" w:hAnsi="Arial"/>
                <w:sz w:val="14"/>
                <w:szCs w:val="14"/>
                <w:b w:val="1"/>
                <w:bCs w:val="1"/>
                <w:color w:val="5D6673"/>
                <w:w w:val="99"/>
              </w:rPr>
              <w:t>EXPERIENCE</w:t>
            </w:r>
          </w:p>
        </w:tc>
        <w:tc>
          <w:tcPr>
            <w:tcW w:w="0" w:type="dxa"/>
            <w:vAlign w:val="bottom"/>
          </w:tcPr>
          <w:p>
            <w:pPr>
              <w:spacing w:after="0"/>
              <w:rPr>
                <w:sz w:val="1"/>
                <w:szCs w:val="1"/>
                <w:color w:val="auto"/>
              </w:rPr>
            </w:pPr>
          </w:p>
        </w:tc>
      </w:tr>
      <w:tr>
        <w:trPr>
          <w:trHeight w:val="95"/>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5D6673"/>
              </w:rPr>
              <w:t> </w:t>
            </w:r>
          </w:p>
        </w:tc>
        <w:tc>
          <w:tcPr>
            <w:tcW w:w="1500" w:type="dxa"/>
            <w:vAlign w:val="bottom"/>
            <w:vMerge w:val="restart"/>
          </w:tcPr>
          <w:p>
            <w:pPr>
              <w:ind w:left="320"/>
              <w:spacing w:after="0"/>
              <w:rPr>
                <w:sz w:val="20"/>
                <w:szCs w:val="20"/>
                <w:color w:val="auto"/>
              </w:rPr>
            </w:pPr>
            <w:r>
              <w:rPr>
                <w:rFonts w:ascii="Arial" w:cs="Arial" w:eastAsia="Arial" w:hAnsi="Arial"/>
                <w:sz w:val="14"/>
                <w:szCs w:val="14"/>
                <w:b w:val="1"/>
                <w:bCs w:val="1"/>
                <w:color w:val="5D6673"/>
              </w:rPr>
              <w:t>EXPERIENCE</w:t>
            </w:r>
          </w:p>
        </w:tc>
        <w:tc>
          <w:tcPr>
            <w:tcW w:w="62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EXPERIENCE</w:t>
            </w: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4"/>
                <w:szCs w:val="14"/>
                <w:b w:val="1"/>
                <w:bCs w:val="1"/>
                <w:color w:val="5D6673"/>
              </w:rPr>
              <w:t> </w:t>
            </w:r>
          </w:p>
        </w:tc>
        <w:tc>
          <w:tcPr>
            <w:tcW w:w="2120" w:type="dxa"/>
            <w:vAlign w:val="bottom"/>
            <w:vMerge w:val="restart"/>
          </w:tcPr>
          <w:p>
            <w:pPr>
              <w:ind w:left="1760"/>
              <w:spacing w:after="0"/>
              <w:rPr>
                <w:sz w:val="20"/>
                <w:szCs w:val="20"/>
                <w:color w:val="auto"/>
              </w:rPr>
            </w:pPr>
            <w:r>
              <w:rPr>
                <w:rFonts w:ascii="Arial" w:cs="Arial" w:eastAsia="Arial" w:hAnsi="Arial"/>
                <w:sz w:val="14"/>
                <w:szCs w:val="14"/>
                <w:b w:val="1"/>
                <w:bCs w:val="1"/>
                <w:color w:val="5D6673"/>
              </w:rPr>
              <w:t> </w:t>
            </w:r>
          </w:p>
        </w:tc>
        <w:tc>
          <w:tcPr>
            <w:tcW w:w="1920" w:type="dxa"/>
            <w:vAlign w:val="bottom"/>
            <w:vMerge w:val="continue"/>
          </w:tcPr>
          <w:p>
            <w:pPr>
              <w:spacing w:after="0"/>
              <w:rPr>
                <w:sz w:val="8"/>
                <w:szCs w:val="8"/>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08"/>
        </w:trPr>
        <w:tc>
          <w:tcPr>
            <w:tcW w:w="3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192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5D6673"/>
        </w:rPr>
        <w:t>MERGERS AND</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5D6673"/>
        </w:rPr>
        <w:t>ACQUISITIONS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667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58293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1757680" cy="3737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57680" cy="373761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60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2023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INDEPENDENT</w:t>
      </w:r>
      <w:r>
        <w:rPr>
          <w:rFonts w:ascii="Arial" w:cs="Arial" w:eastAsia="Arial" w:hAnsi="Arial"/>
          <w:sz w:val="16"/>
          <w:szCs w:val="16"/>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6"/>
          <w:szCs w:val="16"/>
          <w:color w:val="000000"/>
        </w:rPr>
        <w:t>Yes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5D6673"/>
        </w:rPr>
        <w:t>COMMITTEE</w:t>
      </w:r>
    </w:p>
    <w:p>
      <w:pPr>
        <w:spacing w:after="0"/>
        <w:rPr>
          <w:sz w:val="20"/>
          <w:szCs w:val="20"/>
          <w:color w:val="auto"/>
        </w:rPr>
      </w:pPr>
      <w:r>
        <w:rPr>
          <w:rFonts w:ascii="Arial" w:cs="Arial" w:eastAsia="Arial" w:hAnsi="Arial"/>
          <w:sz w:val="16"/>
          <w:szCs w:val="16"/>
          <w:color w:val="auto"/>
        </w:rPr>
        <w:t>Audit/Finance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b w:val="1"/>
          <w:bCs w:val="1"/>
          <w:color w:val="5D6673"/>
        </w:rPr>
        <w:t>OTHER CURRENT PUBLIC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Commvault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D02A2E"/>
        </w:rPr>
        <w:t>Sanjay Mirchandani</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5D6673"/>
        </w:rPr>
        <w:t>President and CEO of Commvault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QUALIFICATIONS AND SKILLS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b w:val="1"/>
          <w:bCs w:val="1"/>
          <w:color w:val="auto"/>
        </w:rPr>
        <w:t xml:space="preserve">CYBERSECURITY: </w:t>
      </w:r>
      <w:r>
        <w:rPr>
          <w:rFonts w:ascii="Arial" w:cs="Arial" w:eastAsia="Arial" w:hAnsi="Arial"/>
          <w:sz w:val="16"/>
          <w:szCs w:val="16"/>
          <w:color w:val="auto"/>
        </w:rPr>
        <w:t>Expertise in cybersecurity crucial for modern business risk</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gained through his executive leadership roles  </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INFORMATION TECHNOLOGY AND CLOUD COMPUTING: </w:t>
      </w:r>
      <w:r>
        <w:rPr>
          <w:rFonts w:ascii="Arial" w:cs="Arial" w:eastAsia="Arial" w:hAnsi="Arial"/>
          <w:sz w:val="16"/>
          <w:szCs w:val="16"/>
          <w:color w:val="auto"/>
        </w:rPr>
        <w:t>Former CIO of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multinational corporation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Valuable knowledge of product 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management with a focus on security software, IT automation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data solutions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GLOBAL EXPERTISE: </w:t>
      </w:r>
      <w:r>
        <w:rPr>
          <w:rFonts w:ascii="Arial" w:cs="Arial" w:eastAsia="Arial" w:hAnsi="Arial"/>
          <w:sz w:val="16"/>
          <w:szCs w:val="16"/>
          <w:color w:val="auto"/>
        </w:rPr>
        <w:t>Offers an international business perspective on global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 dynamics and technological trends with his rich background in multinational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D02A2E"/>
        </w:rPr>
        <w:t>CAREER HIGHLIGHTS</w:t>
      </w:r>
    </w:p>
    <w:p>
      <w:pPr>
        <w:spacing w:after="0" w:line="108" w:lineRule="exact"/>
        <w:rPr>
          <w:sz w:val="20"/>
          <w:szCs w:val="20"/>
          <w:color w:val="auto"/>
        </w:rPr>
      </w:pPr>
    </w:p>
    <w:p>
      <w:pPr>
        <w:ind w:left="160" w:right="52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Technology and software industry executive with deep cybersecurity and IT</w:t>
      </w:r>
      <w:r>
        <w:rPr>
          <w:rFonts w:ascii="Arial" w:cs="Arial" w:eastAsia="Arial" w:hAnsi="Arial"/>
          <w:sz w:val="16"/>
          <w:szCs w:val="16"/>
          <w:color w:val="D02A2E"/>
        </w:rPr>
        <w:t xml:space="preserve"> </w:t>
      </w:r>
      <w:r>
        <w:rPr>
          <w:rFonts w:ascii="Arial" w:cs="Arial" w:eastAsia="Arial" w:hAnsi="Arial"/>
          <w:sz w:val="16"/>
          <w:szCs w:val="16"/>
          <w:color w:val="000000"/>
        </w:rPr>
        <w:t>management experience</w:t>
      </w:r>
    </w:p>
    <w:p>
      <w:pPr>
        <w:spacing w:after="0" w:line="34" w:lineRule="exact"/>
        <w:rPr>
          <w:sz w:val="20"/>
          <w:szCs w:val="20"/>
          <w:color w:val="auto"/>
        </w:rPr>
      </w:pPr>
    </w:p>
    <w:p>
      <w:pPr>
        <w:ind w:left="160" w:right="74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20 years of expertise in IT leadership, cybersecurity, software</w:t>
      </w:r>
      <w:r>
        <w:rPr>
          <w:rFonts w:ascii="Arial" w:cs="Arial" w:eastAsia="Arial" w:hAnsi="Arial"/>
          <w:sz w:val="16"/>
          <w:szCs w:val="16"/>
          <w:color w:val="D02A2E"/>
        </w:rPr>
        <w:t xml:space="preserve"> </w:t>
      </w:r>
      <w:r>
        <w:rPr>
          <w:rFonts w:ascii="Arial" w:cs="Arial" w:eastAsia="Arial" w:hAnsi="Arial"/>
          <w:sz w:val="16"/>
          <w:szCs w:val="16"/>
          <w:color w:val="000000"/>
        </w:rPr>
        <w:t>development and global business strategy</w:t>
      </w:r>
    </w:p>
    <w:p>
      <w:pPr>
        <w:spacing w:after="0" w:line="21" w:lineRule="exact"/>
        <w:rPr>
          <w:sz w:val="20"/>
          <w:szCs w:val="20"/>
          <w:color w:val="auto"/>
        </w:rPr>
      </w:pPr>
    </w:p>
    <w:p>
      <w:pPr>
        <w:ind w:left="160" w:right="600" w:hanging="170"/>
        <w:spacing w:after="0" w:line="28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Serves key leadership and advisory roles in technology firms at the critical</w:t>
      </w:r>
      <w:r>
        <w:rPr>
          <w:rFonts w:ascii="Arial" w:cs="Arial" w:eastAsia="Arial" w:hAnsi="Arial"/>
          <w:sz w:val="16"/>
          <w:szCs w:val="16"/>
          <w:color w:val="D02A2E"/>
        </w:rPr>
        <w:t xml:space="preserve"> </w:t>
      </w:r>
      <w:r>
        <w:rPr>
          <w:rFonts w:ascii="Arial" w:cs="Arial" w:eastAsia="Arial" w:hAnsi="Arial"/>
          <w:sz w:val="16"/>
          <w:szCs w:val="16"/>
          <w:color w:val="000000"/>
        </w:rPr>
        <w:t>intersection of IT and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176530</wp:posOffset>
            </wp:positionV>
            <wp:extent cx="5829300" cy="2074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0" cy="2074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6060"/>
          </w:cols>
          <w:pgMar w:left="1360" w:top="114" w:right="1359" w:bottom="1440" w:gutter="0" w:footer="0" w:header="0"/>
          <w:type w:val="continuous"/>
        </w:sect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D02A2E"/>
        </w:rPr>
        <w:t>EXPERTISE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120" w:type="dxa"/>
            <w:vAlign w:val="bottom"/>
          </w:tcPr>
          <w:p>
            <w:pPr>
              <w:spacing w:after="0"/>
              <w:rPr>
                <w:sz w:val="24"/>
                <w:szCs w:val="24"/>
                <w:color w:val="auto"/>
              </w:rPr>
            </w:pPr>
          </w:p>
        </w:tc>
        <w:tc>
          <w:tcPr>
            <w:tcW w:w="200" w:type="dxa"/>
            <w:vAlign w:val="bottom"/>
            <w:shd w:val="clear" w:color="auto" w:fill="DCDEE4"/>
          </w:tcPr>
          <w:p>
            <w:pPr>
              <w:spacing w:after="0"/>
              <w:rPr>
                <w:sz w:val="24"/>
                <w:szCs w:val="24"/>
                <w:color w:val="auto"/>
              </w:rPr>
            </w:pPr>
          </w:p>
        </w:tc>
        <w:tc>
          <w:tcPr>
            <w:tcW w:w="480" w:type="dxa"/>
            <w:vAlign w:val="bottom"/>
            <w:shd w:val="clear" w:color="auto" w:fill="DCDEE4"/>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b w:val="1"/>
                <w:bCs w:val="1"/>
                <w:color w:val="5D6673"/>
              </w:rPr>
              <w:t>EXECUTIVE</w:t>
            </w:r>
          </w:p>
        </w:tc>
        <w:tc>
          <w:tcPr>
            <w:tcW w:w="500" w:type="dxa"/>
            <w:vAlign w:val="bottom"/>
          </w:tcPr>
          <w:p>
            <w:pPr>
              <w:spacing w:after="0"/>
              <w:rPr>
                <w:sz w:val="24"/>
                <w:szCs w:val="24"/>
                <w:color w:val="auto"/>
              </w:rPr>
            </w:pPr>
          </w:p>
        </w:tc>
        <w:tc>
          <w:tcPr>
            <w:tcW w:w="240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FINANCIAL</w:t>
            </w:r>
          </w:p>
        </w:tc>
        <w:tc>
          <w:tcPr>
            <w:tcW w:w="1880" w:type="dxa"/>
            <w:vAlign w:val="bottom"/>
          </w:tcPr>
          <w:p>
            <w:pPr>
              <w:ind w:left="300"/>
              <w:spacing w:after="0"/>
              <w:rPr>
                <w:sz w:val="20"/>
                <w:szCs w:val="20"/>
                <w:color w:val="auto"/>
              </w:rPr>
            </w:pPr>
            <w:r>
              <w:rPr>
                <w:rFonts w:ascii="Arial" w:cs="Arial" w:eastAsia="Arial" w:hAnsi="Arial"/>
                <w:sz w:val="14"/>
                <w:szCs w:val="14"/>
                <w:b w:val="1"/>
                <w:bCs w:val="1"/>
                <w:color w:val="5D6673"/>
              </w:rPr>
              <w:t>PUBLIC BOARD</w:t>
            </w:r>
          </w:p>
        </w:tc>
        <w:tc>
          <w:tcPr>
            <w:tcW w:w="540" w:type="dxa"/>
            <w:vAlign w:val="bottom"/>
          </w:tcPr>
          <w:p>
            <w:pPr>
              <w:spacing w:after="0"/>
              <w:rPr>
                <w:sz w:val="24"/>
                <w:szCs w:val="24"/>
                <w:color w:val="auto"/>
              </w:rPr>
            </w:pPr>
          </w:p>
        </w:tc>
        <w:tc>
          <w:tcPr>
            <w:tcW w:w="154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GLOBAL</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5D6673"/>
              </w:rPr>
              <w:t>LEADERSHIP</w:t>
            </w:r>
          </w:p>
        </w:tc>
        <w:tc>
          <w:tcPr>
            <w:tcW w:w="50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88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AND GOVERNANCE</w:t>
            </w:r>
          </w:p>
        </w:tc>
        <w:tc>
          <w:tcPr>
            <w:tcW w:w="5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40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LITERACY/CFO</w:t>
            </w:r>
          </w:p>
        </w:tc>
        <w:tc>
          <w:tcPr>
            <w:tcW w:w="18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540" w:type="dxa"/>
            <w:vAlign w:val="bottom"/>
            <w:vMerge w:val="restart"/>
          </w:tcPr>
          <w:p>
            <w:pPr>
              <w:ind w:left="340"/>
              <w:spacing w:after="0"/>
              <w:rPr>
                <w:sz w:val="20"/>
                <w:szCs w:val="20"/>
                <w:color w:val="auto"/>
              </w:rPr>
            </w:pPr>
            <w:r>
              <w:rPr>
                <w:rFonts w:ascii="Arial" w:cs="Arial" w:eastAsia="Arial" w:hAnsi="Arial"/>
                <w:sz w:val="14"/>
                <w:szCs w:val="14"/>
                <w:b w:val="1"/>
                <w:bCs w:val="1"/>
                <w:color w:val="5D6673"/>
              </w:rPr>
              <w:t>EXPERIENCE</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0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480" w:type="dxa"/>
            <w:vAlign w:val="bottom"/>
            <w:shd w:val="clear" w:color="auto" w:fill="DCDEE4"/>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5D6673"/>
              </w:rPr>
              <w:t>EXPERIENCE</w:t>
            </w:r>
          </w:p>
        </w:tc>
        <w:tc>
          <w:tcPr>
            <w:tcW w:w="50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 </w:t>
            </w:r>
          </w:p>
        </w:tc>
        <w:tc>
          <w:tcPr>
            <w:tcW w:w="2400" w:type="dxa"/>
            <w:vAlign w:val="bottom"/>
            <w:vMerge w:val="continue"/>
          </w:tcPr>
          <w:p>
            <w:pPr>
              <w:spacing w:after="0"/>
              <w:rPr>
                <w:sz w:val="9"/>
                <w:szCs w:val="9"/>
                <w:color w:val="auto"/>
              </w:rPr>
            </w:pPr>
          </w:p>
        </w:tc>
        <w:tc>
          <w:tcPr>
            <w:tcW w:w="1880" w:type="dxa"/>
            <w:vAlign w:val="bottom"/>
            <w:vMerge w:val="restart"/>
          </w:tcPr>
          <w:p>
            <w:pPr>
              <w:ind w:left="300"/>
              <w:spacing w:after="0"/>
              <w:rPr>
                <w:sz w:val="20"/>
                <w:szCs w:val="20"/>
                <w:color w:val="auto"/>
              </w:rPr>
            </w:pPr>
            <w:r>
              <w:rPr>
                <w:rFonts w:ascii="Arial" w:cs="Arial" w:eastAsia="Arial" w:hAnsi="Arial"/>
                <w:sz w:val="14"/>
                <w:szCs w:val="14"/>
                <w:b w:val="1"/>
                <w:bCs w:val="1"/>
                <w:color w:val="5D6673"/>
              </w:rPr>
              <w:t>EXPERIENCE</w:t>
            </w:r>
          </w:p>
        </w:tc>
        <w:tc>
          <w:tcPr>
            <w:tcW w:w="540" w:type="dxa"/>
            <w:vAlign w:val="bottom"/>
            <w:vMerge w:val="restart"/>
          </w:tcPr>
          <w:p>
            <w:pPr>
              <w:ind w:left="180"/>
              <w:spacing w:after="0"/>
              <w:rPr>
                <w:sz w:val="20"/>
                <w:szCs w:val="20"/>
                <w:color w:val="auto"/>
              </w:rPr>
            </w:pPr>
            <w:r>
              <w:rPr>
                <w:rFonts w:ascii="Arial" w:cs="Arial" w:eastAsia="Arial" w:hAnsi="Arial"/>
                <w:sz w:val="14"/>
                <w:szCs w:val="14"/>
                <w:b w:val="1"/>
                <w:bCs w:val="1"/>
                <w:color w:val="5D6673"/>
              </w:rPr>
              <w:t> </w:t>
            </w: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20" w:type="dxa"/>
            <w:vAlign w:val="bottom"/>
          </w:tcPr>
          <w:p>
            <w:pPr>
              <w:spacing w:after="0"/>
              <w:rPr>
                <w:sz w:val="7"/>
                <w:szCs w:val="7"/>
                <w:color w:val="auto"/>
              </w:rPr>
            </w:pPr>
          </w:p>
        </w:tc>
        <w:tc>
          <w:tcPr>
            <w:tcW w:w="200" w:type="dxa"/>
            <w:vAlign w:val="bottom"/>
            <w:vMerge w:val="continue"/>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400" w:type="dxa"/>
            <w:vAlign w:val="bottom"/>
            <w:vMerge w:val="restart"/>
          </w:tcPr>
          <w:p>
            <w:pPr>
              <w:ind w:left="1960"/>
              <w:spacing w:after="0"/>
              <w:rPr>
                <w:sz w:val="20"/>
                <w:szCs w:val="20"/>
                <w:color w:val="auto"/>
              </w:rPr>
            </w:pPr>
            <w:r>
              <w:rPr>
                <w:rFonts w:ascii="Arial" w:cs="Arial" w:eastAsia="Arial" w:hAnsi="Arial"/>
                <w:sz w:val="14"/>
                <w:szCs w:val="14"/>
                <w:b w:val="1"/>
                <w:bCs w:val="1"/>
                <w:color w:val="5D6673"/>
              </w:rPr>
              <w:t> </w:t>
            </w:r>
          </w:p>
        </w:tc>
        <w:tc>
          <w:tcPr>
            <w:tcW w:w="18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200" w:type="dxa"/>
            <w:vAlign w:val="bottom"/>
            <w:vMerge w:val="continue"/>
            <w:shd w:val="clear" w:color="auto" w:fill="DCDEE4"/>
          </w:tcPr>
          <w:p>
            <w:pPr>
              <w:spacing w:after="0"/>
              <w:rPr>
                <w:sz w:val="10"/>
                <w:szCs w:val="10"/>
                <w:color w:val="auto"/>
              </w:rPr>
            </w:pPr>
          </w:p>
        </w:tc>
        <w:tc>
          <w:tcPr>
            <w:tcW w:w="480" w:type="dxa"/>
            <w:vAlign w:val="bottom"/>
            <w:shd w:val="clear" w:color="auto" w:fill="DCDEE4"/>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200" w:type="dxa"/>
            <w:vAlign w:val="bottom"/>
            <w:shd w:val="clear" w:color="auto" w:fill="DCDEE4"/>
          </w:tcPr>
          <w:p>
            <w:pPr>
              <w:spacing w:after="0"/>
              <w:rPr>
                <w:sz w:val="24"/>
                <w:szCs w:val="24"/>
                <w:color w:val="auto"/>
              </w:rPr>
            </w:pPr>
          </w:p>
        </w:tc>
        <w:tc>
          <w:tcPr>
            <w:tcW w:w="48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380" w:type="dxa"/>
            <w:vAlign w:val="bottom"/>
            <w:shd w:val="clear" w:color="auto" w:fill="DCDEE4"/>
          </w:tcPr>
          <w:p>
            <w:pPr>
              <w:spacing w:after="0"/>
              <w:rPr>
                <w:sz w:val="20"/>
                <w:szCs w:val="20"/>
                <w:color w:val="auto"/>
              </w:rPr>
            </w:pPr>
            <w:r>
              <w:rPr>
                <w:rFonts w:ascii="Arial" w:cs="Arial" w:eastAsia="Arial" w:hAnsi="Arial"/>
                <w:sz w:val="14"/>
                <w:szCs w:val="14"/>
                <w:b w:val="1"/>
                <w:bCs w:val="1"/>
                <w:color w:val="5D6673"/>
              </w:rPr>
              <w:t>MANUFACTURING</w:t>
            </w:r>
          </w:p>
        </w:tc>
        <w:tc>
          <w:tcPr>
            <w:tcW w:w="500" w:type="dxa"/>
            <w:vAlign w:val="bottom"/>
            <w:shd w:val="clear" w:color="auto" w:fill="DCDEE4"/>
          </w:tcPr>
          <w:p>
            <w:pPr>
              <w:spacing w:after="0"/>
              <w:rPr>
                <w:sz w:val="24"/>
                <w:szCs w:val="24"/>
                <w:color w:val="auto"/>
              </w:rPr>
            </w:pPr>
          </w:p>
        </w:tc>
        <w:tc>
          <w:tcPr>
            <w:tcW w:w="240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PRODUCT</w:t>
            </w:r>
          </w:p>
        </w:tc>
        <w:tc>
          <w:tcPr>
            <w:tcW w:w="188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MARKETING/SALES</w:t>
            </w:r>
          </w:p>
        </w:tc>
        <w:tc>
          <w:tcPr>
            <w:tcW w:w="540" w:type="dxa"/>
            <w:vAlign w:val="bottom"/>
            <w:shd w:val="clear" w:color="auto" w:fill="DCDEE4"/>
          </w:tcPr>
          <w:p>
            <w:pPr>
              <w:spacing w:after="0"/>
              <w:rPr>
                <w:sz w:val="24"/>
                <w:szCs w:val="24"/>
                <w:color w:val="auto"/>
              </w:rPr>
            </w:pPr>
          </w:p>
        </w:tc>
        <w:tc>
          <w:tcPr>
            <w:tcW w:w="1540" w:type="dxa"/>
            <w:vAlign w:val="bottom"/>
            <w:shd w:val="clear" w:color="auto" w:fill="DCDEE4"/>
          </w:tcPr>
          <w:p>
            <w:pPr>
              <w:ind w:left="340"/>
              <w:spacing w:after="0"/>
              <w:rPr>
                <w:sz w:val="20"/>
                <w:szCs w:val="20"/>
                <w:color w:val="auto"/>
              </w:rPr>
            </w:pPr>
            <w:r>
              <w:rPr>
                <w:rFonts w:ascii="Arial" w:cs="Arial" w:eastAsia="Arial" w:hAnsi="Arial"/>
                <w:sz w:val="14"/>
                <w:szCs w:val="14"/>
                <w:b w:val="1"/>
                <w:bCs w:val="1"/>
                <w:color w:val="5D6673"/>
              </w:rPr>
              <w:t>MERGERS</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3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AND/OR SUPPLY</w:t>
            </w:r>
          </w:p>
        </w:tc>
        <w:tc>
          <w:tcPr>
            <w:tcW w:w="500" w:type="dxa"/>
            <w:vAlign w:val="bottom"/>
            <w:shd w:val="clear" w:color="auto" w:fill="DCDEE4"/>
          </w:tcPr>
          <w:p>
            <w:pPr>
              <w:spacing w:after="0"/>
              <w:rPr>
                <w:sz w:val="7"/>
                <w:szCs w:val="7"/>
                <w:color w:val="auto"/>
              </w:rPr>
            </w:pPr>
          </w:p>
        </w:tc>
        <w:tc>
          <w:tcPr>
            <w:tcW w:w="2400" w:type="dxa"/>
            <w:vAlign w:val="bottom"/>
            <w:vMerge w:val="continue"/>
            <w:shd w:val="clear" w:color="auto" w:fill="DCDEE4"/>
          </w:tcPr>
          <w:p>
            <w:pPr>
              <w:spacing w:after="0"/>
              <w:rPr>
                <w:sz w:val="7"/>
                <w:szCs w:val="7"/>
                <w:color w:val="auto"/>
              </w:rPr>
            </w:pPr>
          </w:p>
        </w:tc>
        <w:tc>
          <w:tcPr>
            <w:tcW w:w="1880" w:type="dxa"/>
            <w:vAlign w:val="bottom"/>
            <w:vMerge w:val="continue"/>
            <w:shd w:val="clear" w:color="auto" w:fill="DCDEE4"/>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540" w:type="dxa"/>
            <w:vAlign w:val="bottom"/>
            <w:vMerge w:val="restart"/>
            <w:shd w:val="clear" w:color="auto" w:fill="DCDEE4"/>
          </w:tcPr>
          <w:p>
            <w:pPr>
              <w:ind w:left="340"/>
              <w:spacing w:after="0"/>
              <w:rPr>
                <w:sz w:val="20"/>
                <w:szCs w:val="20"/>
                <w:color w:val="auto"/>
              </w:rPr>
            </w:pPr>
            <w:r>
              <w:rPr>
                <w:rFonts w:ascii="Arial" w:cs="Arial" w:eastAsia="Arial" w:hAnsi="Arial"/>
                <w:sz w:val="14"/>
                <w:szCs w:val="14"/>
                <w:b w:val="1"/>
                <w:bCs w:val="1"/>
                <w:color w:val="5D6673"/>
              </w:rPr>
              <w:t>AND</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380" w:type="dxa"/>
            <w:vAlign w:val="bottom"/>
            <w:vMerge w:val="continue"/>
            <w:shd w:val="clear" w:color="auto" w:fill="DCDEE4"/>
          </w:tcPr>
          <w:p>
            <w:pPr>
              <w:spacing w:after="0"/>
              <w:rPr>
                <w:sz w:val="7"/>
                <w:szCs w:val="7"/>
                <w:color w:val="auto"/>
              </w:rPr>
            </w:pPr>
          </w:p>
        </w:tc>
        <w:tc>
          <w:tcPr>
            <w:tcW w:w="500" w:type="dxa"/>
            <w:vAlign w:val="bottom"/>
            <w:shd w:val="clear" w:color="auto" w:fill="DCDEE4"/>
          </w:tcPr>
          <w:p>
            <w:pPr>
              <w:spacing w:after="0"/>
              <w:rPr>
                <w:sz w:val="7"/>
                <w:szCs w:val="7"/>
                <w:color w:val="auto"/>
              </w:rPr>
            </w:pPr>
          </w:p>
        </w:tc>
        <w:tc>
          <w:tcPr>
            <w:tcW w:w="240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TECHNOLOGY</w:t>
            </w:r>
          </w:p>
        </w:tc>
        <w:tc>
          <w:tcPr>
            <w:tcW w:w="188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EXPERTISE</w:t>
            </w:r>
          </w:p>
        </w:tc>
        <w:tc>
          <w:tcPr>
            <w:tcW w:w="540" w:type="dxa"/>
            <w:vAlign w:val="bottom"/>
            <w:shd w:val="clear" w:color="auto" w:fill="DCDEE4"/>
          </w:tcPr>
          <w:p>
            <w:pPr>
              <w:spacing w:after="0"/>
              <w:rPr>
                <w:sz w:val="7"/>
                <w:szCs w:val="7"/>
                <w:color w:val="auto"/>
              </w:rPr>
            </w:pPr>
          </w:p>
        </w:tc>
        <w:tc>
          <w:tcPr>
            <w:tcW w:w="154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20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48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3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CHAIN EXPERTISE</w:t>
            </w:r>
          </w:p>
        </w:tc>
        <w:tc>
          <w:tcPr>
            <w:tcW w:w="500" w:type="dxa"/>
            <w:vAlign w:val="bottom"/>
            <w:shd w:val="clear" w:color="auto" w:fill="DCDEE4"/>
          </w:tcPr>
          <w:p>
            <w:pPr>
              <w:spacing w:after="0"/>
              <w:rPr>
                <w:sz w:val="10"/>
                <w:szCs w:val="10"/>
                <w:color w:val="auto"/>
              </w:rPr>
            </w:pPr>
          </w:p>
        </w:tc>
        <w:tc>
          <w:tcPr>
            <w:tcW w:w="2400" w:type="dxa"/>
            <w:vAlign w:val="bottom"/>
            <w:vMerge w:val="continue"/>
            <w:shd w:val="clear" w:color="auto" w:fill="DCDEE4"/>
          </w:tcPr>
          <w:p>
            <w:pPr>
              <w:spacing w:after="0"/>
              <w:rPr>
                <w:sz w:val="10"/>
                <w:szCs w:val="10"/>
                <w:color w:val="auto"/>
              </w:rPr>
            </w:pPr>
          </w:p>
        </w:tc>
        <w:tc>
          <w:tcPr>
            <w:tcW w:w="1880" w:type="dxa"/>
            <w:vAlign w:val="bottom"/>
            <w:vMerge w:val="continue"/>
            <w:shd w:val="clear" w:color="auto" w:fill="DCDEE4"/>
          </w:tcPr>
          <w:p>
            <w:pPr>
              <w:spacing w:after="0"/>
              <w:rPr>
                <w:sz w:val="10"/>
                <w:szCs w:val="10"/>
                <w:color w:val="auto"/>
              </w:rPr>
            </w:pPr>
          </w:p>
        </w:tc>
        <w:tc>
          <w:tcPr>
            <w:tcW w:w="540" w:type="dxa"/>
            <w:vAlign w:val="bottom"/>
            <w:vMerge w:val="restart"/>
            <w:shd w:val="clear" w:color="auto" w:fill="DCDEE4"/>
          </w:tcPr>
          <w:p>
            <w:pPr>
              <w:ind w:left="180"/>
              <w:spacing w:after="0"/>
              <w:rPr>
                <w:sz w:val="20"/>
                <w:szCs w:val="20"/>
                <w:color w:val="auto"/>
              </w:rPr>
            </w:pPr>
            <w:r>
              <w:rPr>
                <w:rFonts w:ascii="Arial" w:cs="Arial" w:eastAsia="Arial" w:hAnsi="Arial"/>
                <w:sz w:val="14"/>
                <w:szCs w:val="14"/>
                <w:b w:val="1"/>
                <w:bCs w:val="1"/>
                <w:color w:val="5D6673"/>
              </w:rPr>
              <w:t> </w:t>
            </w:r>
          </w:p>
        </w:tc>
        <w:tc>
          <w:tcPr>
            <w:tcW w:w="1540" w:type="dxa"/>
            <w:vAlign w:val="bottom"/>
            <w:vMerge w:val="restart"/>
            <w:shd w:val="clear" w:color="auto" w:fill="DCDEE4"/>
          </w:tcPr>
          <w:p>
            <w:pPr>
              <w:ind w:left="340"/>
              <w:spacing w:after="0"/>
              <w:rPr>
                <w:sz w:val="20"/>
                <w:szCs w:val="20"/>
                <w:color w:val="auto"/>
              </w:rPr>
            </w:pPr>
            <w:r>
              <w:rPr>
                <w:rFonts w:ascii="Arial" w:cs="Arial" w:eastAsia="Arial" w:hAnsi="Arial"/>
                <w:sz w:val="14"/>
                <w:szCs w:val="14"/>
                <w:b w:val="1"/>
                <w:bCs w:val="1"/>
                <w:color w:val="5D6673"/>
              </w:rPr>
              <w:t>ACQUISITIONS</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vMerge w:val="continue"/>
            <w:shd w:val="clear" w:color="auto" w:fill="DCDEE4"/>
          </w:tcPr>
          <w:p>
            <w:pPr>
              <w:spacing w:after="0"/>
              <w:rPr>
                <w:sz w:val="7"/>
                <w:szCs w:val="7"/>
                <w:color w:val="auto"/>
              </w:rPr>
            </w:pPr>
          </w:p>
        </w:tc>
        <w:tc>
          <w:tcPr>
            <w:tcW w:w="480" w:type="dxa"/>
            <w:vAlign w:val="bottom"/>
            <w:shd w:val="clear" w:color="auto" w:fill="DCDEE4"/>
          </w:tcPr>
          <w:p>
            <w:pPr>
              <w:spacing w:after="0"/>
              <w:rPr>
                <w:sz w:val="7"/>
                <w:szCs w:val="7"/>
                <w:color w:val="auto"/>
              </w:rPr>
            </w:pPr>
          </w:p>
        </w:tc>
        <w:tc>
          <w:tcPr>
            <w:tcW w:w="140" w:type="dxa"/>
            <w:vAlign w:val="bottom"/>
            <w:shd w:val="clear" w:color="auto" w:fill="DCDEE4"/>
          </w:tcPr>
          <w:p>
            <w:pPr>
              <w:spacing w:after="0"/>
              <w:rPr>
                <w:sz w:val="7"/>
                <w:szCs w:val="7"/>
                <w:color w:val="auto"/>
              </w:rPr>
            </w:pPr>
          </w:p>
        </w:tc>
        <w:tc>
          <w:tcPr>
            <w:tcW w:w="1380" w:type="dxa"/>
            <w:vAlign w:val="bottom"/>
            <w:vMerge w:val="continue"/>
            <w:shd w:val="clear" w:color="auto" w:fill="DCDEE4"/>
          </w:tcPr>
          <w:p>
            <w:pPr>
              <w:spacing w:after="0"/>
              <w:rPr>
                <w:sz w:val="7"/>
                <w:szCs w:val="7"/>
                <w:color w:val="auto"/>
              </w:rPr>
            </w:pPr>
          </w:p>
        </w:tc>
        <w:tc>
          <w:tcPr>
            <w:tcW w:w="500" w:type="dxa"/>
            <w:vAlign w:val="bottom"/>
            <w:vMerge w:val="restart"/>
            <w:shd w:val="clear" w:color="auto" w:fill="DCDEE4"/>
          </w:tcPr>
          <w:p>
            <w:pPr>
              <w:ind w:left="180"/>
              <w:spacing w:after="0"/>
              <w:rPr>
                <w:sz w:val="20"/>
                <w:szCs w:val="20"/>
                <w:color w:val="auto"/>
              </w:rPr>
            </w:pPr>
            <w:r>
              <w:rPr>
                <w:rFonts w:ascii="Arial" w:cs="Arial" w:eastAsia="Arial" w:hAnsi="Arial"/>
                <w:sz w:val="14"/>
                <w:szCs w:val="14"/>
                <w:b w:val="1"/>
                <w:bCs w:val="1"/>
                <w:color w:val="5D6673"/>
              </w:rPr>
              <w:t> </w:t>
            </w:r>
          </w:p>
        </w:tc>
        <w:tc>
          <w:tcPr>
            <w:tcW w:w="2400" w:type="dxa"/>
            <w:vAlign w:val="bottom"/>
            <w:vMerge w:val="restart"/>
            <w:shd w:val="clear" w:color="auto" w:fill="DCDEE4"/>
          </w:tcPr>
          <w:p>
            <w:pPr>
              <w:ind w:left="2040"/>
              <w:spacing w:after="0"/>
              <w:rPr>
                <w:sz w:val="20"/>
                <w:szCs w:val="20"/>
                <w:color w:val="auto"/>
              </w:rPr>
            </w:pPr>
            <w:r>
              <w:rPr>
                <w:rFonts w:ascii="Arial" w:cs="Arial" w:eastAsia="Arial" w:hAnsi="Arial"/>
                <w:sz w:val="14"/>
                <w:szCs w:val="14"/>
                <w:b w:val="1"/>
                <w:bCs w:val="1"/>
                <w:color w:val="5D6673"/>
              </w:rPr>
              <w:t> </w:t>
            </w:r>
          </w:p>
        </w:tc>
        <w:tc>
          <w:tcPr>
            <w:tcW w:w="1880" w:type="dxa"/>
            <w:vAlign w:val="bottom"/>
            <w:shd w:val="clear" w:color="auto" w:fill="DCDEE4"/>
          </w:tcPr>
          <w:p>
            <w:pPr>
              <w:spacing w:after="0"/>
              <w:rPr>
                <w:sz w:val="7"/>
                <w:szCs w:val="7"/>
                <w:color w:val="auto"/>
              </w:rPr>
            </w:pPr>
          </w:p>
        </w:tc>
        <w:tc>
          <w:tcPr>
            <w:tcW w:w="540" w:type="dxa"/>
            <w:vAlign w:val="bottom"/>
            <w:vMerge w:val="continue"/>
            <w:shd w:val="clear" w:color="auto" w:fill="DCDEE4"/>
          </w:tcPr>
          <w:p>
            <w:pPr>
              <w:spacing w:after="0"/>
              <w:rPr>
                <w:sz w:val="7"/>
                <w:szCs w:val="7"/>
                <w:color w:val="auto"/>
              </w:rPr>
            </w:pPr>
          </w:p>
        </w:tc>
        <w:tc>
          <w:tcPr>
            <w:tcW w:w="1540" w:type="dxa"/>
            <w:vAlign w:val="bottom"/>
            <w:vMerge w:val="continue"/>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00" w:type="dxa"/>
            <w:vAlign w:val="bottom"/>
            <w:vMerge w:val="continue"/>
            <w:shd w:val="clear" w:color="auto" w:fill="DCDEE4"/>
          </w:tcPr>
          <w:p>
            <w:pPr>
              <w:spacing w:after="0"/>
              <w:rPr>
                <w:sz w:val="11"/>
                <w:szCs w:val="11"/>
                <w:color w:val="auto"/>
              </w:rPr>
            </w:pPr>
          </w:p>
        </w:tc>
        <w:tc>
          <w:tcPr>
            <w:tcW w:w="480" w:type="dxa"/>
            <w:vAlign w:val="bottom"/>
            <w:shd w:val="clear" w:color="auto" w:fill="DCDEE4"/>
          </w:tcPr>
          <w:p>
            <w:pPr>
              <w:spacing w:after="0"/>
              <w:rPr>
                <w:sz w:val="11"/>
                <w:szCs w:val="11"/>
                <w:color w:val="auto"/>
              </w:rPr>
            </w:pPr>
          </w:p>
        </w:tc>
        <w:tc>
          <w:tcPr>
            <w:tcW w:w="140" w:type="dxa"/>
            <w:vAlign w:val="bottom"/>
            <w:shd w:val="clear" w:color="auto" w:fill="DCDEE4"/>
          </w:tcPr>
          <w:p>
            <w:pPr>
              <w:spacing w:after="0"/>
              <w:rPr>
                <w:sz w:val="11"/>
                <w:szCs w:val="11"/>
                <w:color w:val="auto"/>
              </w:rPr>
            </w:pPr>
          </w:p>
        </w:tc>
        <w:tc>
          <w:tcPr>
            <w:tcW w:w="1380" w:type="dxa"/>
            <w:vAlign w:val="bottom"/>
            <w:shd w:val="clear" w:color="auto" w:fill="DCDEE4"/>
          </w:tcPr>
          <w:p>
            <w:pPr>
              <w:spacing w:after="0"/>
              <w:rPr>
                <w:sz w:val="11"/>
                <w:szCs w:val="11"/>
                <w:color w:val="auto"/>
              </w:rPr>
            </w:pPr>
          </w:p>
        </w:tc>
        <w:tc>
          <w:tcPr>
            <w:tcW w:w="500" w:type="dxa"/>
            <w:vAlign w:val="bottom"/>
            <w:vMerge w:val="continue"/>
            <w:shd w:val="clear" w:color="auto" w:fill="DCDEE4"/>
          </w:tcPr>
          <w:p>
            <w:pPr>
              <w:spacing w:after="0"/>
              <w:rPr>
                <w:sz w:val="11"/>
                <w:szCs w:val="11"/>
                <w:color w:val="auto"/>
              </w:rPr>
            </w:pPr>
          </w:p>
        </w:tc>
        <w:tc>
          <w:tcPr>
            <w:tcW w:w="2400" w:type="dxa"/>
            <w:vAlign w:val="bottom"/>
            <w:vMerge w:val="continue"/>
            <w:shd w:val="clear" w:color="auto" w:fill="DCDEE4"/>
          </w:tcPr>
          <w:p>
            <w:pPr>
              <w:spacing w:after="0"/>
              <w:rPr>
                <w:sz w:val="11"/>
                <w:szCs w:val="11"/>
                <w:color w:val="auto"/>
              </w:rPr>
            </w:pPr>
          </w:p>
        </w:tc>
        <w:tc>
          <w:tcPr>
            <w:tcW w:w="1880" w:type="dxa"/>
            <w:vAlign w:val="bottom"/>
            <w:shd w:val="clear" w:color="auto" w:fill="DCDEE4"/>
          </w:tcPr>
          <w:p>
            <w:pPr>
              <w:spacing w:after="0"/>
              <w:rPr>
                <w:sz w:val="11"/>
                <w:szCs w:val="11"/>
                <w:color w:val="auto"/>
              </w:rPr>
            </w:pPr>
          </w:p>
        </w:tc>
        <w:tc>
          <w:tcPr>
            <w:tcW w:w="540" w:type="dxa"/>
            <w:vAlign w:val="bottom"/>
            <w:vMerge w:val="continue"/>
            <w:shd w:val="clear" w:color="auto" w:fill="DCDEE4"/>
          </w:tcPr>
          <w:p>
            <w:pPr>
              <w:spacing w:after="0"/>
              <w:rPr>
                <w:sz w:val="11"/>
                <w:szCs w:val="11"/>
                <w:color w:val="auto"/>
              </w:rPr>
            </w:pPr>
          </w:p>
        </w:tc>
        <w:tc>
          <w:tcPr>
            <w:tcW w:w="1540" w:type="dxa"/>
            <w:vAlign w:val="bottom"/>
            <w:shd w:val="clear" w:color="auto" w:fill="DCDEE4"/>
          </w:tcPr>
          <w:p>
            <w:pPr>
              <w:spacing w:after="0"/>
              <w:rPr>
                <w:sz w:val="11"/>
                <w:szCs w:val="11"/>
                <w:color w:val="auto"/>
              </w:rPr>
            </w:pPr>
          </w:p>
        </w:tc>
        <w:tc>
          <w:tcPr>
            <w:tcW w:w="0" w:type="dxa"/>
            <w:vAlign w:val="bottom"/>
          </w:tcPr>
          <w:p>
            <w:pPr>
              <w:spacing w:after="0"/>
              <w:rPr>
                <w:sz w:val="1"/>
                <w:szCs w:val="1"/>
                <w:color w:val="auto"/>
              </w:rPr>
            </w:pPr>
          </w:p>
        </w:tc>
      </w:tr>
      <w:tr>
        <w:trPr>
          <w:trHeight w:val="519"/>
        </w:trPr>
        <w:tc>
          <w:tcPr>
            <w:tcW w:w="120" w:type="dxa"/>
            <w:vAlign w:val="bottom"/>
          </w:tcPr>
          <w:p>
            <w:pPr>
              <w:spacing w:after="0"/>
              <w:rPr>
                <w:sz w:val="24"/>
                <w:szCs w:val="24"/>
                <w:color w:val="auto"/>
              </w:rPr>
            </w:pPr>
          </w:p>
        </w:tc>
        <w:tc>
          <w:tcPr>
            <w:tcW w:w="200" w:type="dxa"/>
            <w:vAlign w:val="bottom"/>
            <w:shd w:val="clear" w:color="auto" w:fill="DCDEE4"/>
          </w:tcPr>
          <w:p>
            <w:pPr>
              <w:spacing w:after="0"/>
              <w:rPr>
                <w:sz w:val="24"/>
                <w:szCs w:val="24"/>
                <w:color w:val="auto"/>
              </w:rPr>
            </w:pPr>
          </w:p>
        </w:tc>
        <w:tc>
          <w:tcPr>
            <w:tcW w:w="480" w:type="dxa"/>
            <w:vAlign w:val="bottom"/>
            <w:shd w:val="clear" w:color="auto" w:fill="DCDEE4"/>
          </w:tcPr>
          <w:p>
            <w:pPr>
              <w:spacing w:after="0"/>
              <w:rPr>
                <w:sz w:val="24"/>
                <w:szCs w:val="24"/>
                <w:color w:val="auto"/>
              </w:rPr>
            </w:pPr>
          </w:p>
        </w:tc>
        <w:tc>
          <w:tcPr>
            <w:tcW w:w="140" w:type="dxa"/>
            <w:vAlign w:val="bottom"/>
            <w:shd w:val="clear" w:color="auto" w:fill="DCDEE4"/>
          </w:tcPr>
          <w:p>
            <w:pPr>
              <w:spacing w:after="0"/>
              <w:rPr>
                <w:sz w:val="24"/>
                <w:szCs w:val="24"/>
                <w:color w:val="auto"/>
              </w:rPr>
            </w:pPr>
          </w:p>
        </w:tc>
        <w:tc>
          <w:tcPr>
            <w:tcW w:w="1380" w:type="dxa"/>
            <w:vAlign w:val="bottom"/>
            <w:vMerge w:val="restart"/>
            <w:shd w:val="clear" w:color="auto" w:fill="DCDEE4"/>
          </w:tcPr>
          <w:p>
            <w:pPr>
              <w:spacing w:after="0"/>
              <w:rPr>
                <w:sz w:val="20"/>
                <w:szCs w:val="20"/>
                <w:color w:val="auto"/>
              </w:rPr>
            </w:pPr>
            <w:r>
              <w:rPr>
                <w:rFonts w:ascii="Arial" w:cs="Arial" w:eastAsia="Arial" w:hAnsi="Arial"/>
                <w:sz w:val="14"/>
                <w:szCs w:val="14"/>
                <w:b w:val="1"/>
                <w:bCs w:val="1"/>
                <w:color w:val="5D6673"/>
              </w:rPr>
              <w:t>CYBERSECURITY</w:t>
            </w:r>
          </w:p>
        </w:tc>
        <w:tc>
          <w:tcPr>
            <w:tcW w:w="500" w:type="dxa"/>
            <w:vAlign w:val="bottom"/>
            <w:shd w:val="clear" w:color="auto" w:fill="DCDEE4"/>
          </w:tcPr>
          <w:p>
            <w:pPr>
              <w:spacing w:after="0"/>
              <w:rPr>
                <w:sz w:val="24"/>
                <w:szCs w:val="24"/>
                <w:color w:val="auto"/>
              </w:rPr>
            </w:pPr>
          </w:p>
        </w:tc>
        <w:tc>
          <w:tcPr>
            <w:tcW w:w="2400" w:type="dxa"/>
            <w:vAlign w:val="bottom"/>
            <w:shd w:val="clear" w:color="auto" w:fill="DCDEE4"/>
          </w:tcPr>
          <w:p>
            <w:pPr>
              <w:ind w:left="300"/>
              <w:spacing w:after="0"/>
              <w:rPr>
                <w:sz w:val="20"/>
                <w:szCs w:val="20"/>
                <w:color w:val="auto"/>
              </w:rPr>
            </w:pPr>
            <w:r>
              <w:rPr>
                <w:rFonts w:ascii="Arial" w:cs="Arial" w:eastAsia="Arial" w:hAnsi="Arial"/>
                <w:sz w:val="14"/>
                <w:szCs w:val="14"/>
                <w:b w:val="1"/>
                <w:bCs w:val="1"/>
                <w:color w:val="5D6673"/>
              </w:rPr>
              <w:t>INFORMATION</w:t>
            </w:r>
          </w:p>
        </w:tc>
        <w:tc>
          <w:tcPr>
            <w:tcW w:w="1880" w:type="dxa"/>
            <w:vAlign w:val="bottom"/>
            <w:shd w:val="clear" w:color="auto" w:fill="DCDEE4"/>
          </w:tcPr>
          <w:p>
            <w:pPr>
              <w:spacing w:after="0"/>
              <w:rPr>
                <w:sz w:val="24"/>
                <w:szCs w:val="24"/>
                <w:color w:val="auto"/>
              </w:rPr>
            </w:pPr>
          </w:p>
        </w:tc>
        <w:tc>
          <w:tcPr>
            <w:tcW w:w="540" w:type="dxa"/>
            <w:vAlign w:val="bottom"/>
            <w:shd w:val="clear" w:color="auto" w:fill="DCDEE4"/>
          </w:tcPr>
          <w:p>
            <w:pPr>
              <w:spacing w:after="0"/>
              <w:rPr>
                <w:sz w:val="24"/>
                <w:szCs w:val="24"/>
                <w:color w:val="auto"/>
              </w:rPr>
            </w:pPr>
          </w:p>
        </w:tc>
        <w:tc>
          <w:tcPr>
            <w:tcW w:w="1540" w:type="dxa"/>
            <w:vAlign w:val="bottom"/>
            <w:shd w:val="clear" w:color="auto" w:fill="DCDEE4"/>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200" w:type="dxa"/>
            <w:vAlign w:val="bottom"/>
            <w:shd w:val="clear" w:color="auto" w:fill="DCDEE4"/>
          </w:tcPr>
          <w:p>
            <w:pPr>
              <w:spacing w:after="0"/>
              <w:rPr>
                <w:sz w:val="10"/>
                <w:szCs w:val="10"/>
                <w:color w:val="auto"/>
              </w:rPr>
            </w:pPr>
          </w:p>
        </w:tc>
        <w:tc>
          <w:tcPr>
            <w:tcW w:w="48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380" w:type="dxa"/>
            <w:vAlign w:val="bottom"/>
            <w:vMerge w:val="continue"/>
            <w:shd w:val="clear" w:color="auto" w:fill="DCDEE4"/>
          </w:tcPr>
          <w:p>
            <w:pPr>
              <w:spacing w:after="0"/>
              <w:rPr>
                <w:sz w:val="10"/>
                <w:szCs w:val="10"/>
                <w:color w:val="auto"/>
              </w:rPr>
            </w:pPr>
          </w:p>
        </w:tc>
        <w:tc>
          <w:tcPr>
            <w:tcW w:w="500" w:type="dxa"/>
            <w:vAlign w:val="bottom"/>
            <w:shd w:val="clear" w:color="auto" w:fill="DCDEE4"/>
          </w:tcPr>
          <w:p>
            <w:pPr>
              <w:spacing w:after="0"/>
              <w:rPr>
                <w:sz w:val="10"/>
                <w:szCs w:val="10"/>
                <w:color w:val="auto"/>
              </w:rPr>
            </w:pPr>
          </w:p>
        </w:tc>
        <w:tc>
          <w:tcPr>
            <w:tcW w:w="2400" w:type="dxa"/>
            <w:vAlign w:val="bottom"/>
            <w:vMerge w:val="restart"/>
            <w:shd w:val="clear" w:color="auto" w:fill="DCDEE4"/>
          </w:tcPr>
          <w:p>
            <w:pPr>
              <w:ind w:left="300"/>
              <w:spacing w:after="0"/>
              <w:rPr>
                <w:sz w:val="20"/>
                <w:szCs w:val="20"/>
                <w:color w:val="auto"/>
              </w:rPr>
            </w:pPr>
            <w:r>
              <w:rPr>
                <w:rFonts w:ascii="Arial" w:cs="Arial" w:eastAsia="Arial" w:hAnsi="Arial"/>
                <w:sz w:val="14"/>
                <w:szCs w:val="14"/>
                <w:b w:val="1"/>
                <w:bCs w:val="1"/>
                <w:color w:val="5D6673"/>
              </w:rPr>
              <w:t>TECHNOLOGY</w:t>
            </w:r>
          </w:p>
        </w:tc>
        <w:tc>
          <w:tcPr>
            <w:tcW w:w="1880" w:type="dxa"/>
            <w:vAlign w:val="bottom"/>
            <w:shd w:val="clear" w:color="auto" w:fill="DCDEE4"/>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54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00" w:type="dxa"/>
            <w:vAlign w:val="bottom"/>
            <w:shd w:val="clear" w:color="auto" w:fill="DCDEE4"/>
          </w:tcPr>
          <w:p>
            <w:pPr>
              <w:spacing w:after="0"/>
              <w:rPr>
                <w:sz w:val="7"/>
                <w:szCs w:val="7"/>
                <w:color w:val="auto"/>
              </w:rPr>
            </w:pPr>
          </w:p>
        </w:tc>
        <w:tc>
          <w:tcPr>
            <w:tcW w:w="480" w:type="dxa"/>
            <w:vAlign w:val="bottom"/>
            <w:vMerge w:val="restart"/>
            <w:shd w:val="clear" w:color="auto" w:fill="DCDEE4"/>
          </w:tcPr>
          <w:p>
            <w:pPr>
              <w:ind w:left="80"/>
              <w:spacing w:after="0"/>
              <w:rPr>
                <w:sz w:val="20"/>
                <w:szCs w:val="20"/>
                <w:color w:val="auto"/>
              </w:rPr>
            </w:pPr>
            <w:r>
              <w:rPr>
                <w:rFonts w:ascii="Arial" w:cs="Arial" w:eastAsia="Arial" w:hAnsi="Arial"/>
                <w:sz w:val="14"/>
                <w:szCs w:val="14"/>
                <w:b w:val="1"/>
                <w:bCs w:val="1"/>
                <w:color w:val="5D6673"/>
              </w:rPr>
              <w:t> </w:t>
            </w:r>
          </w:p>
        </w:tc>
        <w:tc>
          <w:tcPr>
            <w:tcW w:w="140" w:type="dxa"/>
            <w:vAlign w:val="bottom"/>
            <w:shd w:val="clear" w:color="auto" w:fill="DCDEE4"/>
          </w:tcPr>
          <w:p>
            <w:pPr>
              <w:spacing w:after="0"/>
              <w:rPr>
                <w:sz w:val="7"/>
                <w:szCs w:val="7"/>
                <w:color w:val="auto"/>
              </w:rPr>
            </w:pPr>
          </w:p>
        </w:tc>
        <w:tc>
          <w:tcPr>
            <w:tcW w:w="1380" w:type="dxa"/>
            <w:vAlign w:val="bottom"/>
            <w:shd w:val="clear" w:color="auto" w:fill="DCDEE4"/>
          </w:tcPr>
          <w:p>
            <w:pPr>
              <w:spacing w:after="0"/>
              <w:rPr>
                <w:sz w:val="7"/>
                <w:szCs w:val="7"/>
                <w:color w:val="auto"/>
              </w:rPr>
            </w:pPr>
          </w:p>
        </w:tc>
        <w:tc>
          <w:tcPr>
            <w:tcW w:w="500" w:type="dxa"/>
            <w:vAlign w:val="bottom"/>
            <w:shd w:val="clear" w:color="auto" w:fill="DCDEE4"/>
          </w:tcPr>
          <w:p>
            <w:pPr>
              <w:spacing w:after="0"/>
              <w:rPr>
                <w:sz w:val="7"/>
                <w:szCs w:val="7"/>
                <w:color w:val="auto"/>
              </w:rPr>
            </w:pPr>
          </w:p>
        </w:tc>
        <w:tc>
          <w:tcPr>
            <w:tcW w:w="2400" w:type="dxa"/>
            <w:vAlign w:val="bottom"/>
            <w:vMerge w:val="continue"/>
            <w:shd w:val="clear" w:color="auto" w:fill="DCDEE4"/>
          </w:tcPr>
          <w:p>
            <w:pPr>
              <w:spacing w:after="0"/>
              <w:rPr>
                <w:sz w:val="7"/>
                <w:szCs w:val="7"/>
                <w:color w:val="auto"/>
              </w:rPr>
            </w:pPr>
          </w:p>
        </w:tc>
        <w:tc>
          <w:tcPr>
            <w:tcW w:w="1880" w:type="dxa"/>
            <w:vAlign w:val="bottom"/>
            <w:shd w:val="clear" w:color="auto" w:fill="DCDEE4"/>
          </w:tcPr>
          <w:p>
            <w:pPr>
              <w:spacing w:after="0"/>
              <w:rPr>
                <w:sz w:val="7"/>
                <w:szCs w:val="7"/>
                <w:color w:val="auto"/>
              </w:rPr>
            </w:pPr>
          </w:p>
        </w:tc>
        <w:tc>
          <w:tcPr>
            <w:tcW w:w="540" w:type="dxa"/>
            <w:vAlign w:val="bottom"/>
            <w:shd w:val="clear" w:color="auto" w:fill="DCDEE4"/>
          </w:tcPr>
          <w:p>
            <w:pPr>
              <w:spacing w:after="0"/>
              <w:rPr>
                <w:sz w:val="7"/>
                <w:szCs w:val="7"/>
                <w:color w:val="auto"/>
              </w:rPr>
            </w:pPr>
          </w:p>
        </w:tc>
        <w:tc>
          <w:tcPr>
            <w:tcW w:w="1540" w:type="dxa"/>
            <w:vAlign w:val="bottom"/>
            <w:shd w:val="clear" w:color="auto" w:fill="DCDEE4"/>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00" w:type="dxa"/>
            <w:vAlign w:val="bottom"/>
            <w:shd w:val="clear" w:color="auto" w:fill="DCDEE4"/>
          </w:tcPr>
          <w:p>
            <w:pPr>
              <w:spacing w:after="0"/>
              <w:rPr>
                <w:sz w:val="14"/>
                <w:szCs w:val="14"/>
                <w:color w:val="auto"/>
              </w:rPr>
            </w:pPr>
          </w:p>
        </w:tc>
        <w:tc>
          <w:tcPr>
            <w:tcW w:w="480" w:type="dxa"/>
            <w:vAlign w:val="bottom"/>
            <w:vMerge w:val="continue"/>
            <w:shd w:val="clear" w:color="auto" w:fill="DCDEE4"/>
          </w:tcPr>
          <w:p>
            <w:pPr>
              <w:spacing w:after="0"/>
              <w:rPr>
                <w:sz w:val="14"/>
                <w:szCs w:val="14"/>
                <w:color w:val="auto"/>
              </w:rPr>
            </w:pPr>
          </w:p>
        </w:tc>
        <w:tc>
          <w:tcPr>
            <w:tcW w:w="140" w:type="dxa"/>
            <w:vAlign w:val="bottom"/>
            <w:shd w:val="clear" w:color="auto" w:fill="DCDEE4"/>
          </w:tcPr>
          <w:p>
            <w:pPr>
              <w:spacing w:after="0"/>
              <w:rPr>
                <w:sz w:val="14"/>
                <w:szCs w:val="14"/>
                <w:color w:val="auto"/>
              </w:rPr>
            </w:pPr>
          </w:p>
        </w:tc>
        <w:tc>
          <w:tcPr>
            <w:tcW w:w="1380" w:type="dxa"/>
            <w:vAlign w:val="bottom"/>
            <w:shd w:val="clear" w:color="auto" w:fill="DCDEE4"/>
          </w:tcPr>
          <w:p>
            <w:pPr>
              <w:spacing w:after="0"/>
              <w:rPr>
                <w:sz w:val="14"/>
                <w:szCs w:val="14"/>
                <w:color w:val="auto"/>
              </w:rPr>
            </w:pPr>
          </w:p>
        </w:tc>
        <w:tc>
          <w:tcPr>
            <w:tcW w:w="500" w:type="dxa"/>
            <w:vAlign w:val="bottom"/>
            <w:vMerge w:val="restart"/>
            <w:shd w:val="clear" w:color="auto" w:fill="DCDEE4"/>
          </w:tcPr>
          <w:p>
            <w:pPr>
              <w:ind w:left="100"/>
              <w:spacing w:after="0"/>
              <w:rPr>
                <w:sz w:val="20"/>
                <w:szCs w:val="20"/>
                <w:color w:val="auto"/>
              </w:rPr>
            </w:pPr>
            <w:r>
              <w:rPr>
                <w:rFonts w:ascii="Arial" w:cs="Arial" w:eastAsia="Arial" w:hAnsi="Arial"/>
                <w:sz w:val="14"/>
                <w:szCs w:val="14"/>
                <w:b w:val="1"/>
                <w:bCs w:val="1"/>
                <w:color w:val="5D6673"/>
              </w:rPr>
              <w:t> </w:t>
            </w:r>
          </w:p>
        </w:tc>
        <w:tc>
          <w:tcPr>
            <w:tcW w:w="2400" w:type="dxa"/>
            <w:vAlign w:val="bottom"/>
            <w:shd w:val="clear" w:color="auto" w:fill="DCDEE4"/>
          </w:tcPr>
          <w:p>
            <w:pPr>
              <w:spacing w:after="0"/>
              <w:rPr>
                <w:sz w:val="14"/>
                <w:szCs w:val="14"/>
                <w:color w:val="auto"/>
              </w:rPr>
            </w:pPr>
          </w:p>
        </w:tc>
        <w:tc>
          <w:tcPr>
            <w:tcW w:w="1880" w:type="dxa"/>
            <w:vAlign w:val="bottom"/>
            <w:shd w:val="clear" w:color="auto" w:fill="DCDEE4"/>
          </w:tcPr>
          <w:p>
            <w:pPr>
              <w:spacing w:after="0"/>
              <w:rPr>
                <w:sz w:val="14"/>
                <w:szCs w:val="14"/>
                <w:color w:val="auto"/>
              </w:rPr>
            </w:pPr>
          </w:p>
        </w:tc>
        <w:tc>
          <w:tcPr>
            <w:tcW w:w="540" w:type="dxa"/>
            <w:vAlign w:val="bottom"/>
            <w:shd w:val="clear" w:color="auto" w:fill="DCDEE4"/>
          </w:tcPr>
          <w:p>
            <w:pPr>
              <w:spacing w:after="0"/>
              <w:rPr>
                <w:sz w:val="14"/>
                <w:szCs w:val="14"/>
                <w:color w:val="auto"/>
              </w:rPr>
            </w:pPr>
          </w:p>
        </w:tc>
        <w:tc>
          <w:tcPr>
            <w:tcW w:w="1540" w:type="dxa"/>
            <w:vAlign w:val="bottom"/>
            <w:shd w:val="clear" w:color="auto" w:fill="DCDEE4"/>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200" w:type="dxa"/>
            <w:vAlign w:val="bottom"/>
            <w:shd w:val="clear" w:color="auto" w:fill="DCDEE4"/>
          </w:tcPr>
          <w:p>
            <w:pPr>
              <w:spacing w:after="0"/>
              <w:rPr>
                <w:sz w:val="2"/>
                <w:szCs w:val="2"/>
                <w:color w:val="auto"/>
              </w:rPr>
            </w:pPr>
          </w:p>
        </w:tc>
        <w:tc>
          <w:tcPr>
            <w:tcW w:w="480" w:type="dxa"/>
            <w:vAlign w:val="bottom"/>
            <w:shd w:val="clear" w:color="auto" w:fill="DCDEE4"/>
          </w:tcPr>
          <w:p>
            <w:pPr>
              <w:spacing w:after="0"/>
              <w:rPr>
                <w:sz w:val="2"/>
                <w:szCs w:val="2"/>
                <w:color w:val="auto"/>
              </w:rPr>
            </w:pPr>
          </w:p>
        </w:tc>
        <w:tc>
          <w:tcPr>
            <w:tcW w:w="140" w:type="dxa"/>
            <w:vAlign w:val="bottom"/>
            <w:shd w:val="clear" w:color="auto" w:fill="DCDEE4"/>
          </w:tcPr>
          <w:p>
            <w:pPr>
              <w:spacing w:after="0"/>
              <w:rPr>
                <w:sz w:val="2"/>
                <w:szCs w:val="2"/>
                <w:color w:val="auto"/>
              </w:rPr>
            </w:pPr>
          </w:p>
        </w:tc>
        <w:tc>
          <w:tcPr>
            <w:tcW w:w="1380" w:type="dxa"/>
            <w:vAlign w:val="bottom"/>
            <w:shd w:val="clear" w:color="auto" w:fill="DCDEE4"/>
          </w:tcPr>
          <w:p>
            <w:pPr>
              <w:spacing w:after="0"/>
              <w:rPr>
                <w:sz w:val="2"/>
                <w:szCs w:val="2"/>
                <w:color w:val="auto"/>
              </w:rPr>
            </w:pPr>
          </w:p>
        </w:tc>
        <w:tc>
          <w:tcPr>
            <w:tcW w:w="500" w:type="dxa"/>
            <w:vAlign w:val="bottom"/>
            <w:vMerge w:val="continue"/>
            <w:shd w:val="clear" w:color="auto" w:fill="DCDEE4"/>
          </w:tcPr>
          <w:p>
            <w:pPr>
              <w:spacing w:after="0"/>
              <w:rPr>
                <w:sz w:val="2"/>
                <w:szCs w:val="2"/>
                <w:color w:val="auto"/>
              </w:rPr>
            </w:pPr>
          </w:p>
        </w:tc>
        <w:tc>
          <w:tcPr>
            <w:tcW w:w="2400" w:type="dxa"/>
            <w:vAlign w:val="bottom"/>
            <w:shd w:val="clear" w:color="auto" w:fill="DCDEE4"/>
          </w:tcPr>
          <w:p>
            <w:pPr>
              <w:spacing w:after="0"/>
              <w:rPr>
                <w:sz w:val="2"/>
                <w:szCs w:val="2"/>
                <w:color w:val="auto"/>
              </w:rPr>
            </w:pPr>
          </w:p>
        </w:tc>
        <w:tc>
          <w:tcPr>
            <w:tcW w:w="1880" w:type="dxa"/>
            <w:vAlign w:val="bottom"/>
            <w:shd w:val="clear" w:color="auto" w:fill="DCDEE4"/>
          </w:tcPr>
          <w:p>
            <w:pPr>
              <w:spacing w:after="0"/>
              <w:rPr>
                <w:sz w:val="2"/>
                <w:szCs w:val="2"/>
                <w:color w:val="auto"/>
              </w:rPr>
            </w:pPr>
          </w:p>
        </w:tc>
        <w:tc>
          <w:tcPr>
            <w:tcW w:w="540" w:type="dxa"/>
            <w:vAlign w:val="bottom"/>
            <w:shd w:val="clear" w:color="auto" w:fill="DCDEE4"/>
          </w:tcPr>
          <w:p>
            <w:pPr>
              <w:spacing w:after="0"/>
              <w:rPr>
                <w:sz w:val="2"/>
                <w:szCs w:val="2"/>
                <w:color w:val="auto"/>
              </w:rPr>
            </w:pPr>
          </w:p>
        </w:tc>
        <w:tc>
          <w:tcPr>
            <w:tcW w:w="1540" w:type="dxa"/>
            <w:vAlign w:val="bottom"/>
            <w:shd w:val="clear" w:color="auto" w:fill="DCDEE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0" w:type="dxa"/>
            <w:vAlign w:val="bottom"/>
          </w:tcPr>
          <w:p>
            <w:pPr>
              <w:spacing w:after="0"/>
              <w:rPr>
                <w:sz w:val="10"/>
                <w:szCs w:val="10"/>
                <w:color w:val="auto"/>
              </w:rPr>
            </w:pPr>
          </w:p>
        </w:tc>
        <w:tc>
          <w:tcPr>
            <w:tcW w:w="200" w:type="dxa"/>
            <w:vAlign w:val="bottom"/>
            <w:shd w:val="clear" w:color="auto" w:fill="DCDEE4"/>
          </w:tcPr>
          <w:p>
            <w:pPr>
              <w:spacing w:after="0"/>
              <w:rPr>
                <w:sz w:val="10"/>
                <w:szCs w:val="10"/>
                <w:color w:val="auto"/>
              </w:rPr>
            </w:pPr>
          </w:p>
        </w:tc>
        <w:tc>
          <w:tcPr>
            <w:tcW w:w="480" w:type="dxa"/>
            <w:vAlign w:val="bottom"/>
            <w:shd w:val="clear" w:color="auto" w:fill="DCDEE4"/>
          </w:tcPr>
          <w:p>
            <w:pPr>
              <w:spacing w:after="0"/>
              <w:rPr>
                <w:sz w:val="10"/>
                <w:szCs w:val="10"/>
                <w:color w:val="auto"/>
              </w:rPr>
            </w:pPr>
          </w:p>
        </w:tc>
        <w:tc>
          <w:tcPr>
            <w:tcW w:w="140" w:type="dxa"/>
            <w:vAlign w:val="bottom"/>
            <w:shd w:val="clear" w:color="auto" w:fill="DCDEE4"/>
          </w:tcPr>
          <w:p>
            <w:pPr>
              <w:spacing w:after="0"/>
              <w:rPr>
                <w:sz w:val="10"/>
                <w:szCs w:val="10"/>
                <w:color w:val="auto"/>
              </w:rPr>
            </w:pPr>
          </w:p>
        </w:tc>
        <w:tc>
          <w:tcPr>
            <w:tcW w:w="1380" w:type="dxa"/>
            <w:vAlign w:val="bottom"/>
            <w:shd w:val="clear" w:color="auto" w:fill="DCDEE4"/>
          </w:tcPr>
          <w:p>
            <w:pPr>
              <w:spacing w:after="0"/>
              <w:rPr>
                <w:sz w:val="10"/>
                <w:szCs w:val="10"/>
                <w:color w:val="auto"/>
              </w:rPr>
            </w:pPr>
          </w:p>
        </w:tc>
        <w:tc>
          <w:tcPr>
            <w:tcW w:w="500" w:type="dxa"/>
            <w:vAlign w:val="bottom"/>
            <w:shd w:val="clear" w:color="auto" w:fill="DCDEE4"/>
          </w:tcPr>
          <w:p>
            <w:pPr>
              <w:spacing w:after="0"/>
              <w:rPr>
                <w:sz w:val="10"/>
                <w:szCs w:val="10"/>
                <w:color w:val="auto"/>
              </w:rPr>
            </w:pPr>
          </w:p>
        </w:tc>
        <w:tc>
          <w:tcPr>
            <w:tcW w:w="2400" w:type="dxa"/>
            <w:vAlign w:val="bottom"/>
            <w:shd w:val="clear" w:color="auto" w:fill="DCDEE4"/>
          </w:tcPr>
          <w:p>
            <w:pPr>
              <w:spacing w:after="0"/>
              <w:rPr>
                <w:sz w:val="10"/>
                <w:szCs w:val="10"/>
                <w:color w:val="auto"/>
              </w:rPr>
            </w:pPr>
          </w:p>
        </w:tc>
        <w:tc>
          <w:tcPr>
            <w:tcW w:w="1880" w:type="dxa"/>
            <w:vAlign w:val="bottom"/>
            <w:shd w:val="clear" w:color="auto" w:fill="DCDEE4"/>
          </w:tcPr>
          <w:p>
            <w:pPr>
              <w:spacing w:after="0"/>
              <w:rPr>
                <w:sz w:val="10"/>
                <w:szCs w:val="10"/>
                <w:color w:val="auto"/>
              </w:rPr>
            </w:pPr>
          </w:p>
        </w:tc>
        <w:tc>
          <w:tcPr>
            <w:tcW w:w="540" w:type="dxa"/>
            <w:vAlign w:val="bottom"/>
            <w:shd w:val="clear" w:color="auto" w:fill="DCDEE4"/>
          </w:tcPr>
          <w:p>
            <w:pPr>
              <w:spacing w:after="0"/>
              <w:rPr>
                <w:sz w:val="10"/>
                <w:szCs w:val="10"/>
                <w:color w:val="auto"/>
              </w:rPr>
            </w:pPr>
          </w:p>
        </w:tc>
        <w:tc>
          <w:tcPr>
            <w:tcW w:w="1540" w:type="dxa"/>
            <w:vAlign w:val="bottom"/>
            <w:shd w:val="clear" w:color="auto" w:fill="DCDEE4"/>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D02A2E"/>
            </w:tcBorders>
          </w:tcPr>
          <w:p>
            <w:pPr>
              <w:spacing w:after="0"/>
              <w:rPr>
                <w:sz w:val="18"/>
                <w:szCs w:val="18"/>
                <w:color w:val="auto"/>
              </w:rPr>
            </w:pPr>
          </w:p>
        </w:tc>
        <w:tc>
          <w:tcPr>
            <w:tcW w:w="200" w:type="dxa"/>
            <w:vAlign w:val="bottom"/>
            <w:tcBorders>
              <w:bottom w:val="single" w:sz="8" w:color="D02A2E"/>
            </w:tcBorders>
          </w:tcPr>
          <w:p>
            <w:pPr>
              <w:spacing w:after="0"/>
              <w:rPr>
                <w:sz w:val="18"/>
                <w:szCs w:val="18"/>
                <w:color w:val="auto"/>
              </w:rPr>
            </w:pPr>
          </w:p>
        </w:tc>
        <w:tc>
          <w:tcPr>
            <w:tcW w:w="480" w:type="dxa"/>
            <w:vAlign w:val="bottom"/>
            <w:tcBorders>
              <w:bottom w:val="single" w:sz="8" w:color="D02A2E"/>
            </w:tcBorders>
          </w:tcPr>
          <w:p>
            <w:pPr>
              <w:spacing w:after="0"/>
              <w:rPr>
                <w:sz w:val="18"/>
                <w:szCs w:val="18"/>
                <w:color w:val="auto"/>
              </w:rPr>
            </w:pPr>
          </w:p>
        </w:tc>
        <w:tc>
          <w:tcPr>
            <w:tcW w:w="140" w:type="dxa"/>
            <w:vAlign w:val="bottom"/>
            <w:tcBorders>
              <w:bottom w:val="single" w:sz="8" w:color="D02A2E"/>
            </w:tcBorders>
          </w:tcPr>
          <w:p>
            <w:pPr>
              <w:spacing w:after="0"/>
              <w:rPr>
                <w:sz w:val="18"/>
                <w:szCs w:val="18"/>
                <w:color w:val="auto"/>
              </w:rPr>
            </w:pPr>
          </w:p>
        </w:tc>
        <w:tc>
          <w:tcPr>
            <w:tcW w:w="1380" w:type="dxa"/>
            <w:vAlign w:val="bottom"/>
            <w:tcBorders>
              <w:bottom w:val="single" w:sz="8" w:color="D02A2E"/>
            </w:tcBorders>
          </w:tcPr>
          <w:p>
            <w:pPr>
              <w:spacing w:after="0"/>
              <w:rPr>
                <w:sz w:val="18"/>
                <w:szCs w:val="18"/>
                <w:color w:val="auto"/>
              </w:rPr>
            </w:pPr>
          </w:p>
        </w:tc>
        <w:tc>
          <w:tcPr>
            <w:tcW w:w="500" w:type="dxa"/>
            <w:vAlign w:val="bottom"/>
            <w:tcBorders>
              <w:bottom w:val="single" w:sz="8" w:color="D02A2E"/>
            </w:tcBorders>
          </w:tcPr>
          <w:p>
            <w:pPr>
              <w:spacing w:after="0"/>
              <w:rPr>
                <w:sz w:val="18"/>
                <w:szCs w:val="18"/>
                <w:color w:val="auto"/>
              </w:rPr>
            </w:pPr>
          </w:p>
        </w:tc>
        <w:tc>
          <w:tcPr>
            <w:tcW w:w="2400" w:type="dxa"/>
            <w:vAlign w:val="bottom"/>
            <w:tcBorders>
              <w:bottom w:val="single" w:sz="8" w:color="D02A2E"/>
            </w:tcBorders>
          </w:tcPr>
          <w:p>
            <w:pPr>
              <w:spacing w:after="0"/>
              <w:rPr>
                <w:sz w:val="18"/>
                <w:szCs w:val="18"/>
                <w:color w:val="auto"/>
              </w:rPr>
            </w:pPr>
          </w:p>
        </w:tc>
        <w:tc>
          <w:tcPr>
            <w:tcW w:w="1880" w:type="dxa"/>
            <w:vAlign w:val="bottom"/>
            <w:tcBorders>
              <w:bottom w:val="single" w:sz="8" w:color="D02A2E"/>
            </w:tcBorders>
          </w:tcPr>
          <w:p>
            <w:pPr>
              <w:spacing w:after="0"/>
              <w:rPr>
                <w:sz w:val="18"/>
                <w:szCs w:val="18"/>
                <w:color w:val="auto"/>
              </w:rPr>
            </w:pPr>
          </w:p>
        </w:tc>
        <w:tc>
          <w:tcPr>
            <w:tcW w:w="540" w:type="dxa"/>
            <w:vAlign w:val="bottom"/>
            <w:tcBorders>
              <w:bottom w:val="single" w:sz="8" w:color="D02A2E"/>
            </w:tcBorders>
          </w:tcPr>
          <w:p>
            <w:pPr>
              <w:spacing w:after="0"/>
              <w:rPr>
                <w:sz w:val="18"/>
                <w:szCs w:val="18"/>
                <w:color w:val="auto"/>
              </w:rPr>
            </w:pPr>
          </w:p>
        </w:tc>
        <w:tc>
          <w:tcPr>
            <w:tcW w:w="1540" w:type="dxa"/>
            <w:vAlign w:val="bottom"/>
            <w:tcBorders>
              <w:bottom w:val="single" w:sz="8" w:color="D02A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12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7" w:name="page18"/>
    <w:bookmarkEnd w:id="1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5886"/>
        <w:spacing w:after="0"/>
        <w:rPr>
          <w:sz w:val="20"/>
          <w:szCs w:val="20"/>
          <w:color w:val="auto"/>
        </w:rPr>
      </w:pPr>
      <w:r>
        <w:rPr>
          <w:rFonts w:ascii="Arial" w:cs="Arial" w:eastAsia="Arial" w:hAnsi="Arial"/>
          <w:sz w:val="14"/>
          <w:szCs w:val="14"/>
          <w:color w:val="5D6673"/>
        </w:rPr>
        <w:t>MORE INFORMATION ABOUT OUR DIRECTORS</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Snapshot of Directors and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191770</wp:posOffset>
            </wp:positionV>
            <wp:extent cx="5803265" cy="1551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0326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  </w:t>
      </w:r>
    </w:p>
    <w:p>
      <w:pPr>
        <w:spacing w:after="0" w:line="77" w:lineRule="exact"/>
        <w:rPr>
          <w:sz w:val="20"/>
          <w:szCs w:val="20"/>
          <w:color w:val="auto"/>
        </w:rPr>
      </w:pPr>
    </w:p>
    <w:p>
      <w:pPr>
        <w:ind w:left="326" w:right="200" w:hanging="326"/>
        <w:spacing w:after="0" w:line="285" w:lineRule="auto"/>
        <w:tabs>
          <w:tab w:leader="none" w:pos="32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above includes Ms. Hemmingsen, who is not standing for re-election to the Board, and Ms. Ziegler, who will retire from the Board, in each case after the end of their current terms ending at the start of the 2025 annual meeting.</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Director and Director Nominee Qualifications</w:t>
      </w:r>
    </w:p>
    <w:p>
      <w:pPr>
        <w:spacing w:after="0" w:line="99" w:lineRule="exact"/>
        <w:rPr>
          <w:sz w:val="20"/>
          <w:szCs w:val="20"/>
          <w:color w:val="auto"/>
        </w:rPr>
      </w:pPr>
    </w:p>
    <w:p>
      <w:pPr>
        <w:ind w:left="6" w:right="20"/>
        <w:spacing w:after="0" w:line="252" w:lineRule="auto"/>
        <w:rPr>
          <w:sz w:val="20"/>
          <w:szCs w:val="20"/>
          <w:color w:val="auto"/>
        </w:rPr>
      </w:pPr>
      <w:r>
        <w:rPr>
          <w:rFonts w:ascii="Arial" w:cs="Arial" w:eastAsia="Arial" w:hAnsi="Arial"/>
          <w:sz w:val="16"/>
          <w:szCs w:val="16"/>
          <w:color w:val="auto"/>
        </w:rPr>
        <w:t>Our Nominating and Corporate Governance Committee assists the Board in reviewing the business and personal background of each of our directors with respect to our business and business goals. Our skill criteria for our Board members includes a person with the following personal criteria: adheres to and demonstrates the highest ethical standards and personal and professional integrity; an effective negotiator, listener, and team player; a visionary with a strategic and global perspective; a successful leader with a proven record of accomplishments; a problem-solver; an effective decision-maker; and a person who will take a strong interest in the Company. In addition, we believe that certain skills and experience should be represented on the Board, as represented below, although not every Board member must possess all such skills and experience to be considered capable of making valuable contributions to the Board.</w:t>
      </w:r>
    </w:p>
    <w:p>
      <w:pPr>
        <w:spacing w:after="0" w:line="4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2480" w:type="dxa"/>
            <w:vAlign w:val="bottom"/>
            <w:tcBorders>
              <w:right w:val="single" w:sz="8" w:color="0063A6"/>
            </w:tcBorders>
          </w:tcPr>
          <w:p>
            <w:pPr>
              <w:spacing w:after="0"/>
              <w:rPr>
                <w:sz w:val="19"/>
                <w:szCs w:val="19"/>
                <w:color w:val="auto"/>
              </w:rPr>
            </w:pPr>
          </w:p>
        </w:tc>
        <w:tc>
          <w:tcPr>
            <w:tcW w:w="640" w:type="dxa"/>
            <w:vAlign w:val="bottom"/>
            <w:shd w:val="clear" w:color="auto" w:fill="0063A6"/>
          </w:tcPr>
          <w:p>
            <w:pPr>
              <w:jc w:val="center"/>
              <w:ind w:right="23"/>
              <w:spacing w:after="0"/>
              <w:rPr>
                <w:sz w:val="20"/>
                <w:szCs w:val="20"/>
                <w:color w:val="auto"/>
              </w:rPr>
            </w:pPr>
            <w:r>
              <w:rPr>
                <w:rFonts w:ascii="Arial" w:cs="Arial" w:eastAsia="Arial" w:hAnsi="Arial"/>
                <w:sz w:val="14"/>
                <w:szCs w:val="14"/>
                <w:b w:val="1"/>
                <w:bCs w:val="1"/>
                <w:color w:val="FFFFFF"/>
              </w:rPr>
              <w:t>Thomas</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Mary</w:t>
            </w:r>
          </w:p>
        </w:tc>
        <w:tc>
          <w:tcPr>
            <w:tcW w:w="7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Frank</w:t>
            </w:r>
          </w:p>
        </w:tc>
        <w:tc>
          <w:tcPr>
            <w:tcW w:w="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Jerome</w:t>
            </w:r>
          </w:p>
        </w:tc>
        <w:tc>
          <w:tcPr>
            <w:tcW w:w="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Tim</w:t>
            </w:r>
          </w:p>
        </w:tc>
        <w:tc>
          <w:tcPr>
            <w:tcW w:w="960" w:type="dxa"/>
            <w:vAlign w:val="bottom"/>
            <w:shd w:val="clear" w:color="auto" w:fill="0063A6"/>
          </w:tcPr>
          <w:p>
            <w:pPr>
              <w:jc w:val="center"/>
              <w:ind w:right="3"/>
              <w:spacing w:after="0"/>
              <w:rPr>
                <w:sz w:val="20"/>
                <w:szCs w:val="20"/>
                <w:color w:val="auto"/>
              </w:rPr>
            </w:pPr>
            <w:r>
              <w:rPr>
                <w:rFonts w:ascii="Arial" w:cs="Arial" w:eastAsia="Arial" w:hAnsi="Arial"/>
                <w:sz w:val="14"/>
                <w:szCs w:val="14"/>
                <w:b w:val="1"/>
                <w:bCs w:val="1"/>
                <w:color w:val="FFFFFF"/>
              </w:rPr>
              <w:t>Sanjay</w:t>
            </w:r>
          </w:p>
        </w:tc>
        <w:tc>
          <w:tcPr>
            <w:tcW w:w="7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Santiago</w:t>
            </w:r>
          </w:p>
        </w:tc>
        <w:tc>
          <w:tcPr>
            <w:tcW w:w="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Diana</w:t>
            </w:r>
          </w:p>
        </w:tc>
        <w:tc>
          <w:tcPr>
            <w:tcW w:w="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Lynda</w:t>
            </w:r>
          </w:p>
        </w:tc>
        <w:tc>
          <w:tcPr>
            <w:tcW w:w="0" w:type="dxa"/>
            <w:vAlign w:val="bottom"/>
          </w:tcPr>
          <w:p>
            <w:pPr>
              <w:spacing w:after="0"/>
              <w:rPr>
                <w:sz w:val="1"/>
                <w:szCs w:val="1"/>
                <w:color w:val="auto"/>
              </w:rPr>
            </w:pPr>
          </w:p>
        </w:tc>
      </w:tr>
      <w:tr>
        <w:trPr>
          <w:trHeight w:val="196"/>
        </w:trPr>
        <w:tc>
          <w:tcPr>
            <w:tcW w:w="2480" w:type="dxa"/>
            <w:vAlign w:val="bottom"/>
            <w:tcBorders>
              <w:right w:val="single" w:sz="8" w:color="0063A6"/>
            </w:tcBorders>
          </w:tcPr>
          <w:p>
            <w:pPr>
              <w:spacing w:after="0"/>
              <w:rPr>
                <w:sz w:val="17"/>
                <w:szCs w:val="17"/>
                <w:color w:val="auto"/>
              </w:rPr>
            </w:pPr>
          </w:p>
        </w:tc>
        <w:tc>
          <w:tcPr>
            <w:tcW w:w="640" w:type="dxa"/>
            <w:vAlign w:val="bottom"/>
            <w:shd w:val="clear" w:color="auto" w:fill="0063A6"/>
          </w:tcPr>
          <w:p>
            <w:pPr>
              <w:jc w:val="center"/>
              <w:ind w:right="3"/>
              <w:spacing w:after="0"/>
              <w:rPr>
                <w:sz w:val="20"/>
                <w:szCs w:val="20"/>
                <w:color w:val="auto"/>
              </w:rPr>
            </w:pPr>
            <w:r>
              <w:rPr>
                <w:rFonts w:ascii="Arial" w:cs="Arial" w:eastAsia="Arial" w:hAnsi="Arial"/>
                <w:sz w:val="14"/>
                <w:szCs w:val="14"/>
                <w:b w:val="1"/>
                <w:bCs w:val="1"/>
                <w:color w:val="FFFFFF"/>
              </w:rPr>
              <w:t>Deitrich</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Hemmingsen</w:t>
            </w:r>
          </w:p>
        </w:tc>
        <w:tc>
          <w:tcPr>
            <w:tcW w:w="7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Jaehnert</w:t>
            </w:r>
          </w:p>
        </w:tc>
        <w:tc>
          <w:tcPr>
            <w:tcW w:w="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Lande</w:t>
            </w:r>
          </w:p>
        </w:tc>
        <w:tc>
          <w:tcPr>
            <w:tcW w:w="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Leyden</w:t>
            </w:r>
          </w:p>
        </w:tc>
        <w:tc>
          <w:tcPr>
            <w:tcW w:w="9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Mirchandani</w:t>
            </w:r>
          </w:p>
        </w:tc>
        <w:tc>
          <w:tcPr>
            <w:tcW w:w="7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Perez</w:t>
            </w:r>
          </w:p>
        </w:tc>
        <w:tc>
          <w:tcPr>
            <w:tcW w:w="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Tremblay</w:t>
            </w:r>
          </w:p>
        </w:tc>
        <w:tc>
          <w:tcPr>
            <w:tcW w:w="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Ziegler</w:t>
            </w:r>
          </w:p>
        </w:tc>
        <w:tc>
          <w:tcPr>
            <w:tcW w:w="0" w:type="dxa"/>
            <w:vAlign w:val="bottom"/>
          </w:tcPr>
          <w:p>
            <w:pPr>
              <w:spacing w:after="0"/>
              <w:rPr>
                <w:sz w:val="1"/>
                <w:szCs w:val="1"/>
                <w:color w:val="auto"/>
              </w:rPr>
            </w:pPr>
          </w:p>
        </w:tc>
      </w:tr>
      <w:tr>
        <w:trPr>
          <w:trHeight w:val="29"/>
        </w:trPr>
        <w:tc>
          <w:tcPr>
            <w:tcW w:w="2480" w:type="dxa"/>
            <w:vAlign w:val="bottom"/>
            <w:tcBorders>
              <w:bottom w:val="single" w:sz="8" w:color="0063A6"/>
              <w:right w:val="single" w:sz="8" w:color="0063A6"/>
            </w:tcBorders>
          </w:tcPr>
          <w:p>
            <w:pPr>
              <w:spacing w:after="0"/>
              <w:rPr>
                <w:sz w:val="2"/>
                <w:szCs w:val="2"/>
                <w:color w:val="auto"/>
              </w:rPr>
            </w:pPr>
          </w:p>
        </w:tc>
        <w:tc>
          <w:tcPr>
            <w:tcW w:w="640" w:type="dxa"/>
            <w:vAlign w:val="bottom"/>
            <w:tcBorders>
              <w:bottom w:val="single" w:sz="8" w:color="0063A6"/>
            </w:tcBorders>
            <w:shd w:val="clear" w:color="auto" w:fill="0063A6"/>
          </w:tcPr>
          <w:p>
            <w:pPr>
              <w:spacing w:after="0"/>
              <w:rPr>
                <w:sz w:val="2"/>
                <w:szCs w:val="2"/>
                <w:color w:val="auto"/>
              </w:rPr>
            </w:pPr>
          </w:p>
        </w:tc>
        <w:tc>
          <w:tcPr>
            <w:tcW w:w="1020" w:type="dxa"/>
            <w:vAlign w:val="bottom"/>
            <w:tcBorders>
              <w:bottom w:val="single" w:sz="8" w:color="0063A6"/>
            </w:tcBorders>
            <w:shd w:val="clear" w:color="auto" w:fill="0063A6"/>
          </w:tcPr>
          <w:p>
            <w:pPr>
              <w:spacing w:after="0"/>
              <w:rPr>
                <w:sz w:val="2"/>
                <w:szCs w:val="2"/>
                <w:color w:val="auto"/>
              </w:rPr>
            </w:pPr>
          </w:p>
        </w:tc>
        <w:tc>
          <w:tcPr>
            <w:tcW w:w="720" w:type="dxa"/>
            <w:vAlign w:val="bottom"/>
            <w:tcBorders>
              <w:bottom w:val="single" w:sz="8" w:color="0063A6"/>
            </w:tcBorders>
            <w:shd w:val="clear" w:color="auto" w:fill="0063A6"/>
          </w:tcPr>
          <w:p>
            <w:pPr>
              <w:spacing w:after="0"/>
              <w:rPr>
                <w:sz w:val="2"/>
                <w:szCs w:val="2"/>
                <w:color w:val="auto"/>
              </w:rPr>
            </w:pPr>
          </w:p>
        </w:tc>
        <w:tc>
          <w:tcPr>
            <w:tcW w:w="640" w:type="dxa"/>
            <w:vAlign w:val="bottom"/>
            <w:tcBorders>
              <w:bottom w:val="single" w:sz="8" w:color="0063A6"/>
            </w:tcBorders>
            <w:shd w:val="clear" w:color="auto" w:fill="0063A6"/>
          </w:tcPr>
          <w:p>
            <w:pPr>
              <w:spacing w:after="0"/>
              <w:rPr>
                <w:sz w:val="2"/>
                <w:szCs w:val="2"/>
                <w:color w:val="auto"/>
              </w:rPr>
            </w:pPr>
          </w:p>
        </w:tc>
        <w:tc>
          <w:tcPr>
            <w:tcW w:w="640" w:type="dxa"/>
            <w:vAlign w:val="bottom"/>
            <w:tcBorders>
              <w:bottom w:val="single" w:sz="8" w:color="0063A6"/>
            </w:tcBorders>
            <w:shd w:val="clear" w:color="auto" w:fill="0063A6"/>
          </w:tcPr>
          <w:p>
            <w:pPr>
              <w:spacing w:after="0"/>
              <w:rPr>
                <w:sz w:val="2"/>
                <w:szCs w:val="2"/>
                <w:color w:val="auto"/>
              </w:rPr>
            </w:pPr>
          </w:p>
        </w:tc>
        <w:tc>
          <w:tcPr>
            <w:tcW w:w="960" w:type="dxa"/>
            <w:vAlign w:val="bottom"/>
            <w:tcBorders>
              <w:bottom w:val="single" w:sz="8" w:color="0063A6"/>
            </w:tcBorders>
            <w:shd w:val="clear" w:color="auto" w:fill="0063A6"/>
          </w:tcPr>
          <w:p>
            <w:pPr>
              <w:spacing w:after="0"/>
              <w:rPr>
                <w:sz w:val="2"/>
                <w:szCs w:val="2"/>
                <w:color w:val="auto"/>
              </w:rPr>
            </w:pPr>
          </w:p>
        </w:tc>
        <w:tc>
          <w:tcPr>
            <w:tcW w:w="740" w:type="dxa"/>
            <w:vAlign w:val="bottom"/>
            <w:tcBorders>
              <w:bottom w:val="single" w:sz="8" w:color="0063A6"/>
            </w:tcBorders>
            <w:shd w:val="clear" w:color="auto" w:fill="0063A6"/>
          </w:tcPr>
          <w:p>
            <w:pPr>
              <w:spacing w:after="0"/>
              <w:rPr>
                <w:sz w:val="2"/>
                <w:szCs w:val="2"/>
                <w:color w:val="auto"/>
              </w:rPr>
            </w:pPr>
          </w:p>
        </w:tc>
        <w:tc>
          <w:tcPr>
            <w:tcW w:w="760" w:type="dxa"/>
            <w:vAlign w:val="bottom"/>
            <w:tcBorders>
              <w:bottom w:val="single" w:sz="8" w:color="0063A6"/>
            </w:tcBorders>
            <w:shd w:val="clear" w:color="auto" w:fill="0063A6"/>
          </w:tcPr>
          <w:p>
            <w:pPr>
              <w:spacing w:after="0"/>
              <w:rPr>
                <w:sz w:val="2"/>
                <w:szCs w:val="2"/>
                <w:color w:val="auto"/>
              </w:rPr>
            </w:pPr>
          </w:p>
        </w:tc>
        <w:tc>
          <w:tcPr>
            <w:tcW w:w="580" w:type="dxa"/>
            <w:vAlign w:val="bottom"/>
            <w:tcBorders>
              <w:bottom w:val="single" w:sz="8" w:color="0063A6"/>
            </w:tcBorders>
            <w:shd w:val="clear" w:color="auto" w:fill="0063A6"/>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Executive leadership</w:t>
            </w:r>
          </w:p>
        </w:tc>
        <w:tc>
          <w:tcPr>
            <w:tcW w:w="640" w:type="dxa"/>
            <w:vAlign w:val="bottom"/>
            <w:vMerge w:val="restart"/>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75"/>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0063A6"/>
              </w:rPr>
              <w:t>experience</w:t>
            </w:r>
          </w:p>
        </w:tc>
        <w:tc>
          <w:tcPr>
            <w:tcW w:w="6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Financial literacy/CFO</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Public board and governance</w:t>
            </w:r>
          </w:p>
        </w:tc>
        <w:tc>
          <w:tcPr>
            <w:tcW w:w="640" w:type="dxa"/>
            <w:vAlign w:val="bottom"/>
            <w:vMerge w:val="restart"/>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75"/>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0063A6"/>
              </w:rPr>
              <w:t>experience</w:t>
            </w:r>
          </w:p>
        </w:tc>
        <w:tc>
          <w:tcPr>
            <w:tcW w:w="6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Industry expertise</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Global experience</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Manufacturing and/or Supply</w:t>
            </w:r>
          </w:p>
        </w:tc>
        <w:tc>
          <w:tcPr>
            <w:tcW w:w="640" w:type="dxa"/>
            <w:vAlign w:val="bottom"/>
            <w:vMerge w:val="restart"/>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0063A6"/>
              </w:rPr>
              <w:t>Chain expertise</w:t>
            </w:r>
          </w:p>
        </w:tc>
        <w:tc>
          <w:tcPr>
            <w:tcW w:w="6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Product Technology</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Marketing/sales expertise</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Government expertise</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Mergers and Acquisitions</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2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Cybersecurity</w:t>
            </w:r>
          </w:p>
        </w:tc>
        <w:tc>
          <w:tcPr>
            <w:tcW w:w="640" w:type="dxa"/>
            <w:vAlign w:val="bottom"/>
          </w:tcPr>
          <w:p>
            <w:pPr>
              <w:jc w:val="center"/>
              <w:ind w:right="3"/>
              <w:spacing w:after="0"/>
              <w:rPr>
                <w:sz w:val="20"/>
                <w:szCs w:val="20"/>
                <w:color w:val="auto"/>
              </w:rPr>
            </w:pPr>
            <w:r>
              <w:rPr>
                <w:rFonts w:ascii="Arial" w:cs="Arial" w:eastAsia="Arial" w:hAnsi="Arial"/>
                <w:sz w:val="11"/>
                <w:szCs w:val="11"/>
                <w:color w:val="auto"/>
                <w:w w:val="89"/>
              </w:rPr>
              <w:t>■</w:t>
            </w: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Information Technology</w:t>
            </w: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w:t>
            </w:r>
          </w:p>
        </w:tc>
        <w:tc>
          <w:tcPr>
            <w:tcW w:w="0" w:type="dxa"/>
            <w:vAlign w:val="bottom"/>
          </w:tcPr>
          <w:p>
            <w:pPr>
              <w:spacing w:after="0"/>
              <w:rPr>
                <w:sz w:val="1"/>
                <w:szCs w:val="1"/>
                <w:color w:val="auto"/>
              </w:rPr>
            </w:pPr>
          </w:p>
        </w:tc>
      </w:tr>
      <w:tr>
        <w:trPr>
          <w:trHeight w:val="35"/>
        </w:trPr>
        <w:tc>
          <w:tcPr>
            <w:tcW w:w="24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1020" w:type="dxa"/>
            <w:vAlign w:val="bottom"/>
            <w:tcBorders>
              <w:bottom w:val="single" w:sz="8" w:color="5D6673"/>
            </w:tcBorders>
          </w:tcPr>
          <w:p>
            <w:pPr>
              <w:spacing w:after="0"/>
              <w:rPr>
                <w:sz w:val="3"/>
                <w:szCs w:val="3"/>
                <w:color w:val="auto"/>
              </w:rPr>
            </w:pPr>
          </w:p>
        </w:tc>
        <w:tc>
          <w:tcPr>
            <w:tcW w:w="72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96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58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60"/>
              <w:spacing w:after="0"/>
              <w:rPr>
                <w:sz w:val="20"/>
                <w:szCs w:val="20"/>
                <w:color w:val="auto"/>
              </w:rPr>
            </w:pPr>
            <w:r>
              <w:rPr>
                <w:rFonts w:ascii="Arial" w:cs="Arial" w:eastAsia="Arial" w:hAnsi="Arial"/>
                <w:sz w:val="16"/>
                <w:szCs w:val="16"/>
                <w:b w:val="1"/>
                <w:bCs w:val="1"/>
                <w:color w:val="0063A6"/>
              </w:rPr>
              <w:t>Manufacturing improvement</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0063A6"/>
              </w:rPr>
              <w:t>and processes</w:t>
            </w: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480" w:type="dxa"/>
            <w:vAlign w:val="bottom"/>
            <w:tcBorders>
              <w:bottom w:val="single" w:sz="8" w:color="0063A6"/>
            </w:tcBorders>
            <w:vMerge w:val="continue"/>
          </w:tcPr>
          <w:p>
            <w:pPr>
              <w:spacing w:after="0"/>
              <w:rPr>
                <w:sz w:val="12"/>
                <w:szCs w:val="12"/>
                <w:color w:val="auto"/>
              </w:rPr>
            </w:pPr>
          </w:p>
        </w:tc>
        <w:tc>
          <w:tcPr>
            <w:tcW w:w="640" w:type="dxa"/>
            <w:vAlign w:val="bottom"/>
            <w:tcBorders>
              <w:bottom w:val="single" w:sz="8" w:color="0063A6"/>
            </w:tcBorders>
          </w:tcPr>
          <w:p>
            <w:pPr>
              <w:spacing w:after="0"/>
              <w:rPr>
                <w:sz w:val="12"/>
                <w:szCs w:val="12"/>
                <w:color w:val="auto"/>
              </w:rPr>
            </w:pPr>
          </w:p>
        </w:tc>
        <w:tc>
          <w:tcPr>
            <w:tcW w:w="1020" w:type="dxa"/>
            <w:vAlign w:val="bottom"/>
            <w:tcBorders>
              <w:bottom w:val="single" w:sz="8" w:color="0063A6"/>
            </w:tcBorders>
          </w:tcPr>
          <w:p>
            <w:pPr>
              <w:spacing w:after="0"/>
              <w:rPr>
                <w:sz w:val="12"/>
                <w:szCs w:val="12"/>
                <w:color w:val="auto"/>
              </w:rPr>
            </w:pPr>
          </w:p>
        </w:tc>
        <w:tc>
          <w:tcPr>
            <w:tcW w:w="720" w:type="dxa"/>
            <w:vAlign w:val="bottom"/>
            <w:tcBorders>
              <w:bottom w:val="single" w:sz="8" w:color="0063A6"/>
            </w:tcBorders>
          </w:tcPr>
          <w:p>
            <w:pPr>
              <w:spacing w:after="0"/>
              <w:rPr>
                <w:sz w:val="12"/>
                <w:szCs w:val="12"/>
                <w:color w:val="auto"/>
              </w:rPr>
            </w:pPr>
          </w:p>
        </w:tc>
        <w:tc>
          <w:tcPr>
            <w:tcW w:w="640" w:type="dxa"/>
            <w:vAlign w:val="bottom"/>
            <w:tcBorders>
              <w:bottom w:val="single" w:sz="8" w:color="0063A6"/>
            </w:tcBorders>
          </w:tcPr>
          <w:p>
            <w:pPr>
              <w:spacing w:after="0"/>
              <w:rPr>
                <w:sz w:val="12"/>
                <w:szCs w:val="12"/>
                <w:color w:val="auto"/>
              </w:rPr>
            </w:pPr>
          </w:p>
        </w:tc>
        <w:tc>
          <w:tcPr>
            <w:tcW w:w="640" w:type="dxa"/>
            <w:vAlign w:val="bottom"/>
            <w:tcBorders>
              <w:bottom w:val="single" w:sz="8" w:color="0063A6"/>
            </w:tcBorders>
          </w:tcPr>
          <w:p>
            <w:pPr>
              <w:spacing w:after="0"/>
              <w:rPr>
                <w:sz w:val="12"/>
                <w:szCs w:val="12"/>
                <w:color w:val="auto"/>
              </w:rPr>
            </w:pPr>
          </w:p>
        </w:tc>
        <w:tc>
          <w:tcPr>
            <w:tcW w:w="960" w:type="dxa"/>
            <w:vAlign w:val="bottom"/>
            <w:tcBorders>
              <w:bottom w:val="single" w:sz="8" w:color="0063A6"/>
            </w:tcBorders>
          </w:tcPr>
          <w:p>
            <w:pPr>
              <w:spacing w:after="0"/>
              <w:rPr>
                <w:sz w:val="12"/>
                <w:szCs w:val="12"/>
                <w:color w:val="auto"/>
              </w:rPr>
            </w:pPr>
          </w:p>
        </w:tc>
        <w:tc>
          <w:tcPr>
            <w:tcW w:w="740" w:type="dxa"/>
            <w:vAlign w:val="bottom"/>
            <w:tcBorders>
              <w:bottom w:val="single" w:sz="8" w:color="0063A6"/>
            </w:tcBorders>
          </w:tcPr>
          <w:p>
            <w:pPr>
              <w:spacing w:after="0"/>
              <w:rPr>
                <w:sz w:val="12"/>
                <w:szCs w:val="12"/>
                <w:color w:val="auto"/>
              </w:rPr>
            </w:pPr>
          </w:p>
        </w:tc>
        <w:tc>
          <w:tcPr>
            <w:tcW w:w="760" w:type="dxa"/>
            <w:vAlign w:val="bottom"/>
            <w:tcBorders>
              <w:bottom w:val="single" w:sz="8" w:color="0063A6"/>
            </w:tcBorders>
          </w:tcPr>
          <w:p>
            <w:pPr>
              <w:spacing w:after="0"/>
              <w:rPr>
                <w:sz w:val="12"/>
                <w:szCs w:val="12"/>
                <w:color w:val="auto"/>
              </w:rPr>
            </w:pPr>
          </w:p>
        </w:tc>
        <w:tc>
          <w:tcPr>
            <w:tcW w:w="580" w:type="dxa"/>
            <w:vAlign w:val="bottom"/>
            <w:tcBorders>
              <w:bottom w:val="single" w:sz="8" w:color="0063A6"/>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6" w:right="280" w:hanging="326"/>
        <w:spacing w:after="0" w:line="285" w:lineRule="auto"/>
        <w:tabs>
          <w:tab w:leader="none" w:pos="32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table includes Ms. Hemmingsen, who is not standing for re-election to the Board, and Ms. Ziegler, who will retire from the Board, in each case after the end of their current terms ending at the start of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8"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Nominating and Corporate Governance Committee considers diversity as one of several factors relating to overall composition when recommending nominations to our Board. Although we do not have a formal policy governing how diversity is considered, our Governance Principles state that diversity is an aspect that should be considered with respect to director nominations. The Nominating and Corporate Governance Committee examines the entire Board Membership and construes diversity broadly to include diversity of experience, thought, and skills, as well as other traditional diversity concepts. As a result, the Nominating and Corporate Governance Committee strives to ensure when recommending nominations to our Board that our Board is represented by individuals with a variety of different opinions, perspectives, personal, professional, and industry experience and backgrounds, skills, and expertise. In addition, as part of our effort to provide for fresh perspectives and diverse views on our Board, our Governance Principles require that a director will not be nominated for a new term if, upon such nomination, the director would be 75 years of age or older or if the director has served five full terms on the Board, unless the Board determines it to be in the best interests of the Company’s shareholders to renominate the director.</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Qualifications and Attributes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We have concluded that all of our directors, including the nominee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GOVERNANCE – 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Nominations by Shareholders</w:t>
      </w:r>
      <w:r>
        <w:rPr>
          <w:rFonts w:ascii="Arial" w:cs="Arial" w:eastAsia="Arial" w:hAnsi="Arial"/>
          <w:sz w:val="16"/>
          <w:szCs w:val="16"/>
          <w:color w:val="auto"/>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5"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14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9" w:name="page20"/>
    <w:bookmarkEnd w:id="1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5886"/>
        <w:spacing w:after="0"/>
        <w:rPr>
          <w:sz w:val="20"/>
          <w:szCs w:val="20"/>
          <w:color w:val="auto"/>
        </w:rPr>
      </w:pPr>
      <w:r>
        <w:rPr>
          <w:rFonts w:ascii="Arial" w:cs="Arial" w:eastAsia="Arial" w:hAnsi="Arial"/>
          <w:sz w:val="14"/>
          <w:szCs w:val="14"/>
          <w:color w:val="5D6673"/>
        </w:rPr>
        <w:t>MORE INFORMATION ABOUT OUR DIRECTORS</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Compensation of Directors</w:t>
      </w:r>
    </w:p>
    <w:p>
      <w:pPr>
        <w:spacing w:after="0" w:line="72" w:lineRule="exact"/>
        <w:rPr>
          <w:sz w:val="20"/>
          <w:szCs w:val="20"/>
          <w:color w:val="auto"/>
        </w:rPr>
      </w:pPr>
    </w:p>
    <w:p>
      <w:pPr>
        <w:ind w:left="6" w:right="60"/>
        <w:spacing w:after="0" w:line="256" w:lineRule="auto"/>
        <w:rPr>
          <w:sz w:val="20"/>
          <w:szCs w:val="20"/>
          <w:color w:val="auto"/>
        </w:rPr>
      </w:pPr>
      <w:r>
        <w:rPr>
          <w:rFonts w:ascii="Arial" w:cs="Arial" w:eastAsia="Arial" w:hAnsi="Arial"/>
          <w:sz w:val="16"/>
          <w:szCs w:val="16"/>
          <w:color w:val="auto"/>
        </w:rPr>
        <w:t>The Nominating and Corporate Governance Committee annually reviews compensation paid to non-employee directors and makes recommendations for adjustment, as appropriate, to the Board. The Board last adjusted the compensation paid to non-employee directors effective January 1, 2024. Both equity and cash compensation paid to our directors in 2024 was determined using benchmark data from our peer companies provided by the Compensation Committee’s independent compensation consultant, Frederic W. Cook &amp; Co. (F.W. Cook).</w:t>
      </w:r>
    </w:p>
    <w:p>
      <w:pPr>
        <w:spacing w:after="0" w:line="45" w:lineRule="exact"/>
        <w:rPr>
          <w:sz w:val="20"/>
          <w:szCs w:val="20"/>
          <w:color w:val="auto"/>
        </w:rPr>
      </w:pPr>
    </w:p>
    <w:tbl>
      <w:tblPr>
        <w:tblLayout w:type="fixed"/>
        <w:tblInd w:w="6" w:type="dxa"/>
        <w:tblCellMar>
          <w:top w:w="0" w:type="dxa"/>
          <w:left w:w="0" w:type="dxa"/>
          <w:bottom w:w="0" w:type="dxa"/>
          <w:right w:w="0" w:type="dxa"/>
        </w:tblCellMar>
      </w:tblPr>
      <w:tr>
        <w:trPr>
          <w:trHeight w:val="297"/>
        </w:trPr>
        <w:tc>
          <w:tcPr>
            <w:tcW w:w="584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Compensation structure for directors</w:t>
            </w:r>
            <w:r>
              <w:rPr>
                <w:rFonts w:ascii="Arial" w:cs="Arial" w:eastAsia="Arial" w:hAnsi="Arial"/>
                <w:sz w:val="23"/>
                <w:szCs w:val="23"/>
                <w:b w:val="1"/>
                <w:bCs w:val="1"/>
                <w:color w:val="FFFFFF"/>
                <w:vertAlign w:val="superscript"/>
              </w:rPr>
              <w:t>(1)</w:t>
            </w:r>
          </w:p>
        </w:tc>
        <w:tc>
          <w:tcPr>
            <w:tcW w:w="2660" w:type="dxa"/>
            <w:vAlign w:val="bottom"/>
            <w:shd w:val="clear" w:color="auto" w:fill="0063A6"/>
          </w:tcPr>
          <w:p>
            <w:pPr>
              <w:spacing w:after="0"/>
              <w:rPr>
                <w:sz w:val="24"/>
                <w:szCs w:val="24"/>
                <w:color w:val="auto"/>
              </w:rPr>
            </w:pPr>
          </w:p>
        </w:tc>
        <w:tc>
          <w:tcPr>
            <w:tcW w:w="6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84"/>
        </w:trPr>
        <w:tc>
          <w:tcPr>
            <w:tcW w:w="5840" w:type="dxa"/>
            <w:vAlign w:val="bottom"/>
            <w:tcBorders>
              <w:bottom w:val="single" w:sz="8" w:color="5D6673"/>
            </w:tcBorders>
            <w:shd w:val="clear" w:color="auto" w:fill="F2F2F2"/>
          </w:tcPr>
          <w:p>
            <w:pPr>
              <w:ind w:left="80"/>
              <w:spacing w:after="0" w:line="283" w:lineRule="exact"/>
              <w:rPr>
                <w:sz w:val="20"/>
                <w:szCs w:val="20"/>
                <w:color w:val="auto"/>
              </w:rPr>
            </w:pPr>
            <w:r>
              <w:rPr>
                <w:rFonts w:ascii="Arial" w:cs="Arial" w:eastAsia="Arial" w:hAnsi="Arial"/>
                <w:sz w:val="16"/>
                <w:szCs w:val="16"/>
                <w:b w:val="1"/>
                <w:bCs w:val="1"/>
                <w:color w:val="auto"/>
              </w:rPr>
              <w:t>Regular retainer</w:t>
            </w:r>
            <w:r>
              <w:rPr>
                <w:rFonts w:ascii="Arial" w:cs="Arial" w:eastAsia="Arial" w:hAnsi="Arial"/>
                <w:sz w:val="26"/>
                <w:szCs w:val="26"/>
                <w:b w:val="1"/>
                <w:bCs w:val="1"/>
                <w:color w:val="auto"/>
                <w:vertAlign w:val="superscript"/>
              </w:rPr>
              <w:t>(2)</w:t>
            </w:r>
          </w:p>
        </w:tc>
        <w:tc>
          <w:tcPr>
            <w:tcW w:w="2660" w:type="dxa"/>
            <w:vAlign w:val="bottom"/>
            <w:tcBorders>
              <w:bottom w:val="single" w:sz="8" w:color="5D6673"/>
            </w:tcBorders>
            <w:shd w:val="clear" w:color="auto" w:fill="F2F2F2"/>
          </w:tcPr>
          <w:p>
            <w:pPr>
              <w:spacing w:after="0"/>
              <w:rPr>
                <w:sz w:val="24"/>
                <w:szCs w:val="24"/>
                <w:color w:val="auto"/>
              </w:rPr>
            </w:pPr>
          </w:p>
        </w:tc>
        <w:tc>
          <w:tcPr>
            <w:tcW w:w="680" w:type="dxa"/>
            <w:vAlign w:val="bottom"/>
            <w:tcBorders>
              <w:bottom w:val="single" w:sz="8" w:color="5D6673"/>
            </w:tcBorders>
            <w:shd w:val="clear" w:color="auto" w:fill="F2F2F2"/>
          </w:tcPr>
          <w:p>
            <w:pPr>
              <w:spacing w:after="0"/>
              <w:rPr>
                <w:sz w:val="24"/>
                <w:szCs w:val="24"/>
                <w:color w:val="auto"/>
              </w:rPr>
            </w:pPr>
          </w:p>
        </w:tc>
      </w:tr>
      <w:tr>
        <w:trPr>
          <w:trHeight w:val="263"/>
        </w:trPr>
        <w:tc>
          <w:tcPr>
            <w:tcW w:w="5840" w:type="dxa"/>
            <w:vAlign w:val="bottom"/>
            <w:tcBorders>
              <w:bottom w:val="single" w:sz="8" w:color="5D6673"/>
            </w:tcBorders>
          </w:tcPr>
          <w:p>
            <w:pPr>
              <w:ind w:left="80"/>
              <w:spacing w:after="0" w:line="263" w:lineRule="exact"/>
              <w:rPr>
                <w:sz w:val="20"/>
                <w:szCs w:val="20"/>
                <w:color w:val="auto"/>
              </w:rPr>
            </w:pPr>
            <w:r>
              <w:rPr>
                <w:rFonts w:ascii="Arial" w:cs="Arial" w:eastAsia="Arial" w:hAnsi="Arial"/>
                <w:sz w:val="16"/>
                <w:szCs w:val="16"/>
                <w:color w:val="auto"/>
              </w:rPr>
              <w:t>Total annual base retainer</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275,000</w:t>
            </w:r>
          </w:p>
        </w:tc>
      </w:tr>
      <w:tr>
        <w:trPr>
          <w:trHeight w:val="217"/>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Cash</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75,000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Stock</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200,000</w:t>
            </w:r>
          </w:p>
        </w:tc>
      </w:tr>
      <w:tr>
        <w:trPr>
          <w:trHeight w:val="270"/>
        </w:trPr>
        <w:tc>
          <w:tcPr>
            <w:tcW w:w="5840" w:type="dxa"/>
            <w:vAlign w:val="bottom"/>
            <w:tcBorders>
              <w:bottom w:val="single" w:sz="8" w:color="5D6673"/>
            </w:tcBorders>
          </w:tcPr>
          <w:p>
            <w:pPr>
              <w:ind w:left="80"/>
              <w:spacing w:after="0" w:line="270" w:lineRule="exact"/>
              <w:rPr>
                <w:sz w:val="20"/>
                <w:szCs w:val="20"/>
                <w:color w:val="auto"/>
              </w:rPr>
            </w:pPr>
            <w:r>
              <w:rPr>
                <w:rFonts w:ascii="Arial" w:cs="Arial" w:eastAsia="Arial" w:hAnsi="Arial"/>
                <w:sz w:val="16"/>
                <w:szCs w:val="16"/>
                <w:color w:val="auto"/>
              </w:rPr>
              <w:t>Annual committee chair retainer (cash)</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spacing w:after="0"/>
              <w:rPr>
                <w:sz w:val="23"/>
                <w:szCs w:val="23"/>
                <w:color w:val="auto"/>
              </w:rPr>
            </w:pPr>
          </w:p>
        </w:tc>
        <w:tc>
          <w:tcPr>
            <w:tcW w:w="680" w:type="dxa"/>
            <w:vAlign w:val="bottom"/>
            <w:tcBorders>
              <w:bottom w:val="single" w:sz="8" w:color="5D6673"/>
            </w:tcBorders>
          </w:tcPr>
          <w:p>
            <w:pPr>
              <w:spacing w:after="0"/>
              <w:rPr>
                <w:sz w:val="23"/>
                <w:szCs w:val="23"/>
                <w:color w:val="auto"/>
              </w:rPr>
            </w:pPr>
          </w:p>
        </w:tc>
      </w:tr>
      <w:tr>
        <w:trPr>
          <w:trHeight w:val="217"/>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Compensation</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22,500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Nominating &amp; Corporate Governance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22,500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Audit/Finance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30,000​</w:t>
            </w:r>
          </w:p>
        </w:tc>
      </w:tr>
      <w:tr>
        <w:trPr>
          <w:trHeight w:val="270"/>
        </w:trPr>
        <w:tc>
          <w:tcPr>
            <w:tcW w:w="5840" w:type="dxa"/>
            <w:vAlign w:val="bottom"/>
            <w:tcBorders>
              <w:bottom w:val="single" w:sz="8" w:color="5D6673"/>
            </w:tcBorders>
          </w:tcPr>
          <w:p>
            <w:pPr>
              <w:ind w:left="80"/>
              <w:spacing w:after="0" w:line="270" w:lineRule="exact"/>
              <w:rPr>
                <w:sz w:val="20"/>
                <w:szCs w:val="20"/>
                <w:color w:val="auto"/>
              </w:rPr>
            </w:pPr>
            <w:r>
              <w:rPr>
                <w:rFonts w:ascii="Arial" w:cs="Arial" w:eastAsia="Arial" w:hAnsi="Arial"/>
                <w:sz w:val="16"/>
                <w:szCs w:val="16"/>
                <w:color w:val="auto"/>
              </w:rPr>
              <w:t>Annual committee member retainer (cash)</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spacing w:after="0"/>
              <w:rPr>
                <w:sz w:val="23"/>
                <w:szCs w:val="23"/>
                <w:color w:val="auto"/>
              </w:rPr>
            </w:pPr>
          </w:p>
        </w:tc>
        <w:tc>
          <w:tcPr>
            <w:tcW w:w="680" w:type="dxa"/>
            <w:vAlign w:val="bottom"/>
            <w:tcBorders>
              <w:bottom w:val="single" w:sz="8" w:color="5D6673"/>
            </w:tcBorders>
          </w:tcPr>
          <w:p>
            <w:pPr>
              <w:spacing w:after="0"/>
              <w:rPr>
                <w:sz w:val="23"/>
                <w:szCs w:val="23"/>
                <w:color w:val="auto"/>
              </w:rPr>
            </w:pPr>
          </w:p>
        </w:tc>
      </w:tr>
      <w:tr>
        <w:trPr>
          <w:trHeight w:val="217"/>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Compensation</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7,500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Nominating &amp; Corporate Governance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7,500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Audit/Finance</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rPr>
              <w:t>10,000</w:t>
            </w:r>
          </w:p>
        </w:tc>
      </w:tr>
      <w:tr>
        <w:trPr>
          <w:trHeight w:val="226"/>
        </w:trPr>
        <w:tc>
          <w:tcPr>
            <w:tcW w:w="5840" w:type="dxa"/>
            <w:vAlign w:val="bottom"/>
            <w:tcBorders>
              <w:bottom w:val="single" w:sz="8" w:color="5D6673"/>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Board Chair retainer</w:t>
            </w:r>
          </w:p>
        </w:tc>
        <w:tc>
          <w:tcPr>
            <w:tcW w:w="2660" w:type="dxa"/>
            <w:vAlign w:val="bottom"/>
            <w:tcBorders>
              <w:bottom w:val="single" w:sz="8" w:color="5D6673"/>
            </w:tcBorders>
            <w:shd w:val="clear" w:color="auto" w:fill="F2F2F2"/>
          </w:tcPr>
          <w:p>
            <w:pPr>
              <w:spacing w:after="0"/>
              <w:rPr>
                <w:sz w:val="19"/>
                <w:szCs w:val="19"/>
                <w:color w:val="auto"/>
              </w:rPr>
            </w:pPr>
          </w:p>
        </w:tc>
        <w:tc>
          <w:tcPr>
            <w:tcW w:w="680" w:type="dxa"/>
            <w:vAlign w:val="bottom"/>
            <w:tcBorders>
              <w:bottom w:val="single" w:sz="8" w:color="5D6673"/>
            </w:tcBorders>
            <w:shd w:val="clear" w:color="auto" w:fill="F2F2F2"/>
          </w:tcPr>
          <w:p>
            <w:pPr>
              <w:spacing w:after="0"/>
              <w:rPr>
                <w:sz w:val="19"/>
                <w:szCs w:val="19"/>
                <w:color w:val="auto"/>
              </w:rPr>
            </w:pPr>
          </w:p>
        </w:tc>
      </w:tr>
      <w:tr>
        <w:trPr>
          <w:trHeight w:val="267"/>
        </w:trPr>
        <w:tc>
          <w:tcPr>
            <w:tcW w:w="5840" w:type="dxa"/>
            <w:vAlign w:val="bottom"/>
            <w:tcBorders>
              <w:bottom w:val="single" w:sz="8" w:color="5D6673"/>
            </w:tcBorders>
          </w:tcPr>
          <w:p>
            <w:pPr>
              <w:ind w:left="80"/>
              <w:spacing w:after="0" w:line="267" w:lineRule="exact"/>
              <w:rPr>
                <w:sz w:val="20"/>
                <w:szCs w:val="20"/>
                <w:color w:val="auto"/>
              </w:rPr>
            </w:pPr>
            <w:r>
              <w:rPr>
                <w:rFonts w:ascii="Arial" w:cs="Arial" w:eastAsia="Arial" w:hAnsi="Arial"/>
                <w:sz w:val="16"/>
                <w:szCs w:val="16"/>
                <w:color w:val="auto"/>
              </w:rPr>
              <w:t>Total annual Board Chair retainer</w:t>
            </w:r>
            <w:r>
              <w:rPr>
                <w:rFonts w:ascii="Arial" w:cs="Arial" w:eastAsia="Arial" w:hAnsi="Arial"/>
                <w:sz w:val="26"/>
                <w:szCs w:val="26"/>
                <w:color w:val="auto"/>
                <w:vertAlign w:val="superscript"/>
              </w:rPr>
              <w:t>(3)(4)</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375,000</w:t>
            </w:r>
          </w:p>
        </w:tc>
      </w:tr>
      <w:tr>
        <w:trPr>
          <w:trHeight w:val="216"/>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Cash</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130,000</w:t>
            </w:r>
          </w:p>
        </w:tc>
      </w:tr>
      <w:tr>
        <w:trPr>
          <w:trHeight w:val="223"/>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Stock</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245,000</w:t>
            </w:r>
          </w:p>
        </w:tc>
      </w:tr>
      <w:tr>
        <w:trPr>
          <w:trHeight w:val="226"/>
        </w:trPr>
        <w:tc>
          <w:tcPr>
            <w:tcW w:w="5840" w:type="dxa"/>
            <w:vAlign w:val="bottom"/>
            <w:tcBorders>
              <w:bottom w:val="single" w:sz="8" w:color="5D6673"/>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Board Vice Chair retainer</w:t>
            </w:r>
          </w:p>
        </w:tc>
        <w:tc>
          <w:tcPr>
            <w:tcW w:w="2660" w:type="dxa"/>
            <w:vAlign w:val="bottom"/>
            <w:tcBorders>
              <w:bottom w:val="single" w:sz="8" w:color="5D6673"/>
            </w:tcBorders>
            <w:shd w:val="clear" w:color="auto" w:fill="F2F2F2"/>
          </w:tcPr>
          <w:p>
            <w:pPr>
              <w:spacing w:after="0"/>
              <w:rPr>
                <w:sz w:val="19"/>
                <w:szCs w:val="19"/>
                <w:color w:val="auto"/>
              </w:rPr>
            </w:pPr>
          </w:p>
        </w:tc>
        <w:tc>
          <w:tcPr>
            <w:tcW w:w="680" w:type="dxa"/>
            <w:vAlign w:val="bottom"/>
            <w:tcBorders>
              <w:bottom w:val="single" w:sz="8" w:color="5D6673"/>
            </w:tcBorders>
            <w:shd w:val="clear" w:color="auto" w:fill="F2F2F2"/>
          </w:tcPr>
          <w:p>
            <w:pPr>
              <w:spacing w:after="0"/>
              <w:rPr>
                <w:sz w:val="19"/>
                <w:szCs w:val="19"/>
                <w:color w:val="auto"/>
              </w:rPr>
            </w:pPr>
          </w:p>
        </w:tc>
      </w:tr>
      <w:tr>
        <w:trPr>
          <w:trHeight w:val="267"/>
        </w:trPr>
        <w:tc>
          <w:tcPr>
            <w:tcW w:w="5840" w:type="dxa"/>
            <w:vAlign w:val="bottom"/>
            <w:tcBorders>
              <w:bottom w:val="single" w:sz="8" w:color="5D6673"/>
            </w:tcBorders>
          </w:tcPr>
          <w:p>
            <w:pPr>
              <w:ind w:left="80"/>
              <w:spacing w:after="0" w:line="267" w:lineRule="exact"/>
              <w:rPr>
                <w:sz w:val="20"/>
                <w:szCs w:val="20"/>
                <w:color w:val="auto"/>
              </w:rPr>
            </w:pPr>
            <w:r>
              <w:rPr>
                <w:rFonts w:ascii="Arial" w:cs="Arial" w:eastAsia="Arial" w:hAnsi="Arial"/>
                <w:sz w:val="16"/>
                <w:szCs w:val="16"/>
                <w:color w:val="auto"/>
              </w:rPr>
              <w:t>Total annual Board Vice Chair retainer</w:t>
            </w:r>
            <w:r>
              <w:rPr>
                <w:rFonts w:ascii="Arial" w:cs="Arial" w:eastAsia="Arial" w:hAnsi="Arial"/>
                <w:sz w:val="26"/>
                <w:szCs w:val="26"/>
                <w:color w:val="auto"/>
                <w:vertAlign w:val="superscript"/>
              </w:rPr>
              <w:t>(3)</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315,000</w:t>
            </w:r>
          </w:p>
        </w:tc>
      </w:tr>
      <w:tr>
        <w:trPr>
          <w:trHeight w:val="216"/>
        </w:trPr>
        <w:tc>
          <w:tcPr>
            <w:tcW w:w="5840" w:type="dxa"/>
            <w:vAlign w:val="bottom"/>
            <w:tcBorders>
              <w:bottom w:val="single" w:sz="8" w:color="5D6673"/>
            </w:tcBorders>
          </w:tcPr>
          <w:p>
            <w:pPr>
              <w:ind w:left="440"/>
              <w:spacing w:after="0"/>
              <w:rPr>
                <w:sz w:val="20"/>
                <w:szCs w:val="20"/>
                <w:color w:val="auto"/>
              </w:rPr>
            </w:pPr>
            <w:r>
              <w:rPr>
                <w:rFonts w:ascii="Arial" w:cs="Arial" w:eastAsia="Arial" w:hAnsi="Arial"/>
                <w:sz w:val="16"/>
                <w:szCs w:val="16"/>
                <w:color w:val="auto"/>
              </w:rPr>
              <w:t>Cash</w:t>
            </w:r>
          </w:p>
        </w:tc>
        <w:tc>
          <w:tcPr>
            <w:tcW w:w="2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ind w:right="20"/>
              <w:spacing w:after="0"/>
              <w:rPr>
                <w:sz w:val="20"/>
                <w:szCs w:val="20"/>
                <w:color w:val="auto"/>
              </w:rPr>
            </w:pPr>
            <w:r>
              <w:rPr>
                <w:rFonts w:ascii="Arial" w:cs="Arial" w:eastAsia="Arial" w:hAnsi="Arial"/>
                <w:sz w:val="16"/>
                <w:szCs w:val="16"/>
                <w:color w:val="auto"/>
                <w:w w:val="96"/>
              </w:rPr>
              <w:t>115,000</w:t>
            </w:r>
          </w:p>
        </w:tc>
      </w:tr>
      <w:tr>
        <w:trPr>
          <w:trHeight w:val="215"/>
        </w:trPr>
        <w:tc>
          <w:tcPr>
            <w:tcW w:w="5840" w:type="dxa"/>
            <w:vAlign w:val="bottom"/>
            <w:tcBorders>
              <w:bottom w:val="single" w:sz="8" w:color="0063A6"/>
            </w:tcBorders>
          </w:tcPr>
          <w:p>
            <w:pPr>
              <w:ind w:left="440"/>
              <w:spacing w:after="0"/>
              <w:rPr>
                <w:sz w:val="20"/>
                <w:szCs w:val="20"/>
                <w:color w:val="auto"/>
              </w:rPr>
            </w:pPr>
            <w:r>
              <w:rPr>
                <w:rFonts w:ascii="Arial" w:cs="Arial" w:eastAsia="Arial" w:hAnsi="Arial"/>
                <w:sz w:val="16"/>
                <w:szCs w:val="16"/>
                <w:color w:val="auto"/>
              </w:rPr>
              <w:t>Stock</w:t>
            </w:r>
          </w:p>
        </w:tc>
        <w:tc>
          <w:tcPr>
            <w:tcW w:w="2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200,000</w:t>
            </w:r>
          </w:p>
        </w:tc>
      </w:tr>
    </w:tbl>
    <w:p>
      <w:pPr>
        <w:spacing w:after="0" w:line="99" w:lineRule="exact"/>
        <w:rPr>
          <w:sz w:val="20"/>
          <w:szCs w:val="20"/>
          <w:color w:val="auto"/>
        </w:rPr>
      </w:pPr>
    </w:p>
    <w:p>
      <w:pPr>
        <w:ind w:left="326" w:hanging="326"/>
        <w:spacing w:after="0"/>
        <w:tabs>
          <w:tab w:leader="none" w:pos="326"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Director compensation is payable quarterly at the beginning of each quarter.</w:t>
      </w:r>
    </w:p>
    <w:p>
      <w:pPr>
        <w:spacing w:after="0" w:line="82" w:lineRule="exact"/>
        <w:rPr>
          <w:rFonts w:ascii="Arial" w:cs="Arial" w:eastAsia="Arial" w:hAnsi="Arial"/>
          <w:sz w:val="14"/>
          <w:szCs w:val="14"/>
          <w:color w:val="auto"/>
        </w:rPr>
      </w:pPr>
    </w:p>
    <w:p>
      <w:pPr>
        <w:ind w:left="326" w:right="540" w:hanging="326"/>
        <w:spacing w:after="0" w:line="285" w:lineRule="auto"/>
        <w:tabs>
          <w:tab w:leader="none" w:pos="326" w:val="left"/>
        </w:tabs>
        <w:numPr>
          <w:ilvl w:val="0"/>
          <w:numId w:val="10"/>
        </w:numPr>
        <w:rPr>
          <w:rFonts w:ascii="Arial" w:cs="Arial" w:eastAsia="Arial" w:hAnsi="Arial"/>
          <w:sz w:val="14"/>
          <w:szCs w:val="14"/>
          <w:color w:val="auto"/>
        </w:rPr>
      </w:pPr>
      <w:r>
        <w:rPr>
          <w:rFonts w:ascii="Arial" w:cs="Arial" w:eastAsia="Arial" w:hAnsi="Arial"/>
          <w:sz w:val="14"/>
          <w:szCs w:val="14"/>
          <w:color w:val="auto"/>
        </w:rPr>
        <w:t>Applies to our non-employee directors (other than our Board Chair and Vice Chair). Mr. Deitrich is our CEO. In accordance with our Governance Principles, our employee directors do not receive any compensation for serving on the Board.</w:t>
      </w:r>
    </w:p>
    <w:p>
      <w:pPr>
        <w:spacing w:after="0" w:line="9" w:lineRule="exact"/>
        <w:rPr>
          <w:rFonts w:ascii="Arial" w:cs="Arial" w:eastAsia="Arial" w:hAnsi="Arial"/>
          <w:sz w:val="14"/>
          <w:szCs w:val="14"/>
          <w:color w:val="auto"/>
        </w:rPr>
      </w:pPr>
    </w:p>
    <w:p>
      <w:pPr>
        <w:ind w:left="326" w:right="380" w:hanging="326"/>
        <w:spacing w:after="0" w:line="285" w:lineRule="auto"/>
        <w:tabs>
          <w:tab w:leader="none" w:pos="326"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Directors with age 65 or older may elect to receive all of his or her retainer in cash, provided the director continuously meets the stock ownership guidelines described under “</w:t>
      </w:r>
      <w:r>
        <w:rPr>
          <w:rFonts w:ascii="Arial" w:cs="Arial" w:eastAsia="Arial" w:hAnsi="Arial"/>
          <w:sz w:val="14"/>
          <w:szCs w:val="14"/>
          <w:i w:val="1"/>
          <w:iCs w:val="1"/>
          <w:color w:val="auto"/>
        </w:rPr>
        <w:t>Stock Ownership Guidelines</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326" w:hanging="326"/>
        <w:spacing w:after="0"/>
        <w:tabs>
          <w:tab w:leader="none" w:pos="32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Board Chair receives no additional retainers for serving on any of our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2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0" w:name="page21"/>
    <w:bookmarkEnd w:id="2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MORE INFORMATION ABOUT OUR DIRECTORS</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2024 Director Compensation Table (for all non-employee Directors)</w:t>
      </w:r>
    </w:p>
    <w:p>
      <w:pPr>
        <w:spacing w:after="0" w:line="144"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0063A6"/>
            </w:tcBorders>
          </w:tcPr>
          <w:p>
            <w:pPr>
              <w:spacing w:after="0"/>
              <w:rPr>
                <w:sz w:val="17"/>
                <w:szCs w:val="17"/>
                <w:color w:val="auto"/>
              </w:rPr>
            </w:pPr>
          </w:p>
        </w:tc>
        <w:tc>
          <w:tcPr>
            <w:tcW w:w="860" w:type="dxa"/>
            <w:vAlign w:val="bottom"/>
            <w:tcBorders>
              <w:bottom w:val="single" w:sz="8" w:color="0063A6"/>
            </w:tcBorders>
          </w:tcPr>
          <w:p>
            <w:pPr>
              <w:spacing w:after="0"/>
              <w:rPr>
                <w:sz w:val="17"/>
                <w:szCs w:val="17"/>
                <w:color w:val="auto"/>
              </w:rPr>
            </w:pPr>
          </w:p>
        </w:tc>
        <w:tc>
          <w:tcPr>
            <w:tcW w:w="760" w:type="dxa"/>
            <w:vAlign w:val="bottom"/>
            <w:tcBorders>
              <w:bottom w:val="single" w:sz="8" w:color="0063A6"/>
            </w:tcBorders>
          </w:tcPr>
          <w:p>
            <w:pPr>
              <w:spacing w:after="0"/>
              <w:rPr>
                <w:sz w:val="17"/>
                <w:szCs w:val="17"/>
                <w:color w:val="auto"/>
              </w:rPr>
            </w:pPr>
          </w:p>
        </w:tc>
        <w:tc>
          <w:tcPr>
            <w:tcW w:w="2420" w:type="dxa"/>
            <w:vAlign w:val="bottom"/>
            <w:tcBorders>
              <w:bottom w:val="single" w:sz="8" w:color="0063A6"/>
            </w:tcBorders>
            <w:gridSpan w:val="2"/>
          </w:tcPr>
          <w:p>
            <w:pPr>
              <w:ind w:left="500"/>
              <w:spacing w:after="0"/>
              <w:rPr>
                <w:sz w:val="20"/>
                <w:szCs w:val="20"/>
                <w:color w:val="auto"/>
              </w:rPr>
            </w:pPr>
            <w:r>
              <w:rPr>
                <w:rFonts w:ascii="Arial" w:cs="Arial" w:eastAsia="Arial" w:hAnsi="Arial"/>
                <w:sz w:val="14"/>
                <w:szCs w:val="14"/>
                <w:b w:val="1"/>
                <w:bCs w:val="1"/>
                <w:color w:val="auto"/>
              </w:rPr>
              <w:t>ITRON, INC.</w:t>
            </w:r>
          </w:p>
        </w:tc>
        <w:tc>
          <w:tcPr>
            <w:tcW w:w="1200" w:type="dxa"/>
            <w:vAlign w:val="bottom"/>
            <w:tcBorders>
              <w:bottom w:val="single" w:sz="8" w:color="0063A6"/>
            </w:tcBorders>
          </w:tcPr>
          <w:p>
            <w:pPr>
              <w:spacing w:after="0"/>
              <w:rPr>
                <w:sz w:val="17"/>
                <w:szCs w:val="17"/>
                <w:color w:val="auto"/>
              </w:rPr>
            </w:pPr>
          </w:p>
        </w:tc>
        <w:tc>
          <w:tcPr>
            <w:tcW w:w="680" w:type="dxa"/>
            <w:vAlign w:val="bottom"/>
            <w:tcBorders>
              <w:bottom w:val="single" w:sz="8" w:color="0063A6"/>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0063A6"/>
            </w:tcBorders>
          </w:tcPr>
          <w:p>
            <w:pPr>
              <w:spacing w:after="0"/>
              <w:rPr>
                <w:sz w:val="20"/>
                <w:szCs w:val="20"/>
                <w:color w:val="auto"/>
              </w:rPr>
            </w:pPr>
          </w:p>
        </w:tc>
        <w:tc>
          <w:tcPr>
            <w:tcW w:w="860" w:type="dxa"/>
            <w:vAlign w:val="bottom"/>
            <w:tcBorders>
              <w:bottom w:val="single" w:sz="8" w:color="0063A6"/>
            </w:tcBorders>
          </w:tcPr>
          <w:p>
            <w:pPr>
              <w:spacing w:after="0"/>
              <w:rPr>
                <w:sz w:val="20"/>
                <w:szCs w:val="20"/>
                <w:color w:val="auto"/>
              </w:rPr>
            </w:pPr>
          </w:p>
        </w:tc>
        <w:tc>
          <w:tcPr>
            <w:tcW w:w="760" w:type="dxa"/>
            <w:vAlign w:val="bottom"/>
            <w:tcBorders>
              <w:bottom w:val="single" w:sz="8" w:color="0063A6"/>
            </w:tcBorders>
          </w:tcPr>
          <w:p>
            <w:pPr>
              <w:spacing w:after="0"/>
              <w:rPr>
                <w:sz w:val="20"/>
                <w:szCs w:val="20"/>
                <w:color w:val="auto"/>
              </w:rPr>
            </w:pPr>
          </w:p>
        </w:tc>
        <w:tc>
          <w:tcPr>
            <w:tcW w:w="2420" w:type="dxa"/>
            <w:vAlign w:val="bottom"/>
            <w:tcBorders>
              <w:bottom w:val="single" w:sz="8" w:color="0063A6"/>
            </w:tcBorders>
            <w:gridSpan w:val="2"/>
          </w:tcPr>
          <w:p>
            <w:pPr>
              <w:ind w:left="120"/>
              <w:spacing w:after="0"/>
              <w:rPr>
                <w:sz w:val="20"/>
                <w:szCs w:val="20"/>
                <w:color w:val="auto"/>
              </w:rPr>
            </w:pPr>
            <w:r>
              <w:rPr>
                <w:rFonts w:ascii="Arial" w:cs="Arial" w:eastAsia="Arial" w:hAnsi="Arial"/>
                <w:sz w:val="14"/>
                <w:szCs w:val="14"/>
                <w:b w:val="1"/>
                <w:bCs w:val="1"/>
                <w:color w:val="auto"/>
              </w:rPr>
              <w:t>Director Compensation</w:t>
            </w:r>
          </w:p>
        </w:tc>
        <w:tc>
          <w:tcPr>
            <w:tcW w:w="1200" w:type="dxa"/>
            <w:vAlign w:val="bottom"/>
            <w:tcBorders>
              <w:bottom w:val="single" w:sz="8" w:color="0063A6"/>
            </w:tcBorders>
          </w:tcPr>
          <w:p>
            <w:pPr>
              <w:spacing w:after="0"/>
              <w:rPr>
                <w:sz w:val="20"/>
                <w:szCs w:val="20"/>
                <w:color w:val="auto"/>
              </w:rPr>
            </w:pPr>
          </w:p>
        </w:tc>
        <w:tc>
          <w:tcPr>
            <w:tcW w:w="680" w:type="dxa"/>
            <w:vAlign w:val="bottom"/>
            <w:tcBorders>
              <w:bottom w:val="single" w:sz="8" w:color="0063A6"/>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100" w:type="dxa"/>
            <w:vAlign w:val="bottom"/>
            <w:shd w:val="clear" w:color="auto" w:fill="0063A6"/>
          </w:tcPr>
          <w:p>
            <w:pPr>
              <w:spacing w:after="0"/>
              <w:rPr>
                <w:sz w:val="16"/>
                <w:szCs w:val="16"/>
                <w:color w:val="auto"/>
              </w:rPr>
            </w:pPr>
          </w:p>
        </w:tc>
        <w:tc>
          <w:tcPr>
            <w:tcW w:w="860" w:type="dxa"/>
            <w:vAlign w:val="bottom"/>
            <w:shd w:val="clear" w:color="auto" w:fill="0063A6"/>
          </w:tcPr>
          <w:p>
            <w:pPr>
              <w:spacing w:after="0"/>
              <w:rPr>
                <w:sz w:val="16"/>
                <w:szCs w:val="16"/>
                <w:color w:val="auto"/>
              </w:rPr>
            </w:pPr>
          </w:p>
        </w:tc>
        <w:tc>
          <w:tcPr>
            <w:tcW w:w="860" w:type="dxa"/>
            <w:vAlign w:val="bottom"/>
            <w:shd w:val="clear" w:color="auto" w:fill="0063A6"/>
          </w:tcPr>
          <w:p>
            <w:pPr>
              <w:spacing w:after="0"/>
              <w:rPr>
                <w:sz w:val="16"/>
                <w:szCs w:val="16"/>
                <w:color w:val="auto"/>
              </w:rPr>
            </w:pPr>
          </w:p>
        </w:tc>
        <w:tc>
          <w:tcPr>
            <w:tcW w:w="760" w:type="dxa"/>
            <w:vAlign w:val="bottom"/>
            <w:shd w:val="clear" w:color="auto" w:fill="0063A6"/>
          </w:tcPr>
          <w:p>
            <w:pPr>
              <w:spacing w:after="0"/>
              <w:rPr>
                <w:sz w:val="16"/>
                <w:szCs w:val="16"/>
                <w:color w:val="auto"/>
              </w:rPr>
            </w:pPr>
          </w:p>
        </w:tc>
        <w:tc>
          <w:tcPr>
            <w:tcW w:w="1220" w:type="dxa"/>
            <w:vAlign w:val="bottom"/>
            <w:shd w:val="clear" w:color="auto" w:fill="0063A6"/>
          </w:tcPr>
          <w:p>
            <w:pPr>
              <w:spacing w:after="0"/>
              <w:rPr>
                <w:sz w:val="16"/>
                <w:szCs w:val="16"/>
                <w:color w:val="auto"/>
              </w:rPr>
            </w:pPr>
          </w:p>
        </w:tc>
        <w:tc>
          <w:tcPr>
            <w:tcW w:w="120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Change in</w:t>
            </w:r>
          </w:p>
        </w:tc>
        <w:tc>
          <w:tcPr>
            <w:tcW w:w="1200" w:type="dxa"/>
            <w:vAlign w:val="bottom"/>
            <w:shd w:val="clear" w:color="auto" w:fill="0063A6"/>
          </w:tcPr>
          <w:p>
            <w:pPr>
              <w:spacing w:after="0"/>
              <w:rPr>
                <w:sz w:val="16"/>
                <w:szCs w:val="16"/>
                <w:color w:val="auto"/>
              </w:rPr>
            </w:pPr>
          </w:p>
        </w:tc>
        <w:tc>
          <w:tcPr>
            <w:tcW w:w="680" w:type="dxa"/>
            <w:vAlign w:val="bottom"/>
            <w:shd w:val="clear" w:color="auto" w:fill="0063A6"/>
          </w:tcPr>
          <w:p>
            <w:pPr>
              <w:spacing w:after="0"/>
              <w:rPr>
                <w:sz w:val="16"/>
                <w:szCs w:val="16"/>
                <w:color w:val="auto"/>
              </w:rPr>
            </w:pPr>
          </w:p>
        </w:tc>
        <w:tc>
          <w:tcPr>
            <w:tcW w:w="6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1220" w:type="dxa"/>
            <w:vAlign w:val="bottom"/>
            <w:shd w:val="clear" w:color="auto" w:fill="0063A6"/>
          </w:tcPr>
          <w:p>
            <w:pPr>
              <w:spacing w:after="0"/>
              <w:rPr>
                <w:sz w:val="14"/>
                <w:szCs w:val="14"/>
                <w:color w:val="auto"/>
              </w:rPr>
            </w:pPr>
          </w:p>
        </w:tc>
        <w:tc>
          <w:tcPr>
            <w:tcW w:w="1200" w:type="dxa"/>
            <w:vAlign w:val="bottom"/>
            <w:shd w:val="clear" w:color="auto" w:fill="0063A6"/>
          </w:tcPr>
          <w:p>
            <w:pPr>
              <w:ind w:left="120"/>
              <w:spacing w:after="0"/>
              <w:rPr>
                <w:sz w:val="20"/>
                <w:szCs w:val="20"/>
                <w:color w:val="auto"/>
              </w:rPr>
            </w:pPr>
            <w:r>
              <w:rPr>
                <w:rFonts w:ascii="Arial" w:cs="Arial" w:eastAsia="Arial" w:hAnsi="Arial"/>
                <w:sz w:val="14"/>
                <w:szCs w:val="14"/>
                <w:b w:val="1"/>
                <w:bCs w:val="1"/>
                <w:color w:val="FFFFFF"/>
              </w:rPr>
              <w:t>Pension Value</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86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1220" w:type="dxa"/>
            <w:vAlign w:val="bottom"/>
            <w:shd w:val="clear" w:color="auto" w:fill="0063A6"/>
          </w:tcPr>
          <w:p>
            <w:pPr>
              <w:spacing w:after="0"/>
              <w:rPr>
                <w:sz w:val="14"/>
                <w:szCs w:val="14"/>
                <w:color w:val="auto"/>
              </w:rPr>
            </w:pPr>
          </w:p>
        </w:tc>
        <w:tc>
          <w:tcPr>
            <w:tcW w:w="120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and</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Fees</w:t>
            </w:r>
          </w:p>
        </w:tc>
        <w:tc>
          <w:tcPr>
            <w:tcW w:w="86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1220" w:type="dxa"/>
            <w:vAlign w:val="bottom"/>
            <w:shd w:val="clear" w:color="auto" w:fill="0063A6"/>
          </w:tcPr>
          <w:p>
            <w:pPr>
              <w:spacing w:after="0"/>
              <w:rPr>
                <w:sz w:val="14"/>
                <w:szCs w:val="14"/>
                <w:color w:val="auto"/>
              </w:rPr>
            </w:pPr>
          </w:p>
        </w:tc>
        <w:tc>
          <w:tcPr>
            <w:tcW w:w="120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Nonqualified</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Earned</w:t>
            </w:r>
          </w:p>
        </w:tc>
        <w:tc>
          <w:tcPr>
            <w:tcW w:w="860" w:type="dxa"/>
            <w:vAlign w:val="bottom"/>
            <w:vMerge w:val="restart"/>
            <w:shd w:val="clear" w:color="auto" w:fill="0063A6"/>
          </w:tcPr>
          <w:p>
            <w:pPr>
              <w:jc w:val="right"/>
              <w:ind w:right="123"/>
              <w:spacing w:after="0"/>
              <w:rPr>
                <w:sz w:val="20"/>
                <w:szCs w:val="20"/>
                <w:color w:val="auto"/>
              </w:rPr>
            </w:pPr>
            <w:r>
              <w:rPr>
                <w:rFonts w:ascii="Arial" w:cs="Arial" w:eastAsia="Arial" w:hAnsi="Arial"/>
                <w:sz w:val="14"/>
                <w:szCs w:val="14"/>
                <w:b w:val="1"/>
                <w:bCs w:val="1"/>
                <w:color w:val="FFFFFF"/>
              </w:rPr>
              <w:t>Stock</w:t>
            </w:r>
          </w:p>
        </w:tc>
        <w:tc>
          <w:tcPr>
            <w:tcW w:w="760" w:type="dxa"/>
            <w:vAlign w:val="bottom"/>
            <w:shd w:val="clear" w:color="auto" w:fill="0063A6"/>
          </w:tcPr>
          <w:p>
            <w:pPr>
              <w:spacing w:after="0"/>
              <w:rPr>
                <w:sz w:val="14"/>
                <w:szCs w:val="14"/>
                <w:color w:val="auto"/>
              </w:rPr>
            </w:pPr>
          </w:p>
        </w:tc>
        <w:tc>
          <w:tcPr>
            <w:tcW w:w="1220" w:type="dxa"/>
            <w:vAlign w:val="bottom"/>
            <w:shd w:val="clear" w:color="auto" w:fill="0063A6"/>
          </w:tcPr>
          <w:p>
            <w:pPr>
              <w:ind w:left="300"/>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Deferred</w:t>
            </w:r>
          </w:p>
        </w:tc>
        <w:tc>
          <w:tcPr>
            <w:tcW w:w="120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860" w:type="dxa"/>
            <w:vAlign w:val="bottom"/>
            <w:shd w:val="clear" w:color="auto" w:fill="0063A6"/>
          </w:tcPr>
          <w:p>
            <w:pPr>
              <w:jc w:val="right"/>
              <w:ind w:right="42"/>
              <w:spacing w:after="0" w:line="145" w:lineRule="exact"/>
              <w:rPr>
                <w:sz w:val="20"/>
                <w:szCs w:val="20"/>
                <w:color w:val="auto"/>
              </w:rPr>
            </w:pPr>
            <w:r>
              <w:rPr>
                <w:rFonts w:ascii="Arial" w:cs="Arial" w:eastAsia="Arial" w:hAnsi="Arial"/>
                <w:sz w:val="14"/>
                <w:szCs w:val="14"/>
                <w:b w:val="1"/>
                <w:bCs w:val="1"/>
                <w:color w:val="FFFFFF"/>
              </w:rPr>
              <w:t>or Paid</w:t>
            </w:r>
          </w:p>
        </w:tc>
        <w:tc>
          <w:tcPr>
            <w:tcW w:w="860" w:type="dxa"/>
            <w:vAlign w:val="bottom"/>
            <w:vMerge w:val="continue"/>
            <w:shd w:val="clear" w:color="auto" w:fill="0063A6"/>
          </w:tcPr>
          <w:p>
            <w:pPr>
              <w:spacing w:after="0"/>
              <w:rPr>
                <w:sz w:val="12"/>
                <w:szCs w:val="12"/>
                <w:color w:val="auto"/>
              </w:rPr>
            </w:pPr>
          </w:p>
        </w:tc>
        <w:tc>
          <w:tcPr>
            <w:tcW w:w="760" w:type="dxa"/>
            <w:vAlign w:val="bottom"/>
            <w:shd w:val="clear" w:color="auto" w:fill="0063A6"/>
          </w:tcPr>
          <w:p>
            <w:pPr>
              <w:jc w:val="right"/>
              <w:ind w:right="41"/>
              <w:spacing w:after="0" w:line="145" w:lineRule="exact"/>
              <w:rPr>
                <w:sz w:val="20"/>
                <w:szCs w:val="20"/>
                <w:color w:val="auto"/>
              </w:rPr>
            </w:pPr>
            <w:r>
              <w:rPr>
                <w:rFonts w:ascii="Arial" w:cs="Arial" w:eastAsia="Arial" w:hAnsi="Arial"/>
                <w:sz w:val="14"/>
                <w:szCs w:val="14"/>
                <w:b w:val="1"/>
                <w:bCs w:val="1"/>
                <w:color w:val="FFFFFF"/>
              </w:rPr>
              <w:t>Option</w:t>
            </w:r>
          </w:p>
        </w:tc>
        <w:tc>
          <w:tcPr>
            <w:tcW w:w="1220" w:type="dxa"/>
            <w:vAlign w:val="bottom"/>
            <w:shd w:val="clear" w:color="auto" w:fill="0063A6"/>
          </w:tcPr>
          <w:p>
            <w:pPr>
              <w:ind w:left="100"/>
              <w:spacing w:after="0" w:line="145" w:lineRule="exact"/>
              <w:rPr>
                <w:sz w:val="20"/>
                <w:szCs w:val="20"/>
                <w:color w:val="auto"/>
              </w:rPr>
            </w:pPr>
            <w:r>
              <w:rPr>
                <w:rFonts w:ascii="Arial" w:cs="Arial" w:eastAsia="Arial" w:hAnsi="Arial"/>
                <w:sz w:val="14"/>
                <w:szCs w:val="14"/>
                <w:b w:val="1"/>
                <w:bCs w:val="1"/>
                <w:color w:val="FFFFFF"/>
              </w:rPr>
              <w:t>Incentive Plan</w:t>
            </w:r>
          </w:p>
        </w:tc>
        <w:tc>
          <w:tcPr>
            <w:tcW w:w="1200" w:type="dxa"/>
            <w:vAlign w:val="bottom"/>
            <w:shd w:val="clear" w:color="auto" w:fill="0063A6"/>
          </w:tcPr>
          <w:p>
            <w:pPr>
              <w:ind w:left="100"/>
              <w:spacing w:after="0" w:line="145" w:lineRule="exact"/>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3A6"/>
          </w:tcPr>
          <w:p>
            <w:pPr>
              <w:ind w:left="440"/>
              <w:spacing w:after="0" w:line="145" w:lineRule="exact"/>
              <w:rPr>
                <w:sz w:val="20"/>
                <w:szCs w:val="20"/>
                <w:color w:val="auto"/>
              </w:rPr>
            </w:pPr>
            <w:r>
              <w:rPr>
                <w:rFonts w:ascii="Arial" w:cs="Arial" w:eastAsia="Arial" w:hAnsi="Arial"/>
                <w:sz w:val="14"/>
                <w:szCs w:val="14"/>
                <w:b w:val="1"/>
                <w:bCs w:val="1"/>
                <w:color w:val="FFFFFF"/>
              </w:rPr>
              <w:t>All Other</w:t>
            </w:r>
          </w:p>
        </w:tc>
        <w:tc>
          <w:tcPr>
            <w:tcW w:w="68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60" w:type="dxa"/>
            <w:vAlign w:val="bottom"/>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in Cash</w:t>
            </w:r>
          </w:p>
        </w:tc>
        <w:tc>
          <w:tcPr>
            <w:tcW w:w="860" w:type="dxa"/>
            <w:vAlign w:val="bottom"/>
            <w:shd w:val="clear" w:color="auto" w:fill="0063A6"/>
          </w:tcPr>
          <w:p>
            <w:pPr>
              <w:jc w:val="right"/>
              <w:ind w:right="123"/>
              <w:spacing w:after="0"/>
              <w:rPr>
                <w:sz w:val="20"/>
                <w:szCs w:val="20"/>
                <w:color w:val="auto"/>
              </w:rPr>
            </w:pPr>
            <w:r>
              <w:rPr>
                <w:rFonts w:ascii="Arial" w:cs="Arial" w:eastAsia="Arial" w:hAnsi="Arial"/>
                <w:sz w:val="14"/>
                <w:szCs w:val="14"/>
                <w:b w:val="1"/>
                <w:bCs w:val="1"/>
                <w:color w:val="FFFFFF"/>
              </w:rPr>
              <w:t>Awards</w:t>
            </w:r>
          </w:p>
        </w:tc>
        <w:tc>
          <w:tcPr>
            <w:tcW w:w="760" w:type="dxa"/>
            <w:vAlign w:val="bottom"/>
            <w:shd w:val="clear" w:color="auto" w:fill="0063A6"/>
          </w:tcPr>
          <w:p>
            <w:pPr>
              <w:jc w:val="right"/>
              <w:ind w:right="1"/>
              <w:spacing w:after="0"/>
              <w:rPr>
                <w:sz w:val="20"/>
                <w:szCs w:val="20"/>
                <w:color w:val="auto"/>
              </w:rPr>
            </w:pPr>
            <w:r>
              <w:rPr>
                <w:rFonts w:ascii="Arial" w:cs="Arial" w:eastAsia="Arial" w:hAnsi="Arial"/>
                <w:sz w:val="14"/>
                <w:szCs w:val="14"/>
                <w:b w:val="1"/>
                <w:bCs w:val="1"/>
                <w:color w:val="FFFFFF"/>
              </w:rPr>
              <w:t>Awards</w:t>
            </w:r>
          </w:p>
        </w:tc>
        <w:tc>
          <w:tcPr>
            <w:tcW w:w="1220" w:type="dxa"/>
            <w:vAlign w:val="bottom"/>
            <w:shd w:val="clear" w:color="auto" w:fill="0063A6"/>
          </w:tcPr>
          <w:p>
            <w:pPr>
              <w:ind w:left="120"/>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Earnings</w:t>
            </w:r>
          </w:p>
        </w:tc>
        <w:tc>
          <w:tcPr>
            <w:tcW w:w="1200" w:type="dxa"/>
            <w:vAlign w:val="bottom"/>
            <w:shd w:val="clear" w:color="auto" w:fill="0063A6"/>
          </w:tcPr>
          <w:p>
            <w:pPr>
              <w:ind w:left="100"/>
              <w:spacing w:after="0"/>
              <w:rPr>
                <w:sz w:val="20"/>
                <w:szCs w:val="20"/>
                <w:color w:val="auto"/>
              </w:rPr>
            </w:pPr>
            <w:r>
              <w:rPr>
                <w:rFonts w:ascii="Arial" w:cs="Arial" w:eastAsia="Arial" w:hAnsi="Arial"/>
                <w:sz w:val="14"/>
                <w:szCs w:val="14"/>
                <w:b w:val="1"/>
                <w:bCs w:val="1"/>
                <w:color w:val="FFFFFF"/>
              </w:rPr>
              <w:t>Compensation</w:t>
            </w:r>
          </w:p>
        </w:tc>
        <w:tc>
          <w:tcPr>
            <w:tcW w:w="740" w:type="dxa"/>
            <w:vAlign w:val="bottom"/>
            <w:gridSpan w:val="2"/>
            <w:shd w:val="clear" w:color="auto" w:fill="0063A6"/>
          </w:tcPr>
          <w:p>
            <w:pPr>
              <w:jc w:val="right"/>
              <w:ind w:right="6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0063A6"/>
            </w:tcBorders>
            <w:shd w:val="clear" w:color="auto" w:fill="0063A6"/>
          </w:tcPr>
          <w:p>
            <w:pPr>
              <w:spacing w:after="0"/>
              <w:rPr>
                <w:sz w:val="19"/>
                <w:szCs w:val="19"/>
                <w:color w:val="auto"/>
              </w:rPr>
            </w:pPr>
          </w:p>
        </w:tc>
        <w:tc>
          <w:tcPr>
            <w:tcW w:w="860" w:type="dxa"/>
            <w:vAlign w:val="bottom"/>
            <w:tcBorders>
              <w:bottom w:val="single" w:sz="8" w:color="0063A6"/>
            </w:tcBorders>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0063A6"/>
            </w:tcBorders>
            <w:shd w:val="clear" w:color="auto" w:fill="0063A6"/>
          </w:tcPr>
          <w:p>
            <w:pPr>
              <w:jc w:val="right"/>
              <w:ind w:right="83"/>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(10)</w:t>
            </w:r>
          </w:p>
        </w:tc>
        <w:tc>
          <w:tcPr>
            <w:tcW w:w="760" w:type="dxa"/>
            <w:vAlign w:val="bottom"/>
            <w:tcBorders>
              <w:bottom w:val="single" w:sz="8" w:color="0063A6"/>
            </w:tcBorders>
            <w:shd w:val="clear" w:color="auto" w:fill="0063A6"/>
          </w:tcPr>
          <w:p>
            <w:pPr>
              <w:jc w:val="right"/>
              <w:ind w:right="1"/>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063A6"/>
            </w:tcBorders>
            <w:shd w:val="clear" w:color="auto" w:fill="0063A6"/>
          </w:tcPr>
          <w:p>
            <w:pPr>
              <w:ind w:left="940"/>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63A6"/>
            </w:tcBorders>
            <w:shd w:val="clear" w:color="auto" w:fill="0063A6"/>
          </w:tcPr>
          <w:p>
            <w:pPr>
              <w:ind w:left="920"/>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63A6"/>
            </w:tcBorders>
            <w:shd w:val="clear" w:color="auto" w:fill="0063A6"/>
          </w:tcPr>
          <w:p>
            <w:pPr>
              <w:ind w:left="92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63A6"/>
            </w:tcBorders>
            <w:gridSpan w:val="2"/>
            <w:shd w:val="clear" w:color="auto" w:fill="0063A6"/>
          </w:tcPr>
          <w:p>
            <w:pPr>
              <w:jc w:val="right"/>
              <w:ind w:right="6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Mary C. Hemmingsen</w:t>
            </w:r>
            <w:r>
              <w:rPr>
                <w:rFonts w:ascii="Arial" w:cs="Arial" w:eastAsia="Arial" w:hAnsi="Arial"/>
                <w:sz w:val="26"/>
                <w:szCs w:val="26"/>
                <w:b w:val="1"/>
                <w:bCs w:val="1"/>
                <w:color w:val="0063A6"/>
                <w:vertAlign w:val="superscript"/>
              </w:rPr>
              <w:t>(1)</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85,000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199,782</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284,782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Frank M. Jaehnert</w:t>
            </w:r>
            <w:r>
              <w:rPr>
                <w:rFonts w:ascii="Arial" w:cs="Arial" w:eastAsia="Arial" w:hAnsi="Arial"/>
                <w:sz w:val="26"/>
                <w:szCs w:val="26"/>
                <w:b w:val="1"/>
                <w:bCs w:val="1"/>
                <w:color w:val="0063A6"/>
                <w:vertAlign w:val="superscript"/>
              </w:rPr>
              <w:t>(2)(7)</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105,000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199,782</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304,782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Jerome J. Lande</w:t>
            </w:r>
            <w:r>
              <w:rPr>
                <w:rFonts w:ascii="Arial" w:cs="Arial" w:eastAsia="Arial" w:hAnsi="Arial"/>
                <w:sz w:val="26"/>
                <w:szCs w:val="26"/>
                <w:b w:val="1"/>
                <w:bCs w:val="1"/>
                <w:color w:val="0063A6"/>
                <w:vertAlign w:val="superscript"/>
              </w:rPr>
              <w:t>(1)(3)(4)</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199,782</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199,782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Timothy M. Leyden</w:t>
            </w:r>
            <w:r>
              <w:rPr>
                <w:rFonts w:ascii="Arial" w:cs="Arial" w:eastAsia="Arial" w:hAnsi="Arial"/>
                <w:sz w:val="26"/>
                <w:szCs w:val="26"/>
                <w:b w:val="1"/>
                <w:bCs w:val="1"/>
                <w:color w:val="0063A6"/>
                <w:vertAlign w:val="superscript"/>
              </w:rPr>
              <w:t>(5)</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205,000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99,557</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304,557</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Sanjay Mirchandani</w:t>
            </w:r>
            <w:r>
              <w:rPr>
                <w:rFonts w:ascii="Arial" w:cs="Arial" w:eastAsia="Arial" w:hAnsi="Arial"/>
                <w:sz w:val="26"/>
                <w:szCs w:val="26"/>
                <w:b w:val="1"/>
                <w:bCs w:val="1"/>
                <w:color w:val="0063A6"/>
                <w:vertAlign w:val="superscript"/>
              </w:rPr>
              <w:t>(1)</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85,000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199,782</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284,782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Santiago Perez</w:t>
            </w:r>
            <w:r>
              <w:rPr>
                <w:rFonts w:ascii="Arial" w:cs="Arial" w:eastAsia="Arial" w:hAnsi="Arial"/>
                <w:sz w:val="26"/>
                <w:szCs w:val="26"/>
                <w:b w:val="1"/>
                <w:bCs w:val="1"/>
                <w:color w:val="0063A6"/>
                <w:vertAlign w:val="superscript"/>
              </w:rPr>
              <w:t>(6)(7)</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90,000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199,782</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289,782</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5D6673"/>
            </w:tcBorders>
            <w:gridSpan w:val="2"/>
          </w:tcPr>
          <w:p>
            <w:pPr>
              <w:ind w:left="60"/>
              <w:spacing w:after="0"/>
              <w:rPr>
                <w:sz w:val="20"/>
                <w:szCs w:val="20"/>
                <w:color w:val="auto"/>
              </w:rPr>
            </w:pPr>
            <w:r>
              <w:rPr>
                <w:rFonts w:ascii="Arial" w:cs="Arial" w:eastAsia="Arial" w:hAnsi="Arial"/>
                <w:sz w:val="16"/>
                <w:szCs w:val="16"/>
                <w:b w:val="1"/>
                <w:bCs w:val="1"/>
                <w:color w:val="0063A6"/>
              </w:rPr>
              <w:t>Diana D. Tremblay</w:t>
            </w:r>
            <w:r>
              <w:rPr>
                <w:rFonts w:ascii="Arial" w:cs="Arial" w:eastAsia="Arial" w:hAnsi="Arial"/>
                <w:sz w:val="26"/>
                <w:szCs w:val="26"/>
                <w:b w:val="1"/>
                <w:bCs w:val="1"/>
                <w:color w:val="0063A6"/>
                <w:vertAlign w:val="superscript"/>
              </w:rPr>
              <w:t>(8)</w:t>
            </w:r>
          </w:p>
        </w:tc>
        <w:tc>
          <w:tcPr>
            <w:tcW w:w="860" w:type="dxa"/>
            <w:vAlign w:val="bottom"/>
            <w:tcBorders>
              <w:bottom w:val="single" w:sz="8" w:color="5D6673"/>
            </w:tcBorders>
          </w:tcPr>
          <w:p>
            <w:pPr>
              <w:jc w:val="right"/>
              <w:ind w:right="22"/>
              <w:spacing w:after="0"/>
              <w:rPr>
                <w:sz w:val="20"/>
                <w:szCs w:val="20"/>
                <w:color w:val="auto"/>
              </w:rPr>
            </w:pPr>
            <w:r>
              <w:rPr>
                <w:rFonts w:ascii="Arial" w:cs="Arial" w:eastAsia="Arial" w:hAnsi="Arial"/>
                <w:sz w:val="16"/>
                <w:szCs w:val="16"/>
                <w:color w:val="auto"/>
              </w:rPr>
              <w:t>130,000</w:t>
            </w:r>
          </w:p>
        </w:tc>
        <w:tc>
          <w:tcPr>
            <w:tcW w:w="860" w:type="dxa"/>
            <w:vAlign w:val="bottom"/>
            <w:tcBorders>
              <w:bottom w:val="single" w:sz="8" w:color="5D6673"/>
            </w:tcBorders>
          </w:tcPr>
          <w:p>
            <w:pPr>
              <w:jc w:val="right"/>
              <w:ind w:right="103"/>
              <w:spacing w:after="0"/>
              <w:rPr>
                <w:sz w:val="20"/>
                <w:szCs w:val="20"/>
                <w:color w:val="auto"/>
              </w:rPr>
            </w:pPr>
            <w:r>
              <w:rPr>
                <w:rFonts w:ascii="Arial" w:cs="Arial" w:eastAsia="Arial" w:hAnsi="Arial"/>
                <w:sz w:val="16"/>
                <w:szCs w:val="16"/>
                <w:color w:val="auto"/>
              </w:rPr>
              <w:t>244,764</w:t>
            </w:r>
          </w:p>
        </w:tc>
        <w:tc>
          <w:tcPr>
            <w:tcW w:w="760" w:type="dxa"/>
            <w:vAlign w:val="bottom"/>
            <w:tcBorders>
              <w:bottom w:val="single" w:sz="8" w:color="5D6673"/>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5D6673"/>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D6673"/>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374,764</w:t>
            </w:r>
          </w:p>
        </w:tc>
        <w:tc>
          <w:tcPr>
            <w:tcW w:w="60" w:type="dxa"/>
            <w:vAlign w:val="bottom"/>
            <w:tcBorders>
              <w:bottom w:val="single" w:sz="8" w:color="5D6673"/>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0063A6"/>
            </w:tcBorders>
            <w:gridSpan w:val="2"/>
          </w:tcPr>
          <w:p>
            <w:pPr>
              <w:ind w:left="60"/>
              <w:spacing w:after="0" w:line="277" w:lineRule="exact"/>
              <w:rPr>
                <w:sz w:val="20"/>
                <w:szCs w:val="20"/>
                <w:color w:val="auto"/>
              </w:rPr>
            </w:pPr>
            <w:r>
              <w:rPr>
                <w:rFonts w:ascii="Arial" w:cs="Arial" w:eastAsia="Arial" w:hAnsi="Arial"/>
                <w:sz w:val="16"/>
                <w:szCs w:val="16"/>
                <w:b w:val="1"/>
                <w:bCs w:val="1"/>
                <w:color w:val="0063A6"/>
              </w:rPr>
              <w:t>Lynda L. Ziegler</w:t>
            </w:r>
            <w:r>
              <w:rPr>
                <w:rFonts w:ascii="Arial" w:cs="Arial" w:eastAsia="Arial" w:hAnsi="Arial"/>
                <w:sz w:val="26"/>
                <w:szCs w:val="26"/>
                <w:b w:val="1"/>
                <w:bCs w:val="1"/>
                <w:color w:val="0063A6"/>
                <w:vertAlign w:val="superscript"/>
              </w:rPr>
              <w:t>(6)(9)</w:t>
            </w:r>
          </w:p>
        </w:tc>
        <w:tc>
          <w:tcPr>
            <w:tcW w:w="860" w:type="dxa"/>
            <w:vAlign w:val="bottom"/>
            <w:tcBorders>
              <w:bottom w:val="single" w:sz="8" w:color="0063A6"/>
            </w:tcBorders>
          </w:tcPr>
          <w:p>
            <w:pPr>
              <w:jc w:val="right"/>
              <w:ind w:right="22"/>
              <w:spacing w:after="0"/>
              <w:rPr>
                <w:sz w:val="20"/>
                <w:szCs w:val="20"/>
                <w:color w:val="auto"/>
              </w:rPr>
            </w:pPr>
            <w:r>
              <w:rPr>
                <w:rFonts w:ascii="Arial" w:cs="Arial" w:eastAsia="Arial" w:hAnsi="Arial"/>
                <w:sz w:val="16"/>
                <w:szCs w:val="16"/>
                <w:color w:val="auto"/>
              </w:rPr>
              <w:t>305,000</w:t>
            </w:r>
          </w:p>
        </w:tc>
        <w:tc>
          <w:tcPr>
            <w:tcW w:w="860" w:type="dxa"/>
            <w:vAlign w:val="bottom"/>
            <w:tcBorders>
              <w:bottom w:val="single" w:sz="8" w:color="0063A6"/>
            </w:tcBorders>
          </w:tcPr>
          <w:p>
            <w:pPr>
              <w:spacing w:after="0"/>
              <w:rPr>
                <w:sz w:val="24"/>
                <w:szCs w:val="24"/>
                <w:color w:val="auto"/>
              </w:rPr>
            </w:pPr>
          </w:p>
        </w:tc>
        <w:tc>
          <w:tcPr>
            <w:tcW w:w="76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63A6"/>
            </w:tcBorders>
          </w:tcPr>
          <w:p>
            <w:pPr>
              <w:ind w:left="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63A6"/>
            </w:tcBorders>
          </w:tcPr>
          <w:p>
            <w:pPr>
              <w:ind w:left="9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63A6"/>
            </w:tcBorders>
          </w:tcPr>
          <w:p>
            <w:pPr>
              <w:ind w:left="9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305,000</w:t>
            </w:r>
          </w:p>
        </w:tc>
        <w:tc>
          <w:tcPr>
            <w:tcW w:w="6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 of the Audit/Finance Committee.</w:t>
      </w:r>
    </w:p>
    <w:p>
      <w:pPr>
        <w:spacing w:after="0" w:line="68"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82" w:lineRule="exact"/>
        <w:rPr>
          <w:rFonts w:ascii="Arial" w:cs="Arial" w:eastAsia="Arial" w:hAnsi="Arial"/>
          <w:sz w:val="14"/>
          <w:szCs w:val="14"/>
          <w:color w:val="auto"/>
        </w:rPr>
      </w:pPr>
    </w:p>
    <w:p>
      <w:pPr>
        <w:ind w:left="326" w:right="180" w:hanging="326"/>
        <w:spacing w:after="0" w:line="285" w:lineRule="auto"/>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Lande was initially appointed to the Board pursuant to a cooperation agreement with Coppersmith Capital Management, LLC, Scopia Management, Inc., and Jerome J. Lande.</w:t>
      </w:r>
    </w:p>
    <w:p>
      <w:pPr>
        <w:spacing w:after="0" w:line="9"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Lande’s cash retainers were paid directly to Scopia Capital Management LP.</w:t>
      </w:r>
    </w:p>
    <w:p>
      <w:pPr>
        <w:spacing w:after="0" w:line="68"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Chair of the Audit/Finance Committee.</w:t>
      </w:r>
    </w:p>
    <w:p>
      <w:pPr>
        <w:spacing w:after="0" w:line="82"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68"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68"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Board Chair.</w:t>
      </w:r>
    </w:p>
    <w:p>
      <w:pPr>
        <w:spacing w:after="0" w:line="82" w:lineRule="exact"/>
        <w:rPr>
          <w:rFonts w:ascii="Arial" w:cs="Arial" w:eastAsia="Arial" w:hAnsi="Arial"/>
          <w:sz w:val="14"/>
          <w:szCs w:val="14"/>
          <w:color w:val="auto"/>
        </w:rPr>
      </w:pPr>
    </w:p>
    <w:p>
      <w:pPr>
        <w:ind w:left="326" w:hanging="326"/>
        <w:spacing w:after="0"/>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68" w:lineRule="exact"/>
        <w:rPr>
          <w:rFonts w:ascii="Arial" w:cs="Arial" w:eastAsia="Arial" w:hAnsi="Arial"/>
          <w:sz w:val="14"/>
          <w:szCs w:val="14"/>
          <w:color w:val="auto"/>
        </w:rPr>
      </w:pPr>
    </w:p>
    <w:p>
      <w:pPr>
        <w:ind w:left="326" w:right="160" w:hanging="326"/>
        <w:spacing w:after="0" w:line="263" w:lineRule="auto"/>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Stock Ownership Guidelines</w:t>
      </w:r>
    </w:p>
    <w:p>
      <w:pPr>
        <w:spacing w:after="0" w:line="99" w:lineRule="exact"/>
        <w:rPr>
          <w:sz w:val="20"/>
          <w:szCs w:val="20"/>
          <w:color w:val="auto"/>
        </w:rPr>
      </w:pPr>
    </w:p>
    <w:p>
      <w:pPr>
        <w:ind w:left="6" w:right="40"/>
        <w:spacing w:after="0" w:line="259" w:lineRule="auto"/>
        <w:rPr>
          <w:sz w:val="20"/>
          <w:szCs w:val="20"/>
          <w:color w:val="auto"/>
        </w:rPr>
      </w:pPr>
      <w:r>
        <w:rPr>
          <w:rFonts w:ascii="Arial" w:cs="Arial" w:eastAsia="Arial" w:hAnsi="Arial"/>
          <w:sz w:val="16"/>
          <w:szCs w:val="16"/>
          <w:color w:val="auto"/>
        </w:rPr>
        <w:t>Since 2006, we have maintained stock ownership guidelines for our non-employee directors. Under our current guidelines, we expect our directors, including the Chair of the Board, to accumulate shares equal to $375,000 over a period of three years from their initial appointment or election as a director, or to be making progress towards meeting the guidelines. All of our non-employee directors currently comply with these ownership guidelines.</w:t>
      </w:r>
    </w:p>
    <w:p>
      <w:pPr>
        <w:spacing w:after="0" w:line="23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Deferred Compensation Plan</w:t>
      </w:r>
    </w:p>
    <w:p>
      <w:pPr>
        <w:spacing w:after="0" w:line="99" w:lineRule="exact"/>
        <w:rPr>
          <w:sz w:val="20"/>
          <w:szCs w:val="20"/>
          <w:color w:val="auto"/>
        </w:rPr>
      </w:pPr>
    </w:p>
    <w:p>
      <w:pPr>
        <w:jc w:val="both"/>
        <w:ind w:left="6" w:right="200"/>
        <w:spacing w:after="0" w:line="266" w:lineRule="auto"/>
        <w:rPr>
          <w:sz w:val="20"/>
          <w:szCs w:val="20"/>
          <w:color w:val="auto"/>
        </w:rPr>
      </w:pPr>
      <w:r>
        <w:rPr>
          <w:rFonts w:ascii="Arial" w:cs="Arial" w:eastAsia="Arial" w:hAnsi="Arial"/>
          <w:sz w:val="16"/>
          <w:szCs w:val="16"/>
          <w:color w:val="auto"/>
        </w:rPr>
        <w:t>Pursuant to the Company’s Amended and Restated Executive Deferred Compensation Plan dated January 1, 2012, our non-employee directors are eligible to participate in that plan and may defer into a nonqualified account up to 100% of any director fees and 100% of any shares of common stock that he or she anticipates receiving.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16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1" w:name="page22"/>
    <w:bookmarkEnd w:id="2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CORPORATE GOVERNANCE</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Leadership Structure of the Board of Directors</w:t>
      </w:r>
    </w:p>
    <w:p>
      <w:pPr>
        <w:spacing w:after="0" w:line="72" w:lineRule="exact"/>
        <w:rPr>
          <w:sz w:val="20"/>
          <w:szCs w:val="20"/>
          <w:color w:val="auto"/>
        </w:rPr>
      </w:pPr>
    </w:p>
    <w:p>
      <w:pPr>
        <w:ind w:left="6" w:right="20"/>
        <w:spacing w:after="0" w:line="259" w:lineRule="auto"/>
        <w:rPr>
          <w:sz w:val="20"/>
          <w:szCs w:val="20"/>
          <w:color w:val="auto"/>
        </w:rPr>
      </w:pPr>
      <w:r>
        <w:rPr>
          <w:rFonts w:ascii="Arial" w:cs="Arial" w:eastAsia="Arial" w:hAnsi="Arial"/>
          <w:sz w:val="16"/>
          <w:szCs w:val="16"/>
          <w:color w:val="auto"/>
        </w:rPr>
        <w:t>The leadership of our Board is managed by our Board Chair. Our Governance Principles generally require the role of Board Chair to be held by an independent director who meets the independence requirements of the Nasdaq Stock Market. The Board believes having separate roles of Board Chair and CEO allows for a more balanced workload between the Board Chair and the CEO, especially in light of the current duties and responsibilities of the Board Chair, which include the following:</w:t>
      </w:r>
    </w:p>
    <w:p>
      <w:pPr>
        <w:spacing w:after="0" w:line="70" w:lineRule="exact"/>
        <w:rPr>
          <w:sz w:val="20"/>
          <w:szCs w:val="20"/>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Preside over all meetings of the Board (including executive sessions of the Board) and meetings of the shareholders;</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the agendas of each Board and committee meeting;</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Prepare agendas as needed for executive sessions of the independent directors;</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Serve as a liaison between the independent directors and the CEO;</w:t>
      </w:r>
    </w:p>
    <w:p>
      <w:pPr>
        <w:spacing w:after="0" w:line="113" w:lineRule="exact"/>
        <w:rPr>
          <w:rFonts w:ascii="Arial" w:cs="Arial" w:eastAsia="Arial" w:hAnsi="Arial"/>
          <w:sz w:val="16"/>
          <w:szCs w:val="16"/>
          <w:color w:val="auto"/>
        </w:rPr>
      </w:pPr>
    </w:p>
    <w:p>
      <w:pPr>
        <w:ind w:left="226" w:right="540" w:hanging="226"/>
        <w:spacing w:after="0" w:line="286" w:lineRule="auto"/>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consultation with the CEO, make recommendations to the Nominating and Corporate Governance Committee as to membership of Board committees and appointment of Board committee Chairs; and</w:t>
      </w:r>
    </w:p>
    <w:p>
      <w:pPr>
        <w:spacing w:after="0" w:line="47" w:lineRule="exact"/>
        <w:rPr>
          <w:rFonts w:ascii="Arial" w:cs="Arial" w:eastAsia="Arial" w:hAnsi="Arial"/>
          <w:sz w:val="16"/>
          <w:szCs w:val="16"/>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Perform such other duties as the Board may require.</w:t>
      </w:r>
    </w:p>
    <w:p>
      <w:pPr>
        <w:spacing w:after="0" w:line="194" w:lineRule="exact"/>
        <w:rPr>
          <w:sz w:val="20"/>
          <w:szCs w:val="20"/>
          <w:color w:val="auto"/>
        </w:rPr>
      </w:pPr>
    </w:p>
    <w:p>
      <w:pPr>
        <w:ind w:left="6" w:right="20"/>
        <w:spacing w:after="0" w:line="254" w:lineRule="auto"/>
        <w:rPr>
          <w:sz w:val="20"/>
          <w:szCs w:val="20"/>
          <w:color w:val="auto"/>
        </w:rPr>
      </w:pPr>
      <w:r>
        <w:rPr>
          <w:rFonts w:ascii="Arial" w:cs="Arial" w:eastAsia="Arial" w:hAnsi="Arial"/>
          <w:sz w:val="16"/>
          <w:szCs w:val="16"/>
          <w:color w:val="auto"/>
        </w:rPr>
        <w:t>Pursuant to our Governance Principles, the Board Chair must be an independent director unless the Board determines that the best interests of shareholders would otherwise be better served. The Board Chair is elected by a majority of the members of the Board following the annual meeting of shareholders (or at such other time as a vacancy for the role of Board Chair may occur). The Board Chair serves for a term of three years (provided such director is re-elected by shareholders if his or her term as a director does not coincide with his or her term as Board Chair). The Board Chair may not serve more than two consecutive terms unless the Board approves an extended term. Our current Chair, Diana D. Tremblay, is serving her first term.</w:t>
      </w:r>
    </w:p>
    <w:p>
      <w:pPr>
        <w:spacing w:after="0" w:line="141" w:lineRule="exact"/>
        <w:rPr>
          <w:sz w:val="20"/>
          <w:szCs w:val="20"/>
          <w:color w:val="auto"/>
        </w:rPr>
      </w:pPr>
    </w:p>
    <w:p>
      <w:pPr>
        <w:ind w:left="6" w:right="380"/>
        <w:spacing w:after="0" w:line="286" w:lineRule="auto"/>
        <w:rPr>
          <w:sz w:val="20"/>
          <w:szCs w:val="20"/>
          <w:color w:val="auto"/>
        </w:rPr>
      </w:pPr>
      <w:r>
        <w:rPr>
          <w:rFonts w:ascii="Arial" w:cs="Arial" w:eastAsia="Arial" w:hAnsi="Arial"/>
          <w:sz w:val="16"/>
          <w:szCs w:val="16"/>
          <w:color w:val="auto"/>
        </w:rPr>
        <w:t>If the Board determines that it is in the best interests of the shareholders to combine the roles of CEO and Board Chair, the Board will appoint a Lead Independent Director with the duties set forth in our Governance Principles.</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Corporate Governance Guiding Principles</w:t>
      </w:r>
    </w:p>
    <w:p>
      <w:pPr>
        <w:spacing w:after="0" w:line="72" w:lineRule="exact"/>
        <w:rPr>
          <w:sz w:val="20"/>
          <w:szCs w:val="20"/>
          <w:color w:val="auto"/>
        </w:rPr>
      </w:pPr>
    </w:p>
    <w:p>
      <w:pPr>
        <w:ind w:left="6" w:right="680"/>
        <w:spacing w:after="0" w:line="286" w:lineRule="auto"/>
        <w:rPr>
          <w:sz w:val="20"/>
          <w:szCs w:val="20"/>
          <w:color w:val="auto"/>
        </w:rPr>
      </w:pPr>
      <w:r>
        <w:rPr>
          <w:rFonts w:ascii="Arial" w:cs="Arial" w:eastAsia="Arial" w:hAnsi="Arial"/>
          <w:sz w:val="16"/>
          <w:szCs w:val="16"/>
          <w:color w:val="auto"/>
        </w:rPr>
        <w:t xml:space="preserve">The Company’s Governance Principles are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“Sustainability and Governance” and then “Policies and Guidelines.”</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Board Matters – Meeting Attendance</w:t>
      </w:r>
    </w:p>
    <w:p>
      <w:pPr>
        <w:spacing w:after="0" w:line="85" w:lineRule="exact"/>
        <w:rPr>
          <w:sz w:val="20"/>
          <w:szCs w:val="20"/>
          <w:color w:val="auto"/>
        </w:rPr>
      </w:pPr>
    </w:p>
    <w:p>
      <w:pPr>
        <w:ind w:left="6" w:right="140"/>
        <w:spacing w:after="0" w:line="266" w:lineRule="auto"/>
        <w:rPr>
          <w:sz w:val="20"/>
          <w:szCs w:val="20"/>
          <w:color w:val="auto"/>
        </w:rPr>
      </w:pPr>
      <w:r>
        <w:rPr>
          <w:rFonts w:ascii="Arial" w:cs="Arial" w:eastAsia="Arial" w:hAnsi="Arial"/>
          <w:sz w:val="16"/>
          <w:szCs w:val="16"/>
          <w:color w:val="auto"/>
        </w:rPr>
        <w:t>Our business, property, and affairs are managed under the oversight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31" w:lineRule="exact"/>
        <w:rPr>
          <w:sz w:val="20"/>
          <w:szCs w:val="20"/>
          <w:color w:val="auto"/>
        </w:rPr>
      </w:pPr>
    </w:p>
    <w:p>
      <w:pPr>
        <w:ind w:left="6"/>
        <w:spacing w:after="0" w:line="254" w:lineRule="auto"/>
        <w:rPr>
          <w:sz w:val="20"/>
          <w:szCs w:val="20"/>
          <w:color w:val="auto"/>
        </w:rPr>
      </w:pPr>
      <w:r>
        <w:rPr>
          <w:rFonts w:ascii="Arial" w:cs="Arial" w:eastAsia="Arial" w:hAnsi="Arial"/>
          <w:sz w:val="16"/>
          <w:szCs w:val="16"/>
          <w:color w:val="auto"/>
        </w:rPr>
        <w:t>In accordance with our Governance Principles, directors are expected to attend the Company’s annual meeting of shareholders. Three of our directors serving at the time of the 2024 annual meeting of shareholders attended the meeting, while five of our directors intended to attend, but were unable to do so due to technical issues joining the virtual meeting. During 2024, the Board met eight times. All the directors attended at least 75% of the meetings of the Board and committees on which he or she served. Also, in accordance with our Governance Principles, our independent directors meet in an executive session as often as necessary, but no less than two times annually.</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Director Independence</w:t>
      </w:r>
    </w:p>
    <w:p>
      <w:pPr>
        <w:spacing w:after="0" w:line="72" w:lineRule="exact"/>
        <w:rPr>
          <w:sz w:val="20"/>
          <w:szCs w:val="20"/>
          <w:color w:val="auto"/>
        </w:rPr>
      </w:pPr>
    </w:p>
    <w:p>
      <w:pPr>
        <w:ind w:left="6" w:right="60"/>
        <w:spacing w:after="0" w:line="254" w:lineRule="auto"/>
        <w:rPr>
          <w:sz w:val="20"/>
          <w:szCs w:val="20"/>
          <w:color w:val="auto"/>
        </w:rPr>
      </w:pPr>
      <w:r>
        <w:rPr>
          <w:rFonts w:ascii="Arial" w:cs="Arial" w:eastAsia="Arial" w:hAnsi="Arial"/>
          <w:sz w:val="16"/>
          <w:szCs w:val="16"/>
          <w:color w:val="auto"/>
        </w:rPr>
        <w:t>Our common stock is listed on the Nasdaq Global Select Market (Nasdaq). Under the Nasdaq listing rules, independent directors must comprise a majority of a listed company’s board of directors. In addition, the Nasdaq listing rules require that, subject to specified exceptions, each member of a listed company’s audit, compensation, and nominating and corporate governance committees be independent. Under the Nasdaq listing rules, a director will only qualify as an “independent director” if that company’s board of directors determines that the person does not have a relationship that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8293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22" w:name="page23"/>
    <w:bookmarkEnd w:id="2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CORPORATE GOVERNANCE</w:t>
      </w:r>
    </w:p>
    <w:p>
      <w:pPr>
        <w:spacing w:after="0" w:line="104" w:lineRule="exact"/>
        <w:rPr>
          <w:sz w:val="20"/>
          <w:szCs w:val="20"/>
          <w:color w:val="auto"/>
        </w:rPr>
      </w:pPr>
    </w:p>
    <w:p>
      <w:pPr>
        <w:ind w:left="6" w:right="20"/>
        <w:spacing w:after="0" w:line="253" w:lineRule="auto"/>
        <w:rPr>
          <w:sz w:val="20"/>
          <w:szCs w:val="20"/>
          <w:color w:val="auto"/>
        </w:rPr>
      </w:pPr>
      <w:r>
        <w:rPr>
          <w:rFonts w:ascii="Arial" w:cs="Arial" w:eastAsia="Arial" w:hAnsi="Arial"/>
          <w:sz w:val="16"/>
          <w:szCs w:val="16"/>
          <w:color w:val="auto"/>
        </w:rPr>
        <w:t>As recommended by the Nominating and Corporate Governance Committee, the Board has determined that a majority of our Board are independent directors as defined under the Nasdaq listing rules and the SEC rules, with Mr. Deitrich serving as the sole non-independent director. As Mr. Deitrich does not serve on any committees, and as recommended by the Nominating and Corporate Governance Committee, the Board has determined that all members of Itron’s committees are independent under SEC rules and Nasdaq listing rules. In addition, as recommended by the Nominating and Corporate Governance Committee, the Board has determined that all members of our Audit/Finance Committee are independent under Rule 10A-3 of the Securities Exchange Act of 1934, as amended (Exchange Act).</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Committees of the Board</w:t>
      </w:r>
    </w:p>
    <w:p>
      <w:pPr>
        <w:spacing w:after="0" w:line="72" w:lineRule="exact"/>
        <w:rPr>
          <w:sz w:val="20"/>
          <w:szCs w:val="20"/>
          <w:color w:val="auto"/>
        </w:rPr>
      </w:pPr>
    </w:p>
    <w:p>
      <w:pPr>
        <w:ind w:left="6" w:right="100"/>
        <w:spacing w:after="0" w:line="253" w:lineRule="auto"/>
        <w:rPr>
          <w:sz w:val="20"/>
          <w:szCs w:val="20"/>
          <w:color w:val="auto"/>
        </w:rPr>
      </w:pPr>
      <w:r>
        <w:rPr>
          <w:rFonts w:ascii="Arial" w:cs="Arial" w:eastAsia="Arial" w:hAnsi="Arial"/>
          <w:sz w:val="16"/>
          <w:szCs w:val="16"/>
          <w:color w:val="auto"/>
        </w:rPr>
        <w:t xml:space="preserve">We have three committees to assist the Board in fulfilling its responsibilities: Nominating and Corporate Governance, Audit/Finance, and Compensation. Each of the three current committees operates under a written charter that has been approved by the Board. The committee charters are reviewed annually and are updated as necessary to reflect changes in regulatory requirements and evolving oversight practices. All of the current committee charters are available on the Company’s website, </w:t>
      </w:r>
      <w:r>
        <w:rPr>
          <w:rFonts w:ascii="Arial" w:cs="Arial" w:eastAsia="Arial" w:hAnsi="Arial"/>
          <w:sz w:val="16"/>
          <w:szCs w:val="16"/>
          <w:i w:val="1"/>
          <w:iCs w:val="1"/>
          <w:color w:val="auto"/>
        </w:rPr>
        <w:t>www.itron.com, by selecting “Investor Relations,” “Sustainability and Governance” and then “Committee Composition.”</w:t>
      </w:r>
      <w:r>
        <w:rPr>
          <w:rFonts w:ascii="Arial" w:cs="Arial" w:eastAsia="Arial" w:hAnsi="Arial"/>
          <w:sz w:val="16"/>
          <w:szCs w:val="16"/>
          <w:color w:val="auto"/>
        </w:rPr>
        <w:t xml:space="preserve"> The table below provides membership of each committee at the end of fiscal year 2024, followed by a description of each committee’s responsibilities.</w:t>
      </w:r>
    </w:p>
    <w:p>
      <w:pPr>
        <w:spacing w:after="0" w:line="128" w:lineRule="exact"/>
        <w:rPr>
          <w:sz w:val="20"/>
          <w:szCs w:val="20"/>
          <w:color w:val="auto"/>
        </w:rPr>
      </w:pPr>
    </w:p>
    <w:tbl>
      <w:tblPr>
        <w:tblLayout w:type="fixed"/>
        <w:tblInd w:w="6" w:type="dxa"/>
        <w:tblCellMar>
          <w:top w:w="0" w:type="dxa"/>
          <w:left w:w="0" w:type="dxa"/>
          <w:bottom w:w="0" w:type="dxa"/>
          <w:right w:w="0" w:type="dxa"/>
        </w:tblCellMar>
      </w:tblPr>
      <w:tr>
        <w:trPr>
          <w:trHeight w:val="242"/>
        </w:trPr>
        <w:tc>
          <w:tcPr>
            <w:tcW w:w="2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00" w:type="dxa"/>
            <w:vAlign w:val="bottom"/>
            <w:shd w:val="clear" w:color="auto" w:fill="0063A6"/>
          </w:tcPr>
          <w:p>
            <w:pPr>
              <w:spacing w:after="0"/>
              <w:rPr>
                <w:sz w:val="21"/>
                <w:szCs w:val="21"/>
                <w:color w:val="auto"/>
              </w:rPr>
            </w:pPr>
          </w:p>
        </w:tc>
        <w:tc>
          <w:tcPr>
            <w:tcW w:w="200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Nominating and</w:t>
            </w:r>
          </w:p>
        </w:tc>
        <w:tc>
          <w:tcPr>
            <w:tcW w:w="1880" w:type="dxa"/>
            <w:vAlign w:val="bottom"/>
            <w:shd w:val="clear" w:color="auto" w:fill="0063A6"/>
          </w:tcPr>
          <w:p>
            <w:pPr>
              <w:spacing w:after="0"/>
              <w:rPr>
                <w:sz w:val="21"/>
                <w:szCs w:val="21"/>
                <w:color w:val="auto"/>
              </w:rPr>
            </w:pPr>
          </w:p>
        </w:tc>
      </w:tr>
      <w:tr>
        <w:trPr>
          <w:trHeight w:val="189"/>
        </w:trPr>
        <w:tc>
          <w:tcPr>
            <w:tcW w:w="2480" w:type="dxa"/>
            <w:vAlign w:val="bottom"/>
          </w:tcPr>
          <w:p>
            <w:pPr>
              <w:ind w:left="80"/>
              <w:spacing w:after="0"/>
              <w:rPr>
                <w:sz w:val="20"/>
                <w:szCs w:val="20"/>
                <w:color w:val="auto"/>
              </w:rPr>
            </w:pPr>
            <w:r>
              <w:rPr>
                <w:rFonts w:ascii="Arial" w:cs="Arial" w:eastAsia="Arial" w:hAnsi="Arial"/>
                <w:sz w:val="16"/>
                <w:szCs w:val="16"/>
                <w:b w:val="1"/>
                <w:bCs w:val="1"/>
                <w:color w:val="auto"/>
              </w:rPr>
              <w:t>Director</w:t>
            </w:r>
          </w:p>
        </w:tc>
        <w:tc>
          <w:tcPr>
            <w:tcW w:w="920" w:type="dxa"/>
            <w:vAlign w:val="bottom"/>
          </w:tcPr>
          <w:p>
            <w:pPr>
              <w:spacing w:after="0"/>
              <w:rPr>
                <w:sz w:val="16"/>
                <w:szCs w:val="16"/>
                <w:color w:val="auto"/>
              </w:rPr>
            </w:pPr>
          </w:p>
        </w:tc>
        <w:tc>
          <w:tcPr>
            <w:tcW w:w="1900" w:type="dxa"/>
            <w:vAlign w:val="bottom"/>
            <w:shd w:val="clear" w:color="auto" w:fill="0063A6"/>
          </w:tcPr>
          <w:p>
            <w:pPr>
              <w:ind w:left="440"/>
              <w:spacing w:after="0"/>
              <w:rPr>
                <w:sz w:val="20"/>
                <w:szCs w:val="20"/>
                <w:color w:val="auto"/>
              </w:rPr>
            </w:pPr>
            <w:r>
              <w:rPr>
                <w:rFonts w:ascii="Arial" w:cs="Arial" w:eastAsia="Arial" w:hAnsi="Arial"/>
                <w:sz w:val="16"/>
                <w:szCs w:val="16"/>
                <w:b w:val="1"/>
                <w:bCs w:val="1"/>
                <w:color w:val="FFFFFF"/>
              </w:rPr>
              <w:t>Audit/Finance</w:t>
            </w:r>
          </w:p>
        </w:tc>
        <w:tc>
          <w:tcPr>
            <w:tcW w:w="200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Corporate</w:t>
            </w:r>
          </w:p>
        </w:tc>
        <w:tc>
          <w:tcPr>
            <w:tcW w:w="1880" w:type="dxa"/>
            <w:vAlign w:val="bottom"/>
            <w:shd w:val="clear" w:color="auto" w:fill="0063A6"/>
          </w:tcPr>
          <w:p>
            <w:pPr>
              <w:ind w:left="400"/>
              <w:spacing w:after="0"/>
              <w:rPr>
                <w:sz w:val="20"/>
                <w:szCs w:val="20"/>
                <w:color w:val="auto"/>
              </w:rPr>
            </w:pPr>
            <w:r>
              <w:rPr>
                <w:rFonts w:ascii="Arial" w:cs="Arial" w:eastAsia="Arial" w:hAnsi="Arial"/>
                <w:sz w:val="16"/>
                <w:szCs w:val="16"/>
                <w:b w:val="1"/>
                <w:bCs w:val="1"/>
                <w:color w:val="FFFFFF"/>
              </w:rPr>
              <w:t>Compensation</w:t>
            </w:r>
          </w:p>
        </w:tc>
      </w:tr>
      <w:tr>
        <w:trPr>
          <w:trHeight w:val="223"/>
        </w:trPr>
        <w:tc>
          <w:tcPr>
            <w:tcW w:w="2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00" w:type="dxa"/>
            <w:vAlign w:val="bottom"/>
            <w:shd w:val="clear" w:color="auto" w:fill="0063A6"/>
          </w:tcPr>
          <w:p>
            <w:pPr>
              <w:spacing w:after="0"/>
              <w:rPr>
                <w:sz w:val="19"/>
                <w:szCs w:val="19"/>
                <w:color w:val="auto"/>
              </w:rPr>
            </w:pPr>
          </w:p>
        </w:tc>
        <w:tc>
          <w:tcPr>
            <w:tcW w:w="200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Governance</w:t>
            </w:r>
          </w:p>
        </w:tc>
        <w:tc>
          <w:tcPr>
            <w:tcW w:w="1880" w:type="dxa"/>
            <w:vAlign w:val="bottom"/>
            <w:shd w:val="clear" w:color="auto" w:fill="0063A6"/>
          </w:tcPr>
          <w:p>
            <w:pPr>
              <w:spacing w:after="0"/>
              <w:rPr>
                <w:sz w:val="19"/>
                <w:szCs w:val="19"/>
                <w:color w:val="auto"/>
              </w:rPr>
            </w:pPr>
          </w:p>
        </w:tc>
      </w:tr>
      <w:tr>
        <w:trPr>
          <w:trHeight w:val="48"/>
        </w:trPr>
        <w:tc>
          <w:tcPr>
            <w:tcW w:w="2480" w:type="dxa"/>
            <w:vAlign w:val="bottom"/>
            <w:tcBorders>
              <w:bottom w:val="single" w:sz="8" w:color="0063A6"/>
            </w:tcBorders>
          </w:tcPr>
          <w:p>
            <w:pPr>
              <w:spacing w:after="0"/>
              <w:rPr>
                <w:sz w:val="4"/>
                <w:szCs w:val="4"/>
                <w:color w:val="auto"/>
              </w:rPr>
            </w:pPr>
          </w:p>
        </w:tc>
        <w:tc>
          <w:tcPr>
            <w:tcW w:w="920" w:type="dxa"/>
            <w:vAlign w:val="bottom"/>
            <w:tcBorders>
              <w:bottom w:val="single" w:sz="8" w:color="0063A6"/>
            </w:tcBorders>
          </w:tcPr>
          <w:p>
            <w:pPr>
              <w:spacing w:after="0"/>
              <w:rPr>
                <w:sz w:val="4"/>
                <w:szCs w:val="4"/>
                <w:color w:val="auto"/>
              </w:rPr>
            </w:pPr>
          </w:p>
        </w:tc>
        <w:tc>
          <w:tcPr>
            <w:tcW w:w="1900" w:type="dxa"/>
            <w:vAlign w:val="bottom"/>
            <w:tcBorders>
              <w:bottom w:val="single" w:sz="8" w:color="0063A6"/>
            </w:tcBorders>
            <w:shd w:val="clear" w:color="auto" w:fill="0063A6"/>
          </w:tcPr>
          <w:p>
            <w:pPr>
              <w:spacing w:after="0"/>
              <w:rPr>
                <w:sz w:val="4"/>
                <w:szCs w:val="4"/>
                <w:color w:val="auto"/>
              </w:rPr>
            </w:pPr>
          </w:p>
        </w:tc>
        <w:tc>
          <w:tcPr>
            <w:tcW w:w="2000" w:type="dxa"/>
            <w:vAlign w:val="bottom"/>
            <w:tcBorders>
              <w:bottom w:val="single" w:sz="8" w:color="0063A6"/>
            </w:tcBorders>
            <w:shd w:val="clear" w:color="auto" w:fill="0063A6"/>
          </w:tcPr>
          <w:p>
            <w:pPr>
              <w:spacing w:after="0"/>
              <w:rPr>
                <w:sz w:val="4"/>
                <w:szCs w:val="4"/>
                <w:color w:val="auto"/>
              </w:rPr>
            </w:pPr>
          </w:p>
        </w:tc>
        <w:tc>
          <w:tcPr>
            <w:tcW w:w="1880" w:type="dxa"/>
            <w:vAlign w:val="bottom"/>
            <w:tcBorders>
              <w:bottom w:val="single" w:sz="8" w:color="0063A6"/>
            </w:tcBorders>
            <w:shd w:val="clear" w:color="auto" w:fill="0063A6"/>
          </w:tcPr>
          <w:p>
            <w:pPr>
              <w:spacing w:after="0"/>
              <w:rPr>
                <w:sz w:val="4"/>
                <w:szCs w:val="4"/>
                <w:color w:val="auto"/>
              </w:rPr>
            </w:pPr>
          </w:p>
        </w:tc>
      </w:tr>
      <w:tr>
        <w:trPr>
          <w:trHeight w:val="248"/>
        </w:trPr>
        <w:tc>
          <w:tcPr>
            <w:tcW w:w="2480" w:type="dxa"/>
            <w:vAlign w:val="bottom"/>
          </w:tcPr>
          <w:p>
            <w:pPr>
              <w:ind w:left="80"/>
              <w:spacing w:after="0"/>
              <w:rPr>
                <w:sz w:val="20"/>
                <w:szCs w:val="20"/>
                <w:color w:val="auto"/>
              </w:rPr>
            </w:pPr>
            <w:r>
              <w:rPr>
                <w:rFonts w:ascii="Arial" w:cs="Arial" w:eastAsia="Arial" w:hAnsi="Arial"/>
                <w:sz w:val="16"/>
                <w:szCs w:val="16"/>
                <w:color w:val="0063A6"/>
              </w:rPr>
              <w:t>Mary C. Hemmingsen</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63"/>
        </w:trPr>
        <w:tc>
          <w:tcPr>
            <w:tcW w:w="2480" w:type="dxa"/>
            <w:vAlign w:val="bottom"/>
          </w:tcPr>
          <w:p>
            <w:pPr>
              <w:ind w:left="80"/>
              <w:spacing w:after="0"/>
              <w:rPr>
                <w:sz w:val="20"/>
                <w:szCs w:val="20"/>
                <w:color w:val="auto"/>
              </w:rPr>
            </w:pPr>
            <w:r>
              <w:rPr>
                <w:rFonts w:ascii="Arial" w:cs="Arial" w:eastAsia="Arial" w:hAnsi="Arial"/>
                <w:sz w:val="16"/>
                <w:szCs w:val="16"/>
                <w:color w:val="0063A6"/>
              </w:rPr>
              <w:t>Frank M. Jaehnert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880" w:type="dxa"/>
            <w:vAlign w:val="bottom"/>
          </w:tcPr>
          <w:p>
            <w:pPr>
              <w:ind w:left="840"/>
              <w:spacing w:after="0"/>
              <w:rPr>
                <w:sz w:val="20"/>
                <w:szCs w:val="20"/>
                <w:color w:val="auto"/>
              </w:rPr>
            </w:pPr>
            <w:r>
              <w:rPr>
                <w:rFonts w:ascii="Arial" w:cs="Arial" w:eastAsia="Arial" w:hAnsi="Arial"/>
                <w:sz w:val="17"/>
                <w:szCs w:val="17"/>
                <w:color w:val="auto"/>
              </w:rPr>
              <w:t> </w:t>
            </w:r>
          </w:p>
        </w:tc>
      </w:tr>
      <w:tr>
        <w:trPr>
          <w:trHeight w:val="27"/>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4"/>
        </w:trPr>
        <w:tc>
          <w:tcPr>
            <w:tcW w:w="2480" w:type="dxa"/>
            <w:vAlign w:val="bottom"/>
          </w:tcPr>
          <w:p>
            <w:pPr>
              <w:ind w:left="80"/>
              <w:spacing w:after="0"/>
              <w:rPr>
                <w:sz w:val="20"/>
                <w:szCs w:val="20"/>
                <w:color w:val="auto"/>
              </w:rPr>
            </w:pPr>
            <w:r>
              <w:rPr>
                <w:rFonts w:ascii="Arial" w:cs="Arial" w:eastAsia="Arial" w:hAnsi="Arial"/>
                <w:sz w:val="16"/>
                <w:szCs w:val="16"/>
                <w:color w:val="0063A6"/>
              </w:rPr>
              <w:t>Jerome J. Lande</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64"/>
        </w:trPr>
        <w:tc>
          <w:tcPr>
            <w:tcW w:w="2480" w:type="dxa"/>
            <w:vAlign w:val="bottom"/>
          </w:tcPr>
          <w:p>
            <w:pPr>
              <w:ind w:left="80"/>
              <w:spacing w:after="0"/>
              <w:rPr>
                <w:sz w:val="20"/>
                <w:szCs w:val="20"/>
                <w:color w:val="auto"/>
              </w:rPr>
            </w:pPr>
            <w:r>
              <w:rPr>
                <w:rFonts w:ascii="Arial" w:cs="Arial" w:eastAsia="Arial" w:hAnsi="Arial"/>
                <w:sz w:val="16"/>
                <w:szCs w:val="16"/>
                <w:color w:val="0063A6"/>
              </w:rPr>
              <w:t>Timothy M. Leyden</w:t>
            </w:r>
          </w:p>
        </w:tc>
        <w:tc>
          <w:tcPr>
            <w:tcW w:w="920" w:type="dxa"/>
            <w:vAlign w:val="bottom"/>
          </w:tcPr>
          <w:p>
            <w:pPr>
              <w:spacing w:after="0"/>
              <w:rPr>
                <w:sz w:val="22"/>
                <w:szCs w:val="22"/>
                <w:color w:val="auto"/>
              </w:rPr>
            </w:pPr>
          </w:p>
        </w:tc>
        <w:tc>
          <w:tcPr>
            <w:tcW w:w="1900" w:type="dxa"/>
            <w:vAlign w:val="bottom"/>
          </w:tcPr>
          <w:p>
            <w:pPr>
              <w:ind w:left="840"/>
              <w:spacing w:after="0"/>
              <w:rPr>
                <w:sz w:val="20"/>
                <w:szCs w:val="20"/>
                <w:color w:val="auto"/>
              </w:rPr>
            </w:pPr>
            <w:r>
              <w:rPr>
                <w:rFonts w:ascii="Arial" w:cs="Arial" w:eastAsia="Arial" w:hAnsi="Arial"/>
                <w:sz w:val="17"/>
                <w:szCs w:val="17"/>
                <w:color w:val="auto"/>
              </w:rPr>
              <w:t> </w:t>
            </w:r>
          </w:p>
        </w:tc>
        <w:tc>
          <w:tcPr>
            <w:tcW w:w="20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7"/>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4"/>
        </w:trPr>
        <w:tc>
          <w:tcPr>
            <w:tcW w:w="2480" w:type="dxa"/>
            <w:vAlign w:val="bottom"/>
          </w:tcPr>
          <w:p>
            <w:pPr>
              <w:ind w:left="80"/>
              <w:spacing w:after="0"/>
              <w:rPr>
                <w:sz w:val="20"/>
                <w:szCs w:val="20"/>
                <w:color w:val="auto"/>
              </w:rPr>
            </w:pPr>
            <w:r>
              <w:rPr>
                <w:rFonts w:ascii="Arial" w:cs="Arial" w:eastAsia="Arial" w:hAnsi="Arial"/>
                <w:sz w:val="16"/>
                <w:szCs w:val="16"/>
                <w:color w:val="0063A6"/>
              </w:rPr>
              <w:t>Sanjay Mirchandani</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4"/>
        </w:trPr>
        <w:tc>
          <w:tcPr>
            <w:tcW w:w="2480" w:type="dxa"/>
            <w:vAlign w:val="bottom"/>
          </w:tcPr>
          <w:p>
            <w:pPr>
              <w:ind w:left="80"/>
              <w:spacing w:after="0"/>
              <w:rPr>
                <w:sz w:val="20"/>
                <w:szCs w:val="20"/>
                <w:color w:val="auto"/>
              </w:rPr>
            </w:pPr>
            <w:r>
              <w:rPr>
                <w:rFonts w:ascii="Arial" w:cs="Arial" w:eastAsia="Arial" w:hAnsi="Arial"/>
                <w:sz w:val="16"/>
                <w:szCs w:val="16"/>
                <w:color w:val="0063A6"/>
              </w:rPr>
              <w:t>Santiago Perez</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5"/>
        </w:trPr>
        <w:tc>
          <w:tcPr>
            <w:tcW w:w="2480" w:type="dxa"/>
            <w:vAlign w:val="bottom"/>
          </w:tcPr>
          <w:p>
            <w:pPr>
              <w:ind w:left="80"/>
              <w:spacing w:after="0"/>
              <w:rPr>
                <w:sz w:val="20"/>
                <w:szCs w:val="20"/>
                <w:color w:val="auto"/>
              </w:rPr>
            </w:pPr>
            <w:r>
              <w:rPr>
                <w:rFonts w:ascii="Arial" w:cs="Arial" w:eastAsia="Arial" w:hAnsi="Arial"/>
                <w:sz w:val="16"/>
                <w:szCs w:val="16"/>
                <w:color w:val="0063A6"/>
              </w:rPr>
              <w:t>Diana D. Tremblay</w:t>
            </w: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64"/>
        </w:trPr>
        <w:tc>
          <w:tcPr>
            <w:tcW w:w="2480" w:type="dxa"/>
            <w:vAlign w:val="bottom"/>
          </w:tcPr>
          <w:p>
            <w:pPr>
              <w:ind w:left="80"/>
              <w:spacing w:after="0"/>
              <w:rPr>
                <w:sz w:val="20"/>
                <w:szCs w:val="20"/>
                <w:color w:val="auto"/>
              </w:rPr>
            </w:pPr>
            <w:r>
              <w:rPr>
                <w:rFonts w:ascii="Arial" w:cs="Arial" w:eastAsia="Arial" w:hAnsi="Arial"/>
                <w:sz w:val="16"/>
                <w:szCs w:val="16"/>
                <w:color w:val="0063A6"/>
              </w:rPr>
              <w:t>Lynda L. Ziegler</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00" w:type="dxa"/>
            <w:vAlign w:val="bottom"/>
          </w:tcPr>
          <w:p>
            <w:pPr>
              <w:ind w:left="880"/>
              <w:spacing w:after="0"/>
              <w:rPr>
                <w:sz w:val="20"/>
                <w:szCs w:val="20"/>
                <w:color w:val="auto"/>
              </w:rPr>
            </w:pPr>
            <w:r>
              <w:rPr>
                <w:rFonts w:ascii="Arial" w:cs="Arial" w:eastAsia="Arial" w:hAnsi="Arial"/>
                <w:sz w:val="17"/>
                <w:szCs w:val="17"/>
                <w:color w:val="auto"/>
              </w:rPr>
              <w:t> </w:t>
            </w:r>
          </w:p>
        </w:tc>
        <w:tc>
          <w:tcPr>
            <w:tcW w:w="1880" w:type="dxa"/>
            <w:vAlign w:val="bottom"/>
          </w:tcPr>
          <w:p>
            <w:pPr>
              <w:spacing w:after="0"/>
              <w:rPr>
                <w:sz w:val="22"/>
                <w:szCs w:val="22"/>
                <w:color w:val="auto"/>
              </w:rPr>
            </w:pPr>
          </w:p>
        </w:tc>
      </w:tr>
      <w:tr>
        <w:trPr>
          <w:trHeight w:val="27"/>
        </w:trPr>
        <w:tc>
          <w:tcPr>
            <w:tcW w:w="248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tcPr>
          <w:p>
            <w:pPr>
              <w:spacing w:after="0"/>
              <w:rPr>
                <w:sz w:val="2"/>
                <w:szCs w:val="2"/>
                <w:color w:val="auto"/>
              </w:rPr>
            </w:pPr>
          </w:p>
        </w:tc>
        <w:tc>
          <w:tcPr>
            <w:tcW w:w="1900" w:type="dxa"/>
            <w:vAlign w:val="bottom"/>
            <w:tcBorders>
              <w:bottom w:val="single" w:sz="8" w:color="5D6673"/>
            </w:tcBorders>
          </w:tcPr>
          <w:p>
            <w:pPr>
              <w:spacing w:after="0"/>
              <w:rPr>
                <w:sz w:val="2"/>
                <w:szCs w:val="2"/>
                <w:color w:val="auto"/>
              </w:rPr>
            </w:pPr>
          </w:p>
        </w:tc>
        <w:tc>
          <w:tcPr>
            <w:tcW w:w="2000" w:type="dxa"/>
            <w:vAlign w:val="bottom"/>
            <w:tcBorders>
              <w:bottom w:val="single" w:sz="8" w:color="5D6673"/>
            </w:tcBorders>
          </w:tcPr>
          <w:p>
            <w:pPr>
              <w:spacing w:after="0"/>
              <w:rPr>
                <w:sz w:val="2"/>
                <w:szCs w:val="2"/>
                <w:color w:val="auto"/>
              </w:rPr>
            </w:pPr>
          </w:p>
        </w:tc>
        <w:tc>
          <w:tcPr>
            <w:tcW w:w="1880" w:type="dxa"/>
            <w:vAlign w:val="bottom"/>
            <w:tcBorders>
              <w:bottom w:val="single" w:sz="8" w:color="5D6673"/>
            </w:tcBorders>
          </w:tcPr>
          <w:p>
            <w:pPr>
              <w:spacing w:after="0"/>
              <w:rPr>
                <w:sz w:val="2"/>
                <w:szCs w:val="2"/>
                <w:color w:val="auto"/>
              </w:rPr>
            </w:pPr>
          </w:p>
        </w:tc>
      </w:tr>
      <w:tr>
        <w:trPr>
          <w:trHeight w:val="236"/>
        </w:trPr>
        <w:tc>
          <w:tcPr>
            <w:tcW w:w="2480" w:type="dxa"/>
            <w:vAlign w:val="bottom"/>
            <w:tcBorders>
              <w:bottom w:val="single" w:sz="8" w:color="0063A6"/>
            </w:tcBorders>
          </w:tcPr>
          <w:p>
            <w:pPr>
              <w:ind w:left="80"/>
              <w:spacing w:after="0"/>
              <w:rPr>
                <w:sz w:val="20"/>
                <w:szCs w:val="20"/>
                <w:color w:val="auto"/>
              </w:rPr>
            </w:pPr>
            <w:r>
              <w:rPr>
                <w:rFonts w:ascii="Arial" w:cs="Arial" w:eastAsia="Arial" w:hAnsi="Arial"/>
                <w:sz w:val="16"/>
                <w:szCs w:val="16"/>
                <w:color w:val="0063A6"/>
              </w:rPr>
              <w:t>Thomas L. Deitrich</w:t>
            </w:r>
          </w:p>
        </w:tc>
        <w:tc>
          <w:tcPr>
            <w:tcW w:w="920" w:type="dxa"/>
            <w:vAlign w:val="bottom"/>
            <w:tcBorders>
              <w:bottom w:val="single" w:sz="8" w:color="0063A6"/>
            </w:tcBorders>
          </w:tcPr>
          <w:p>
            <w:pPr>
              <w:spacing w:after="0"/>
              <w:rPr>
                <w:sz w:val="20"/>
                <w:szCs w:val="20"/>
                <w:color w:val="auto"/>
              </w:rPr>
            </w:pPr>
          </w:p>
        </w:tc>
        <w:tc>
          <w:tcPr>
            <w:tcW w:w="1900" w:type="dxa"/>
            <w:vAlign w:val="bottom"/>
            <w:tcBorders>
              <w:bottom w:val="single" w:sz="8" w:color="0063A6"/>
            </w:tcBorders>
          </w:tcPr>
          <w:p>
            <w:pPr>
              <w:spacing w:after="0"/>
              <w:rPr>
                <w:sz w:val="20"/>
                <w:szCs w:val="20"/>
                <w:color w:val="auto"/>
              </w:rPr>
            </w:pPr>
          </w:p>
        </w:tc>
        <w:tc>
          <w:tcPr>
            <w:tcW w:w="2000" w:type="dxa"/>
            <w:vAlign w:val="bottom"/>
            <w:tcBorders>
              <w:bottom w:val="single" w:sz="8" w:color="0063A6"/>
            </w:tcBorders>
          </w:tcPr>
          <w:p>
            <w:pPr>
              <w:spacing w:after="0"/>
              <w:rPr>
                <w:sz w:val="20"/>
                <w:szCs w:val="20"/>
                <w:color w:val="auto"/>
              </w:rPr>
            </w:pPr>
          </w:p>
        </w:tc>
        <w:tc>
          <w:tcPr>
            <w:tcW w:w="1880" w:type="dxa"/>
            <w:vAlign w:val="bottom"/>
            <w:tcBorders>
              <w:bottom w:val="single" w:sz="8" w:color="0063A6"/>
            </w:tcBorders>
          </w:tcPr>
          <w:p>
            <w:pPr>
              <w:spacing w:after="0"/>
              <w:rPr>
                <w:sz w:val="20"/>
                <w:szCs w:val="20"/>
                <w:color w:val="auto"/>
              </w:rPr>
            </w:pPr>
          </w:p>
        </w:tc>
      </w:tr>
      <w:tr>
        <w:trPr>
          <w:trHeight w:val="405"/>
        </w:trPr>
        <w:tc>
          <w:tcPr>
            <w:tcW w:w="2480" w:type="dxa"/>
            <w:vAlign w:val="bottom"/>
          </w:tcPr>
          <w:p>
            <w:pPr>
              <w:ind w:left="460"/>
              <w:spacing w:after="0"/>
              <w:rPr>
                <w:sz w:val="20"/>
                <w:szCs w:val="20"/>
                <w:color w:val="auto"/>
              </w:rPr>
            </w:pPr>
            <w:r>
              <w:rPr>
                <w:rFonts w:ascii="Arial" w:cs="Arial" w:eastAsia="Arial" w:hAnsi="Arial"/>
                <w:sz w:val="14"/>
                <w:szCs w:val="14"/>
                <w:color w:val="auto"/>
              </w:rPr>
              <w:t>Committee Member</w:t>
            </w:r>
          </w:p>
        </w:tc>
        <w:tc>
          <w:tcPr>
            <w:tcW w:w="2820" w:type="dxa"/>
            <w:vAlign w:val="bottom"/>
            <w:gridSpan w:val="2"/>
          </w:tcPr>
          <w:p>
            <w:pPr>
              <w:ind w:left="760"/>
              <w:spacing w:after="0"/>
              <w:rPr>
                <w:sz w:val="20"/>
                <w:szCs w:val="20"/>
                <w:color w:val="auto"/>
              </w:rPr>
            </w:pPr>
            <w:r>
              <w:rPr>
                <w:rFonts w:ascii="Arial" w:cs="Arial" w:eastAsia="Arial" w:hAnsi="Arial"/>
                <w:sz w:val="14"/>
                <w:szCs w:val="14"/>
                <w:color w:val="auto"/>
              </w:rPr>
              <w:t>Committee Chair</w:t>
            </w:r>
          </w:p>
        </w:tc>
        <w:tc>
          <w:tcPr>
            <w:tcW w:w="20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-1889125</wp:posOffset>
            </wp:positionV>
            <wp:extent cx="162560" cy="1111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2560" cy="11112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-1708785</wp:posOffset>
            </wp:positionV>
            <wp:extent cx="163195" cy="1111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-1708785</wp:posOffset>
            </wp:positionV>
            <wp:extent cx="102870" cy="111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-1511935</wp:posOffset>
            </wp:positionV>
            <wp:extent cx="162560" cy="1117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-1331595</wp:posOffset>
            </wp:positionV>
            <wp:extent cx="102870" cy="111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-1134745</wp:posOffset>
            </wp:positionV>
            <wp:extent cx="162560" cy="1117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-954405</wp:posOffset>
            </wp:positionV>
            <wp:extent cx="163195" cy="111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-954405</wp:posOffset>
            </wp:positionV>
            <wp:extent cx="162560"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-594360</wp:posOffset>
            </wp:positionV>
            <wp:extent cx="102870" cy="1111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-594360</wp:posOffset>
            </wp:positionV>
            <wp:extent cx="162560" cy="1111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560" cy="1111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-123190</wp:posOffset>
            </wp:positionV>
            <wp:extent cx="163195" cy="1111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1808480</wp:posOffset>
            </wp:positionH>
            <wp:positionV relativeFrom="paragraph">
              <wp:posOffset>-123190</wp:posOffset>
            </wp:positionV>
            <wp:extent cx="102870" cy="1111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spacing w:after="0" w:line="114" w:lineRule="exact"/>
        <w:rPr>
          <w:sz w:val="20"/>
          <w:szCs w:val="20"/>
          <w:color w:val="auto"/>
        </w:rPr>
      </w:pPr>
    </w:p>
    <w:p>
      <w:pPr>
        <w:ind w:left="346" w:right="260" w:hanging="346"/>
        <w:spacing w:after="0" w:line="285" w:lineRule="auto"/>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table includes Ms. Hemmingsen, who is not standing for re-election to the Board, and Ms. Ziegler, who will retire from the Board, in each case after the end of their current terms ending at the start of the 2025 annual meeting.</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Nominating and Corporate Governance Committee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Nominating and Corporate Governance Committee (NCGC) is primarily responsible for:</w:t>
      </w:r>
    </w:p>
    <w:p>
      <w:pPr>
        <w:spacing w:after="0" w:line="113" w:lineRule="exact"/>
        <w:rPr>
          <w:sz w:val="20"/>
          <w:szCs w:val="20"/>
          <w:color w:val="auto"/>
        </w:rPr>
      </w:pPr>
    </w:p>
    <w:p>
      <w:pPr>
        <w:ind w:left="566" w:hanging="206"/>
        <w:spacing w:after="0"/>
        <w:tabs>
          <w:tab w:leader="none" w:pos="5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developing and implementing our Governance Principles;</w:t>
      </w:r>
    </w:p>
    <w:p>
      <w:pPr>
        <w:spacing w:after="0" w:line="113" w:lineRule="exact"/>
        <w:rPr>
          <w:rFonts w:ascii="Arial" w:cs="Arial" w:eastAsia="Arial" w:hAnsi="Arial"/>
          <w:sz w:val="16"/>
          <w:szCs w:val="16"/>
          <w:color w:val="auto"/>
        </w:rPr>
      </w:pPr>
    </w:p>
    <w:p>
      <w:pPr>
        <w:ind w:left="566" w:right="200" w:hanging="206"/>
        <w:spacing w:after="0" w:line="286" w:lineRule="auto"/>
        <w:tabs>
          <w:tab w:leader="none" w:pos="5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overseeing the process for evaluating the performance of our Board Chair and the CEO, as well as the other directors and the Board as a whole;</w:t>
      </w:r>
    </w:p>
    <w:p>
      <w:pPr>
        <w:spacing w:after="0" w:line="47" w:lineRule="exact"/>
        <w:rPr>
          <w:rFonts w:ascii="Arial" w:cs="Arial" w:eastAsia="Arial" w:hAnsi="Arial"/>
          <w:sz w:val="16"/>
          <w:szCs w:val="16"/>
          <w:color w:val="auto"/>
        </w:rPr>
      </w:pPr>
    </w:p>
    <w:p>
      <w:pPr>
        <w:ind w:left="566" w:hanging="206"/>
        <w:spacing w:after="0"/>
        <w:tabs>
          <w:tab w:leader="none" w:pos="5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determining the qualifications of the directors serving on the Board, including their independence;</w:t>
      </w:r>
    </w:p>
    <w:p>
      <w:pPr>
        <w:spacing w:after="0" w:line="113" w:lineRule="exact"/>
        <w:rPr>
          <w:rFonts w:ascii="Arial" w:cs="Arial" w:eastAsia="Arial" w:hAnsi="Arial"/>
          <w:sz w:val="16"/>
          <w:szCs w:val="16"/>
          <w:color w:val="auto"/>
        </w:rPr>
      </w:pPr>
    </w:p>
    <w:p>
      <w:pPr>
        <w:ind w:left="566" w:hanging="206"/>
        <w:spacing w:after="0"/>
        <w:tabs>
          <w:tab w:leader="none" w:pos="5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recommending candidates to serve on the Board; and</w:t>
      </w:r>
    </w:p>
    <w:p>
      <w:pPr>
        <w:spacing w:after="0" w:line="113" w:lineRule="exact"/>
        <w:rPr>
          <w:rFonts w:ascii="Arial" w:cs="Arial" w:eastAsia="Arial" w:hAnsi="Arial"/>
          <w:sz w:val="16"/>
          <w:szCs w:val="16"/>
          <w:color w:val="auto"/>
        </w:rPr>
      </w:pPr>
    </w:p>
    <w:p>
      <w:pPr>
        <w:ind w:left="566" w:right="1020" w:hanging="206"/>
        <w:spacing w:after="0" w:line="286" w:lineRule="auto"/>
        <w:tabs>
          <w:tab w:leader="none" w:pos="5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with respect to candidates for directors proposed by shareholders.</w:t>
      </w:r>
    </w:p>
    <w:p>
      <w:pPr>
        <w:spacing w:after="0" w:line="115" w:lineRule="exact"/>
        <w:rPr>
          <w:sz w:val="20"/>
          <w:szCs w:val="20"/>
          <w:color w:val="auto"/>
        </w:rPr>
      </w:pPr>
    </w:p>
    <w:p>
      <w:pPr>
        <w:ind w:left="6" w:right="120"/>
        <w:spacing w:after="0" w:line="266" w:lineRule="auto"/>
        <w:rPr>
          <w:sz w:val="20"/>
          <w:szCs w:val="20"/>
          <w:color w:val="auto"/>
        </w:rPr>
      </w:pPr>
      <w:r>
        <w:rPr>
          <w:rFonts w:ascii="Arial" w:cs="Arial" w:eastAsia="Arial" w:hAnsi="Arial"/>
          <w:sz w:val="16"/>
          <w:szCs w:val="16"/>
          <w:color w:val="auto"/>
        </w:rPr>
        <w:t>To assist the NCGC in its identification of qualified director candidates, it might engage an outside search firm. The NCGC also reviews the compensation paid to our directors and makes recommendations to the Board on director fees and other compensation payable to the Board members.</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6"/>
          <w:szCs w:val="16"/>
          <w:color w:val="auto"/>
        </w:rPr>
        <w:t>All of the members of the NCGC are independent under SEC rules and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18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7180"/>
        <w:spacing w:after="0"/>
        <w:rPr>
          <w:sz w:val="20"/>
          <w:szCs w:val="20"/>
          <w:color w:val="auto"/>
        </w:rPr>
      </w:pPr>
      <w:r>
        <w:rPr>
          <w:rFonts w:ascii="Arial" w:cs="Arial" w:eastAsia="Arial" w:hAnsi="Arial"/>
          <w:sz w:val="14"/>
          <w:szCs w:val="14"/>
          <w:color w:val="5D6673"/>
        </w:rPr>
        <w:t>CORPORATE GOVERNANCE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Audit/Finance Committee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Audit/Finance Committee (AFC) is primarily responsible for:</w:t>
      </w:r>
    </w:p>
    <w:p>
      <w:pPr>
        <w:spacing w:after="0" w:line="113" w:lineRule="exact"/>
        <w:rPr>
          <w:sz w:val="20"/>
          <w:szCs w:val="20"/>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overseeing our accounting and financial reporting processes and the audit of our financial statements;</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approving the compensation of our independent auditors;</w:t>
      </w:r>
    </w:p>
    <w:p>
      <w:pPr>
        <w:spacing w:after="0" w:line="113" w:lineRule="exact"/>
        <w:rPr>
          <w:rFonts w:ascii="Arial" w:cs="Arial" w:eastAsia="Arial" w:hAnsi="Arial"/>
          <w:sz w:val="16"/>
          <w:szCs w:val="16"/>
          <w:color w:val="auto"/>
        </w:rPr>
      </w:pPr>
    </w:p>
    <w:p>
      <w:pPr>
        <w:ind w:left="560" w:hanging="206"/>
        <w:spacing w:after="0" w:line="286"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with management our business financial risks and the process by which management assesses and manages such financial risks;</w:t>
      </w:r>
    </w:p>
    <w:p>
      <w:pPr>
        <w:spacing w:after="0" w:line="47" w:lineRule="exact"/>
        <w:rPr>
          <w:rFonts w:ascii="Arial" w:cs="Arial" w:eastAsia="Arial" w:hAnsi="Arial"/>
          <w:sz w:val="16"/>
          <w:szCs w:val="16"/>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selecting, retaining, or terminating our independent auditors; and</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monitoring compliance with our code of conduct.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Board has determined that all members of the AFC are independent under SEC rules and Nasdaq listing rules, including Rule 10A-3 of the Exchange Act. The NCGC has determined that all of the current members of the AFC are financially literate in accordance with the Standards of Nasdaq Rule 5605(c)(2)(A)(iv), and “audit committee financial experts” as defined in Item 407(d)(5) of Regulation S-K.</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(CC) is primarily responsible for:</w:t>
      </w:r>
    </w:p>
    <w:p>
      <w:pPr>
        <w:spacing w:after="0" w:line="113" w:lineRule="exact"/>
        <w:rPr>
          <w:sz w:val="20"/>
          <w:szCs w:val="20"/>
          <w:color w:val="auto"/>
        </w:rPr>
      </w:pPr>
    </w:p>
    <w:p>
      <w:pPr>
        <w:ind w:left="560" w:hanging="206"/>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recommending to the Board our CEO’s total annual and long-term incentive compensation;</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setting compensation levels for our other executive officers; and</w:t>
      </w:r>
    </w:p>
    <w:p>
      <w:pPr>
        <w:spacing w:after="0" w:line="113" w:lineRule="exact"/>
        <w:rPr>
          <w:rFonts w:ascii="Arial" w:cs="Arial" w:eastAsia="Arial" w:hAnsi="Arial"/>
          <w:sz w:val="16"/>
          <w:szCs w:val="16"/>
          <w:color w:val="auto"/>
        </w:rPr>
      </w:pPr>
    </w:p>
    <w:p>
      <w:pPr>
        <w:ind w:left="560" w:right="20" w:hanging="206"/>
        <w:spacing w:after="0" w:line="286"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overseeing the administration of various incentive compensation and benefit plans, which includes an annual evaluation of our compensation plans and policies.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The CC, when appropriate, may form and delegate authority to subcommittees and may delegate authority to one or more designated members of the Board or to Company officers. The Board has determined that all members of the CC are independent under SEC rules and Nasdaq listing rules. In addition, all CC members are “non-employee directors” under Section 16b-3 of the Exchange Act.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in this proxy statement for more information on the CC’s responsibilities regarding the compensation of our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Compensation Committee Interlocks and Insider Participation</w:t>
      </w:r>
    </w:p>
    <w:p>
      <w:pPr>
        <w:spacing w:after="0" w:line="72"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Transactions with Related Persons</w:t>
      </w:r>
    </w:p>
    <w:p>
      <w:pPr>
        <w:spacing w:after="0" w:line="72"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There were no related person transactions required to be disclosed pursuant to Item 404(a) of Regulation S-K in fiscal year 2024. In order to determine this, the Board requires our executive officers, directors and director nominee to disclose certain information regarding related person transactions. Generally, a “related person transaction” is a transaction (including any indebtedness or a guarantee of indebtedness) that involves the Company’s directors, executive officers, director nominee, 5% or more beneficial owners of the Company’s common stock, immediate family members of these persons, or entities in which one of these persons has a direct or indirect material interest. The current threshold required to be disclosed under</w:t>
      </w:r>
    </w:p>
    <w:p>
      <w:pPr>
        <w:ind w:right="480"/>
        <w:spacing w:after="0" w:line="256" w:lineRule="auto"/>
        <w:rPr>
          <w:sz w:val="20"/>
          <w:szCs w:val="20"/>
          <w:color w:val="auto"/>
        </w:rPr>
      </w:pPr>
      <w:r>
        <w:rPr>
          <w:rFonts w:ascii="Arial" w:cs="Arial" w:eastAsia="Arial" w:hAnsi="Arial"/>
          <w:sz w:val="16"/>
          <w:szCs w:val="16"/>
          <w:color w:val="auto"/>
        </w:rPr>
        <w:t>SEC regulations is $120,000. Under its charter, the Audit/Finance Committee of the Board has been delegated with the responsibility of reviewing and approving any related person transactions and the Nominating and Corporate Governance Committee also provides input in that regard.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Our Board’s Role in Risk Oversight</w:t>
      </w:r>
    </w:p>
    <w:p>
      <w:pPr>
        <w:spacing w:after="0" w:line="72"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Board has overall responsibility for risk oversight, including, as part of regular Board and committee meetings, general oversight of our executives’ management of risks relevant to the Company. The Board determines, directly or through Board committees, whether: (i) 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 Company’s risk management processes are 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6"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CORPORATE GOVERNANCE</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280" w:type="dxa"/>
            <w:vAlign w:val="bottom"/>
            <w:shd w:val="clear" w:color="auto" w:fill="0063A6"/>
          </w:tcPr>
          <w:p>
            <w:pPr>
              <w:spacing w:after="0"/>
              <w:rPr>
                <w:sz w:val="21"/>
                <w:szCs w:val="21"/>
                <w:color w:val="auto"/>
              </w:rPr>
            </w:pPr>
          </w:p>
        </w:tc>
        <w:tc>
          <w:tcPr>
            <w:tcW w:w="1760" w:type="dxa"/>
            <w:vAlign w:val="bottom"/>
            <w:shd w:val="clear" w:color="auto" w:fill="0063A6"/>
          </w:tcPr>
          <w:p>
            <w:pPr>
              <w:spacing w:after="0"/>
              <w:rPr>
                <w:sz w:val="21"/>
                <w:szCs w:val="21"/>
                <w:color w:val="auto"/>
              </w:rPr>
            </w:pPr>
          </w:p>
        </w:tc>
        <w:tc>
          <w:tcPr>
            <w:tcW w:w="2580" w:type="dxa"/>
            <w:vAlign w:val="bottom"/>
            <w:shd w:val="clear" w:color="auto" w:fill="0063A6"/>
          </w:tcPr>
          <w:p>
            <w:pPr>
              <w:ind w:left="580"/>
              <w:spacing w:after="0"/>
              <w:rPr>
                <w:sz w:val="20"/>
                <w:szCs w:val="20"/>
                <w:color w:val="auto"/>
              </w:rPr>
            </w:pPr>
            <w:r>
              <w:rPr>
                <w:rFonts w:ascii="Arial" w:cs="Arial" w:eastAsia="Arial" w:hAnsi="Arial"/>
                <w:sz w:val="16"/>
                <w:szCs w:val="16"/>
                <w:b w:val="1"/>
                <w:bCs w:val="1"/>
                <w:color w:val="FFFFFF"/>
              </w:rPr>
              <w:t>Nominating and</w:t>
            </w:r>
          </w:p>
        </w:tc>
        <w:tc>
          <w:tcPr>
            <w:tcW w:w="2560" w:type="dxa"/>
            <w:vAlign w:val="bottom"/>
            <w:shd w:val="clear" w:color="auto" w:fill="0063A6"/>
          </w:tcPr>
          <w:p>
            <w:pPr>
              <w:spacing w:after="0"/>
              <w:rPr>
                <w:sz w:val="21"/>
                <w:szCs w:val="21"/>
                <w:color w:val="auto"/>
              </w:rPr>
            </w:pPr>
          </w:p>
        </w:tc>
      </w:tr>
      <w:tr>
        <w:trPr>
          <w:trHeight w:val="223"/>
        </w:trPr>
        <w:tc>
          <w:tcPr>
            <w:tcW w:w="2280" w:type="dxa"/>
            <w:vAlign w:val="bottom"/>
            <w:shd w:val="clear" w:color="auto" w:fill="0063A6"/>
          </w:tcPr>
          <w:p>
            <w:pPr>
              <w:ind w:left="100"/>
              <w:spacing w:after="0"/>
              <w:rPr>
                <w:sz w:val="20"/>
                <w:szCs w:val="20"/>
                <w:color w:val="auto"/>
              </w:rPr>
            </w:pPr>
            <w:r>
              <w:rPr>
                <w:rFonts w:ascii="Arial" w:cs="Arial" w:eastAsia="Arial" w:hAnsi="Arial"/>
                <w:sz w:val="16"/>
                <w:szCs w:val="16"/>
                <w:b w:val="1"/>
                <w:bCs w:val="1"/>
                <w:color w:val="FFFFFF"/>
              </w:rPr>
              <w:t>Board</w:t>
            </w:r>
          </w:p>
        </w:tc>
        <w:tc>
          <w:tcPr>
            <w:tcW w:w="1760" w:type="dxa"/>
            <w:vAlign w:val="bottom"/>
            <w:shd w:val="clear" w:color="auto" w:fill="0063A6"/>
          </w:tcPr>
          <w:p>
            <w:pPr>
              <w:ind w:left="40"/>
              <w:spacing w:after="0"/>
              <w:rPr>
                <w:sz w:val="20"/>
                <w:szCs w:val="20"/>
                <w:color w:val="auto"/>
              </w:rPr>
            </w:pPr>
            <w:r>
              <w:rPr>
                <w:rFonts w:ascii="Arial" w:cs="Arial" w:eastAsia="Arial" w:hAnsi="Arial"/>
                <w:sz w:val="16"/>
                <w:szCs w:val="16"/>
                <w:b w:val="1"/>
                <w:bCs w:val="1"/>
                <w:color w:val="FFFFFF"/>
              </w:rPr>
              <w:t>Compensation</w:t>
            </w:r>
          </w:p>
        </w:tc>
        <w:tc>
          <w:tcPr>
            <w:tcW w:w="2580" w:type="dxa"/>
            <w:vAlign w:val="bottom"/>
            <w:shd w:val="clear" w:color="auto" w:fill="0063A6"/>
          </w:tcPr>
          <w:p>
            <w:pPr>
              <w:ind w:left="580"/>
              <w:spacing w:after="0"/>
              <w:rPr>
                <w:sz w:val="20"/>
                <w:szCs w:val="20"/>
                <w:color w:val="auto"/>
              </w:rPr>
            </w:pPr>
            <w:r>
              <w:rPr>
                <w:rFonts w:ascii="Arial" w:cs="Arial" w:eastAsia="Arial" w:hAnsi="Arial"/>
                <w:sz w:val="16"/>
                <w:szCs w:val="16"/>
                <w:b w:val="1"/>
                <w:bCs w:val="1"/>
                <w:color w:val="FFFFFF"/>
              </w:rPr>
              <w:t>Corporate Governance</w:t>
            </w:r>
          </w:p>
        </w:tc>
        <w:tc>
          <w:tcPr>
            <w:tcW w:w="2560" w:type="dxa"/>
            <w:vAlign w:val="bottom"/>
            <w:shd w:val="clear" w:color="auto" w:fill="0063A6"/>
          </w:tcPr>
          <w:p>
            <w:pPr>
              <w:ind w:left="240"/>
              <w:spacing w:after="0"/>
              <w:rPr>
                <w:sz w:val="20"/>
                <w:szCs w:val="20"/>
                <w:color w:val="auto"/>
              </w:rPr>
            </w:pPr>
            <w:r>
              <w:rPr>
                <w:rFonts w:ascii="Arial" w:cs="Arial" w:eastAsia="Arial" w:hAnsi="Arial"/>
                <w:sz w:val="16"/>
                <w:szCs w:val="16"/>
                <w:b w:val="1"/>
                <w:bCs w:val="1"/>
                <w:color w:val="FFFFFF"/>
              </w:rPr>
              <w:t>Audit/Finance</w:t>
            </w:r>
          </w:p>
        </w:tc>
      </w:tr>
      <w:tr>
        <w:trPr>
          <w:trHeight w:val="35"/>
        </w:trPr>
        <w:tc>
          <w:tcPr>
            <w:tcW w:w="2280" w:type="dxa"/>
            <w:vAlign w:val="bottom"/>
            <w:shd w:val="clear" w:color="auto" w:fill="0063A6"/>
          </w:tcPr>
          <w:p>
            <w:pPr>
              <w:spacing w:after="0"/>
              <w:rPr>
                <w:sz w:val="3"/>
                <w:szCs w:val="3"/>
                <w:color w:val="auto"/>
              </w:rPr>
            </w:pPr>
          </w:p>
        </w:tc>
        <w:tc>
          <w:tcPr>
            <w:tcW w:w="1760" w:type="dxa"/>
            <w:vAlign w:val="bottom"/>
            <w:shd w:val="clear" w:color="auto" w:fill="0063A6"/>
          </w:tcPr>
          <w:p>
            <w:pPr>
              <w:spacing w:after="0"/>
              <w:rPr>
                <w:sz w:val="3"/>
                <w:szCs w:val="3"/>
                <w:color w:val="auto"/>
              </w:rPr>
            </w:pPr>
          </w:p>
        </w:tc>
        <w:tc>
          <w:tcPr>
            <w:tcW w:w="2580" w:type="dxa"/>
            <w:vAlign w:val="bottom"/>
            <w:shd w:val="clear" w:color="auto" w:fill="0063A6"/>
          </w:tcPr>
          <w:p>
            <w:pPr>
              <w:spacing w:after="0"/>
              <w:rPr>
                <w:sz w:val="3"/>
                <w:szCs w:val="3"/>
                <w:color w:val="auto"/>
              </w:rPr>
            </w:pPr>
          </w:p>
        </w:tc>
        <w:tc>
          <w:tcPr>
            <w:tcW w:w="2560" w:type="dxa"/>
            <w:vAlign w:val="bottom"/>
            <w:shd w:val="clear" w:color="auto" w:fill="0063A6"/>
          </w:tcPr>
          <w:p>
            <w:pPr>
              <w:spacing w:after="0"/>
              <w:rPr>
                <w:sz w:val="3"/>
                <w:szCs w:val="3"/>
                <w:color w:val="auto"/>
              </w:rPr>
            </w:pPr>
          </w:p>
        </w:tc>
      </w:tr>
    </w:tbl>
    <w:p>
      <w:pPr>
        <w:spacing w:after="0" w:line="13" w:lineRule="exact"/>
        <w:rPr>
          <w:sz w:val="20"/>
          <w:szCs w:val="20"/>
          <w:color w:val="auto"/>
        </w:rPr>
      </w:pPr>
    </w:p>
    <w:p>
      <w:pPr>
        <w:sectPr>
          <w:pgSz w:w="11900" w:h="16838" w:orient="portrait"/>
          <w:cols w:equalWidth="0" w:num="1">
            <w:col w:w="9180"/>
          </w:cols>
          <w:pgMar w:left="1360" w:top="114" w:right="1359" w:bottom="1440" w:gutter="0" w:footer="0" w:header="0"/>
        </w:sectPr>
      </w:pPr>
    </w:p>
    <w:tbl>
      <w:tblPr>
        <w:tblLayout w:type="fixed"/>
        <w:tblInd w:w="100" w:type="dxa"/>
        <w:tblCellMar>
          <w:top w:w="0" w:type="dxa"/>
          <w:left w:w="0" w:type="dxa"/>
          <w:bottom w:w="0" w:type="dxa"/>
          <w:right w:w="0" w:type="dxa"/>
        </w:tblCellMar>
      </w:tblPr>
      <w:tr>
        <w:trPr>
          <w:trHeight w:val="189"/>
        </w:trPr>
        <w:tc>
          <w:tcPr>
            <w:tcW w:w="2340" w:type="dxa"/>
            <w:vAlign w:val="bottom"/>
          </w:tcPr>
          <w:p>
            <w:pPr>
              <w:spacing w:after="0"/>
              <w:rPr>
                <w:sz w:val="20"/>
                <w:szCs w:val="20"/>
                <w:color w:val="auto"/>
              </w:rPr>
            </w:pPr>
            <w:r>
              <w:rPr>
                <w:rFonts w:ascii="Arial" w:cs="Arial" w:eastAsia="Arial" w:hAnsi="Arial"/>
                <w:sz w:val="16"/>
                <w:szCs w:val="16"/>
                <w:color w:val="auto"/>
              </w:rPr>
              <w:t>• Overall responsibility for risk •</w:t>
            </w:r>
          </w:p>
        </w:tc>
        <w:tc>
          <w:tcPr>
            <w:tcW w:w="2120" w:type="dxa"/>
            <w:vAlign w:val="bottom"/>
          </w:tcPr>
          <w:p>
            <w:pPr>
              <w:ind w:left="60"/>
              <w:spacing w:after="0"/>
              <w:rPr>
                <w:sz w:val="20"/>
                <w:szCs w:val="20"/>
                <w:color w:val="auto"/>
              </w:rPr>
            </w:pPr>
            <w:r>
              <w:rPr>
                <w:rFonts w:ascii="Arial" w:cs="Arial" w:eastAsia="Arial" w:hAnsi="Arial"/>
                <w:sz w:val="16"/>
                <w:szCs w:val="16"/>
                <w:color w:val="auto"/>
              </w:rPr>
              <w:t>Responsible for overseeing</w:t>
            </w:r>
          </w:p>
        </w:tc>
        <w:tc>
          <w:tcPr>
            <w:tcW w:w="0" w:type="dxa"/>
            <w:vAlign w:val="bottom"/>
          </w:tcPr>
          <w:p>
            <w:pPr>
              <w:spacing w:after="0"/>
              <w:rPr>
                <w:sz w:val="1"/>
                <w:szCs w:val="1"/>
                <w:color w:val="auto"/>
              </w:rPr>
            </w:pPr>
          </w:p>
        </w:tc>
      </w:tr>
      <w:tr>
        <w:trPr>
          <w:trHeight w:val="189"/>
        </w:trPr>
        <w:tc>
          <w:tcPr>
            <w:tcW w:w="2340" w:type="dxa"/>
            <w:vAlign w:val="bottom"/>
          </w:tcPr>
          <w:p>
            <w:pPr>
              <w:ind w:left="120"/>
              <w:spacing w:after="0"/>
              <w:rPr>
                <w:sz w:val="20"/>
                <w:szCs w:val="20"/>
                <w:color w:val="auto"/>
              </w:rPr>
            </w:pPr>
            <w:r>
              <w:rPr>
                <w:rFonts w:ascii="Arial" w:cs="Arial" w:eastAsia="Arial" w:hAnsi="Arial"/>
                <w:sz w:val="16"/>
                <w:szCs w:val="16"/>
                <w:color w:val="auto"/>
              </w:rPr>
              <w:t>oversight, including</w:t>
            </w:r>
          </w:p>
        </w:tc>
        <w:tc>
          <w:tcPr>
            <w:tcW w:w="2120" w:type="dxa"/>
            <w:vAlign w:val="bottom"/>
          </w:tcPr>
          <w:p>
            <w:pPr>
              <w:ind w:left="60"/>
              <w:spacing w:after="0"/>
              <w:rPr>
                <w:sz w:val="20"/>
                <w:szCs w:val="20"/>
                <w:color w:val="auto"/>
              </w:rPr>
            </w:pPr>
            <w:r>
              <w:rPr>
                <w:rFonts w:ascii="Arial" w:cs="Arial" w:eastAsia="Arial" w:hAnsi="Arial"/>
                <w:sz w:val="16"/>
                <w:szCs w:val="16"/>
                <w:color w:val="auto"/>
              </w:rPr>
              <w:t>compensation risks,</w:t>
            </w:r>
          </w:p>
        </w:tc>
        <w:tc>
          <w:tcPr>
            <w:tcW w:w="0" w:type="dxa"/>
            <w:vAlign w:val="bottom"/>
          </w:tcPr>
          <w:p>
            <w:pPr>
              <w:spacing w:after="0"/>
              <w:rPr>
                <w:sz w:val="1"/>
                <w:szCs w:val="1"/>
                <w:color w:val="auto"/>
              </w:rPr>
            </w:pPr>
          </w:p>
        </w:tc>
      </w:tr>
      <w:tr>
        <w:trPr>
          <w:trHeight w:val="189"/>
        </w:trPr>
        <w:tc>
          <w:tcPr>
            <w:tcW w:w="2340" w:type="dxa"/>
            <w:vAlign w:val="bottom"/>
          </w:tcPr>
          <w:p>
            <w:pPr>
              <w:ind w:left="120"/>
              <w:spacing w:after="0"/>
              <w:rPr>
                <w:sz w:val="20"/>
                <w:szCs w:val="20"/>
                <w:color w:val="auto"/>
              </w:rPr>
            </w:pPr>
            <w:r>
              <w:rPr>
                <w:rFonts w:ascii="Arial" w:cs="Arial" w:eastAsia="Arial" w:hAnsi="Arial"/>
                <w:sz w:val="16"/>
                <w:szCs w:val="16"/>
                <w:color w:val="auto"/>
              </w:rPr>
              <w:t>cybersecurity risks</w:t>
            </w:r>
          </w:p>
        </w:tc>
        <w:tc>
          <w:tcPr>
            <w:tcW w:w="2120" w:type="dxa"/>
            <w:vAlign w:val="bottom"/>
          </w:tcPr>
          <w:p>
            <w:pPr>
              <w:ind w:left="60"/>
              <w:spacing w:after="0"/>
              <w:rPr>
                <w:sz w:val="20"/>
                <w:szCs w:val="20"/>
                <w:color w:val="auto"/>
              </w:rPr>
            </w:pPr>
            <w:r>
              <w:rPr>
                <w:rFonts w:ascii="Arial" w:cs="Arial" w:eastAsia="Arial" w:hAnsi="Arial"/>
                <w:sz w:val="16"/>
                <w:szCs w:val="16"/>
                <w:color w:val="auto"/>
              </w:rPr>
              <w:t>including assessing possible</w:t>
            </w:r>
          </w:p>
        </w:tc>
        <w:tc>
          <w:tcPr>
            <w:tcW w:w="0" w:type="dxa"/>
            <w:vAlign w:val="bottom"/>
          </w:tcPr>
          <w:p>
            <w:pPr>
              <w:spacing w:after="0"/>
              <w:rPr>
                <w:sz w:val="1"/>
                <w:szCs w:val="1"/>
                <w:color w:val="auto"/>
              </w:rPr>
            </w:pPr>
          </w:p>
        </w:tc>
      </w:tr>
      <w:tr>
        <w:trPr>
          <w:trHeight w:val="189"/>
        </w:trPr>
        <w:tc>
          <w:tcPr>
            <w:tcW w:w="2340" w:type="dxa"/>
            <w:vAlign w:val="bottom"/>
            <w:vMerge w:val="restart"/>
          </w:tcPr>
          <w:p>
            <w:pPr>
              <w:spacing w:after="0"/>
              <w:rPr>
                <w:sz w:val="20"/>
                <w:szCs w:val="20"/>
                <w:color w:val="auto"/>
              </w:rPr>
            </w:pPr>
            <w:r>
              <w:rPr>
                <w:rFonts w:ascii="Arial" w:cs="Arial" w:eastAsia="Arial" w:hAnsi="Arial"/>
                <w:sz w:val="16"/>
                <w:szCs w:val="16"/>
                <w:color w:val="auto"/>
              </w:rPr>
              <w:t>• Assesses directly, through</w:t>
            </w:r>
          </w:p>
        </w:tc>
        <w:tc>
          <w:tcPr>
            <w:tcW w:w="2120" w:type="dxa"/>
            <w:vAlign w:val="bottom"/>
          </w:tcPr>
          <w:p>
            <w:pPr>
              <w:ind w:left="60"/>
              <w:spacing w:after="0"/>
              <w:rPr>
                <w:sz w:val="20"/>
                <w:szCs w:val="20"/>
                <w:color w:val="auto"/>
              </w:rPr>
            </w:pPr>
            <w:r>
              <w:rPr>
                <w:rFonts w:ascii="Arial" w:cs="Arial" w:eastAsia="Arial" w:hAnsi="Arial"/>
                <w:sz w:val="16"/>
                <w:szCs w:val="16"/>
                <w:color w:val="auto"/>
              </w:rPr>
              <w:t>risks from our compensation</w:t>
            </w: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plans and policies for our</w:t>
            </w:r>
          </w:p>
        </w:tc>
        <w:tc>
          <w:tcPr>
            <w:tcW w:w="0" w:type="dxa"/>
            <w:vAlign w:val="bottom"/>
          </w:tcPr>
          <w:p>
            <w:pPr>
              <w:spacing w:after="0"/>
              <w:rPr>
                <w:sz w:val="1"/>
                <w:szCs w:val="1"/>
                <w:color w:val="auto"/>
              </w:rPr>
            </w:pPr>
          </w:p>
        </w:tc>
      </w:tr>
      <w:tr>
        <w:trPr>
          <w:trHeight w:val="94"/>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Board committees or</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executives and ensuring that</w:t>
            </w:r>
          </w:p>
        </w:tc>
        <w:tc>
          <w:tcPr>
            <w:tcW w:w="0" w:type="dxa"/>
            <w:vAlign w:val="bottom"/>
          </w:tcPr>
          <w:p>
            <w:pPr>
              <w:spacing w:after="0"/>
              <w:rPr>
                <w:sz w:val="1"/>
                <w:szCs w:val="1"/>
                <w:color w:val="auto"/>
              </w:rPr>
            </w:pPr>
          </w:p>
        </w:tc>
      </w:tr>
      <w:tr>
        <w:trPr>
          <w:trHeight w:val="94"/>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through established</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our executive compensation</w:t>
            </w:r>
          </w:p>
        </w:tc>
        <w:tc>
          <w:tcPr>
            <w:tcW w:w="0" w:type="dxa"/>
            <w:vAlign w:val="bottom"/>
          </w:tcPr>
          <w:p>
            <w:pPr>
              <w:spacing w:after="0"/>
              <w:rPr>
                <w:sz w:val="1"/>
                <w:szCs w:val="1"/>
                <w:color w:val="auto"/>
              </w:rPr>
            </w:pPr>
          </w:p>
        </w:tc>
      </w:tr>
      <w:tr>
        <w:trPr>
          <w:trHeight w:val="95"/>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processes and procedures,</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is aligned with Company</w:t>
            </w:r>
          </w:p>
        </w:tc>
        <w:tc>
          <w:tcPr>
            <w:tcW w:w="0" w:type="dxa"/>
            <w:vAlign w:val="bottom"/>
          </w:tcPr>
          <w:p>
            <w:pPr>
              <w:spacing w:after="0"/>
              <w:rPr>
                <w:sz w:val="1"/>
                <w:szCs w:val="1"/>
                <w:color w:val="auto"/>
              </w:rPr>
            </w:pPr>
          </w:p>
        </w:tc>
      </w:tr>
      <w:tr>
        <w:trPr>
          <w:trHeight w:val="95"/>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risks relevant to the</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340" w:type="dxa"/>
            <w:vAlign w:val="bottom"/>
            <w:vMerge w:val="continue"/>
          </w:tcPr>
          <w:p>
            <w:pPr>
              <w:spacing w:after="0"/>
              <w:rPr>
                <w:sz w:val="8"/>
                <w:szCs w:val="8"/>
                <w:color w:val="auto"/>
              </w:rPr>
            </w:pPr>
          </w:p>
        </w:tc>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20"/>
        </w:trPr>
        <w:tc>
          <w:tcPr>
            <w:tcW w:w="2340" w:type="dxa"/>
            <w:vAlign w:val="bottom"/>
            <w:vMerge w:val="restart"/>
          </w:tcPr>
          <w:p>
            <w:pPr>
              <w:ind w:left="120"/>
              <w:spacing w:after="0"/>
              <w:rPr>
                <w:sz w:val="20"/>
                <w:szCs w:val="20"/>
                <w:color w:val="auto"/>
              </w:rPr>
            </w:pPr>
            <w:r>
              <w:rPr>
                <w:rFonts w:ascii="Arial" w:cs="Arial" w:eastAsia="Arial" w:hAnsi="Arial"/>
                <w:sz w:val="16"/>
                <w:szCs w:val="16"/>
                <w:color w:val="auto"/>
              </w:rPr>
              <w:t>Company</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3"/>
        </w:trPr>
        <w:tc>
          <w:tcPr>
            <w:tcW w:w="2340" w:type="dxa"/>
            <w:vAlign w:val="bottom"/>
          </w:tcPr>
          <w:p>
            <w:pPr>
              <w:ind w:left="222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Reviews a summary and</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assessment of such risks</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annually and in connection</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with discussions of various</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compensation elements and</w:t>
            </w:r>
          </w:p>
        </w:tc>
        <w:tc>
          <w:tcPr>
            <w:tcW w:w="0" w:type="dxa"/>
            <w:vAlign w:val="bottom"/>
          </w:tcPr>
          <w:p>
            <w:pPr>
              <w:spacing w:after="0"/>
              <w:rPr>
                <w:sz w:val="1"/>
                <w:szCs w:val="1"/>
                <w:color w:val="auto"/>
              </w:rPr>
            </w:pPr>
          </w:p>
        </w:tc>
      </w:tr>
      <w:tr>
        <w:trPr>
          <w:trHeight w:val="215"/>
        </w:trPr>
        <w:tc>
          <w:tcPr>
            <w:tcW w:w="234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benefits throughout the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58293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9" w:right="240" w:hanging="129"/>
        <w:spacing w:after="0" w:line="253" w:lineRule="auto"/>
        <w:tabs>
          <w:tab w:leader="none" w:pos="1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Oversees our overall corporate governance, including Board and committee composition, Board size and structure, and our director independence</w:t>
      </w:r>
    </w:p>
    <w:p>
      <w:pPr>
        <w:spacing w:after="0" w:line="32" w:lineRule="exact"/>
        <w:rPr>
          <w:rFonts w:ascii="Arial" w:cs="Arial" w:eastAsia="Arial" w:hAnsi="Arial"/>
          <w:sz w:val="16"/>
          <w:szCs w:val="16"/>
          <w:color w:val="auto"/>
        </w:rPr>
      </w:pPr>
    </w:p>
    <w:p>
      <w:pPr>
        <w:ind w:left="129" w:hanging="129"/>
        <w:spacing w:after="0" w:line="266" w:lineRule="auto"/>
        <w:tabs>
          <w:tab w:leader="none" w:pos="1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our Governance Principles annually pursuant to its charter</w:t>
      </w:r>
    </w:p>
    <w:p>
      <w:pPr>
        <w:spacing w:after="0" w:line="20" w:lineRule="exact"/>
        <w:rPr>
          <w:sz w:val="20"/>
          <w:szCs w:val="20"/>
          <w:color w:val="auto"/>
        </w:rPr>
      </w:pPr>
      <w:r>
        <w:rPr>
          <w:sz w:val="20"/>
          <w:szCs w:val="20"/>
          <w:color w:val="auto"/>
        </w:rPr>
        <w:br w:type="column"/>
      </w:r>
    </w:p>
    <w:p>
      <w:pPr>
        <w:ind w:left="155" w:right="240" w:hanging="155"/>
        <w:spacing w:after="0" w:line="254" w:lineRule="auto"/>
        <w:tabs>
          <w:tab w:leader="none" w:pos="1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Responsible for reviewing our major financial risk exposures, financial reporting, and monitoring our credit and liquidity risk, and compliance risk</w:t>
      </w:r>
    </w:p>
    <w:p>
      <w:pPr>
        <w:spacing w:after="0" w:line="200" w:lineRule="exact"/>
        <w:rPr>
          <w:rFonts w:ascii="Arial" w:cs="Arial" w:eastAsia="Arial" w:hAnsi="Arial"/>
          <w:sz w:val="16"/>
          <w:szCs w:val="16"/>
          <w:color w:val="auto"/>
        </w:rPr>
      </w:pPr>
    </w:p>
    <w:p>
      <w:pPr>
        <w:spacing w:after="0" w:line="332" w:lineRule="exact"/>
        <w:rPr>
          <w:rFonts w:ascii="Arial" w:cs="Arial" w:eastAsia="Arial" w:hAnsi="Arial"/>
          <w:sz w:val="16"/>
          <w:szCs w:val="16"/>
          <w:color w:val="auto"/>
        </w:rPr>
      </w:pPr>
    </w:p>
    <w:p>
      <w:pPr>
        <w:ind w:left="155" w:right="160" w:hanging="155"/>
        <w:spacing w:after="0" w:line="254" w:lineRule="auto"/>
        <w:tabs>
          <w:tab w:leader="none" w:pos="1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Meets regularly with our independent auditors and in executive session to facilitate a full and candid discussion of risk and other issues</w:t>
      </w:r>
    </w:p>
    <w:p>
      <w:pPr>
        <w:spacing w:after="0" w:line="515" w:lineRule="exact"/>
        <w:rPr>
          <w:sz w:val="20"/>
          <w:szCs w:val="20"/>
          <w:color w:val="auto"/>
        </w:rPr>
      </w:pPr>
    </w:p>
    <w:p>
      <w:pPr>
        <w:sectPr>
          <w:pgSz w:w="11900" w:h="16838" w:orient="portrait"/>
          <w:cols w:equalWidth="0" w:num="3">
            <w:col w:w="4560" w:space="51"/>
            <w:col w:w="2169" w:space="85"/>
            <w:col w:w="2315"/>
          </w:cols>
          <w:pgMar w:left="1360" w:top="114" w:right="1359" w:bottom="1440" w:gutter="0" w:footer="0" w:header="0"/>
          <w:type w:val="continuous"/>
        </w:sectPr>
      </w:pP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Code of Conduct</w:t>
      </w:r>
    </w:p>
    <w:p>
      <w:pPr>
        <w:spacing w:after="0" w:line="7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 xml:space="preserve">The Company has adopted a Code of Conduct that applies to all directors, officers, and employees of the Company and any subsidiary of the Company and is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“Investor Relations,” “Sustainability and Governance” and then “Policies and Guidelines.” In addition, we have adopted policies and procedures for reporting and investigating suspected violations of the Code of Conduct. The Company intends to satisfy any future disclosure requirement under Item 5.05 of Form 8-K regarding an amendment to or waiver from application of or provisions of the Code of Conduct, that applies to the CEO or the CFO, by posting such information on our website, </w:t>
      </w:r>
      <w:r>
        <w:rPr>
          <w:rFonts w:ascii="Arial" w:cs="Arial" w:eastAsia="Arial" w:hAnsi="Arial"/>
          <w:sz w:val="16"/>
          <w:szCs w:val="16"/>
          <w:i w:val="1"/>
          <w:iCs w:val="1"/>
          <w:color w:val="auto"/>
        </w:rPr>
        <w:t>www.itron.com</w:t>
      </w:r>
      <w:r>
        <w:rPr>
          <w:rFonts w:ascii="Arial" w:cs="Arial" w:eastAsia="Arial" w:hAnsi="Arial"/>
          <w:sz w:val="16"/>
          <w:szCs w:val="16"/>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Insider Trading Policies and Procedures</w:t>
      </w:r>
    </w:p>
    <w:p>
      <w:pPr>
        <w:spacing w:after="0" w:line="72"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color w:val="auto"/>
        </w:rPr>
        <w:t>The Company has an insider trading policy governing the purchase, sale and other dispositions of our securities by directors, officers and employees. The Company believes its insider trading policy is reasonably designed to promote compliance with insider trading laws, rules and regulations, and listing standards. A copy of the Company’s insider trading policy was filed as Exhibit 19.1 to its Annual Report on Form 10-K for the fiscal year ended December 31, 2024.</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Anti-Hedging Policy</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 xml:space="preserve">The Company has adopted an Anti-Hedging Policy that prohibits our directors, officers, and employees from entering into transactions involving our securities that are designed to hedge or offset any decrease in the market value of Itron securities. </w:t>
      </w:r>
      <w:r>
        <w:rPr>
          <w:rFonts w:ascii="Arial" w:cs="Arial" w:eastAsia="Arial" w:hAnsi="Arial"/>
          <w:sz w:val="16"/>
          <w:szCs w:val="16"/>
          <w:i w:val="1"/>
          <w:iCs w:val="1"/>
          <w:color w:val="auto"/>
        </w:rPr>
        <w:t xml:space="preserve">See </w:t>
      </w:r>
      <w:r>
        <w:rPr>
          <w:rFonts w:ascii="Arial" w:cs="Arial" w:eastAsia="Arial" w:hAnsi="Arial"/>
          <w:sz w:val="16"/>
          <w:szCs w:val="16"/>
          <w:color w:val="auto"/>
        </w:rPr>
        <w:t>“</w:t>
      </w:r>
      <w:r>
        <w:rPr>
          <w:rFonts w:ascii="Arial" w:cs="Arial" w:eastAsia="Arial" w:hAnsi="Arial"/>
          <w:sz w:val="16"/>
          <w:szCs w:val="16"/>
          <w:i w:val="1"/>
          <w:iCs w:val="1"/>
          <w:color w:val="auto"/>
        </w:rPr>
        <w:t>EXECUTIVE COMPENSATION – Compensation Discussion and Analysis – Anti-Hedging Policy</w:t>
      </w:r>
      <w:r>
        <w:rPr>
          <w:rFonts w:ascii="Arial" w:cs="Arial" w:eastAsia="Arial" w:hAnsi="Arial"/>
          <w:sz w:val="16"/>
          <w:szCs w:val="16"/>
          <w:color w:val="auto"/>
        </w:rPr>
        <w:t>” in this proxy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for more information on this policy.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Director Term Limit and Retirement Guidelines</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Governance Principles include a term limit provision to encourage Board refreshment. Non-executive directors are not eligible to stand for re-election after serving as a director for five full terms on the Board, with limited exceptions. Additionally, directors may not be nominated or appointed after age 75, unless the Board determines that it would be in the best interests of the Company’s shareholders to extend the director’s period of eligible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58293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3"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20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7180"/>
        <w:spacing w:after="0"/>
        <w:rPr>
          <w:sz w:val="20"/>
          <w:szCs w:val="20"/>
          <w:color w:val="auto"/>
        </w:rPr>
      </w:pPr>
      <w:r>
        <w:rPr>
          <w:rFonts w:ascii="Arial" w:cs="Arial" w:eastAsia="Arial" w:hAnsi="Arial"/>
          <w:sz w:val="14"/>
          <w:szCs w:val="14"/>
          <w:color w:val="5D6673"/>
        </w:rPr>
        <w:t>CORPORATE GOVERNANCE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Director Nominations by Shareholders</w:t>
      </w:r>
    </w:p>
    <w:p>
      <w:pPr>
        <w:spacing w:after="0" w:line="7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90 days nor more than 120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60" w:lineRule="exact"/>
        <w:rPr>
          <w:sz w:val="20"/>
          <w:szCs w:val="20"/>
          <w:color w:val="auto"/>
        </w:rPr>
      </w:pPr>
    </w:p>
    <w:p>
      <w:pPr>
        <w:ind w:left="560" w:hanging="206"/>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name and address of the shareholder;</w:t>
      </w:r>
    </w:p>
    <w:p>
      <w:pPr>
        <w:spacing w:after="0" w:line="86" w:lineRule="exact"/>
        <w:rPr>
          <w:rFonts w:ascii="Arial" w:cs="Arial" w:eastAsia="Arial" w:hAnsi="Arial"/>
          <w:sz w:val="16"/>
          <w:szCs w:val="16"/>
          <w:color w:val="auto"/>
        </w:rPr>
      </w:pPr>
    </w:p>
    <w:p>
      <w:pPr>
        <w:ind w:left="560" w:hanging="206"/>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representation that the shareholder is entitled to vote at the meeting at which directors will be elected;</w:t>
      </w:r>
    </w:p>
    <w:p>
      <w:pPr>
        <w:spacing w:after="0" w:line="99" w:lineRule="exact"/>
        <w:rPr>
          <w:rFonts w:ascii="Arial" w:cs="Arial" w:eastAsia="Arial" w:hAnsi="Arial"/>
          <w:sz w:val="16"/>
          <w:szCs w:val="16"/>
          <w:color w:val="auto"/>
        </w:rPr>
      </w:pPr>
    </w:p>
    <w:p>
      <w:pPr>
        <w:ind w:left="560" w:hanging="206"/>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statement of the number of shares of the Company that are beneficially owned by the shareholder; and</w:t>
      </w:r>
    </w:p>
    <w:p>
      <w:pPr>
        <w:spacing w:after="0" w:line="99" w:lineRule="exact"/>
        <w:rPr>
          <w:rFonts w:ascii="Arial" w:cs="Arial" w:eastAsia="Arial" w:hAnsi="Arial"/>
          <w:sz w:val="16"/>
          <w:szCs w:val="16"/>
          <w:color w:val="auto"/>
        </w:rPr>
      </w:pPr>
    </w:p>
    <w:p>
      <w:pPr>
        <w:ind w:left="560" w:right="120" w:hanging="206"/>
        <w:spacing w:after="0" w:line="286"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representation that the shareholder intends to appear in person or by proxy at the meeting to nominate the person or persons specified in the notice;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and the following information with respect to the person nominated by the shareholder:</w:t>
      </w:r>
    </w:p>
    <w:p>
      <w:pPr>
        <w:spacing w:after="0" w:line="100" w:lineRule="exact"/>
        <w:rPr>
          <w:sz w:val="20"/>
          <w:szCs w:val="20"/>
          <w:color w:val="auto"/>
        </w:rPr>
      </w:pPr>
    </w:p>
    <w:p>
      <w:pPr>
        <w:ind w:left="560" w:hanging="206"/>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name and address;</w:t>
      </w:r>
    </w:p>
    <w:p>
      <w:pPr>
        <w:spacing w:after="0" w:line="99" w:lineRule="exact"/>
        <w:rPr>
          <w:rFonts w:ascii="Arial" w:cs="Arial" w:eastAsia="Arial" w:hAnsi="Arial"/>
          <w:sz w:val="16"/>
          <w:szCs w:val="16"/>
          <w:color w:val="auto"/>
        </w:rPr>
      </w:pPr>
    </w:p>
    <w:p>
      <w:pPr>
        <w:ind w:left="560" w:right="560" w:hanging="206"/>
        <w:spacing w:after="0" w:line="286"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information regarding such nominee as would be required in a proxy statement filed pursuant to applicable SEC rules;</w:t>
      </w:r>
    </w:p>
    <w:p>
      <w:pPr>
        <w:spacing w:after="0" w:line="20" w:lineRule="exact"/>
        <w:rPr>
          <w:rFonts w:ascii="Arial" w:cs="Arial" w:eastAsia="Arial" w:hAnsi="Arial"/>
          <w:sz w:val="16"/>
          <w:szCs w:val="16"/>
          <w:color w:val="auto"/>
        </w:rPr>
      </w:pPr>
    </w:p>
    <w:p>
      <w:pPr>
        <w:ind w:left="560" w:right="60" w:hanging="206"/>
        <w:spacing w:after="0" w:line="286"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description of any arrangements or understandings between the shareholder and the nominee and any other persons (including their names), pursuant to which the nomination is made; and</w:t>
      </w:r>
    </w:p>
    <w:p>
      <w:pPr>
        <w:spacing w:after="0" w:line="34" w:lineRule="exact"/>
        <w:rPr>
          <w:rFonts w:ascii="Arial" w:cs="Arial" w:eastAsia="Arial" w:hAnsi="Arial"/>
          <w:sz w:val="16"/>
          <w:szCs w:val="16"/>
          <w:color w:val="auto"/>
        </w:rPr>
      </w:pPr>
    </w:p>
    <w:p>
      <w:pPr>
        <w:ind w:left="560" w:hanging="206"/>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consent of such nominee to serve as a director, if elected.</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Any notice of director nomination submitted to Itron must include the additional information required by Rule 14a-19(b) under the Exchange Act.</w:t>
      </w:r>
    </w:p>
    <w:p>
      <w:pPr>
        <w:spacing w:after="0" w:line="12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Other directors and senior management of the Company may also recommend director nominees for consideration by the Nominating and Corporate Governance Committee. The Nominating and Corporate Governance Committee evaluates director nominees, including nominees that are submitted to the Company by a shareholder, taking into consideration the qualification criteria set forth under “</w:t>
      </w:r>
      <w:r>
        <w:rPr>
          <w:rFonts w:ascii="Arial" w:cs="Arial" w:eastAsia="Arial" w:hAnsi="Arial"/>
          <w:sz w:val="16"/>
          <w:szCs w:val="16"/>
          <w:i w:val="1"/>
          <w:iCs w:val="1"/>
          <w:color w:val="auto"/>
        </w:rPr>
        <w:t>ELECTION OF DIRECTORS – Director and Director Nominee Qualifications</w:t>
      </w:r>
      <w:r>
        <w:rPr>
          <w:rFonts w:ascii="Arial" w:cs="Arial" w:eastAsia="Arial" w:hAnsi="Arial"/>
          <w:sz w:val="16"/>
          <w:szCs w:val="16"/>
          <w:color w:val="auto"/>
        </w:rPr>
        <w:t>” in this proxy statement. In the event of a shareholder recommendation, the Nominating and Corporate Governance Committee screens and evaluates the person recommended in the same manner as other candidates. In addition, the Nominating and Corporate Governance Committee determines if the proposed director nominee will have sufficient time available to effectively carry out his or her Board duties and responsibilities. The Nominating and Corporate Governance Committee may then recommend the director candidate to the Board for its consideration, if deemed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Shareholder Communications with the Board</w:t>
      </w:r>
    </w:p>
    <w:p>
      <w:pPr>
        <w:spacing w:after="0" w:line="8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6"/>
          <w:szCs w:val="16"/>
          <w:i w:val="1"/>
          <w:iCs w:val="1"/>
          <w:color w:val="auto"/>
        </w:rPr>
        <w:t>boardofdirectors@itron.com</w:t>
      </w:r>
      <w:r>
        <w:rPr>
          <w:rFonts w:ascii="Arial" w:cs="Arial" w:eastAsia="Arial" w:hAnsi="Arial"/>
          <w:sz w:val="16"/>
          <w:szCs w:val="16"/>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“Sustainability and Governance” and then “Contact the Board.”</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“Sustainability and Governance” and then “Contact the Board.”</w:t>
      </w:r>
    </w:p>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Shareholders wishing to submit proposals for inclusion in the proxy statement relating to the 2026 annual shareholders meeting should follow the procedures specified under “</w:t>
      </w:r>
      <w:r>
        <w:rPr>
          <w:rFonts w:ascii="Arial" w:cs="Arial" w:eastAsia="Arial" w:hAnsi="Arial"/>
          <w:sz w:val="16"/>
          <w:szCs w:val="16"/>
          <w:i w:val="1"/>
          <w:iCs w:val="1"/>
          <w:color w:val="auto"/>
        </w:rPr>
        <w:t>SHAREHOLDER PROPOSALS FOR THE 2026 ANNUAL MEETING</w:t>
      </w:r>
      <w:r>
        <w:rPr>
          <w:rFonts w:ascii="Arial" w:cs="Arial" w:eastAsia="Arial" w:hAnsi="Arial"/>
          <w:sz w:val="16"/>
          <w:szCs w:val="16"/>
          <w:color w:val="auto"/>
        </w:rPr>
        <w:t>” in this proxy statement. Shareholders wishing to nominate directors should follow the procedures specified under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w:t>
      </w:r>
      <w:r>
        <w:rPr>
          <w:rFonts w:ascii="Arial" w:cs="Arial" w:eastAsia="Arial" w:hAnsi="Arial"/>
          <w:sz w:val="16"/>
          <w:szCs w:val="16"/>
          <w:color w:val="auto"/>
        </w:rPr>
        <w:t>–</w:t>
      </w:r>
      <w:r>
        <w:rPr>
          <w:rFonts w:ascii="Arial" w:cs="Arial" w:eastAsia="Arial" w:hAnsi="Arial"/>
          <w:sz w:val="16"/>
          <w:szCs w:val="16"/>
          <w:i w:val="1"/>
          <w:iCs w:val="1"/>
          <w:color w:val="auto"/>
        </w:rPr>
        <w:t xml:space="preserve"> Director Nominations by Shareholders</w:t>
      </w:r>
      <w:r>
        <w:rPr>
          <w:rFonts w:ascii="Arial" w:cs="Arial" w:eastAsia="Arial" w:hAnsi="Arial"/>
          <w:sz w:val="16"/>
          <w:szCs w:val="16"/>
          <w:color w:val="auto"/>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58293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CORPORATE GOVERNANCE</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Corporate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891540" cy="30003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91540" cy="300037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Our</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Our</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FFFFFF"/>
        </w:rPr>
        <w:t>Approach</w:t>
      </w:r>
    </w:p>
    <w:p>
      <w:pPr>
        <w:ind w:left="160"/>
        <w:spacing w:after="0"/>
        <w:rPr>
          <w:sz w:val="20"/>
          <w:szCs w:val="20"/>
          <w:color w:val="auto"/>
        </w:rPr>
      </w:pPr>
      <w:r>
        <w:rPr>
          <w:rFonts w:ascii="Arial" w:cs="Arial" w:eastAsia="Arial" w:hAnsi="Arial"/>
          <w:sz w:val="20"/>
          <w:szCs w:val="20"/>
          <w:b w:val="1"/>
          <w:bCs w:val="1"/>
          <w:color w:val="FFFFFF"/>
        </w:rPr>
        <w:t>to ESG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ESG</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FFFFFF"/>
        </w:rPr>
        <w:t>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Itron is innovating new ways for utilities and cities to manage energy and water. As a proven global leader with more than 8,000 customers in over 100 countries, we build innovative solutions, create new efficiencies, connect communities, encourage conservation and increase resourcefulness for our customers. Itron’s portfolio of intelligent networks, software, services, meters and sensors provide greater visibility and more control of the world’s energy and water delivery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140335</wp:posOffset>
            </wp:positionV>
            <wp:extent cx="49377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Itron is a purpose-driven company and has been since its inception. Our commitment to sustainability and environmental, social and governance (ESG) practices is core to how we create a more resourceful world. It is intrinsic to our strategy and allows us to address the evolving expectations of our customers, shareholders, employees, communities, regulators and other stakeholders. Simply stated, we strive to uphold these practices because it’s the right thing to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140335</wp:posOffset>
            </wp:positionV>
            <wp:extent cx="4937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Itron’s sustainability governance starts at the top, with oversight of our efforts from our Board of Directors. The Board is comprised of individuals with wide-ranging experience in governance, operations, supply chain, cybersecurity and risk management topics. The Board and its committees receive regular updates from management on environmental and social topics. Each strategic pillar is sponsored by a member of Itron’s executive leadership team, and our Vice President of Global Marketing, ESG and Public Affairs oversees our sustainability strategy and disclosures. Ultimately, responsibility and accountability extend down to the grass-roots level, where sustainability is embedded into our operations, our employees’ day-to-day activities and our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819150</wp:posOffset>
            </wp:positionV>
            <wp:extent cx="4105910" cy="2468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05910" cy="24688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460"/>
            <w:col w:w="7600"/>
          </w:cols>
          <w:pgMar w:left="1360" w:top="114"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22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CORPORATE GOVERNANCE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Topic Prioritization &amp; Stakeholder Engagement</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Itron periodically examines its sustainability objectives to account for changes within our business, the regulatory environment and stakeholder expectations. This year, facilitated by a third party, we commenced an organization-wide assessment of Itron’s priority sustainability topics. This assessment weighed the relevance of a wide universe of topics identified as potentially impactful by customers, investors, regulators, sustainability frameworks, ratings agencies and peers through surveys with leadership and other internal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1903095" cy="44488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03095" cy="444881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174625</wp:posOffset>
            </wp:positionV>
            <wp:extent cx="8890" cy="59321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593217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180" w:right="680"/>
        <w:spacing w:after="0" w:line="277" w:lineRule="auto"/>
        <w:rPr>
          <w:sz w:val="20"/>
          <w:szCs w:val="20"/>
          <w:color w:val="auto"/>
        </w:rPr>
      </w:pPr>
      <w:r>
        <w:rPr>
          <w:rFonts w:ascii="Arial" w:cs="Arial" w:eastAsia="Arial" w:hAnsi="Arial"/>
          <w:sz w:val="19"/>
          <w:szCs w:val="19"/>
          <w:b w:val="1"/>
          <w:bCs w:val="1"/>
          <w:color w:val="0063A6"/>
        </w:rPr>
        <w:t>Our Strategic Pillars and Highlights</w:t>
      </w:r>
    </w:p>
    <w:p>
      <w:pPr>
        <w:spacing w:after="0" w:line="1" w:lineRule="exact"/>
        <w:rPr>
          <w:sz w:val="20"/>
          <w:szCs w:val="20"/>
          <w:color w:val="auto"/>
        </w:rPr>
      </w:pPr>
    </w:p>
    <w:p>
      <w:pPr>
        <w:ind w:left="180"/>
        <w:spacing w:after="0" w:line="334" w:lineRule="auto"/>
        <w:rPr>
          <w:sz w:val="20"/>
          <w:szCs w:val="20"/>
          <w:color w:val="auto"/>
        </w:rPr>
      </w:pPr>
      <w:r>
        <w:rPr>
          <w:rFonts w:ascii="Arial" w:cs="Arial" w:eastAsia="Arial" w:hAnsi="Arial"/>
          <w:sz w:val="15"/>
          <w:szCs w:val="15"/>
          <w:color w:val="auto"/>
        </w:rPr>
        <w:t>Our ESG strategy is centered around four key pillars. These encompass topics our leadership has determined are strategic priorities within the environmental, social and governance dimensions:</w:t>
      </w:r>
    </w:p>
    <w:p>
      <w:pPr>
        <w:spacing w:after="0" w:line="85" w:lineRule="exact"/>
        <w:rPr>
          <w:sz w:val="20"/>
          <w:szCs w:val="20"/>
          <w:color w:val="auto"/>
        </w:rPr>
      </w:pPr>
    </w:p>
    <w:p>
      <w:pPr>
        <w:jc w:val="both"/>
        <w:ind w:left="400" w:right="40" w:hanging="219"/>
        <w:spacing w:after="0" w:line="301" w:lineRule="auto"/>
        <w:tabs>
          <w:tab w:leader="none" w:pos="380" w:val="left"/>
        </w:tabs>
        <w:rPr>
          <w:sz w:val="20"/>
          <w:szCs w:val="20"/>
          <w:color w:val="auto"/>
        </w:rPr>
      </w:pPr>
      <w:r>
        <w:rPr>
          <w:rFonts w:ascii="Arial" w:cs="Arial" w:eastAsia="Arial" w:hAnsi="Arial"/>
          <w:sz w:val="15"/>
          <w:szCs w:val="15"/>
          <w:color w:val="auto"/>
        </w:rPr>
        <w:t>• </w:t>
        <w:tab/>
        <w:t>Operating with Integrity – How we strive to do the right thing. Always.</w:t>
      </w:r>
    </w:p>
    <w:p>
      <w:pPr>
        <w:spacing w:after="0" w:line="67" w:lineRule="exact"/>
        <w:rPr>
          <w:sz w:val="20"/>
          <w:szCs w:val="20"/>
          <w:color w:val="auto"/>
        </w:rPr>
      </w:pPr>
    </w:p>
    <w:p>
      <w:pPr>
        <w:ind w:left="400" w:right="80" w:hanging="219"/>
        <w:spacing w:after="0" w:line="272" w:lineRule="auto"/>
        <w:tabs>
          <w:tab w:leader="none" w:pos="380" w:val="left"/>
        </w:tabs>
        <w:rPr>
          <w:sz w:val="20"/>
          <w:szCs w:val="20"/>
          <w:color w:val="auto"/>
        </w:rPr>
      </w:pPr>
      <w:r>
        <w:rPr>
          <w:rFonts w:ascii="Arial" w:cs="Arial" w:eastAsia="Arial" w:hAnsi="Arial"/>
          <w:sz w:val="15"/>
          <w:szCs w:val="15"/>
          <w:color w:val="auto"/>
        </w:rPr>
        <w:t>• </w:t>
        <w:tab/>
        <w:t>Providing Sustainable Solutions – How we help our customers succeed, including helping them achieve their environmental goals and business objectives.</w:t>
      </w:r>
    </w:p>
    <w:p>
      <w:pPr>
        <w:spacing w:after="0" w:line="89" w:lineRule="exact"/>
        <w:rPr>
          <w:sz w:val="20"/>
          <w:szCs w:val="20"/>
          <w:color w:val="auto"/>
        </w:rPr>
      </w:pPr>
    </w:p>
    <w:p>
      <w:pPr>
        <w:ind w:left="400" w:hanging="219"/>
        <w:spacing w:after="0" w:line="282" w:lineRule="auto"/>
        <w:tabs>
          <w:tab w:leader="none" w:pos="380" w:val="left"/>
        </w:tabs>
        <w:rPr>
          <w:sz w:val="20"/>
          <w:szCs w:val="20"/>
          <w:color w:val="auto"/>
        </w:rPr>
      </w:pPr>
      <w:r>
        <w:rPr>
          <w:rFonts w:ascii="Arial" w:cs="Arial" w:eastAsia="Arial" w:hAnsi="Arial"/>
          <w:sz w:val="15"/>
          <w:szCs w:val="15"/>
          <w:color w:val="auto"/>
        </w:rPr>
        <w:t>• </w:t>
        <w:tab/>
        <w:t>Improving Our Environmental Impact – How we run our company with an eye toward sustainability.</w:t>
      </w:r>
    </w:p>
    <w:p>
      <w:pPr>
        <w:spacing w:after="0" w:line="94" w:lineRule="exact"/>
        <w:rPr>
          <w:sz w:val="20"/>
          <w:szCs w:val="20"/>
          <w:color w:val="auto"/>
        </w:rPr>
      </w:pPr>
    </w:p>
    <w:p>
      <w:pPr>
        <w:ind w:left="400" w:hanging="219"/>
        <w:spacing w:after="0" w:line="263" w:lineRule="auto"/>
        <w:tabs>
          <w:tab w:leader="none" w:pos="380" w:val="left"/>
        </w:tabs>
        <w:rPr>
          <w:sz w:val="20"/>
          <w:szCs w:val="20"/>
          <w:color w:val="auto"/>
        </w:rPr>
      </w:pPr>
      <w:r>
        <w:rPr>
          <w:rFonts w:ascii="Arial" w:cs="Arial" w:eastAsia="Arial" w:hAnsi="Arial"/>
          <w:sz w:val="15"/>
          <w:szCs w:val="15"/>
          <w:color w:val="auto"/>
        </w:rPr>
        <w:t>• </w:t>
        <w:tab/>
        <w:t>Supporting Our People &amp; Communities – How we uphold our commitment to employees and communities across the globe.</w:t>
      </w:r>
    </w:p>
    <w:p>
      <w:pPr>
        <w:ind w:left="40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0063A6"/>
        </w:rPr>
        <w:t>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-241935</wp:posOffset>
            </wp:positionV>
            <wp:extent cx="471805" cy="4540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1805" cy="454025"/>
                    </a:xfrm>
                    <a:prstGeom prst="rect">
                      <a:avLst/>
                    </a:prstGeom>
                    <a:noFill/>
                  </pic:spPr>
                </pic:pic>
              </a:graphicData>
            </a:graphic>
          </wp:anchor>
        </w:drawing>
      </w:r>
    </w:p>
    <w:p>
      <w:pPr>
        <w:ind w:left="1080"/>
        <w:spacing w:after="0" w:line="231" w:lineRule="auto"/>
        <w:rPr>
          <w:sz w:val="20"/>
          <w:szCs w:val="20"/>
          <w:color w:val="auto"/>
        </w:rPr>
      </w:pPr>
      <w:r>
        <w:rPr>
          <w:rFonts w:ascii="Arial" w:cs="Arial" w:eastAsia="Arial" w:hAnsi="Arial"/>
          <w:sz w:val="20"/>
          <w:szCs w:val="20"/>
          <w:b w:val="1"/>
          <w:bCs w:val="1"/>
          <w:color w:val="0063A6"/>
        </w:rPr>
        <w:t>with</w:t>
      </w:r>
    </w:p>
    <w:p>
      <w:pPr>
        <w:ind w:left="1080" w:hanging="1073"/>
        <w:spacing w:after="0" w:line="182" w:lineRule="auto"/>
        <w:tabs>
          <w:tab w:leader="none" w:pos="1080" w:val="left"/>
        </w:tabs>
        <w:numPr>
          <w:ilvl w:val="0"/>
          <w:numId w:val="21"/>
        </w:numPr>
        <w:rPr>
          <w:rFonts w:ascii="Arial" w:cs="Arial" w:eastAsia="Arial" w:hAnsi="Arial"/>
          <w:sz w:val="29"/>
          <w:szCs w:val="29"/>
          <w:color w:val="auto"/>
          <w:vertAlign w:val="subscript"/>
        </w:rPr>
      </w:pPr>
      <w:r>
        <w:rPr>
          <w:rFonts w:ascii="Arial" w:cs="Arial" w:eastAsia="Arial" w:hAnsi="Arial"/>
          <w:sz w:val="18"/>
          <w:szCs w:val="18"/>
          <w:b w:val="1"/>
          <w:bCs w:val="1"/>
          <w:color w:val="0063A6"/>
        </w:rPr>
        <w:t>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17741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3"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0063A6"/>
        </w:rPr>
        <w:t>89% independent board of directors  </w:t>
      </w:r>
    </w:p>
    <w:p>
      <w:pPr>
        <w:spacing w:after="0" w:line="1" w:lineRule="exact"/>
        <w:rPr>
          <w:sz w:val="20"/>
          <w:szCs w:val="20"/>
          <w:color w:val="auto"/>
        </w:rPr>
      </w:pPr>
    </w:p>
    <w:p>
      <w:pPr>
        <w:ind w:right="600"/>
        <w:spacing w:after="0" w:line="272" w:lineRule="auto"/>
        <w:rPr>
          <w:sz w:val="20"/>
          <w:szCs w:val="20"/>
          <w:color w:val="auto"/>
        </w:rPr>
      </w:pPr>
      <w:r>
        <w:rPr>
          <w:rFonts w:ascii="Arial" w:cs="Arial" w:eastAsia="Arial" w:hAnsi="Arial"/>
          <w:sz w:val="16"/>
          <w:szCs w:val="16"/>
          <w:color w:val="0063A6"/>
        </w:rPr>
        <w:t>33% female board of directors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Signatory to the United Nations Global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63A6"/>
        </w:rPr>
        <w:t>Compact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0063A6"/>
        </w:rPr>
        <w:t>Target 100% code of conduct training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63A6"/>
        </w:rPr>
        <w:t>completion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3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0063A6"/>
        </w:rPr>
        <w:t>Follows International Organization for Standardization (ISO) and National Institute of Standards and Technology (NIST) cybersecurity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70485</wp:posOffset>
            </wp:positionV>
            <wp:extent cx="522605" cy="522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0063A6"/>
        </w:rPr>
        <w:t>Improving Our</w:t>
      </w:r>
    </w:p>
    <w:p>
      <w:pPr>
        <w:ind w:left="1080"/>
        <w:spacing w:after="0" w:line="231" w:lineRule="auto"/>
        <w:rPr>
          <w:sz w:val="20"/>
          <w:szCs w:val="20"/>
          <w:color w:val="auto"/>
        </w:rPr>
      </w:pPr>
      <w:r>
        <w:rPr>
          <w:rFonts w:ascii="Arial" w:cs="Arial" w:eastAsia="Arial" w:hAnsi="Arial"/>
          <w:sz w:val="20"/>
          <w:szCs w:val="20"/>
          <w:b w:val="1"/>
          <w:bCs w:val="1"/>
          <w:color w:val="0063A6"/>
        </w:rPr>
        <w:t>Environmental</w:t>
      </w:r>
    </w:p>
    <w:p>
      <w:pPr>
        <w:ind w:left="1080"/>
        <w:spacing w:after="0" w:line="231" w:lineRule="auto"/>
        <w:rPr>
          <w:sz w:val="20"/>
          <w:szCs w:val="20"/>
          <w:color w:val="auto"/>
        </w:rPr>
      </w:pPr>
      <w:r>
        <w:rPr>
          <w:rFonts w:ascii="Arial" w:cs="Arial" w:eastAsia="Arial" w:hAnsi="Arial"/>
          <w:sz w:val="20"/>
          <w:szCs w:val="20"/>
          <w:b w:val="1"/>
          <w:bCs w:val="1"/>
          <w:color w:val="0063A6"/>
        </w:rPr>
        <w:t>Impact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7741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0063A6"/>
        </w:rPr>
        <w:t>Environmental policy formalizes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1040" w:right="220"/>
        <w:spacing w:after="0" w:line="255" w:lineRule="auto"/>
        <w:rPr>
          <w:sz w:val="20"/>
          <w:szCs w:val="20"/>
          <w:color w:val="auto"/>
        </w:rPr>
      </w:pPr>
      <w:r>
        <w:rPr>
          <w:rFonts w:ascii="Arial" w:cs="Arial" w:eastAsia="Arial" w:hAnsi="Arial"/>
          <w:sz w:val="19"/>
          <w:szCs w:val="19"/>
          <w:b w:val="1"/>
          <w:bCs w:val="1"/>
          <w:color w:val="0063A6"/>
        </w:rPr>
        <w:t>Supporting Our People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-373380</wp:posOffset>
            </wp:positionV>
            <wp:extent cx="471805" cy="4540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1805" cy="454025"/>
                    </a:xfrm>
                    <a:prstGeom prst="rect">
                      <a:avLst/>
                    </a:prstGeom>
                    <a:noFill/>
                  </pic:spPr>
                </pic:pic>
              </a:graphicData>
            </a:graphic>
          </wp:anchor>
        </w:drawing>
      </w:r>
    </w:p>
    <w:p>
      <w:pPr>
        <w:ind w:left="1040" w:hanging="1040"/>
        <w:spacing w:after="0" w:line="183" w:lineRule="auto"/>
        <w:tabs>
          <w:tab w:leader="none" w:pos="1040" w:val="left"/>
        </w:tabs>
        <w:numPr>
          <w:ilvl w:val="0"/>
          <w:numId w:val="22"/>
        </w:numPr>
        <w:rPr>
          <w:rFonts w:ascii="Arial" w:cs="Arial" w:eastAsia="Arial" w:hAnsi="Arial"/>
          <w:sz w:val="29"/>
          <w:szCs w:val="29"/>
          <w:color w:val="auto"/>
          <w:vertAlign w:val="subscript"/>
        </w:rPr>
      </w:pPr>
      <w:r>
        <w:rPr>
          <w:rFonts w:ascii="Arial" w:cs="Arial" w:eastAsia="Arial" w:hAnsi="Arial"/>
          <w:sz w:val="18"/>
          <w:szCs w:val="18"/>
          <w:b w:val="1"/>
          <w:bCs w:val="1"/>
          <w:color w:val="0063A6"/>
        </w:rPr>
        <w:t>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671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0063A6"/>
        </w:rPr>
        <w:t>Comprehensive health &amp; safety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0063A6"/>
        </w:rPr>
        <w:t>program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9"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0063A6"/>
        </w:rPr>
        <w:t>Continuously monitoring the health, perspectives and concerns of our global employee population through ongoing initiatives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5"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0063A6"/>
        </w:rPr>
        <w:t>Competitive compensation packages and comprehensive benefits to all employees in every region where we operate</w:t>
      </w:r>
    </w:p>
    <w:p>
      <w:pPr>
        <w:spacing w:after="0" w:line="200" w:lineRule="exact"/>
        <w:rPr>
          <w:sz w:val="20"/>
          <w:szCs w:val="20"/>
          <w:color w:val="auto"/>
        </w:rPr>
      </w:pPr>
    </w:p>
    <w:p>
      <w:pPr>
        <w:spacing w:after="0" w:line="23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0063A6"/>
        </w:rPr>
        <w:t>Corporate social responsibility focused on corporate philanthropy, employee giving and volunteerism and educational outreach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318770</wp:posOffset>
            </wp:positionV>
            <wp:extent cx="402590" cy="4540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2590" cy="454025"/>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3">
            <w:col w:w="2760" w:space="440"/>
            <w:col w:w="2760" w:space="460"/>
            <w:col w:w="2720"/>
          </w:cols>
          <w:pgMar w:left="1360" w:top="114" w:right="1399" w:bottom="1440" w:gutter="0" w:footer="0" w:header="0"/>
          <w:type w:val="continuous"/>
        </w:sectPr>
      </w:pPr>
    </w:p>
    <w:p>
      <w:pPr>
        <w:ind w:left="180"/>
        <w:spacing w:after="0" w:line="226" w:lineRule="auto"/>
        <w:rPr>
          <w:sz w:val="20"/>
          <w:szCs w:val="20"/>
          <w:color w:val="auto"/>
        </w:rPr>
      </w:pPr>
      <w:r>
        <w:rPr>
          <w:rFonts w:ascii="Arial" w:cs="Arial" w:eastAsia="Arial" w:hAnsi="Arial"/>
          <w:sz w:val="15"/>
          <w:szCs w:val="15"/>
          <w:color w:val="auto"/>
        </w:rPr>
        <w:t>These pillars allow us to focus on and execute Itron’s ESG strategy across a diverse and ever-changing landscape of opportunities, both internally and externally. Collectively, they help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63A6"/>
        </w:rPr>
        <w:t>commitment to environmental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0063A6"/>
        </w:rPr>
        <w:t>stewardship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ind w:right="560"/>
        <w:spacing w:after="0" w:line="256" w:lineRule="auto"/>
        <w:rPr>
          <w:sz w:val="20"/>
          <w:szCs w:val="20"/>
          <w:color w:val="auto"/>
        </w:rPr>
      </w:pPr>
      <w:r>
        <w:rPr>
          <w:rFonts w:ascii="Arial" w:cs="Arial" w:eastAsia="Arial" w:hAnsi="Arial"/>
          <w:sz w:val="19"/>
          <w:szCs w:val="19"/>
          <w:b w:val="1"/>
          <w:bCs w:val="1"/>
          <w:color w:val="0063A6"/>
        </w:rPr>
        <w:t>Providing Sustainable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64135</wp:posOffset>
            </wp:positionV>
            <wp:extent cx="1671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4">
            <w:col w:w="2760" w:space="440"/>
            <w:col w:w="2500" w:space="720"/>
            <w:col w:w="320" w:space="720"/>
            <w:col w:w="1680"/>
          </w:cols>
          <w:pgMar w:left="1360" w:top="114" w:right="1399" w:bottom="1440" w:gutter="0" w:footer="0" w:header="0"/>
          <w:type w:val="continuous"/>
        </w:sectPr>
      </w:pPr>
    </w:p>
    <w:p>
      <w:pPr>
        <w:spacing w:after="0" w:line="103" w:lineRule="exact"/>
        <w:rPr>
          <w:sz w:val="20"/>
          <w:szCs w:val="20"/>
          <w:color w:val="auto"/>
        </w:rPr>
      </w:pPr>
    </w:p>
    <w:p>
      <w:pPr>
        <w:ind w:left="180" w:right="120"/>
        <w:spacing w:after="0" w:line="301" w:lineRule="auto"/>
        <w:rPr>
          <w:sz w:val="20"/>
          <w:szCs w:val="20"/>
          <w:color w:val="auto"/>
        </w:rPr>
      </w:pPr>
      <w:r>
        <w:rPr>
          <w:rFonts w:ascii="Arial" w:cs="Arial" w:eastAsia="Arial" w:hAnsi="Arial"/>
          <w:sz w:val="15"/>
          <w:szCs w:val="15"/>
          <w:color w:val="auto"/>
        </w:rPr>
        <w:t>achieve our goals and commitments to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1903095" cy="1594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03095" cy="1594485"/>
                    </a:xfrm>
                    <a:prstGeom prst="rect">
                      <a:avLst/>
                    </a:prstGeom>
                    <a:noFill/>
                  </pic:spPr>
                </pic:pic>
              </a:graphicData>
            </a:graphic>
          </wp:anchor>
        </w:drawing>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063A6"/>
        </w:rPr>
        <w:t>More Information</w:t>
      </w:r>
    </w:p>
    <w:p>
      <w:pPr>
        <w:spacing w:after="0" w:line="87" w:lineRule="exact"/>
        <w:rPr>
          <w:sz w:val="20"/>
          <w:szCs w:val="20"/>
          <w:color w:val="auto"/>
        </w:rPr>
      </w:pPr>
    </w:p>
    <w:p>
      <w:pPr>
        <w:ind w:left="180"/>
        <w:spacing w:after="0" w:line="244" w:lineRule="auto"/>
        <w:rPr>
          <w:sz w:val="20"/>
          <w:szCs w:val="20"/>
          <w:color w:val="auto"/>
        </w:rPr>
      </w:pPr>
      <w:r>
        <w:rPr>
          <w:rFonts w:ascii="Arial" w:cs="Arial" w:eastAsia="Arial" w:hAnsi="Arial"/>
          <w:sz w:val="15"/>
          <w:szCs w:val="15"/>
          <w:color w:val="FFFFFF"/>
        </w:rPr>
        <w:t>For more information we encourage you to read our 2023 Corporate Sustainability Report at itron.com/esg.</w:t>
      </w:r>
    </w:p>
    <w:p>
      <w:pPr>
        <w:spacing w:after="0" w:line="41" w:lineRule="exact"/>
        <w:rPr>
          <w:sz w:val="20"/>
          <w:szCs w:val="20"/>
          <w:color w:val="auto"/>
        </w:rPr>
      </w:pPr>
    </w:p>
    <w:p>
      <w:pPr>
        <w:ind w:left="180" w:right="60"/>
        <w:spacing w:after="0" w:line="236" w:lineRule="auto"/>
        <w:rPr>
          <w:sz w:val="20"/>
          <w:szCs w:val="20"/>
          <w:color w:val="auto"/>
        </w:rPr>
      </w:pPr>
      <w:r>
        <w:rPr>
          <w:rFonts w:ascii="Arial" w:cs="Arial" w:eastAsia="Arial" w:hAnsi="Arial"/>
          <w:sz w:val="15"/>
          <w:szCs w:val="15"/>
          <w:color w:val="FFFFFF"/>
        </w:rPr>
        <w:t>Content on our Company website is not, and shall not be deemed to be, part of this proxy statement or incorporated herein or into any of our other filings with the SEC.</w:t>
      </w:r>
    </w:p>
    <w:p>
      <w:pPr>
        <w:spacing w:after="0" w:line="20" w:lineRule="exact"/>
        <w:rPr>
          <w:sz w:val="20"/>
          <w:szCs w:val="20"/>
          <w:color w:val="auto"/>
        </w:rPr>
      </w:pPr>
      <w:r>
        <w:rPr>
          <w:sz w:val="20"/>
          <w:szCs w:val="20"/>
          <w:color w:val="auto"/>
        </w:rPr>
        <w:br w:type="column"/>
      </w:r>
    </w:p>
    <w:p>
      <w:pPr>
        <w:ind w:right="220"/>
        <w:spacing w:after="0" w:line="265" w:lineRule="auto"/>
        <w:rPr>
          <w:sz w:val="20"/>
          <w:szCs w:val="20"/>
          <w:color w:val="auto"/>
        </w:rPr>
      </w:pPr>
      <w:r>
        <w:rPr>
          <w:rFonts w:ascii="Arial" w:cs="Arial" w:eastAsia="Arial" w:hAnsi="Arial"/>
          <w:sz w:val="16"/>
          <w:szCs w:val="16"/>
          <w:color w:val="0063A6"/>
        </w:rPr>
        <w:t>Manufacturing facilities aligned with international operating standards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0063A6"/>
        </w:rPr>
        <w:t>Climate related targets in place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63A6"/>
        </w:rPr>
        <w:t xml:space="preserve">  Reduced Scope 1 and Scope 2</w:t>
      </w:r>
    </w:p>
    <w:p>
      <w:pPr>
        <w:spacing w:after="0" w:line="5" w:lineRule="exact"/>
        <w:rPr>
          <w:sz w:val="20"/>
          <w:szCs w:val="20"/>
          <w:color w:val="auto"/>
        </w:rPr>
      </w:pPr>
    </w:p>
    <w:p>
      <w:pPr>
        <w:ind w:left="180" w:right="120"/>
        <w:spacing w:after="0" w:line="246" w:lineRule="auto"/>
        <w:rPr>
          <w:sz w:val="20"/>
          <w:szCs w:val="20"/>
          <w:color w:val="auto"/>
        </w:rPr>
      </w:pPr>
      <w:r>
        <w:rPr>
          <w:rFonts w:ascii="Arial" w:cs="Arial" w:eastAsia="Arial" w:hAnsi="Arial"/>
          <w:sz w:val="16"/>
          <w:szCs w:val="16"/>
          <w:color w:val="0063A6"/>
        </w:rPr>
        <w:t>GHG emissions &gt;50% reduction in 2023, 5 years ahead of target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16" w:lineRule="exact"/>
        <w:rPr>
          <w:sz w:val="20"/>
          <w:szCs w:val="20"/>
          <w:color w:val="auto"/>
        </w:rPr>
      </w:pPr>
    </w:p>
    <w:p>
      <w:pPr>
        <w:ind w:left="180" w:right="100" w:hanging="170"/>
        <w:spacing w:after="0" w:line="256"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63A6"/>
        </w:rPr>
        <w:t xml:space="preserve">  Make operations carbon neutral by</w:t>
      </w:r>
      <w:r>
        <w:rPr>
          <w:rFonts w:ascii="Arial" w:cs="Arial" w:eastAsia="Arial" w:hAnsi="Arial"/>
          <w:sz w:val="16"/>
          <w:szCs w:val="16"/>
          <w:color w:val="D02A2E"/>
        </w:rPr>
        <w:t xml:space="preserve"> </w:t>
      </w:r>
      <w:r>
        <w:rPr>
          <w:rFonts w:ascii="Arial" w:cs="Arial" w:eastAsia="Arial" w:hAnsi="Arial"/>
          <w:sz w:val="16"/>
          <w:szCs w:val="16"/>
          <w:color w:val="0063A6"/>
        </w:rPr>
        <w:t>2035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63A6"/>
        </w:rPr>
        <w:t xml:space="preserve">  Achieve net zero emissions by 2050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5"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0063A6"/>
        </w:rPr>
        <w:t>Supplier code of conduct includes ESG expectations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353060</wp:posOffset>
            </wp:positionV>
            <wp:extent cx="58293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0063A6"/>
        </w:rPr>
        <w:t>Itron solutions enable customers to avoid greenhouse gas emissions</w:t>
      </w:r>
    </w:p>
    <w:p>
      <w:pPr>
        <w:spacing w:after="0" w:line="169"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0063A6"/>
        </w:rPr>
        <w:t>Working with customers to address sustainability related changes  </w:t>
      </w:r>
    </w:p>
    <w:p>
      <w:pPr>
        <w:spacing w:after="0" w:line="175"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0063A6"/>
        </w:rPr>
        <w:t>Solutions enable increased operational efficiencies and higher consumer engagement</w:t>
      </w:r>
    </w:p>
    <w:p>
      <w:pPr>
        <w:spacing w:after="0" w:line="1212" w:lineRule="exact"/>
        <w:rPr>
          <w:sz w:val="20"/>
          <w:szCs w:val="20"/>
          <w:color w:val="auto"/>
        </w:rPr>
      </w:pPr>
    </w:p>
    <w:p>
      <w:pPr>
        <w:sectPr>
          <w:pgSz w:w="11900" w:h="16838" w:orient="portrait"/>
          <w:cols w:equalWidth="0" w:num="3">
            <w:col w:w="2760" w:space="440"/>
            <w:col w:w="2780" w:space="440"/>
            <w:col w:w="2720"/>
          </w:cols>
          <w:pgMar w:left="1360" w:top="114" w:right="139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line="309" w:lineRule="auto"/>
        <w:rPr>
          <w:sz w:val="20"/>
          <w:szCs w:val="20"/>
          <w:color w:val="auto"/>
        </w:rPr>
      </w:pPr>
      <w:r>
        <w:rPr>
          <w:rFonts w:ascii="Arial" w:cs="Arial" w:eastAsia="Arial" w:hAnsi="Arial"/>
          <w:sz w:val="23"/>
          <w:szCs w:val="23"/>
          <w:b w:val="1"/>
          <w:bCs w:val="1"/>
          <w:color w:val="0063A6"/>
        </w:rPr>
        <w:t>PROPOSAL 2 – ADVISORY APPROVAL OF EXECUTIVE COMPENSATION (SAY-ON-PAY)</w:t>
      </w:r>
    </w:p>
    <w:p>
      <w:pPr>
        <w:spacing w:after="0" w:line="6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asking our shareholders to approve a non-binding advisory resolution on the Company’s executive compensation program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As discussed in the Compensation Discussion and Analysis (CD&amp;A) section of this proxy statement, we believe our executive compensation program is reasonable, competitive and strongly focused on pay-for-performance principles that will result in the creation of long-term shareholder value. Some of the features of our executive compensation program that illustrate our philosophy are:</w:t>
      </w:r>
    </w:p>
    <w:p>
      <w:pPr>
        <w:spacing w:after="0" w:line="73" w:lineRule="exact"/>
        <w:rPr>
          <w:sz w:val="20"/>
          <w:szCs w:val="20"/>
          <w:color w:val="auto"/>
        </w:rPr>
      </w:pPr>
    </w:p>
    <w:p>
      <w:pPr>
        <w:ind w:left="560" w:right="20" w:hanging="206"/>
        <w:spacing w:after="0" w:line="251"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significant portion of an NEO’s compensation is at-risk or performance-based and subject to the Company’s operating and financial performance. In fiscal year 2024, the executive compensation package (base salary and short- and long-term incentives at target) included 89% of at-risk compensation for the CEO and an average of 78% of at-risk compensation for the other NEOs. Our long-term incentive plan (LTIP) for equity awards granted under our Amended and Restated 2010 Stock Incentive Plan (A&amp;R 2010 Plan), Second Amended and Restated 2010 Stock Incentive Plan (Second A&amp;R 2010 Plan), or Third Amended and Restated 2010 Stock Inventive Plan (Third A&amp;R 2010 Plan), as applicable, has three-year performance periods, with one-year averages determined each year for measurement purposes, to encourage NEOs to make decisions that align our long-term goals with shareholder interests and to discourage excessive risk taking.</w:t>
      </w:r>
    </w:p>
    <w:p>
      <w:pPr>
        <w:spacing w:after="0" w:line="77" w:lineRule="exact"/>
        <w:rPr>
          <w:rFonts w:ascii="Arial" w:cs="Arial" w:eastAsia="Arial" w:hAnsi="Arial"/>
          <w:sz w:val="16"/>
          <w:szCs w:val="16"/>
          <w:color w:val="auto"/>
        </w:rPr>
      </w:pPr>
    </w:p>
    <w:p>
      <w:pPr>
        <w:ind w:left="560" w:right="100" w:hanging="206"/>
        <w:spacing w:after="0" w:line="286"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Stock ownership guidelines require executive officers who are NEOs to acquire and hold certain amounts of Itron stock to further strengthen alignment of management’s interest with those of our shareholders.</w:t>
      </w:r>
    </w:p>
    <w:p>
      <w:pPr>
        <w:spacing w:after="0" w:line="47" w:lineRule="exact"/>
        <w:rPr>
          <w:rFonts w:ascii="Arial" w:cs="Arial" w:eastAsia="Arial" w:hAnsi="Arial"/>
          <w:sz w:val="16"/>
          <w:szCs w:val="16"/>
          <w:color w:val="auto"/>
        </w:rPr>
      </w:pPr>
    </w:p>
    <w:p>
      <w:pPr>
        <w:ind w:left="560" w:right="40" w:hanging="206"/>
        <w:spacing w:after="0" w:line="249"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has adopted the 2023 Incentive Compensation Recovery Policy in accordance with Rule 10D-1 under Section 10D of the Securities Exchange Act of 1934, as amended and the corresponding Nasdaq Listing Rule 5608. This policy applies to our current and former executive officers as defined in Rule 10D-1, including the NEOs. In the event we are required to prepare an accounting restatement to correct a material noncompliance with any financial reporting requirement under the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the policy provides for the recovery of erroneously awarded incentive-based compensation received by its executive officers on or after the policy’s effective date. In addition, we have established an Incentive Compensation Recovery (Clawback) Policy, which will continue to apply to incentive-based compensation received prior to December 1, 2024. Under that policy, in the event of a restatement of the Company’s financial results, the Compensation Committee, as designated by the Board, may review all cash or equity incentive awards that were based in whole or in part on the achievement of certain financial results. If the Compensation Committee, as designated by the Board, determines that fraud has resulted in a material financial restatement, the Board is required to demand repayment of the full award, net of taxes.</w:t>
      </w:r>
    </w:p>
    <w:p>
      <w:pPr>
        <w:spacing w:after="0" w:line="81" w:lineRule="exact"/>
        <w:rPr>
          <w:rFonts w:ascii="Arial" w:cs="Arial" w:eastAsia="Arial" w:hAnsi="Arial"/>
          <w:sz w:val="16"/>
          <w:szCs w:val="16"/>
          <w:color w:val="auto"/>
        </w:rPr>
      </w:pPr>
    </w:p>
    <w:p>
      <w:pPr>
        <w:ind w:left="560" w:right="60" w:hanging="206"/>
        <w:spacing w:after="0" w:line="259"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maintain our long-standing commitment to strong corporate governance by continuing our policies of (i) separate Board Chair and CEO roles, (ii) majority voting for directors, (iii) all independent Board members (except our CEO) and all independent committee members, (iv) executive sessions of independent directors, and (v) prohibition on hedging or pledging of Itron stock by our executive officers.</w:t>
      </w:r>
    </w:p>
    <w:p>
      <w:pPr>
        <w:spacing w:after="0" w:line="13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believe our executive compensation policies have enabled us to retain and attract exceptional senior executives whose talent and experience have helped Itron become a leader in our industry. Our Compensation Committee (which provides overall direction for our executive compensation program for our NEOs other than our CEO) and the independent members of the Board (who determine the executive compensation program for our CEO) believe the fiscal year 2024 compensation paid to our NEOs is reasonable and appropriate and adequately reflects the Company’s overall performance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5"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24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3240"/>
        <w:spacing w:after="0"/>
        <w:rPr>
          <w:sz w:val="20"/>
          <w:szCs w:val="20"/>
          <w:color w:val="auto"/>
        </w:rPr>
      </w:pPr>
      <w:r>
        <w:rPr>
          <w:rFonts w:ascii="Arial" w:cs="Arial" w:eastAsia="Arial" w:hAnsi="Arial"/>
          <w:sz w:val="14"/>
          <w:szCs w:val="14"/>
          <w:color w:val="5D6673"/>
        </w:rPr>
        <w:t>PROPOSAL 2 – ADVISORY APPROVAL OF EXECUTIVE COMPENSATION (SAY-ON-PAY)</w:t>
      </w:r>
    </w:p>
    <w:p>
      <w:pPr>
        <w:spacing w:after="0" w:line="10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Shareholders are encouraged to read the full details of our executive compensation program as described in the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section of this proxy statement.</w:t>
      </w:r>
    </w:p>
    <w:p>
      <w:pPr>
        <w:spacing w:after="0" w:line="115"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Our shareholders approved a proposal by the Board at the May 2023 annual meeting of shareholders to hold our advisory vote on executive compensation annually, and the Board has adopted a policy consistent with this determination. Unless the Board modifies this policy, the next say-on-pay vote will be held at our 2026 annual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the reasons provided above, we recommend that the shareholders vote in favor of the following resolution:</w:t>
      </w:r>
    </w:p>
    <w:p>
      <w:pPr>
        <w:spacing w:after="0" w:line="194" w:lineRule="exact"/>
        <w:rPr>
          <w:sz w:val="20"/>
          <w:szCs w:val="20"/>
          <w:color w:val="auto"/>
        </w:rPr>
      </w:pPr>
    </w:p>
    <w:p>
      <w:pPr>
        <w:ind w:left="360" w:right="80"/>
        <w:spacing w:after="0" w:line="259"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shareholders approve, on a non-binding advisory basis, the compensation of the Company’s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as disclosed in the Compensation Discussion and Analysis section of the Company’s proxy statement for the Annual Meeting, which disclosure includes the Executive Compensation Tables, and the accompanying footnotes and narrative disclosures within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27305</wp:posOffset>
            </wp:positionV>
            <wp:extent cx="248285" cy="6000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8285" cy="600075"/>
                    </a:xfrm>
                    <a:prstGeom prst="rect">
                      <a:avLst/>
                    </a:prstGeom>
                    <a:noFill/>
                  </pic:spPr>
                </pic:pic>
              </a:graphicData>
            </a:graphic>
          </wp:anchor>
        </w:drawing>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recommends that shareholders vote</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“FOR” the approval of the compensation paid to</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our named executive officers in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30" w:name="page31"/>
    <w:bookmarkEnd w:id="3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EXECUTIVE COMPENSATION</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23"/>
          <w:szCs w:val="23"/>
          <w:b w:val="1"/>
          <w:bCs w:val="1"/>
          <w:u w:val="single" w:color="auto"/>
          <w:color w:val="0063A6"/>
        </w:rPr>
        <w:t>Compensation Discussion and Analysis</w:t>
      </w:r>
    </w:p>
    <w:p>
      <w:pPr>
        <w:spacing w:after="0" w:line="106" w:lineRule="exact"/>
        <w:rPr>
          <w:sz w:val="20"/>
          <w:szCs w:val="20"/>
          <w:color w:val="auto"/>
        </w:rPr>
      </w:pPr>
    </w:p>
    <w:p>
      <w:pPr>
        <w:ind w:left="6" w:right="60"/>
        <w:spacing w:after="0" w:line="259" w:lineRule="auto"/>
        <w:rPr>
          <w:sz w:val="20"/>
          <w:szCs w:val="20"/>
          <w:color w:val="auto"/>
        </w:rPr>
      </w:pPr>
      <w:r>
        <w:rPr>
          <w:rFonts w:ascii="Arial" w:cs="Arial" w:eastAsia="Arial" w:hAnsi="Arial"/>
          <w:sz w:val="16"/>
          <w:szCs w:val="16"/>
          <w:color w:val="auto"/>
        </w:rPr>
        <w:t>This Compensation Discussion and Analysis (CD&amp;A) explains our executive compensation program for our NEOs listed below. The CD&amp;A also describes the process followed by the Compensation Committee of the Board (referred to as the Compensation Committee or the Committee in this CD&amp;A) for making pay decisions, as well as its rationale for specific decisions related to 2024.</w:t>
      </w:r>
    </w:p>
    <w:p>
      <w:pPr>
        <w:spacing w:after="0" w:line="183"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460" w:type="dxa"/>
            <w:vAlign w:val="bottom"/>
            <w:tcBorders>
              <w:bottom w:val="single" w:sz="8" w:color="0063A6"/>
            </w:tcBorders>
          </w:tcPr>
          <w:p>
            <w:pPr>
              <w:spacing w:after="0"/>
              <w:rPr>
                <w:sz w:val="20"/>
                <w:szCs w:val="20"/>
                <w:color w:val="auto"/>
              </w:rPr>
            </w:pPr>
            <w:r>
              <w:rPr>
                <w:rFonts w:ascii="Arial" w:cs="Arial" w:eastAsia="Arial" w:hAnsi="Arial"/>
                <w:sz w:val="14"/>
                <w:szCs w:val="14"/>
                <w:b w:val="1"/>
                <w:bCs w:val="1"/>
                <w:color w:val="auto"/>
              </w:rPr>
              <w:t>Name</w:t>
            </w:r>
          </w:p>
        </w:tc>
        <w:tc>
          <w:tcPr>
            <w:tcW w:w="6720" w:type="dxa"/>
            <w:vAlign w:val="bottom"/>
            <w:tcBorders>
              <w:bottom w:val="single" w:sz="8" w:color="0063A6"/>
            </w:tcBorders>
          </w:tcPr>
          <w:p>
            <w:pPr>
              <w:ind w:left="1000"/>
              <w:spacing w:after="0"/>
              <w:rPr>
                <w:sz w:val="20"/>
                <w:szCs w:val="20"/>
                <w:color w:val="auto"/>
              </w:rPr>
            </w:pPr>
            <w:r>
              <w:rPr>
                <w:rFonts w:ascii="Arial" w:cs="Arial" w:eastAsia="Arial" w:hAnsi="Arial"/>
                <w:sz w:val="14"/>
                <w:szCs w:val="14"/>
                <w:b w:val="1"/>
                <w:bCs w:val="1"/>
                <w:color w:val="auto"/>
              </w:rPr>
              <w:t>Title</w:t>
            </w:r>
          </w:p>
        </w:tc>
      </w:tr>
      <w:tr>
        <w:trPr>
          <w:trHeight w:val="239"/>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Thomas L. Deitrich</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President and CEO</w:t>
            </w:r>
          </w:p>
        </w:tc>
      </w:tr>
      <w:tr>
        <w:trPr>
          <w:trHeight w:val="237"/>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Joan S. Hooper</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Senior Vice President and CFO</w:t>
            </w:r>
          </w:p>
        </w:tc>
      </w:tr>
      <w:tr>
        <w:trPr>
          <w:trHeight w:val="237"/>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Donald L. Reeves</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Senior Vice President, Outcomes</w:t>
            </w:r>
          </w:p>
        </w:tc>
      </w:tr>
      <w:tr>
        <w:trPr>
          <w:trHeight w:val="236"/>
        </w:trPr>
        <w:tc>
          <w:tcPr>
            <w:tcW w:w="2460" w:type="dxa"/>
            <w:vAlign w:val="bottom"/>
            <w:tcBorders>
              <w:bottom w:val="single" w:sz="8" w:color="5D6673"/>
            </w:tcBorders>
          </w:tcPr>
          <w:p>
            <w:pPr>
              <w:spacing w:after="0"/>
              <w:rPr>
                <w:sz w:val="20"/>
                <w:szCs w:val="20"/>
                <w:color w:val="auto"/>
              </w:rPr>
            </w:pPr>
            <w:r>
              <w:rPr>
                <w:rFonts w:ascii="Arial" w:cs="Arial" w:eastAsia="Arial" w:hAnsi="Arial"/>
                <w:sz w:val="16"/>
                <w:szCs w:val="16"/>
                <w:b w:val="1"/>
                <w:bCs w:val="1"/>
                <w:color w:val="0063A6"/>
              </w:rPr>
              <w:t>John F. Marcolini</w:t>
            </w:r>
          </w:p>
        </w:tc>
        <w:tc>
          <w:tcPr>
            <w:tcW w:w="6720" w:type="dxa"/>
            <w:vAlign w:val="bottom"/>
            <w:tcBorders>
              <w:bottom w:val="single" w:sz="8" w:color="5D6673"/>
            </w:tcBorders>
          </w:tcPr>
          <w:p>
            <w:pPr>
              <w:ind w:left="1000"/>
              <w:spacing w:after="0"/>
              <w:rPr>
                <w:sz w:val="20"/>
                <w:szCs w:val="20"/>
                <w:color w:val="auto"/>
              </w:rPr>
            </w:pPr>
            <w:r>
              <w:rPr>
                <w:rFonts w:ascii="Arial" w:cs="Arial" w:eastAsia="Arial" w:hAnsi="Arial"/>
                <w:sz w:val="16"/>
                <w:szCs w:val="16"/>
                <w:color w:val="auto"/>
              </w:rPr>
              <w:t>Senior Vice President, Networked Solutions</w:t>
            </w:r>
          </w:p>
        </w:tc>
      </w:tr>
      <w:tr>
        <w:trPr>
          <w:trHeight w:val="227"/>
        </w:trPr>
        <w:tc>
          <w:tcPr>
            <w:tcW w:w="2460" w:type="dxa"/>
            <w:vAlign w:val="bottom"/>
            <w:tcBorders>
              <w:bottom w:val="single" w:sz="8" w:color="0063A6"/>
            </w:tcBorders>
          </w:tcPr>
          <w:p>
            <w:pPr>
              <w:spacing w:after="0"/>
              <w:rPr>
                <w:sz w:val="20"/>
                <w:szCs w:val="20"/>
                <w:color w:val="auto"/>
              </w:rPr>
            </w:pPr>
            <w:r>
              <w:rPr>
                <w:rFonts w:ascii="Arial" w:cs="Arial" w:eastAsia="Arial" w:hAnsi="Arial"/>
                <w:sz w:val="16"/>
                <w:szCs w:val="16"/>
                <w:b w:val="1"/>
                <w:bCs w:val="1"/>
                <w:color w:val="0063A6"/>
              </w:rPr>
              <w:t>Justin K. Patrick</w:t>
            </w:r>
          </w:p>
        </w:tc>
        <w:tc>
          <w:tcPr>
            <w:tcW w:w="6720" w:type="dxa"/>
            <w:vAlign w:val="bottom"/>
            <w:tcBorders>
              <w:bottom w:val="single" w:sz="8" w:color="0063A6"/>
            </w:tcBorders>
          </w:tcPr>
          <w:p>
            <w:pPr>
              <w:ind w:left="1000"/>
              <w:spacing w:after="0"/>
              <w:rPr>
                <w:sz w:val="20"/>
                <w:szCs w:val="20"/>
                <w:color w:val="auto"/>
              </w:rPr>
            </w:pPr>
            <w:r>
              <w:rPr>
                <w:rFonts w:ascii="Arial" w:cs="Arial" w:eastAsia="Arial" w:hAnsi="Arial"/>
                <w:sz w:val="16"/>
                <w:szCs w:val="16"/>
                <w:color w:val="auto"/>
              </w:rPr>
              <w:t>Senior Vice President, Device Solutions</w:t>
            </w:r>
          </w:p>
        </w:tc>
      </w:tr>
    </w:tbl>
    <w:p>
      <w:pPr>
        <w:spacing w:after="0" w:line="26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Executive Summary</w:t>
      </w:r>
    </w:p>
    <w:p>
      <w:pPr>
        <w:spacing w:after="0" w:line="6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Business Performance</w:t>
      </w:r>
    </w:p>
    <w:p>
      <w:pPr>
        <w:spacing w:after="0" w:line="77" w:lineRule="exact"/>
        <w:rPr>
          <w:sz w:val="20"/>
          <w:szCs w:val="20"/>
          <w:color w:val="auto"/>
        </w:rPr>
      </w:pPr>
    </w:p>
    <w:p>
      <w:pPr>
        <w:ind w:left="6" w:right="160"/>
        <w:spacing w:after="0" w:line="253" w:lineRule="auto"/>
        <w:rPr>
          <w:sz w:val="20"/>
          <w:szCs w:val="20"/>
          <w:color w:val="auto"/>
        </w:rPr>
      </w:pPr>
      <w:r>
        <w:rPr>
          <w:rFonts w:ascii="Arial" w:cs="Arial" w:eastAsia="Arial" w:hAnsi="Arial"/>
          <w:sz w:val="16"/>
          <w:szCs w:val="16"/>
          <w:color w:val="auto"/>
        </w:rPr>
        <w:t>Operational and financial performance in 2024 met or exceeded our expectations. We operated efficiently, converting the last portion of our constrained backlog from prior periods due to post-pandemic supply chain volatility. Early in the year, we completed a small acquisition that expanded our grid edge intelligence platform. We also streamlined our operations by consolidating two of our manufacturing facilities into our existing footprint, reducing fixed costs and advancing our asset light strategy. In addition, favorable capital markets enabled us to issue convertible notes in the second quarter, enhancing our strategic flexibility. The cash raised, combined with strong free cash flow, resulted in approximately $1.1 billion in cash at year-end, positioning us to pursue strategic M&amp;A opportunities when they arise.</w:t>
      </w:r>
    </w:p>
    <w:p>
      <w:pPr>
        <w:spacing w:after="0" w:line="154" w:lineRule="exact"/>
        <w:rPr>
          <w:sz w:val="20"/>
          <w:szCs w:val="20"/>
          <w:color w:val="auto"/>
        </w:rPr>
      </w:pPr>
    </w:p>
    <w:p>
      <w:pPr>
        <w:jc w:val="both"/>
        <w:ind w:left="6" w:right="120"/>
        <w:spacing w:after="0" w:line="259" w:lineRule="auto"/>
        <w:rPr>
          <w:sz w:val="20"/>
          <w:szCs w:val="20"/>
          <w:color w:val="auto"/>
        </w:rPr>
      </w:pPr>
      <w:r>
        <w:rPr>
          <w:rFonts w:ascii="Arial" w:cs="Arial" w:eastAsia="Arial" w:hAnsi="Arial"/>
          <w:sz w:val="16"/>
          <w:szCs w:val="16"/>
          <w:color w:val="auto"/>
        </w:rPr>
        <w:t>Market and macro forces impacting our customers and guiding our strategy intensified during 2024, driven by rising electricity demand, which grew by 2.2% (according to the International Electricity Agency) during 2024 and is projected to grow at similar rates in the years ahead. This forecasted demand growth reinforces the need for our intelligent platform, which enables utilities to optimize their distribution grids in real time.</w:t>
      </w:r>
    </w:p>
    <w:p>
      <w:pPr>
        <w:spacing w:after="0" w:line="137" w:lineRule="exact"/>
        <w:rPr>
          <w:sz w:val="20"/>
          <w:szCs w:val="20"/>
          <w:color w:val="auto"/>
        </w:rPr>
      </w:pPr>
    </w:p>
    <w:p>
      <w:pPr>
        <w:ind w:left="6"/>
        <w:spacing w:after="0"/>
        <w:rPr>
          <w:sz w:val="20"/>
          <w:szCs w:val="20"/>
          <w:color w:val="auto"/>
        </w:rPr>
      </w:pPr>
      <w:r>
        <w:rPr>
          <w:rFonts w:ascii="Arial" w:cs="Arial" w:eastAsia="Arial" w:hAnsi="Arial"/>
          <w:sz w:val="16"/>
          <w:szCs w:val="16"/>
          <w:color w:val="auto"/>
        </w:rPr>
        <w:t>Further validation of our strategy and capital allocation is reflected in the addition of new projects to our backlog. Bookings of</w:t>
      </w:r>
    </w:p>
    <w:p>
      <w:pPr>
        <w:spacing w:after="0" w:line="21" w:lineRule="exact"/>
        <w:rPr>
          <w:sz w:val="20"/>
          <w:szCs w:val="20"/>
          <w:color w:val="auto"/>
        </w:rPr>
      </w:pPr>
    </w:p>
    <w:p>
      <w:pPr>
        <w:jc w:val="both"/>
        <w:ind w:left="6" w:right="60"/>
        <w:spacing w:after="0" w:line="256" w:lineRule="auto"/>
        <w:rPr>
          <w:sz w:val="20"/>
          <w:szCs w:val="20"/>
          <w:color w:val="auto"/>
        </w:rPr>
      </w:pPr>
      <w:r>
        <w:rPr>
          <w:rFonts w:ascii="Arial" w:cs="Arial" w:eastAsia="Arial" w:hAnsi="Arial"/>
          <w:sz w:val="16"/>
          <w:szCs w:val="16"/>
          <w:color w:val="auto"/>
        </w:rPr>
        <w:t>$2.7 billion also exceeded our expectations. Importantly, the new bookings are driven by our grid edge intelligence platform and distributed intelligence content. This result supports our belief that our R&amp;D and innovation efforts align well with our customers’ operational, budgetary and strategic intent.</w:t>
      </w:r>
    </w:p>
    <w:p>
      <w:pPr>
        <w:spacing w:after="0" w:line="139" w:lineRule="exact"/>
        <w:rPr>
          <w:sz w:val="20"/>
          <w:szCs w:val="20"/>
          <w:color w:val="auto"/>
        </w:rPr>
      </w:pPr>
    </w:p>
    <w:p>
      <w:pPr>
        <w:ind w:left="6" w:right="600"/>
        <w:spacing w:after="0" w:line="233" w:lineRule="auto"/>
        <w:rPr>
          <w:sz w:val="20"/>
          <w:szCs w:val="20"/>
          <w:color w:val="auto"/>
        </w:rPr>
      </w:pPr>
      <w:r>
        <w:rPr>
          <w:rFonts w:ascii="Arial" w:cs="Arial" w:eastAsia="Arial" w:hAnsi="Arial"/>
          <w:sz w:val="16"/>
          <w:szCs w:val="16"/>
          <w:color w:val="auto"/>
        </w:rPr>
        <w:t>Itron’s 2024 revenue, non-GAAP earnings per diluted share</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(non-GAAP diluted EPS), and adjusted earnings before interest, tax, depreciation and amortization (Adjusted EBITDA)</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are as follows (compared with 2023):</w:t>
      </w:r>
    </w:p>
    <w:p>
      <w:pPr>
        <w:spacing w:after="0" w:line="1" w:lineRule="exact"/>
        <w:rPr>
          <w:sz w:val="20"/>
          <w:szCs w:val="20"/>
          <w:color w:val="auto"/>
        </w:rPr>
      </w:pPr>
    </w:p>
    <w:p>
      <w:pPr>
        <w:ind w:left="566" w:hanging="206"/>
        <w:spacing w:after="0"/>
        <w:tabs>
          <w:tab w:leader="none" w:pos="5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Revenue of approximately $2.4 billion increased 12%;</w:t>
      </w:r>
    </w:p>
    <w:p>
      <w:pPr>
        <w:spacing w:after="0" w:line="97" w:lineRule="exact"/>
        <w:rPr>
          <w:rFonts w:ascii="Arial" w:cs="Arial" w:eastAsia="Arial" w:hAnsi="Arial"/>
          <w:sz w:val="16"/>
          <w:szCs w:val="16"/>
          <w:color w:val="auto"/>
        </w:rPr>
      </w:pPr>
    </w:p>
    <w:p>
      <w:pPr>
        <w:ind w:left="566" w:hanging="206"/>
        <w:spacing w:after="0"/>
        <w:tabs>
          <w:tab w:leader="none" w:pos="5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Non-GAAP diluted EPS of $5.62 increased approximately 67%; and</w:t>
      </w:r>
    </w:p>
    <w:p>
      <w:pPr>
        <w:spacing w:after="0" w:line="113" w:lineRule="exact"/>
        <w:rPr>
          <w:rFonts w:ascii="Arial" w:cs="Arial" w:eastAsia="Arial" w:hAnsi="Arial"/>
          <w:sz w:val="16"/>
          <w:szCs w:val="16"/>
          <w:color w:val="auto"/>
        </w:rPr>
      </w:pPr>
    </w:p>
    <w:p>
      <w:pPr>
        <w:ind w:left="566" w:hanging="206"/>
        <w:spacing w:after="0"/>
        <w:tabs>
          <w:tab w:leader="none" w:pos="5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Adjusted EBITDA of approximately $323.6 million increased approximately 43%.</w:t>
      </w:r>
    </w:p>
    <w:p>
      <w:pPr>
        <w:spacing w:after="0" w:line="320" w:lineRule="exact"/>
        <w:rPr>
          <w:rFonts w:ascii="Arial" w:cs="Arial" w:eastAsia="Arial" w:hAnsi="Arial"/>
          <w:sz w:val="16"/>
          <w:szCs w:val="16"/>
          <w:color w:val="auto"/>
        </w:rPr>
      </w:pPr>
    </w:p>
    <w:p>
      <w:pPr>
        <w:ind w:left="346" w:right="20" w:hanging="346"/>
        <w:spacing w:after="0" w:line="285" w:lineRule="auto"/>
        <w:tabs>
          <w:tab w:leader="none" w:pos="34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schedule reconciling non-GAAP diluted EPS to net income attributable to Itron, Inc. and Adjusted EBITDA to net income attributable to Itron, Inc. is available on pages 43-46 of our 2024 Annual Report on Form 10-K and is also provided in Appendix D of this proxy statement.</w:t>
      </w:r>
    </w:p>
    <w:p>
      <w:pPr>
        <w:spacing w:after="0" w:line="22" w:lineRule="exact"/>
        <w:rPr>
          <w:rFonts w:ascii="Arial" w:cs="Arial" w:eastAsia="Arial" w:hAnsi="Arial"/>
          <w:sz w:val="14"/>
          <w:szCs w:val="14"/>
          <w:color w:val="auto"/>
        </w:rPr>
      </w:pPr>
    </w:p>
    <w:p>
      <w:pPr>
        <w:ind w:left="346" w:right="400" w:hanging="346"/>
        <w:spacing w:after="0" w:line="285" w:lineRule="auto"/>
        <w:tabs>
          <w:tab w:leader="none" w:pos="346"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define non-GAAP diluted EPS as non-GAAP net income divided by the weighted average shares, on a diluted basis, outstanding during each period.</w:t>
      </w:r>
    </w:p>
    <w:p>
      <w:pPr>
        <w:spacing w:after="0" w:line="9" w:lineRule="exact"/>
        <w:rPr>
          <w:rFonts w:ascii="Arial" w:cs="Arial" w:eastAsia="Arial" w:hAnsi="Arial"/>
          <w:sz w:val="14"/>
          <w:szCs w:val="14"/>
          <w:color w:val="auto"/>
        </w:rPr>
      </w:pPr>
    </w:p>
    <w:p>
      <w:pPr>
        <w:ind w:left="346" w:right="20" w:hanging="346"/>
        <w:spacing w:after="0" w:line="263" w:lineRule="auto"/>
        <w:tabs>
          <w:tab w:leader="none" w:pos="346"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define Adjusted EBITDA as net income (a) minus interest income, (b) plus interest expense, depreciation and amortization, restructuring, loss on sale of business, strategic initiative expenses, acquisition and integration related expenses, and (c) excluding income tax provision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-887095</wp:posOffset>
            </wp:positionV>
            <wp:extent cx="8229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58293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3"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26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31" w:name="page32"/>
    <w:bookmarkEnd w:id="3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Compensation Discussion and Analysis</w:t>
      </w:r>
    </w:p>
    <w:p>
      <w:pPr>
        <w:spacing w:after="0" w:line="10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Compensation Highlights</w:t>
      </w:r>
    </w:p>
    <w:p>
      <w:pPr>
        <w:spacing w:after="0" w:line="77" w:lineRule="exact"/>
        <w:rPr>
          <w:sz w:val="20"/>
          <w:szCs w:val="20"/>
          <w:color w:val="auto"/>
        </w:rPr>
      </w:pPr>
    </w:p>
    <w:p>
      <w:pPr>
        <w:ind w:left="6" w:right="140"/>
        <w:spacing w:after="0" w:line="256" w:lineRule="auto"/>
        <w:rPr>
          <w:sz w:val="20"/>
          <w:szCs w:val="20"/>
          <w:color w:val="auto"/>
        </w:rPr>
      </w:pPr>
      <w:r>
        <w:rPr>
          <w:rFonts w:ascii="Arial" w:cs="Arial" w:eastAsia="Arial" w:hAnsi="Arial"/>
          <w:sz w:val="16"/>
          <w:szCs w:val="16"/>
          <w:color w:val="auto"/>
        </w:rPr>
        <w:t>Our executive compensation program has three primary elements: base salary, annual cash incentives (as part of our Itron Incentive Plan (IIP)), and long-term equity incentives (as part of our Long-Term Incentive Plan (LTIP)).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shareholder value creation.</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Below are key highlights of the executive compensation decisions the Compensation Committee made for fiscal year 2024:</w:t>
      </w:r>
    </w:p>
    <w:p>
      <w:pPr>
        <w:spacing w:after="0" w:line="113" w:lineRule="exact"/>
        <w:rPr>
          <w:sz w:val="20"/>
          <w:szCs w:val="20"/>
          <w:color w:val="auto"/>
        </w:rPr>
      </w:pPr>
    </w:p>
    <w:p>
      <w:pPr>
        <w:ind w:left="226" w:right="320" w:hanging="226"/>
        <w:spacing w:after="0" w:line="286" w:lineRule="auto"/>
        <w:tabs>
          <w:tab w:leader="none" w:pos="2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Salary: Approved base salary increases for all the NEOs, ranging from 1.9% to 3.8%. See “</w:t>
      </w:r>
      <w:r>
        <w:rPr>
          <w:rFonts w:ascii="Arial" w:cs="Arial" w:eastAsia="Arial" w:hAnsi="Arial"/>
          <w:sz w:val="16"/>
          <w:szCs w:val="16"/>
          <w:i w:val="1"/>
          <w:iCs w:val="1"/>
          <w:color w:val="auto"/>
        </w:rPr>
        <w:t>Base Salary</w:t>
      </w:r>
      <w:r>
        <w:rPr>
          <w:rFonts w:ascii="Arial" w:cs="Arial" w:eastAsia="Arial" w:hAnsi="Arial"/>
          <w:sz w:val="16"/>
          <w:szCs w:val="16"/>
          <w:color w:val="auto"/>
        </w:rPr>
        <w:t>” in this CD&amp;A for details.</w:t>
      </w:r>
    </w:p>
    <w:p>
      <w:pPr>
        <w:sectPr>
          <w:pgSz w:w="11900" w:h="16838" w:orient="portrait"/>
          <w:cols w:equalWidth="0" w:num="1">
            <w:col w:w="9186"/>
          </w:cols>
          <w:pgMar w:left="1354" w:top="114" w:right="1359" w:bottom="1440" w:gutter="0" w:footer="0" w:header="0"/>
        </w:sectPr>
      </w:pPr>
    </w:p>
    <w:p>
      <w:pPr>
        <w:spacing w:after="0" w:line="48" w:lineRule="exact"/>
        <w:rPr>
          <w:sz w:val="20"/>
          <w:szCs w:val="20"/>
          <w:color w:val="auto"/>
        </w:rPr>
      </w:pPr>
    </w:p>
    <w:p>
      <w:pPr>
        <w:ind w:left="6"/>
        <w:spacing w:after="0"/>
        <w:tabs>
          <w:tab w:leader="none" w:pos="206"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IIP:</w:t>
      </w:r>
    </w:p>
    <w:p>
      <w:pPr>
        <w:spacing w:after="0" w:line="73" w:lineRule="exact"/>
        <w:rPr>
          <w:sz w:val="20"/>
          <w:szCs w:val="20"/>
          <w:color w:val="auto"/>
        </w:rPr>
      </w:pPr>
    </w:p>
    <w:p>
      <w:pPr>
        <w:ind w:left="226"/>
        <w:spacing w:after="0"/>
        <w:rPr>
          <w:sz w:val="20"/>
          <w:szCs w:val="20"/>
          <w:color w:val="auto"/>
        </w:rPr>
      </w:pPr>
      <w:r>
        <w:rPr>
          <w:rFonts w:ascii="Arial" w:cs="Arial" w:eastAsia="Arial" w:hAnsi="Arial"/>
          <w:sz w:val="11"/>
          <w:szCs w:val="11"/>
          <w:color w:val="auto"/>
        </w:rPr>
        <w:t>○</w:t>
      </w:r>
    </w:p>
    <w:p>
      <w:pPr>
        <w:spacing w:after="0" w:line="144" w:lineRule="exact"/>
        <w:rPr>
          <w:sz w:val="20"/>
          <w:szCs w:val="20"/>
          <w:color w:val="auto"/>
        </w:rPr>
      </w:pPr>
    </w:p>
    <w:p>
      <w:pPr>
        <w:ind w:left="226"/>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Approved IIP financial targets based on 2024 budget;</w:t>
      </w:r>
    </w:p>
    <w:p>
      <w:pPr>
        <w:spacing w:after="0" w:line="8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Continued to prioritize financial performance focused on profitability and revenue growth, as well as holding NEOs accountable for driving non-financial results linked to the Company’s strategic goals. For 2024, we shifted the focus from new product introductions revenue to annual global growth initiative (GGI) bookings, which the Compensation Committee believes will accelerate high-growth opportunities in targeted regions, supporting our strategic priority of driving revenue at scale; and</w:t>
      </w:r>
    </w:p>
    <w:p>
      <w:pPr>
        <w:spacing w:after="0" w:line="72" w:lineRule="exact"/>
        <w:rPr>
          <w:sz w:val="20"/>
          <w:szCs w:val="20"/>
          <w:color w:val="auto"/>
        </w:rPr>
      </w:pPr>
    </w:p>
    <w:p>
      <w:pPr>
        <w:sectPr>
          <w:pgSz w:w="11900" w:h="16838" w:orient="portrait"/>
          <w:cols w:equalWidth="0" w:num="2">
            <w:col w:w="466" w:space="100"/>
            <w:col w:w="8620"/>
          </w:cols>
          <w:pgMar w:left="1354" w:top="114" w:right="1359" w:bottom="1440" w:gutter="0" w:footer="0" w:header="0"/>
          <w:type w:val="continuous"/>
        </w:sectPr>
      </w:pPr>
    </w:p>
    <w:p>
      <w:pPr>
        <w:ind w:left="566" w:right="800" w:hanging="350"/>
        <w:spacing w:after="0" w:line="221" w:lineRule="auto"/>
        <w:tabs>
          <w:tab w:leader="none" w:pos="566" w:val="left"/>
        </w:tabs>
        <w:numPr>
          <w:ilvl w:val="1"/>
          <w:numId w:val="26"/>
        </w:numPr>
        <w:rPr>
          <w:rFonts w:ascii="Arial" w:cs="Arial" w:eastAsia="Arial" w:hAnsi="Arial"/>
          <w:sz w:val="22"/>
          <w:szCs w:val="22"/>
          <w:color w:val="auto"/>
          <w:vertAlign w:val="superscript"/>
        </w:rPr>
      </w:pPr>
      <w:r>
        <w:rPr>
          <w:rFonts w:ascii="Arial" w:cs="Arial" w:eastAsia="Arial" w:hAnsi="Arial"/>
          <w:sz w:val="16"/>
          <w:szCs w:val="16"/>
          <w:color w:val="auto"/>
        </w:rPr>
        <w:t xml:space="preserve">Approved actual IIP payouts to the NEOs ranging between 138.3% and 172.9% of target based on our strong performance. </w:t>
      </w:r>
      <w:r>
        <w:rPr>
          <w:rFonts w:ascii="Arial" w:cs="Arial" w:eastAsia="Arial" w:hAnsi="Arial"/>
          <w:sz w:val="16"/>
          <w:szCs w:val="16"/>
          <w:i w:val="1"/>
          <w:iCs w:val="1"/>
          <w:color w:val="auto"/>
        </w:rPr>
        <w:t>See “Annual Cash Incentives: The Itron Incentive Plan (IIP)” in this CD&amp;A for details.</w:t>
      </w:r>
    </w:p>
    <w:p>
      <w:pPr>
        <w:spacing w:after="0" w:line="83" w:lineRule="exact"/>
        <w:rPr>
          <w:rFonts w:ascii="Arial" w:cs="Arial" w:eastAsia="Arial" w:hAnsi="Arial"/>
          <w:sz w:val="22"/>
          <w:szCs w:val="22"/>
          <w:color w:val="auto"/>
          <w:vertAlign w:val="superscript"/>
        </w:rPr>
      </w:pPr>
    </w:p>
    <w:p>
      <w:pPr>
        <w:ind w:left="226" w:hanging="226"/>
        <w:spacing w:after="0"/>
        <w:tabs>
          <w:tab w:leader="none" w:pos="226" w:val="left"/>
        </w:tabs>
        <w:numPr>
          <w:ilvl w:val="0"/>
          <w:numId w:val="26"/>
        </w:numPr>
        <w:rPr>
          <w:rFonts w:ascii="Arial" w:cs="Arial" w:eastAsia="Arial" w:hAnsi="Arial"/>
          <w:sz w:val="16"/>
          <w:szCs w:val="16"/>
          <w:color w:val="auto"/>
        </w:rPr>
      </w:pPr>
      <w:r>
        <w:rPr>
          <w:rFonts w:ascii="Arial" w:cs="Arial" w:eastAsia="Arial" w:hAnsi="Arial"/>
          <w:sz w:val="16"/>
          <w:szCs w:val="16"/>
          <w:color w:val="auto"/>
        </w:rPr>
        <w:t>LTIP:</w:t>
      </w:r>
    </w:p>
    <w:p>
      <w:pPr>
        <w:spacing w:after="0" w:line="74" w:lineRule="exact"/>
        <w:rPr>
          <w:rFonts w:ascii="Arial" w:cs="Arial" w:eastAsia="Arial" w:hAnsi="Arial"/>
          <w:sz w:val="16"/>
          <w:szCs w:val="16"/>
          <w:color w:val="auto"/>
        </w:rPr>
      </w:pPr>
    </w:p>
    <w:p>
      <w:pPr>
        <w:ind w:left="566" w:hanging="350"/>
        <w:spacing w:after="0"/>
        <w:tabs>
          <w:tab w:leader="none" w:pos="566" w:val="left"/>
        </w:tabs>
        <w:numPr>
          <w:ilvl w:val="1"/>
          <w:numId w:val="26"/>
        </w:numPr>
        <w:rPr>
          <w:rFonts w:ascii="Arial" w:cs="Arial" w:eastAsia="Arial" w:hAnsi="Arial"/>
          <w:sz w:val="22"/>
          <w:szCs w:val="22"/>
          <w:color w:val="auto"/>
          <w:vertAlign w:val="superscript"/>
        </w:rPr>
      </w:pPr>
      <w:r>
        <w:rPr>
          <w:rFonts w:ascii="Arial" w:cs="Arial" w:eastAsia="Arial" w:hAnsi="Arial"/>
          <w:sz w:val="16"/>
          <w:szCs w:val="16"/>
          <w:color w:val="auto"/>
        </w:rPr>
        <w:t>Adjusted target award opportunities for competitive positioning relative to market;</w:t>
      </w:r>
    </w:p>
    <w:p>
      <w:pPr>
        <w:spacing w:after="0" w:line="82" w:lineRule="exact"/>
        <w:rPr>
          <w:rFonts w:ascii="Arial" w:cs="Arial" w:eastAsia="Arial" w:hAnsi="Arial"/>
          <w:sz w:val="22"/>
          <w:szCs w:val="22"/>
          <w:color w:val="auto"/>
          <w:vertAlign w:val="superscript"/>
        </w:rPr>
      </w:pPr>
    </w:p>
    <w:p>
      <w:pPr>
        <w:ind w:left="566" w:right="140" w:hanging="350"/>
        <w:spacing w:after="0" w:line="233" w:lineRule="auto"/>
        <w:tabs>
          <w:tab w:leader="none" w:pos="566" w:val="left"/>
        </w:tabs>
        <w:numPr>
          <w:ilvl w:val="1"/>
          <w:numId w:val="26"/>
        </w:numPr>
        <w:rPr>
          <w:rFonts w:ascii="Arial" w:cs="Arial" w:eastAsia="Arial" w:hAnsi="Arial"/>
          <w:sz w:val="22"/>
          <w:szCs w:val="22"/>
          <w:color w:val="auto"/>
          <w:vertAlign w:val="superscript"/>
        </w:rPr>
      </w:pPr>
      <w:r>
        <w:rPr>
          <w:rFonts w:ascii="Arial" w:cs="Arial" w:eastAsia="Arial" w:hAnsi="Arial"/>
          <w:sz w:val="16"/>
          <w:szCs w:val="16"/>
          <w:color w:val="auto"/>
        </w:rPr>
        <w:t>Continued strong alignment with shareholders by keeping an emphasis on performance-based equity for the CEO with an annual LTIP award mix of 67% performance-based restricted stock units (PRSUs) and 33% time-vested restricted stock units (RSUs). The annual LTIP awards for all other NEOs continue to be comprised of 50% PRSUs and 50% RSUs; and</w:t>
      </w:r>
    </w:p>
    <w:p>
      <w:pPr>
        <w:spacing w:after="0" w:line="82" w:lineRule="exact"/>
        <w:rPr>
          <w:rFonts w:ascii="Arial" w:cs="Arial" w:eastAsia="Arial" w:hAnsi="Arial"/>
          <w:sz w:val="22"/>
          <w:szCs w:val="22"/>
          <w:color w:val="auto"/>
          <w:vertAlign w:val="superscript"/>
        </w:rPr>
      </w:pPr>
    </w:p>
    <w:p>
      <w:pPr>
        <w:ind w:left="566" w:right="100" w:hanging="350"/>
        <w:spacing w:after="0" w:line="229" w:lineRule="auto"/>
        <w:tabs>
          <w:tab w:leader="none" w:pos="566" w:val="left"/>
        </w:tabs>
        <w:numPr>
          <w:ilvl w:val="1"/>
          <w:numId w:val="26"/>
        </w:numPr>
        <w:rPr>
          <w:rFonts w:ascii="Arial" w:cs="Arial" w:eastAsia="Arial" w:hAnsi="Arial"/>
          <w:sz w:val="22"/>
          <w:szCs w:val="22"/>
          <w:color w:val="auto"/>
          <w:vertAlign w:val="superscript"/>
        </w:rPr>
      </w:pPr>
      <w:r>
        <w:rPr>
          <w:rFonts w:ascii="Arial" w:cs="Arial" w:eastAsia="Arial" w:hAnsi="Arial"/>
          <w:sz w:val="16"/>
          <w:szCs w:val="16"/>
          <w:color w:val="auto"/>
        </w:rPr>
        <w:t xml:space="preserve">Certified that the NEOs earned 155.33% of their target PRSUs for the 2022-2024 performance cycle. This attainment is the combination of an average non-GAAP diluted EPS target attainment of 138.69% and a total shareholder return (TSR) multiplier of 1.12. </w:t>
      </w:r>
      <w:r>
        <w:rPr>
          <w:rFonts w:ascii="Arial" w:cs="Arial" w:eastAsia="Arial" w:hAnsi="Arial"/>
          <w:sz w:val="16"/>
          <w:szCs w:val="16"/>
          <w:i w:val="1"/>
          <w:iCs w:val="1"/>
          <w:color w:val="auto"/>
        </w:rPr>
        <w:t>See “Long-Term Incentives — A Closer Look at PRSUs” in this CD&amp;A for details.</w:t>
      </w:r>
    </w:p>
    <w:p>
      <w:pPr>
        <w:spacing w:after="0" w:line="26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Best Compensation Practices &amp; Policies</w:t>
      </w:r>
    </w:p>
    <w:p>
      <w:pPr>
        <w:spacing w:after="0" w:line="77" w:lineRule="exact"/>
        <w:rPr>
          <w:sz w:val="20"/>
          <w:szCs w:val="20"/>
          <w:color w:val="auto"/>
        </w:rPr>
      </w:pPr>
    </w:p>
    <w:p>
      <w:pPr>
        <w:ind w:left="6" w:right="40"/>
        <w:spacing w:after="0" w:line="286" w:lineRule="auto"/>
        <w:rPr>
          <w:sz w:val="20"/>
          <w:szCs w:val="20"/>
          <w:color w:val="auto"/>
        </w:rPr>
      </w:pPr>
      <w:r>
        <w:rPr>
          <w:rFonts w:ascii="Arial" w:cs="Arial" w:eastAsia="Arial" w:hAnsi="Arial"/>
          <w:sz w:val="16"/>
          <w:szCs w:val="16"/>
          <w:color w:val="auto"/>
        </w:rPr>
        <w:t>We also believe the Company’s practices and policies promote sound compensation governance and are in the best interests of our shareholders and executives:</w:t>
      </w:r>
    </w:p>
    <w:p>
      <w:pPr>
        <w:sectPr>
          <w:pgSz w:w="11900" w:h="16838" w:orient="portrait"/>
          <w:cols w:equalWidth="0" w:num="1">
            <w:col w:w="9186"/>
          </w:cols>
          <w:pgMar w:left="1354" w:top="114" w:right="1359" w:bottom="1440" w:gutter="0" w:footer="0" w:header="0"/>
          <w:type w:val="continuous"/>
        </w:sectPr>
      </w:pPr>
    </w:p>
    <w:p>
      <w:pPr>
        <w:spacing w:after="0" w:line="102" w:lineRule="exact"/>
        <w:rPr>
          <w:sz w:val="20"/>
          <w:szCs w:val="20"/>
          <w:color w:val="auto"/>
        </w:rPr>
      </w:pPr>
    </w:p>
    <w:p>
      <w:pPr>
        <w:ind w:left="106"/>
        <w:spacing w:after="0"/>
        <w:rPr>
          <w:sz w:val="20"/>
          <w:szCs w:val="20"/>
          <w:color w:val="auto"/>
        </w:rPr>
      </w:pPr>
      <w:r>
        <w:rPr>
          <w:rFonts w:ascii="Arial" w:cs="Arial" w:eastAsia="Arial" w:hAnsi="Arial"/>
          <w:sz w:val="16"/>
          <w:szCs w:val="16"/>
          <w:b w:val="1"/>
          <w:bCs w:val="1"/>
          <w:color w:val="0063A6"/>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28460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20" w:lineRule="exact"/>
        <w:rPr>
          <w:sz w:val="20"/>
          <w:szCs w:val="20"/>
          <w:color w:val="auto"/>
        </w:rPr>
      </w:pPr>
    </w:p>
    <w:p>
      <w:pPr>
        <w:ind w:left="406"/>
        <w:spacing w:after="0"/>
        <w:rPr>
          <w:sz w:val="20"/>
          <w:szCs w:val="20"/>
          <w:color w:val="auto"/>
        </w:rPr>
      </w:pPr>
      <w:r>
        <w:rPr>
          <w:rFonts w:ascii="Arial" w:cs="Arial" w:eastAsia="Arial" w:hAnsi="Arial"/>
          <w:sz w:val="16"/>
          <w:szCs w:val="16"/>
          <w:color w:val="auto"/>
        </w:rPr>
        <w:t>Heavy emphasis on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28460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-90170</wp:posOffset>
            </wp:positionV>
            <wp:extent cx="102870" cy="768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76835"/>
                    </a:xfrm>
                    <a:prstGeom prst="rect">
                      <a:avLst/>
                    </a:prstGeom>
                    <a:noFill/>
                  </pic:spPr>
                </pic:pic>
              </a:graphicData>
            </a:graphic>
          </wp:anchor>
        </w:drawing>
      </w:r>
    </w:p>
    <w:p>
      <w:pPr>
        <w:spacing w:after="0" w:line="120" w:lineRule="exact"/>
        <w:rPr>
          <w:sz w:val="20"/>
          <w:szCs w:val="20"/>
          <w:color w:val="auto"/>
        </w:rPr>
      </w:pPr>
    </w:p>
    <w:p>
      <w:pPr>
        <w:ind w:left="406"/>
        <w:spacing w:after="0" w:line="286" w:lineRule="auto"/>
        <w:rPr>
          <w:sz w:val="20"/>
          <w:szCs w:val="20"/>
          <w:color w:val="auto"/>
        </w:rPr>
      </w:pPr>
      <w:r>
        <w:rPr>
          <w:rFonts w:ascii="Arial" w:cs="Arial" w:eastAsia="Arial" w:hAnsi="Arial"/>
          <w:sz w:val="16"/>
          <w:szCs w:val="16"/>
          <w:color w:val="auto"/>
        </w:rPr>
        <w:t>Significant portion of annual long-term incentives are performance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8460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-191770</wp:posOffset>
            </wp:positionV>
            <wp:extent cx="102870" cy="774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55" w:lineRule="exact"/>
        <w:rPr>
          <w:sz w:val="20"/>
          <w:szCs w:val="20"/>
          <w:color w:val="auto"/>
        </w:rPr>
      </w:pPr>
    </w:p>
    <w:p>
      <w:pPr>
        <w:ind w:left="406" w:right="920"/>
        <w:spacing w:after="0" w:line="435" w:lineRule="auto"/>
        <w:rPr>
          <w:sz w:val="20"/>
          <w:szCs w:val="20"/>
          <w:color w:val="auto"/>
        </w:rPr>
      </w:pPr>
      <w:r>
        <w:rPr>
          <w:rFonts w:ascii="Arial" w:cs="Arial" w:eastAsia="Arial" w:hAnsi="Arial"/>
          <w:sz w:val="16"/>
          <w:szCs w:val="16"/>
          <w:color w:val="auto"/>
        </w:rPr>
        <w:t>Rigorous stock ownership guidelines Incentive Repayment (Clawback) Policy Independent compensation consultant Annual risk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-674370</wp:posOffset>
            </wp:positionV>
            <wp:extent cx="28460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-468630</wp:posOffset>
            </wp:positionV>
            <wp:extent cx="28460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-262890</wp:posOffset>
            </wp:positionV>
            <wp:extent cx="28460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28460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-820420</wp:posOffset>
            </wp:positionV>
            <wp:extent cx="102870" cy="77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7747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-614680</wp:posOffset>
            </wp:positionV>
            <wp:extent cx="102870" cy="774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7747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-408940</wp:posOffset>
            </wp:positionV>
            <wp:extent cx="102870" cy="768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7683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-203200</wp:posOffset>
            </wp:positionV>
            <wp:extent cx="102870" cy="774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5D6673"/>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46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“single trigger” change-in-control 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114935</wp:posOffset>
            </wp:positionV>
            <wp:extent cx="28117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tax gross-ups in our change-in-control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option backdating or repricing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hedging or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55245</wp:posOffset>
            </wp:positionV>
            <wp:extent cx="28117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46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special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20955</wp:posOffset>
            </wp:positionV>
            <wp:extent cx="28117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94615" cy="939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186" w:space="640"/>
            <w:col w:w="4360"/>
          </w:cols>
          <w:pgMar w:left="1354" w:top="114" w:right="1359" w:bottom="1440" w:gutter="0" w:footer="0" w:header="0"/>
          <w:type w:val="continuous"/>
        </w:sectPr>
      </w:pPr>
    </w:p>
    <w:p>
      <w:pPr>
        <w:ind w:left="6"/>
        <w:spacing w:after="0"/>
        <w:rPr>
          <w:sz w:val="20"/>
          <w:szCs w:val="20"/>
          <w:color w:val="auto"/>
        </w:rPr>
      </w:pPr>
      <w:r>
        <w:rPr>
          <w:rFonts w:ascii="Arial" w:cs="Arial" w:eastAsia="Arial" w:hAnsi="Arial"/>
          <w:sz w:val="20"/>
          <w:szCs w:val="20"/>
          <w:b w:val="1"/>
          <w:bCs w:val="1"/>
          <w:color w:val="auto"/>
        </w:rPr>
        <w:t>2024 Say-On-Pay &amp; Shareholder Engagement</w:t>
      </w:r>
    </w:p>
    <w:p>
      <w:pPr>
        <w:spacing w:after="0" w:line="90" w:lineRule="exact"/>
        <w:rPr>
          <w:sz w:val="20"/>
          <w:szCs w:val="20"/>
          <w:color w:val="auto"/>
        </w:rPr>
      </w:pPr>
    </w:p>
    <w:p>
      <w:pPr>
        <w:ind w:left="6" w:right="160"/>
        <w:spacing w:after="0" w:line="266" w:lineRule="auto"/>
        <w:rPr>
          <w:sz w:val="20"/>
          <w:szCs w:val="20"/>
          <w:color w:val="auto"/>
        </w:rPr>
      </w:pPr>
      <w:r>
        <w:rPr>
          <w:rFonts w:ascii="Arial" w:cs="Arial" w:eastAsia="Arial" w:hAnsi="Arial"/>
          <w:sz w:val="16"/>
          <w:szCs w:val="16"/>
          <w:color w:val="auto"/>
        </w:rPr>
        <w:t>Each year, we carefully consider the results of our shareholder say-on-pay vote from the preceding year. We also consider the feedback we receive from our major shareholders, which is solicited by the Board Chair and the Chair of the Compensation Committee, either in person or via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6"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32" w:name="page33"/>
    <w:bookmarkEnd w:id="3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920" w:right="1100"/>
        <w:spacing w:after="0" w:line="251" w:lineRule="auto"/>
        <w:rPr>
          <w:sz w:val="20"/>
          <w:szCs w:val="20"/>
          <w:color w:val="auto"/>
        </w:rPr>
      </w:pPr>
      <w:r>
        <w:rPr>
          <w:rFonts w:ascii="Arial" w:cs="Arial" w:eastAsia="Arial" w:hAnsi="Arial"/>
          <w:sz w:val="16"/>
          <w:szCs w:val="16"/>
          <w:color w:val="auto"/>
        </w:rPr>
        <w:t>In 2024, approximately 94% of the votes cast supported our executive compensation decisions. The Board regularly conducts proactive outreach meetings with the Company’s largest shareholders. During 2024, the Company offered meetings to shareholders representing in excess of 80% shares outstanding to invite them to have discussions with our directors on topics including Company strategy and performance, governance, and executive compensation. Of those to whom we reached out, investors representing over a quarter of shares outstanding accepted our offer to meet. During these meetings, our shareholders continued to be supportive of our approach to executive compensation, and we are committed to keeping our program aligned with our business strategy and investor expectations. Specifically, our shareholders believe performance measures should primarily focus on profitability and revenue growth, as our IIP does, and were supportive of the non-financial goals component to add accountability for driving results linked to the Company’s strategic goals.</w:t>
      </w:r>
    </w:p>
    <w:p>
      <w:pPr>
        <w:spacing w:after="0" w:line="145" w:lineRule="exact"/>
        <w:rPr>
          <w:sz w:val="20"/>
          <w:szCs w:val="20"/>
          <w:color w:val="auto"/>
        </w:rPr>
      </w:pPr>
    </w:p>
    <w:p>
      <w:pPr>
        <w:ind w:left="920" w:right="1500"/>
        <w:spacing w:after="0" w:line="286" w:lineRule="auto"/>
        <w:rPr>
          <w:sz w:val="20"/>
          <w:szCs w:val="20"/>
          <w:color w:val="auto"/>
        </w:rPr>
      </w:pPr>
      <w:r>
        <w:rPr>
          <w:rFonts w:ascii="Arial" w:cs="Arial" w:eastAsia="Arial" w:hAnsi="Arial"/>
          <w:sz w:val="16"/>
          <w:szCs w:val="16"/>
          <w:color w:val="auto"/>
        </w:rPr>
        <w:t>We will continue to keep an open dialogue with our shareholders to help ensure that we have a regular pulse on investor perspectives.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063A6"/>
        </w:rPr>
        <w:t>What Guides Our Program</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Our Compensation Philosophy &amp; Objectives</w:t>
      </w:r>
    </w:p>
    <w:p>
      <w:pPr>
        <w:spacing w:after="0" w:line="90" w:lineRule="exact"/>
        <w:rPr>
          <w:sz w:val="20"/>
          <w:szCs w:val="20"/>
          <w:color w:val="auto"/>
        </w:rPr>
      </w:pPr>
    </w:p>
    <w:p>
      <w:pPr>
        <w:jc w:val="both"/>
        <w:ind w:left="920" w:right="1360"/>
        <w:spacing w:after="0" w:line="266" w:lineRule="auto"/>
        <w:rPr>
          <w:sz w:val="20"/>
          <w:szCs w:val="20"/>
          <w:color w:val="auto"/>
        </w:rPr>
      </w:pPr>
      <w:r>
        <w:rPr>
          <w:rFonts w:ascii="Arial" w:cs="Arial" w:eastAsia="Arial" w:hAnsi="Arial"/>
          <w:sz w:val="16"/>
          <w:szCs w:val="16"/>
          <w:color w:val="auto"/>
        </w:rPr>
        <w:t>The philosophy underlying our executive compensation program is to employ the best leaders in our industry to ensure we execute on our business goals, promote both short-and long-term profitable growth of the Company, and create long-term sustainable shareholder value, all grounded in the following guiding principles: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Pay for Performance</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A significant portion of an executive’s total compensation should be variable (“at-risk”) and</w:t>
            </w:r>
          </w:p>
        </w:tc>
        <w:tc>
          <w:tcPr>
            <w:tcW w:w="920" w:type="dxa"/>
            <w:vAlign w:val="bottom"/>
          </w:tcPr>
          <w:p>
            <w:pPr>
              <w:spacing w:after="0"/>
              <w:rPr>
                <w:sz w:val="19"/>
                <w:szCs w:val="19"/>
                <w:color w:val="auto"/>
              </w:rPr>
            </w:pPr>
          </w:p>
        </w:tc>
      </w:tr>
      <w:tr>
        <w:trPr>
          <w:trHeight w:val="229"/>
        </w:trPr>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dependent upon the attainment of certain specific and measurable annual and long-term</w:t>
            </w:r>
          </w:p>
        </w:tc>
        <w:tc>
          <w:tcPr>
            <w:tcW w:w="92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financial and strategic performance objectives.</w:t>
            </w:r>
          </w:p>
        </w:tc>
        <w:tc>
          <w:tcPr>
            <w:tcW w:w="27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Shareholder Alignment</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Executives should be compensated through pay elements (annual and long-term incentives)</w:t>
            </w:r>
          </w:p>
        </w:tc>
        <w:tc>
          <w:tcPr>
            <w:tcW w:w="920" w:type="dxa"/>
            <w:vAlign w:val="bottom"/>
          </w:tcPr>
          <w:p>
            <w:pPr>
              <w:spacing w:after="0"/>
              <w:rPr>
                <w:sz w:val="18"/>
                <w:szCs w:val="18"/>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designed to align executive compensation to the creation of long-term value for our</w:t>
            </w:r>
          </w:p>
        </w:tc>
        <w:tc>
          <w:tcPr>
            <w:tcW w:w="920" w:type="dxa"/>
            <w:vAlign w:val="bottom"/>
          </w:tcPr>
          <w:p>
            <w:pPr>
              <w:spacing w:after="0"/>
              <w:rPr>
                <w:sz w:val="16"/>
                <w:szCs w:val="16"/>
                <w:color w:val="auto"/>
              </w:rPr>
            </w:pPr>
          </w:p>
        </w:tc>
      </w:tr>
      <w:tr>
        <w:trPr>
          <w:trHeight w:val="203"/>
        </w:trPr>
        <w:tc>
          <w:tcPr>
            <w:tcW w:w="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shareholders.</w:t>
            </w:r>
          </w:p>
        </w:tc>
        <w:tc>
          <w:tcPr>
            <w:tcW w:w="2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92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Competitiveness</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Target compensation should be set at the median of market to ensure that compensation is</w:t>
            </w: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at a level that is competitive with that being offered to individuals holding comparable</w:t>
            </w:r>
          </w:p>
        </w:tc>
        <w:tc>
          <w:tcPr>
            <w:tcW w:w="920" w:type="dxa"/>
            <w:vAlign w:val="bottom"/>
          </w:tcPr>
          <w:p>
            <w:pPr>
              <w:spacing w:after="0"/>
              <w:rPr>
                <w:sz w:val="16"/>
                <w:szCs w:val="16"/>
                <w:color w:val="auto"/>
              </w:rPr>
            </w:pPr>
          </w:p>
        </w:tc>
      </w:tr>
      <w:tr>
        <w:trPr>
          <w:trHeight w:val="202"/>
        </w:trPr>
        <w:tc>
          <w:tcPr>
            <w:tcW w:w="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positions at other companies with which we compete for business and leadership talent.</w:t>
            </w:r>
          </w:p>
        </w:tc>
        <w:tc>
          <w:tcPr>
            <w:tcW w:w="920" w:type="dxa"/>
            <w:vAlign w:val="bottom"/>
          </w:tcPr>
          <w:p>
            <w:pPr>
              <w:spacing w:after="0"/>
              <w:rPr>
                <w:sz w:val="17"/>
                <w:szCs w:val="17"/>
                <w:color w:val="auto"/>
              </w:rPr>
            </w:pPr>
          </w:p>
        </w:tc>
      </w:tr>
      <w:tr>
        <w:trPr>
          <w:trHeight w:val="189"/>
        </w:trPr>
        <w:tc>
          <w:tcPr>
            <w:tcW w:w="92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Attraction and Retention</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The executive compensation program should enable the Company to attract highly talented</w:t>
            </w: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people with exceptional leadership capabilities and to retain high-caliber talent. When</w:t>
            </w: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required, the Company may adjust individual elements of compensation to accomplish this</w:t>
            </w:r>
          </w:p>
        </w:tc>
        <w:tc>
          <w:tcPr>
            <w:tcW w:w="920" w:type="dxa"/>
            <w:vAlign w:val="bottom"/>
          </w:tcPr>
          <w:p>
            <w:pPr>
              <w:spacing w:after="0"/>
              <w:rPr>
                <w:sz w:val="16"/>
                <w:szCs w:val="16"/>
                <w:color w:val="auto"/>
              </w:rPr>
            </w:pPr>
          </w:p>
        </w:tc>
      </w:tr>
      <w:tr>
        <w:trPr>
          <w:trHeight w:val="215"/>
        </w:trPr>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goal.</w:t>
            </w: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920" w:type="dxa"/>
            <w:vAlign w:val="bottom"/>
          </w:tcPr>
          <w:p>
            <w:pPr>
              <w:spacing w:after="0"/>
              <w:rPr>
                <w:sz w:val="18"/>
                <w:szCs w:val="18"/>
                <w:color w:val="auto"/>
              </w:rPr>
            </w:pPr>
          </w:p>
        </w:tc>
        <w:tc>
          <w:tcPr>
            <w:tcW w:w="2220" w:type="dxa"/>
            <w:vAlign w:val="bottom"/>
            <w:tcBorders>
              <w:bottom w:val="single" w:sz="8" w:color="D02A2E"/>
            </w:tcBorders>
          </w:tcPr>
          <w:p>
            <w:pPr>
              <w:spacing w:after="0"/>
              <w:rPr>
                <w:sz w:val="18"/>
                <w:szCs w:val="18"/>
                <w:color w:val="auto"/>
              </w:rPr>
            </w:pPr>
          </w:p>
        </w:tc>
        <w:tc>
          <w:tcPr>
            <w:tcW w:w="4240" w:type="dxa"/>
            <w:vAlign w:val="bottom"/>
            <w:tcBorders>
              <w:bottom w:val="single" w:sz="8" w:color="D02A2E"/>
            </w:tcBorders>
          </w:tcPr>
          <w:p>
            <w:pPr>
              <w:spacing w:after="0"/>
              <w:rPr>
                <w:sz w:val="18"/>
                <w:szCs w:val="18"/>
                <w:color w:val="auto"/>
              </w:rPr>
            </w:pPr>
          </w:p>
        </w:tc>
        <w:tc>
          <w:tcPr>
            <w:tcW w:w="2720" w:type="dxa"/>
            <w:vAlign w:val="bottom"/>
            <w:tcBorders>
              <w:bottom w:val="single" w:sz="8" w:color="D02A2E"/>
            </w:tcBorders>
          </w:tcPr>
          <w:p>
            <w:pPr>
              <w:spacing w:after="0"/>
              <w:rPr>
                <w:sz w:val="18"/>
                <w:szCs w:val="18"/>
                <w:color w:val="auto"/>
              </w:rPr>
            </w:pPr>
          </w:p>
        </w:tc>
        <w:tc>
          <w:tcPr>
            <w:tcW w:w="920" w:type="dxa"/>
            <w:vAlign w:val="bottom"/>
          </w:tcPr>
          <w:p>
            <w:pPr>
              <w:spacing w:after="0"/>
              <w:rPr>
                <w:sz w:val="18"/>
                <w:szCs w:val="18"/>
                <w:color w:val="auto"/>
              </w:rPr>
            </w:pPr>
          </w:p>
        </w:tc>
      </w:tr>
      <w:tr>
        <w:trPr>
          <w:trHeight w:val="315"/>
        </w:trPr>
        <w:tc>
          <w:tcPr>
            <w:tcW w:w="920" w:type="dxa"/>
            <w:vAlign w:val="bottom"/>
          </w:tcPr>
          <w:p>
            <w:pPr>
              <w:spacing w:after="0"/>
              <w:rPr>
                <w:sz w:val="24"/>
                <w:szCs w:val="24"/>
                <w:color w:val="auto"/>
              </w:rPr>
            </w:pPr>
          </w:p>
        </w:tc>
        <w:tc>
          <w:tcPr>
            <w:tcW w:w="2220" w:type="dxa"/>
            <w:vAlign w:val="bottom"/>
          </w:tcPr>
          <w:p>
            <w:pPr>
              <w:ind w:left="40"/>
              <w:spacing w:after="0"/>
              <w:rPr>
                <w:sz w:val="20"/>
                <w:szCs w:val="20"/>
                <w:color w:val="auto"/>
              </w:rPr>
            </w:pPr>
            <w:r>
              <w:rPr>
                <w:rFonts w:ascii="Arial" w:cs="Arial" w:eastAsia="Arial" w:hAnsi="Arial"/>
                <w:sz w:val="16"/>
                <w:szCs w:val="16"/>
                <w:color w:val="5D6673"/>
              </w:rPr>
              <w:t>28</w:t>
            </w:r>
          </w:p>
        </w:tc>
        <w:tc>
          <w:tcPr>
            <w:tcW w:w="4240" w:type="dxa"/>
            <w:vAlign w:val="bottom"/>
          </w:tcPr>
          <w:p>
            <w:pPr>
              <w:ind w:left="840"/>
              <w:spacing w:after="0"/>
              <w:rPr>
                <w:sz w:val="20"/>
                <w:szCs w:val="20"/>
                <w:color w:val="auto"/>
              </w:rPr>
            </w:pPr>
            <w:r>
              <w:rPr>
                <w:rFonts w:ascii="Arial" w:cs="Arial" w:eastAsia="Arial" w:hAnsi="Arial"/>
                <w:sz w:val="16"/>
                <w:szCs w:val="16"/>
                <w:color w:val="5D6673"/>
              </w:rPr>
              <w:t>                     ITRON, INC.</w:t>
            </w:r>
          </w:p>
        </w:tc>
        <w:tc>
          <w:tcPr>
            <w:tcW w:w="2720" w:type="dxa"/>
            <w:vAlign w:val="bottom"/>
          </w:tcPr>
          <w:p>
            <w:pPr>
              <w:ind w:left="700"/>
              <w:spacing w:after="0"/>
              <w:rPr>
                <w:sz w:val="20"/>
                <w:szCs w:val="20"/>
                <w:color w:val="auto"/>
              </w:rPr>
            </w:pPr>
            <w:r>
              <w:rPr>
                <w:rFonts w:ascii="Arial" w:cs="Arial" w:eastAsia="Arial" w:hAnsi="Arial"/>
                <w:sz w:val="16"/>
                <w:szCs w:val="16"/>
                <w:color w:val="5D6673"/>
              </w:rPr>
              <w:t>2025 PROXY STATEMENT</w:t>
            </w:r>
          </w:p>
        </w:tc>
        <w:tc>
          <w:tcPr>
            <w:tcW w:w="92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33" w:name="page34"/>
    <w:bookmarkEnd w:id="33"/>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4"/>
                <w:szCs w:val="14"/>
                <w:color w:val="0063A6"/>
              </w:rPr>
              <w:t>Compensation Discussion and Analysis</w:t>
            </w:r>
          </w:p>
        </w:tc>
        <w:tc>
          <w:tcPr>
            <w:tcW w:w="0" w:type="dxa"/>
            <w:vAlign w:val="bottom"/>
          </w:tcPr>
          <w:p>
            <w:pPr>
              <w:spacing w:after="0"/>
              <w:rPr>
                <w:sz w:val="1"/>
                <w:szCs w:val="1"/>
                <w:color w:val="auto"/>
              </w:rPr>
            </w:pPr>
          </w:p>
        </w:tc>
      </w:tr>
      <w:tr>
        <w:trPr>
          <w:trHeight w:val="366"/>
        </w:trPr>
        <w:tc>
          <w:tcPr>
            <w:tcW w:w="6120" w:type="dxa"/>
            <w:vAlign w:val="bottom"/>
            <w:gridSpan w:val="4"/>
          </w:tcPr>
          <w:p>
            <w:pPr>
              <w:spacing w:after="0"/>
              <w:rPr>
                <w:sz w:val="20"/>
                <w:szCs w:val="20"/>
                <w:color w:val="auto"/>
              </w:rPr>
            </w:pPr>
            <w:r>
              <w:rPr>
                <w:rFonts w:ascii="Arial" w:cs="Arial" w:eastAsia="Arial" w:hAnsi="Arial"/>
                <w:sz w:val="20"/>
                <w:szCs w:val="20"/>
                <w:b w:val="1"/>
                <w:bCs w:val="1"/>
                <w:color w:val="auto"/>
                <w:w w:val="99"/>
              </w:rPr>
              <w:t>The Principal Elements of Pay: Total Direct Compensation (TDC)</w:t>
            </w:r>
          </w:p>
        </w:tc>
        <w:tc>
          <w:tcPr>
            <w:tcW w:w="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120" w:type="dxa"/>
            <w:vAlign w:val="bottom"/>
            <w:gridSpan w:val="4"/>
          </w:tcPr>
          <w:p>
            <w:pPr>
              <w:spacing w:after="0"/>
              <w:rPr>
                <w:sz w:val="20"/>
                <w:szCs w:val="20"/>
                <w:color w:val="auto"/>
              </w:rPr>
            </w:pPr>
            <w:r>
              <w:rPr>
                <w:rFonts w:ascii="Arial" w:cs="Arial" w:eastAsia="Arial" w:hAnsi="Arial"/>
                <w:sz w:val="16"/>
                <w:szCs w:val="16"/>
                <w:color w:val="auto"/>
              </w:rPr>
              <w:t>Our compensation philosophy is supported by the following principal pay elements:</w:t>
            </w:r>
          </w:p>
        </w:tc>
        <w:tc>
          <w:tcPr>
            <w:tcW w:w="2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346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500" w:type="dxa"/>
            <w:vAlign w:val="bottom"/>
            <w:tcBorders>
              <w:bottom w:val="single" w:sz="8" w:color="0063A6"/>
            </w:tcBorders>
          </w:tcPr>
          <w:p>
            <w:pPr>
              <w:ind w:left="100"/>
              <w:spacing w:after="0"/>
              <w:rPr>
                <w:sz w:val="20"/>
                <w:szCs w:val="20"/>
                <w:color w:val="auto"/>
              </w:rPr>
            </w:pPr>
            <w:r>
              <w:rPr>
                <w:rFonts w:ascii="Arial" w:cs="Arial" w:eastAsia="Arial" w:hAnsi="Arial"/>
                <w:sz w:val="14"/>
                <w:szCs w:val="14"/>
                <w:b w:val="1"/>
                <w:bCs w:val="1"/>
                <w:color w:val="auto"/>
              </w:rPr>
              <w:t>Pay Element</w:t>
            </w:r>
          </w:p>
        </w:tc>
        <w:tc>
          <w:tcPr>
            <w:tcW w:w="1480" w:type="dxa"/>
            <w:vAlign w:val="bottom"/>
            <w:tcBorders>
              <w:bottom w:val="single" w:sz="8" w:color="0063A6"/>
            </w:tcBorders>
          </w:tcPr>
          <w:p>
            <w:pPr>
              <w:ind w:left="280"/>
              <w:spacing w:after="0"/>
              <w:rPr>
                <w:sz w:val="20"/>
                <w:szCs w:val="20"/>
                <w:color w:val="auto"/>
              </w:rPr>
            </w:pPr>
            <w:r>
              <w:rPr>
                <w:rFonts w:ascii="Arial" w:cs="Arial" w:eastAsia="Arial" w:hAnsi="Arial"/>
                <w:sz w:val="14"/>
                <w:szCs w:val="14"/>
                <w:b w:val="1"/>
                <w:bCs w:val="1"/>
                <w:color w:val="auto"/>
              </w:rPr>
              <w:t>How It’s Paid</w:t>
            </w:r>
          </w:p>
        </w:tc>
        <w:tc>
          <w:tcPr>
            <w:tcW w:w="2760" w:type="dxa"/>
            <w:vAlign w:val="bottom"/>
            <w:tcBorders>
              <w:bottom w:val="single" w:sz="8" w:color="0063A6"/>
            </w:tcBorders>
            <w:shd w:val="clear" w:color="auto" w:fill="0063A6"/>
          </w:tcPr>
          <w:p>
            <w:pPr>
              <w:ind w:left="100"/>
              <w:spacing w:after="0"/>
              <w:rPr>
                <w:sz w:val="20"/>
                <w:szCs w:val="20"/>
                <w:color w:val="auto"/>
              </w:rPr>
            </w:pPr>
            <w:r>
              <w:rPr>
                <w:rFonts w:ascii="Arial" w:cs="Arial" w:eastAsia="Arial" w:hAnsi="Arial"/>
                <w:sz w:val="14"/>
                <w:szCs w:val="14"/>
                <w:b w:val="1"/>
                <w:bCs w:val="1"/>
                <w:color w:val="FFFFFF"/>
              </w:rPr>
              <w:t>What It Does</w:t>
            </w:r>
          </w:p>
        </w:tc>
        <w:tc>
          <w:tcPr>
            <w:tcW w:w="3440" w:type="dxa"/>
            <w:vAlign w:val="bottom"/>
            <w:tcBorders>
              <w:bottom w:val="single" w:sz="8" w:color="0063A6"/>
            </w:tcBorders>
            <w:gridSpan w:val="3"/>
            <w:shd w:val="clear" w:color="auto" w:fill="0063A6"/>
          </w:tcPr>
          <w:p>
            <w:pPr>
              <w:ind w:left="120"/>
              <w:spacing w:after="0"/>
              <w:rPr>
                <w:sz w:val="20"/>
                <w:szCs w:val="20"/>
                <w:color w:val="auto"/>
              </w:rPr>
            </w:pPr>
            <w:r>
              <w:rPr>
                <w:rFonts w:ascii="Arial" w:cs="Arial" w:eastAsia="Arial" w:hAnsi="Arial"/>
                <w:sz w:val="14"/>
                <w:szCs w:val="14"/>
                <w:b w:val="1"/>
                <w:bCs w:val="1"/>
                <w:color w:val="FFFFFF"/>
              </w:rPr>
              <w:t>How It Links to Performance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500" w:type="dxa"/>
            <w:vAlign w:val="bottom"/>
          </w:tcPr>
          <w:p>
            <w:pPr>
              <w:ind w:left="100"/>
              <w:spacing w:after="0" w:line="182" w:lineRule="exact"/>
              <w:rPr>
                <w:sz w:val="20"/>
                <w:szCs w:val="20"/>
                <w:color w:val="auto"/>
              </w:rPr>
            </w:pPr>
            <w:r>
              <w:rPr>
                <w:rFonts w:ascii="Arial" w:cs="Arial" w:eastAsia="Arial" w:hAnsi="Arial"/>
                <w:sz w:val="16"/>
                <w:szCs w:val="16"/>
                <w:b w:val="1"/>
                <w:bCs w:val="1"/>
                <w:color w:val="auto"/>
              </w:rPr>
              <w:t>Base Salary</w:t>
            </w:r>
          </w:p>
        </w:tc>
        <w:tc>
          <w:tcPr>
            <w:tcW w:w="1480" w:type="dxa"/>
            <w:vAlign w:val="bottom"/>
          </w:tcPr>
          <w:p>
            <w:pPr>
              <w:ind w:left="280"/>
              <w:spacing w:after="0" w:line="182" w:lineRule="exact"/>
              <w:rPr>
                <w:sz w:val="20"/>
                <w:szCs w:val="20"/>
                <w:color w:val="auto"/>
              </w:rPr>
            </w:pPr>
            <w:r>
              <w:rPr>
                <w:rFonts w:ascii="Arial" w:cs="Arial" w:eastAsia="Arial" w:hAnsi="Arial"/>
                <w:sz w:val="16"/>
                <w:szCs w:val="16"/>
                <w:b w:val="1"/>
                <w:bCs w:val="1"/>
                <w:color w:val="auto"/>
              </w:rPr>
              <w:t>Cash</w:t>
            </w:r>
          </w:p>
        </w:tc>
        <w:tc>
          <w:tcPr>
            <w:tcW w:w="2760" w:type="dxa"/>
            <w:vAlign w:val="bottom"/>
          </w:tcPr>
          <w:p>
            <w:pPr>
              <w:ind w:left="100"/>
              <w:spacing w:after="0" w:line="182" w:lineRule="exact"/>
              <w:rPr>
                <w:sz w:val="20"/>
                <w:szCs w:val="20"/>
                <w:color w:val="auto"/>
              </w:rPr>
            </w:pPr>
            <w:r>
              <w:rPr>
                <w:rFonts w:ascii="Arial" w:cs="Arial" w:eastAsia="Arial" w:hAnsi="Arial"/>
                <w:sz w:val="16"/>
                <w:szCs w:val="16"/>
                <w:color w:val="auto"/>
              </w:rPr>
              <w:t>Provides a competitive fixed rate of</w:t>
            </w:r>
          </w:p>
        </w:tc>
        <w:tc>
          <w:tcPr>
            <w:tcW w:w="3440" w:type="dxa"/>
            <w:vAlign w:val="bottom"/>
            <w:gridSpan w:val="3"/>
          </w:tcPr>
          <w:p>
            <w:pPr>
              <w:ind w:left="120"/>
              <w:spacing w:after="0" w:line="182" w:lineRule="exact"/>
              <w:rPr>
                <w:sz w:val="20"/>
                <w:szCs w:val="20"/>
                <w:color w:val="auto"/>
              </w:rPr>
            </w:pPr>
            <w:r>
              <w:rPr>
                <w:rFonts w:ascii="Arial" w:cs="Arial" w:eastAsia="Arial" w:hAnsi="Arial"/>
                <w:sz w:val="16"/>
                <w:szCs w:val="16"/>
                <w:color w:val="auto"/>
              </w:rPr>
              <w:t>Based on job scope, level of responsibilities,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(Fixed)</w:t>
            </w:r>
          </w:p>
        </w:tc>
        <w:tc>
          <w:tcPr>
            <w:tcW w:w="2760" w:type="dxa"/>
            <w:vAlign w:val="bottom"/>
          </w:tcPr>
          <w:p>
            <w:pPr>
              <w:ind w:left="100"/>
              <w:spacing w:after="0"/>
              <w:rPr>
                <w:sz w:val="20"/>
                <w:szCs w:val="20"/>
                <w:color w:val="auto"/>
              </w:rPr>
            </w:pPr>
            <w:r>
              <w:rPr>
                <w:rFonts w:ascii="Arial" w:cs="Arial" w:eastAsia="Arial" w:hAnsi="Arial"/>
                <w:sz w:val="16"/>
                <w:szCs w:val="16"/>
                <w:color w:val="auto"/>
              </w:rPr>
              <w:t>pay relative to similar positions in</w:t>
            </w:r>
          </w:p>
        </w:tc>
        <w:tc>
          <w:tcPr>
            <w:tcW w:w="3460" w:type="dxa"/>
            <w:vAlign w:val="bottom"/>
            <w:gridSpan w:val="4"/>
          </w:tcPr>
          <w:p>
            <w:pPr>
              <w:ind w:left="120"/>
              <w:spacing w:after="0"/>
              <w:rPr>
                <w:sz w:val="20"/>
                <w:szCs w:val="20"/>
                <w:color w:val="auto"/>
              </w:rPr>
            </w:pPr>
            <w:r>
              <w:rPr>
                <w:rFonts w:ascii="Arial" w:cs="Arial" w:eastAsia="Arial" w:hAnsi="Arial"/>
                <w:sz w:val="16"/>
                <w:szCs w:val="16"/>
                <w:color w:val="auto"/>
              </w:rPr>
              <w:t>individual performance, experience, and</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the market, and enables the</w:t>
            </w:r>
          </w:p>
        </w:tc>
        <w:tc>
          <w:tcPr>
            <w:tcW w:w="3460" w:type="dxa"/>
            <w:vAlign w:val="bottom"/>
            <w:gridSpan w:val="4"/>
          </w:tcPr>
          <w:p>
            <w:pPr>
              <w:ind w:left="120"/>
              <w:spacing w:after="0"/>
              <w:rPr>
                <w:sz w:val="20"/>
                <w:szCs w:val="20"/>
                <w:color w:val="auto"/>
              </w:rPr>
            </w:pPr>
            <w:r>
              <w:rPr>
                <w:rFonts w:ascii="Arial" w:cs="Arial" w:eastAsia="Arial" w:hAnsi="Arial"/>
                <w:sz w:val="16"/>
                <w:szCs w:val="16"/>
                <w:color w:val="auto"/>
              </w:rPr>
              <w:t>market levels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Company to attract and retain</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Borders>
              <w:bottom w:val="single" w:sz="8" w:color="5D6673"/>
            </w:tcBorders>
          </w:tcPr>
          <w:p>
            <w:pPr>
              <w:spacing w:after="0"/>
              <w:rPr>
                <w:sz w:val="18"/>
                <w:szCs w:val="18"/>
                <w:color w:val="auto"/>
              </w:rPr>
            </w:pPr>
          </w:p>
        </w:tc>
        <w:tc>
          <w:tcPr>
            <w:tcW w:w="1480" w:type="dxa"/>
            <w:vAlign w:val="bottom"/>
            <w:tcBorders>
              <w:bottom w:val="single" w:sz="8" w:color="5D6673"/>
            </w:tcBorders>
          </w:tcPr>
          <w:p>
            <w:pPr>
              <w:spacing w:after="0"/>
              <w:rPr>
                <w:sz w:val="18"/>
                <w:szCs w:val="18"/>
                <w:color w:val="auto"/>
              </w:rPr>
            </w:pPr>
          </w:p>
        </w:tc>
        <w:tc>
          <w:tcPr>
            <w:tcW w:w="276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critical executive talent</w:t>
            </w:r>
          </w:p>
        </w:tc>
        <w:tc>
          <w:tcPr>
            <w:tcW w:w="380" w:type="dxa"/>
            <w:vAlign w:val="bottom"/>
            <w:tcBorders>
              <w:bottom w:val="single" w:sz="8" w:color="5D6673"/>
            </w:tcBorders>
          </w:tcPr>
          <w:p>
            <w:pPr>
              <w:spacing w:after="0"/>
              <w:rPr>
                <w:sz w:val="18"/>
                <w:szCs w:val="18"/>
                <w:color w:val="auto"/>
              </w:rPr>
            </w:pPr>
          </w:p>
        </w:tc>
        <w:tc>
          <w:tcPr>
            <w:tcW w:w="260" w:type="dxa"/>
            <w:vAlign w:val="bottom"/>
            <w:tcBorders>
              <w:bottom w:val="single" w:sz="8" w:color="5D6673"/>
            </w:tcBorders>
          </w:tcPr>
          <w:p>
            <w:pPr>
              <w:spacing w:after="0"/>
              <w:rPr>
                <w:sz w:val="18"/>
                <w:szCs w:val="18"/>
                <w:color w:val="auto"/>
              </w:rPr>
            </w:pPr>
          </w:p>
        </w:tc>
        <w:tc>
          <w:tcPr>
            <w:tcW w:w="2800" w:type="dxa"/>
            <w:vAlign w:val="bottom"/>
            <w:tcBorders>
              <w:bottom w:val="single" w:sz="8" w:color="5D6673"/>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00" w:type="dxa"/>
            <w:vAlign w:val="bottom"/>
          </w:tcPr>
          <w:p>
            <w:pPr>
              <w:ind w:left="100"/>
              <w:spacing w:after="0" w:line="183" w:lineRule="exact"/>
              <w:rPr>
                <w:sz w:val="20"/>
                <w:szCs w:val="20"/>
                <w:color w:val="auto"/>
              </w:rPr>
            </w:pPr>
            <w:r>
              <w:rPr>
                <w:rFonts w:ascii="Arial" w:cs="Arial" w:eastAsia="Arial" w:hAnsi="Arial"/>
                <w:sz w:val="16"/>
                <w:szCs w:val="16"/>
                <w:b w:val="1"/>
                <w:bCs w:val="1"/>
                <w:color w:val="auto"/>
              </w:rPr>
              <w:t>Itron Incentive</w:t>
            </w:r>
          </w:p>
        </w:tc>
        <w:tc>
          <w:tcPr>
            <w:tcW w:w="1480" w:type="dxa"/>
            <w:vAlign w:val="bottom"/>
          </w:tcPr>
          <w:p>
            <w:pPr>
              <w:ind w:left="280"/>
              <w:spacing w:after="0" w:line="183" w:lineRule="exact"/>
              <w:rPr>
                <w:sz w:val="20"/>
                <w:szCs w:val="20"/>
                <w:color w:val="auto"/>
              </w:rPr>
            </w:pPr>
            <w:r>
              <w:rPr>
                <w:rFonts w:ascii="Arial" w:cs="Arial" w:eastAsia="Arial" w:hAnsi="Arial"/>
                <w:sz w:val="16"/>
                <w:szCs w:val="16"/>
                <w:b w:val="1"/>
                <w:bCs w:val="1"/>
                <w:color w:val="auto"/>
              </w:rPr>
              <w:t>Cash</w:t>
            </w:r>
          </w:p>
        </w:tc>
        <w:tc>
          <w:tcPr>
            <w:tcW w:w="2760" w:type="dxa"/>
            <w:vAlign w:val="bottom"/>
          </w:tcPr>
          <w:p>
            <w:pPr>
              <w:ind w:left="100"/>
              <w:spacing w:after="0" w:line="183" w:lineRule="exact"/>
              <w:rPr>
                <w:sz w:val="20"/>
                <w:szCs w:val="20"/>
                <w:color w:val="auto"/>
              </w:rPr>
            </w:pPr>
            <w:r>
              <w:rPr>
                <w:rFonts w:ascii="Arial" w:cs="Arial" w:eastAsia="Arial" w:hAnsi="Arial"/>
                <w:sz w:val="16"/>
                <w:szCs w:val="16"/>
                <w:color w:val="auto"/>
              </w:rPr>
              <w:t>Focuses executives on achieving</w:t>
            </w:r>
          </w:p>
        </w:tc>
        <w:tc>
          <w:tcPr>
            <w:tcW w:w="380" w:type="dxa"/>
            <w:vAlign w:val="bottom"/>
          </w:tcPr>
          <w:p>
            <w:pPr>
              <w:ind w:left="120"/>
              <w:spacing w:after="0" w:line="183" w:lineRule="exact"/>
              <w:rPr>
                <w:sz w:val="20"/>
                <w:szCs w:val="20"/>
                <w:color w:val="auto"/>
              </w:rPr>
            </w:pPr>
            <w:r>
              <w:rPr>
                <w:rFonts w:ascii="Arial" w:cs="Arial" w:eastAsia="Arial" w:hAnsi="Arial"/>
                <w:sz w:val="16"/>
                <w:szCs w:val="16"/>
                <w:color w:val="5D6673"/>
              </w:rPr>
              <w:t>•</w:t>
            </w:r>
          </w:p>
        </w:tc>
        <w:tc>
          <w:tcPr>
            <w:tcW w:w="3060" w:type="dxa"/>
            <w:vAlign w:val="bottom"/>
            <w:gridSpan w:val="2"/>
          </w:tcPr>
          <w:p>
            <w:pPr>
              <w:ind w:left="80"/>
              <w:spacing w:after="0" w:line="183" w:lineRule="exact"/>
              <w:rPr>
                <w:sz w:val="20"/>
                <w:szCs w:val="20"/>
                <w:color w:val="auto"/>
              </w:rPr>
            </w:pPr>
            <w:r>
              <w:rPr>
                <w:rFonts w:ascii="Arial" w:cs="Arial" w:eastAsia="Arial" w:hAnsi="Arial"/>
                <w:sz w:val="16"/>
                <w:szCs w:val="16"/>
                <w:color w:val="auto"/>
              </w:rPr>
              <w:t>Financial metrics: Adjusted EBITDA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Plan</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(Variable)</w:t>
            </w:r>
          </w:p>
        </w:tc>
        <w:tc>
          <w:tcPr>
            <w:tcW w:w="2760" w:type="dxa"/>
            <w:vAlign w:val="bottom"/>
          </w:tcPr>
          <w:p>
            <w:pPr>
              <w:ind w:left="100"/>
              <w:spacing w:after="0"/>
              <w:rPr>
                <w:sz w:val="20"/>
                <w:szCs w:val="20"/>
                <w:color w:val="auto"/>
              </w:rPr>
            </w:pPr>
            <w:r>
              <w:rPr>
                <w:rFonts w:ascii="Arial" w:cs="Arial" w:eastAsia="Arial" w:hAnsi="Arial"/>
                <w:sz w:val="16"/>
                <w:szCs w:val="16"/>
                <w:color w:val="auto"/>
              </w:rPr>
              <w:t>annual financial and strategic goals</w:t>
            </w:r>
          </w:p>
        </w:tc>
        <w:tc>
          <w:tcPr>
            <w:tcW w:w="380" w:type="dxa"/>
            <w:vAlign w:val="bottom"/>
          </w:tcPr>
          <w:p>
            <w:pPr>
              <w:spacing w:after="0"/>
              <w:rPr>
                <w:sz w:val="16"/>
                <w:szCs w:val="16"/>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49"/>
        </w:trPr>
        <w:tc>
          <w:tcPr>
            <w:tcW w:w="1500" w:type="dxa"/>
            <w:vAlign w:val="bottom"/>
          </w:tcPr>
          <w:p>
            <w:pPr>
              <w:ind w:left="100"/>
              <w:spacing w:after="0" w:line="149" w:lineRule="exact"/>
              <w:rPr>
                <w:sz w:val="20"/>
                <w:szCs w:val="20"/>
                <w:color w:val="auto"/>
              </w:rPr>
            </w:pPr>
            <w:r>
              <w:rPr>
                <w:rFonts w:ascii="Arial" w:cs="Arial" w:eastAsia="Arial" w:hAnsi="Arial"/>
                <w:sz w:val="16"/>
                <w:szCs w:val="16"/>
                <w:b w:val="1"/>
                <w:bCs w:val="1"/>
                <w:color w:val="auto"/>
              </w:rPr>
              <w:t>(IIP)</w:t>
            </w:r>
          </w:p>
        </w:tc>
        <w:tc>
          <w:tcPr>
            <w:tcW w:w="1480" w:type="dxa"/>
            <w:vAlign w:val="bottom"/>
          </w:tcPr>
          <w:p>
            <w:pPr>
              <w:spacing w:after="0"/>
              <w:rPr>
                <w:sz w:val="12"/>
                <w:szCs w:val="12"/>
                <w:color w:val="auto"/>
              </w:rPr>
            </w:pPr>
          </w:p>
        </w:tc>
        <w:tc>
          <w:tcPr>
            <w:tcW w:w="2760" w:type="dxa"/>
            <w:vAlign w:val="bottom"/>
          </w:tcPr>
          <w:p>
            <w:pPr>
              <w:ind w:left="100"/>
              <w:spacing w:after="0" w:line="149" w:lineRule="exact"/>
              <w:rPr>
                <w:sz w:val="20"/>
                <w:szCs w:val="20"/>
                <w:color w:val="auto"/>
              </w:rPr>
            </w:pPr>
            <w:r>
              <w:rPr>
                <w:rFonts w:ascii="Arial" w:cs="Arial" w:eastAsia="Arial" w:hAnsi="Arial"/>
                <w:sz w:val="16"/>
                <w:szCs w:val="16"/>
                <w:color w:val="auto"/>
              </w:rPr>
              <w:t>that drive long-term shareholder</w:t>
            </w:r>
          </w:p>
        </w:tc>
        <w:tc>
          <w:tcPr>
            <w:tcW w:w="38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Arial" w:cs="Arial" w:eastAsia="Arial" w:hAnsi="Arial"/>
                <w:sz w:val="11"/>
                <w:szCs w:val="11"/>
                <w:color w:val="auto"/>
              </w:rPr>
              <w:t>○</w:t>
            </w:r>
          </w:p>
        </w:tc>
        <w:tc>
          <w:tcPr>
            <w:tcW w:w="2820" w:type="dxa"/>
            <w:vAlign w:val="bottom"/>
            <w:gridSpan w:val="2"/>
          </w:tcPr>
          <w:p>
            <w:pPr>
              <w:ind w:left="140"/>
              <w:spacing w:after="0" w:line="149" w:lineRule="exact"/>
              <w:rPr>
                <w:sz w:val="20"/>
                <w:szCs w:val="20"/>
                <w:color w:val="auto"/>
              </w:rPr>
            </w:pPr>
            <w:r>
              <w:rPr>
                <w:rFonts w:ascii="Arial" w:cs="Arial" w:eastAsia="Arial" w:hAnsi="Arial"/>
                <w:sz w:val="16"/>
                <w:szCs w:val="16"/>
                <w:color w:val="auto"/>
              </w:rPr>
              <w:t>Payouts: 0% to 150% of target</w:t>
            </w:r>
          </w:p>
        </w:tc>
        <w:tc>
          <w:tcPr>
            <w:tcW w:w="0" w:type="dxa"/>
            <w:vAlign w:val="bottom"/>
          </w:tcPr>
          <w:p>
            <w:pPr>
              <w:spacing w:after="0"/>
              <w:rPr>
                <w:sz w:val="1"/>
                <w:szCs w:val="1"/>
                <w:color w:val="auto"/>
              </w:rPr>
            </w:pPr>
          </w:p>
        </w:tc>
      </w:tr>
      <w:tr>
        <w:trPr>
          <w:trHeight w:val="34"/>
        </w:trPr>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2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value</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color w:val="auto"/>
              </w:rPr>
              <w:t>based on financial performance</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color w:val="auto"/>
              </w:rPr>
              <w:t>attainment against pre-determined</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color w:val="auto"/>
              </w:rPr>
              <w:t>goals, subject to the achievement</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color w:val="auto"/>
              </w:rPr>
              <w:t>of a threshold Adjusted EBITDA</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color w:val="auto"/>
              </w:rPr>
              <w:t>goal</w:t>
            </w: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80" w:type="dxa"/>
            <w:vAlign w:val="bottom"/>
          </w:tcPr>
          <w:p>
            <w:pPr>
              <w:ind w:left="120"/>
              <w:spacing w:after="0"/>
              <w:rPr>
                <w:sz w:val="20"/>
                <w:szCs w:val="20"/>
                <w:color w:val="auto"/>
              </w:rPr>
            </w:pPr>
            <w:r>
              <w:rPr>
                <w:rFonts w:ascii="Arial" w:cs="Arial" w:eastAsia="Arial" w:hAnsi="Arial"/>
                <w:sz w:val="16"/>
                <w:szCs w:val="16"/>
                <w:color w:val="5D6673"/>
              </w:rPr>
              <w:t>•</w:t>
            </w: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Non-financial metrics: Quantitative</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Strategic Goals, including GGI bookings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and reduction in intensity of GHG</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emissions</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Arial" w:cs="Arial" w:eastAsia="Arial" w:hAnsi="Arial"/>
                <w:sz w:val="11"/>
                <w:szCs w:val="11"/>
                <w:color w:val="auto"/>
              </w:rPr>
              <w:t>○</w:t>
            </w:r>
          </w:p>
        </w:tc>
        <w:tc>
          <w:tcPr>
            <w:tcW w:w="2820" w:type="dxa"/>
            <w:vAlign w:val="bottom"/>
            <w:gridSpan w:val="2"/>
            <w:vMerge w:val="restart"/>
          </w:tcPr>
          <w:p>
            <w:pPr>
              <w:ind w:left="140"/>
              <w:spacing w:after="0"/>
              <w:rPr>
                <w:sz w:val="20"/>
                <w:szCs w:val="20"/>
                <w:color w:val="auto"/>
              </w:rPr>
            </w:pPr>
            <w:r>
              <w:rPr>
                <w:rFonts w:ascii="Arial" w:cs="Arial" w:eastAsia="Arial" w:hAnsi="Arial"/>
                <w:sz w:val="16"/>
                <w:szCs w:val="16"/>
                <w:color w:val="auto"/>
              </w:rPr>
              <w:t>Payouts: 0% to 100% of target</w:t>
            </w:r>
          </w:p>
        </w:tc>
        <w:tc>
          <w:tcPr>
            <w:tcW w:w="0" w:type="dxa"/>
            <w:vAlign w:val="bottom"/>
          </w:tcPr>
          <w:p>
            <w:pPr>
              <w:spacing w:after="0"/>
              <w:rPr>
                <w:sz w:val="1"/>
                <w:szCs w:val="1"/>
                <w:color w:val="auto"/>
              </w:rPr>
            </w:pPr>
          </w:p>
        </w:tc>
      </w:tr>
      <w:tr>
        <w:trPr>
          <w:trHeight w:val="72"/>
        </w:trPr>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80" w:type="dxa"/>
            <w:vAlign w:val="bottom"/>
          </w:tcPr>
          <w:p>
            <w:pPr>
              <w:ind w:left="120"/>
              <w:spacing w:after="0"/>
              <w:rPr>
                <w:sz w:val="20"/>
                <w:szCs w:val="20"/>
                <w:color w:val="auto"/>
              </w:rPr>
            </w:pPr>
            <w:r>
              <w:rPr>
                <w:rFonts w:ascii="Arial" w:cs="Arial" w:eastAsia="Arial" w:hAnsi="Arial"/>
                <w:sz w:val="16"/>
                <w:szCs w:val="16"/>
                <w:color w:val="5D6673"/>
              </w:rPr>
              <w:t>•</w:t>
            </w: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The Committee retains discretion to</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further adjust the award based on its</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3"/>
          </w:tcPr>
          <w:p>
            <w:pPr>
              <w:ind w:left="80"/>
              <w:spacing w:after="0"/>
              <w:rPr>
                <w:sz w:val="20"/>
                <w:szCs w:val="20"/>
                <w:color w:val="auto"/>
              </w:rPr>
            </w:pPr>
            <w:r>
              <w:rPr>
                <w:rFonts w:ascii="Arial" w:cs="Arial" w:eastAsia="Arial" w:hAnsi="Arial"/>
                <w:sz w:val="16"/>
                <w:szCs w:val="16"/>
                <w:color w:val="auto"/>
              </w:rPr>
              <w:t>assessment of individual and/or</w:t>
            </w:r>
          </w:p>
        </w:tc>
        <w:tc>
          <w:tcPr>
            <w:tcW w:w="0" w:type="dxa"/>
            <w:vAlign w:val="bottom"/>
          </w:tcPr>
          <w:p>
            <w:pPr>
              <w:spacing w:after="0"/>
              <w:rPr>
                <w:sz w:val="1"/>
                <w:szCs w:val="1"/>
                <w:color w:val="auto"/>
              </w:rPr>
            </w:pPr>
          </w:p>
        </w:tc>
      </w:tr>
      <w:tr>
        <w:trPr>
          <w:trHeight w:val="216"/>
        </w:trPr>
        <w:tc>
          <w:tcPr>
            <w:tcW w:w="1500" w:type="dxa"/>
            <w:vAlign w:val="bottom"/>
            <w:tcBorders>
              <w:bottom w:val="single" w:sz="8" w:color="5D6673"/>
            </w:tcBorders>
          </w:tcPr>
          <w:p>
            <w:pPr>
              <w:spacing w:after="0"/>
              <w:rPr>
                <w:sz w:val="18"/>
                <w:szCs w:val="18"/>
                <w:color w:val="auto"/>
              </w:rPr>
            </w:pPr>
          </w:p>
        </w:tc>
        <w:tc>
          <w:tcPr>
            <w:tcW w:w="1480" w:type="dxa"/>
            <w:vAlign w:val="bottom"/>
            <w:tcBorders>
              <w:bottom w:val="single" w:sz="8" w:color="5D6673"/>
            </w:tcBorders>
          </w:tcPr>
          <w:p>
            <w:pPr>
              <w:spacing w:after="0"/>
              <w:rPr>
                <w:sz w:val="18"/>
                <w:szCs w:val="18"/>
                <w:color w:val="auto"/>
              </w:rPr>
            </w:pPr>
          </w:p>
        </w:tc>
        <w:tc>
          <w:tcPr>
            <w:tcW w:w="2760" w:type="dxa"/>
            <w:vAlign w:val="bottom"/>
            <w:tcBorders>
              <w:bottom w:val="single" w:sz="8" w:color="5D6673"/>
            </w:tcBorders>
          </w:tcPr>
          <w:p>
            <w:pPr>
              <w:spacing w:after="0"/>
              <w:rPr>
                <w:sz w:val="18"/>
                <w:szCs w:val="18"/>
                <w:color w:val="auto"/>
              </w:rPr>
            </w:pPr>
          </w:p>
        </w:tc>
        <w:tc>
          <w:tcPr>
            <w:tcW w:w="380" w:type="dxa"/>
            <w:vAlign w:val="bottom"/>
            <w:tcBorders>
              <w:bottom w:val="single" w:sz="8" w:color="5D6673"/>
            </w:tcBorders>
          </w:tcPr>
          <w:p>
            <w:pPr>
              <w:spacing w:after="0"/>
              <w:rPr>
                <w:sz w:val="18"/>
                <w:szCs w:val="18"/>
                <w:color w:val="auto"/>
              </w:rPr>
            </w:pPr>
          </w:p>
        </w:tc>
        <w:tc>
          <w:tcPr>
            <w:tcW w:w="3060" w:type="dxa"/>
            <w:vAlign w:val="bottom"/>
            <w:tcBorders>
              <w:bottom w:val="single" w:sz="8" w:color="5D6673"/>
            </w:tcBorders>
            <w:gridSpan w:val="2"/>
          </w:tcPr>
          <w:p>
            <w:pPr>
              <w:ind w:left="80"/>
              <w:spacing w:after="0"/>
              <w:rPr>
                <w:sz w:val="20"/>
                <w:szCs w:val="20"/>
                <w:color w:val="auto"/>
              </w:rPr>
            </w:pPr>
            <w:r>
              <w:rPr>
                <w:rFonts w:ascii="Arial" w:cs="Arial" w:eastAsia="Arial" w:hAnsi="Arial"/>
                <w:sz w:val="16"/>
                <w:szCs w:val="16"/>
                <w:color w:val="auto"/>
              </w:rPr>
              <w:t>business unit performance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00" w:type="dxa"/>
            <w:vAlign w:val="bottom"/>
          </w:tcPr>
          <w:p>
            <w:pPr>
              <w:ind w:left="100"/>
              <w:spacing w:after="0" w:line="183" w:lineRule="exact"/>
              <w:rPr>
                <w:sz w:val="20"/>
                <w:szCs w:val="20"/>
                <w:color w:val="auto"/>
              </w:rPr>
            </w:pPr>
            <w:r>
              <w:rPr>
                <w:rFonts w:ascii="Arial" w:cs="Arial" w:eastAsia="Arial" w:hAnsi="Arial"/>
                <w:sz w:val="16"/>
                <w:szCs w:val="16"/>
                <w:b w:val="1"/>
                <w:bCs w:val="1"/>
                <w:color w:val="auto"/>
              </w:rPr>
              <w:t>Long-Term</w:t>
            </w:r>
          </w:p>
        </w:tc>
        <w:tc>
          <w:tcPr>
            <w:tcW w:w="1480" w:type="dxa"/>
            <w:vAlign w:val="bottom"/>
          </w:tcPr>
          <w:p>
            <w:pPr>
              <w:ind w:left="280"/>
              <w:spacing w:after="0" w:line="183" w:lineRule="exact"/>
              <w:rPr>
                <w:sz w:val="20"/>
                <w:szCs w:val="20"/>
                <w:color w:val="auto"/>
              </w:rPr>
            </w:pPr>
            <w:r>
              <w:rPr>
                <w:rFonts w:ascii="Arial" w:cs="Arial" w:eastAsia="Arial" w:hAnsi="Arial"/>
                <w:sz w:val="16"/>
                <w:szCs w:val="16"/>
                <w:b w:val="1"/>
                <w:bCs w:val="1"/>
                <w:color w:val="auto"/>
              </w:rPr>
              <w:t>Equity</w:t>
            </w:r>
          </w:p>
        </w:tc>
        <w:tc>
          <w:tcPr>
            <w:tcW w:w="2760" w:type="dxa"/>
            <w:vAlign w:val="bottom"/>
          </w:tcPr>
          <w:p>
            <w:pPr>
              <w:ind w:left="100"/>
              <w:spacing w:after="0" w:line="183" w:lineRule="exact"/>
              <w:rPr>
                <w:sz w:val="20"/>
                <w:szCs w:val="20"/>
                <w:color w:val="auto"/>
              </w:rPr>
            </w:pPr>
            <w:r>
              <w:rPr>
                <w:rFonts w:ascii="Arial" w:cs="Arial" w:eastAsia="Arial" w:hAnsi="Arial"/>
                <w:sz w:val="16"/>
                <w:szCs w:val="16"/>
                <w:color w:val="auto"/>
              </w:rPr>
              <w:t>Provides incentives for executives</w:t>
            </w:r>
          </w:p>
        </w:tc>
        <w:tc>
          <w:tcPr>
            <w:tcW w:w="3460" w:type="dxa"/>
            <w:vAlign w:val="bottom"/>
            <w:gridSpan w:val="4"/>
          </w:tcPr>
          <w:p>
            <w:pPr>
              <w:ind w:left="120"/>
              <w:spacing w:after="0" w:line="183" w:lineRule="exact"/>
              <w:rPr>
                <w:sz w:val="20"/>
                <w:szCs w:val="20"/>
                <w:color w:val="auto"/>
              </w:rPr>
            </w:pPr>
            <w:r>
              <w:rPr>
                <w:rFonts w:ascii="Arial" w:cs="Arial" w:eastAsia="Arial" w:hAnsi="Arial"/>
                <w:sz w:val="16"/>
                <w:szCs w:val="16"/>
                <w:i w:val="1"/>
                <w:iCs w:val="1"/>
                <w:color w:val="auto"/>
              </w:rPr>
              <w:t>See below</w:t>
            </w:r>
          </w:p>
        </w:tc>
        <w:tc>
          <w:tcPr>
            <w:tcW w:w="0" w:type="dxa"/>
            <w:vAlign w:val="bottom"/>
          </w:tcPr>
          <w:p>
            <w:pPr>
              <w:spacing w:after="0"/>
              <w:rPr>
                <w:sz w:val="1"/>
                <w:szCs w:val="1"/>
                <w:color w:val="auto"/>
              </w:rPr>
            </w:pPr>
          </w:p>
        </w:tc>
      </w:tr>
      <w:tr>
        <w:trPr>
          <w:trHeight w:val="189"/>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Incentive Plan</w:t>
            </w:r>
          </w:p>
        </w:tc>
        <w:tc>
          <w:tcPr>
            <w:tcW w:w="1480" w:type="dxa"/>
            <w:vAlign w:val="bottom"/>
          </w:tcPr>
          <w:p>
            <w:pPr>
              <w:ind w:left="280"/>
              <w:spacing w:after="0"/>
              <w:rPr>
                <w:sz w:val="20"/>
                <w:szCs w:val="20"/>
                <w:color w:val="auto"/>
              </w:rPr>
            </w:pPr>
            <w:r>
              <w:rPr>
                <w:rFonts w:ascii="Arial" w:cs="Arial" w:eastAsia="Arial" w:hAnsi="Arial"/>
                <w:sz w:val="16"/>
                <w:szCs w:val="16"/>
                <w:b w:val="1"/>
                <w:bCs w:val="1"/>
                <w:color w:val="auto"/>
              </w:rPr>
              <w:t>(Variable)</w:t>
            </w:r>
          </w:p>
        </w:tc>
        <w:tc>
          <w:tcPr>
            <w:tcW w:w="2760" w:type="dxa"/>
            <w:vAlign w:val="bottom"/>
          </w:tcPr>
          <w:p>
            <w:pPr>
              <w:ind w:left="100"/>
              <w:spacing w:after="0"/>
              <w:rPr>
                <w:sz w:val="20"/>
                <w:szCs w:val="20"/>
                <w:color w:val="auto"/>
              </w:rPr>
            </w:pPr>
            <w:r>
              <w:rPr>
                <w:rFonts w:ascii="Arial" w:cs="Arial" w:eastAsia="Arial" w:hAnsi="Arial"/>
                <w:sz w:val="16"/>
                <w:szCs w:val="16"/>
                <w:color w:val="auto"/>
              </w:rPr>
              <w:t>to execute on longer-term</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(LTIP)</w:t>
            </w: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financial/strategic growth goals that</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drive shareholder value creation</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and support the Company’s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retention strategy</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-3529965</wp:posOffset>
            </wp:positionV>
            <wp:extent cx="5829300" cy="4972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0" cy="497205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15"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2820" w:type="dxa"/>
            <w:vAlign w:val="bottom"/>
          </w:tcPr>
          <w:p>
            <w:pPr>
              <w:spacing w:after="0"/>
              <w:rPr>
                <w:sz w:val="20"/>
                <w:szCs w:val="20"/>
                <w:color w:val="auto"/>
              </w:rPr>
            </w:pPr>
            <w:r>
              <w:rPr>
                <w:rFonts w:ascii="Arial" w:cs="Arial" w:eastAsia="Arial" w:hAnsi="Arial"/>
                <w:sz w:val="16"/>
                <w:szCs w:val="16"/>
                <w:i w:val="1"/>
                <w:iCs w:val="1"/>
                <w:color w:val="auto"/>
              </w:rPr>
              <w:t>Performance-Based Restricted Stock</w:t>
            </w:r>
          </w:p>
        </w:tc>
        <w:tc>
          <w:tcPr>
            <w:tcW w:w="2600" w:type="dxa"/>
            <w:vAlign w:val="bottom"/>
          </w:tcPr>
          <w:p>
            <w:pPr>
              <w:ind w:left="160"/>
              <w:spacing w:after="0"/>
              <w:rPr>
                <w:sz w:val="20"/>
                <w:szCs w:val="20"/>
                <w:color w:val="auto"/>
              </w:rPr>
            </w:pPr>
            <w:r>
              <w:rPr>
                <w:rFonts w:ascii="Arial" w:cs="Arial" w:eastAsia="Arial" w:hAnsi="Arial"/>
                <w:sz w:val="16"/>
                <w:szCs w:val="16"/>
                <w:color w:val="auto"/>
              </w:rPr>
              <w:t>Rewards achievement of financial</w:t>
            </w:r>
          </w:p>
        </w:tc>
      </w:tr>
      <w:tr>
        <w:trPr>
          <w:trHeight w:val="189"/>
        </w:trPr>
        <w:tc>
          <w:tcPr>
            <w:tcW w:w="2820" w:type="dxa"/>
            <w:vAlign w:val="bottom"/>
          </w:tcPr>
          <w:p>
            <w:pPr>
              <w:spacing w:after="0"/>
              <w:rPr>
                <w:sz w:val="20"/>
                <w:szCs w:val="20"/>
                <w:color w:val="auto"/>
              </w:rPr>
            </w:pPr>
            <w:r>
              <w:rPr>
                <w:rFonts w:ascii="Arial" w:cs="Arial" w:eastAsia="Arial" w:hAnsi="Arial"/>
                <w:sz w:val="16"/>
                <w:szCs w:val="16"/>
                <w:i w:val="1"/>
                <w:iCs w:val="1"/>
                <w:color w:val="auto"/>
              </w:rPr>
              <w:t>Units (PRSUs)</w:t>
            </w:r>
          </w:p>
        </w:tc>
        <w:tc>
          <w:tcPr>
            <w:tcW w:w="2600" w:type="dxa"/>
            <w:vAlign w:val="bottom"/>
          </w:tcPr>
          <w:p>
            <w:pPr>
              <w:ind w:left="160"/>
              <w:spacing w:after="0"/>
              <w:rPr>
                <w:sz w:val="20"/>
                <w:szCs w:val="20"/>
                <w:color w:val="auto"/>
              </w:rPr>
            </w:pPr>
            <w:r>
              <w:rPr>
                <w:rFonts w:ascii="Arial" w:cs="Arial" w:eastAsia="Arial" w:hAnsi="Arial"/>
                <w:sz w:val="16"/>
                <w:szCs w:val="16"/>
                <w:color w:val="auto"/>
              </w:rPr>
              <w:t>goals measured over a three-year</w:t>
            </w:r>
          </w:p>
        </w:tc>
      </w:tr>
      <w:tr>
        <w:trPr>
          <w:trHeight w:val="215"/>
        </w:trPr>
        <w:tc>
          <w:tcPr>
            <w:tcW w:w="28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6"/>
                <w:szCs w:val="16"/>
                <w:color w:val="auto"/>
              </w:rPr>
              <w:t>performance period</w:t>
            </w:r>
          </w:p>
        </w:tc>
      </w:tr>
    </w:tbl>
    <w:p>
      <w:pPr>
        <w:spacing w:after="0" w:line="20" w:lineRule="exact"/>
        <w:rPr>
          <w:sz w:val="20"/>
          <w:szCs w:val="20"/>
          <w:color w:val="auto"/>
        </w:rPr>
      </w:pPr>
      <w:r>
        <w:rPr>
          <w:sz w:val="20"/>
          <w:szCs w:val="20"/>
          <w:color w:val="auto"/>
        </w:rPr>
        <w:br w:type="column"/>
      </w:r>
    </w:p>
    <w:p>
      <w:pPr>
        <w:ind w:left="334" w:right="1280" w:hanging="334"/>
        <w:spacing w:after="0" w:line="272" w:lineRule="auto"/>
        <w:tabs>
          <w:tab w:leader="none" w:pos="334" w:val="left"/>
        </w:tabs>
        <w:numPr>
          <w:ilvl w:val="0"/>
          <w:numId w:val="27"/>
        </w:numPr>
        <w:rPr>
          <w:rFonts w:ascii="Arial" w:cs="Arial" w:eastAsia="Arial" w:hAnsi="Arial"/>
          <w:sz w:val="16"/>
          <w:szCs w:val="16"/>
          <w:color w:val="5D6673"/>
        </w:rPr>
      </w:pPr>
      <w:r>
        <w:rPr>
          <w:rFonts w:ascii="Arial" w:cs="Arial" w:eastAsia="Arial" w:hAnsi="Arial"/>
          <w:sz w:val="16"/>
          <w:szCs w:val="16"/>
          <w:color w:val="auto"/>
        </w:rPr>
        <w:t>Financial metrics: Non-GAAP diluted EPS and relative TSR</w:t>
      </w:r>
    </w:p>
    <w:p>
      <w:pPr>
        <w:spacing w:after="0" w:line="1" w:lineRule="exact"/>
        <w:rPr>
          <w:rFonts w:ascii="Arial" w:cs="Arial" w:eastAsia="Arial" w:hAnsi="Arial"/>
          <w:sz w:val="16"/>
          <w:szCs w:val="16"/>
          <w:color w:val="5D6673"/>
        </w:rPr>
      </w:pPr>
    </w:p>
    <w:p>
      <w:pPr>
        <w:ind w:left="334" w:right="1080" w:hanging="334"/>
        <w:spacing w:after="0" w:line="259" w:lineRule="auto"/>
        <w:tabs>
          <w:tab w:leader="none" w:pos="334" w:val="left"/>
        </w:tabs>
        <w:numPr>
          <w:ilvl w:val="0"/>
          <w:numId w:val="27"/>
        </w:numPr>
        <w:rPr>
          <w:rFonts w:ascii="Arial" w:cs="Arial" w:eastAsia="Arial" w:hAnsi="Arial"/>
          <w:sz w:val="16"/>
          <w:szCs w:val="16"/>
          <w:color w:val="5D6673"/>
        </w:rPr>
      </w:pPr>
      <w:r>
        <w:rPr>
          <w:rFonts w:ascii="Arial" w:cs="Arial" w:eastAsia="Arial" w:hAnsi="Arial"/>
          <w:sz w:val="16"/>
          <w:szCs w:val="16"/>
          <w:color w:val="auto"/>
        </w:rPr>
        <w:t>Payouts: 0% to 200% of a target based on results against pre-determined financial goals, modified +/- 25% based on relative TSR performance</w:t>
      </w:r>
    </w:p>
    <w:p>
      <w:pPr>
        <w:spacing w:after="0" w:line="2" w:lineRule="exact"/>
        <w:rPr>
          <w:sz w:val="20"/>
          <w:szCs w:val="20"/>
          <w:color w:val="auto"/>
        </w:rPr>
      </w:pPr>
    </w:p>
    <w:p>
      <w:pPr>
        <w:sectPr>
          <w:pgSz w:w="11900" w:h="16838" w:orient="portrait"/>
          <w:cols w:equalWidth="0" w:num="2">
            <w:col w:w="6440" w:space="346"/>
            <w:col w:w="4234"/>
          </w:cols>
          <w:pgMar w:left="440" w:top="114"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920" w:type="dxa"/>
            <w:vAlign w:val="bottom"/>
            <w:tcBorders>
              <w:bottom w:val="single" w:sz="8" w:color="5D6673"/>
            </w:tcBorders>
          </w:tcPr>
          <w:p>
            <w:pPr>
              <w:spacing w:after="0"/>
              <w:rPr>
                <w:sz w:val="18"/>
                <w:szCs w:val="18"/>
                <w:color w:val="auto"/>
              </w:rPr>
            </w:pPr>
          </w:p>
        </w:tc>
        <w:tc>
          <w:tcPr>
            <w:tcW w:w="2780" w:type="dxa"/>
            <w:vAlign w:val="bottom"/>
            <w:tcBorders>
              <w:bottom w:val="single" w:sz="8" w:color="5D6673"/>
            </w:tcBorders>
          </w:tcPr>
          <w:p>
            <w:pPr>
              <w:spacing w:after="0"/>
              <w:rPr>
                <w:sz w:val="18"/>
                <w:szCs w:val="18"/>
                <w:color w:val="auto"/>
              </w:rPr>
            </w:pPr>
          </w:p>
        </w:tc>
        <w:tc>
          <w:tcPr>
            <w:tcW w:w="3420" w:type="dxa"/>
            <w:vAlign w:val="bottom"/>
            <w:tcBorders>
              <w:bottom w:val="single" w:sz="8" w:color="5D6673"/>
            </w:tcBorders>
            <w:gridSpan w:val="2"/>
          </w:tcPr>
          <w:p>
            <w:pPr>
              <w:ind w:left="10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Paid in Itron shares once earned</w:t>
            </w:r>
          </w:p>
        </w:tc>
        <w:tc>
          <w:tcPr>
            <w:tcW w:w="920" w:type="dxa"/>
            <w:vAlign w:val="bottom"/>
          </w:tcPr>
          <w:p>
            <w:pPr>
              <w:spacing w:after="0"/>
              <w:rPr>
                <w:sz w:val="18"/>
                <w:szCs w:val="18"/>
                <w:color w:val="auto"/>
              </w:rPr>
            </w:pPr>
          </w:p>
        </w:tc>
      </w:tr>
      <w:tr>
        <w:trPr>
          <w:trHeight w:val="183"/>
        </w:trPr>
        <w:tc>
          <w:tcPr>
            <w:tcW w:w="980" w:type="dxa"/>
            <w:vAlign w:val="bottom"/>
            <w:tcBorders>
              <w:right w:val="single" w:sz="8" w:color="D9D9D9"/>
            </w:tcBorders>
          </w:tcPr>
          <w:p>
            <w:pPr>
              <w:spacing w:after="0"/>
              <w:rPr>
                <w:sz w:val="15"/>
                <w:szCs w:val="15"/>
                <w:color w:val="auto"/>
              </w:rPr>
            </w:pPr>
          </w:p>
        </w:tc>
        <w:tc>
          <w:tcPr>
            <w:tcW w:w="2920" w:type="dxa"/>
            <w:vAlign w:val="bottom"/>
          </w:tcPr>
          <w:p>
            <w:pPr>
              <w:ind w:left="40"/>
              <w:spacing w:after="0" w:line="183" w:lineRule="exact"/>
              <w:rPr>
                <w:sz w:val="20"/>
                <w:szCs w:val="20"/>
                <w:color w:val="auto"/>
              </w:rPr>
            </w:pPr>
            <w:r>
              <w:rPr>
                <w:rFonts w:ascii="Arial" w:cs="Arial" w:eastAsia="Arial" w:hAnsi="Arial"/>
                <w:sz w:val="16"/>
                <w:szCs w:val="16"/>
                <w:i w:val="1"/>
                <w:iCs w:val="1"/>
                <w:color w:val="auto"/>
              </w:rPr>
              <w:t>Time-Vested Restricted Stock Units</w:t>
            </w:r>
          </w:p>
        </w:tc>
        <w:tc>
          <w:tcPr>
            <w:tcW w:w="2780" w:type="dxa"/>
            <w:vAlign w:val="bottom"/>
          </w:tcPr>
          <w:p>
            <w:pPr>
              <w:ind w:left="100"/>
              <w:spacing w:after="0" w:line="183" w:lineRule="exact"/>
              <w:rPr>
                <w:sz w:val="20"/>
                <w:szCs w:val="20"/>
                <w:color w:val="auto"/>
              </w:rPr>
            </w:pPr>
            <w:r>
              <w:rPr>
                <w:rFonts w:ascii="Arial" w:cs="Arial" w:eastAsia="Arial" w:hAnsi="Arial"/>
                <w:sz w:val="16"/>
                <w:szCs w:val="16"/>
                <w:color w:val="auto"/>
              </w:rPr>
              <w:t>Supports retention</w:t>
            </w:r>
          </w:p>
        </w:tc>
        <w:tc>
          <w:tcPr>
            <w:tcW w:w="3420" w:type="dxa"/>
            <w:vAlign w:val="bottom"/>
            <w:gridSpan w:val="2"/>
          </w:tcPr>
          <w:p>
            <w:pPr>
              <w:ind w:left="100"/>
              <w:spacing w:after="0" w:line="183" w:lineRule="exact"/>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Vesting: 1/3 on the first anniversary of</w:t>
            </w:r>
          </w:p>
        </w:tc>
        <w:tc>
          <w:tcPr>
            <w:tcW w:w="920" w:type="dxa"/>
            <w:vAlign w:val="bottom"/>
          </w:tcPr>
          <w:p>
            <w:pPr>
              <w:spacing w:after="0"/>
              <w:rPr>
                <w:sz w:val="15"/>
                <w:szCs w:val="15"/>
                <w:color w:val="auto"/>
              </w:rPr>
            </w:pPr>
          </w:p>
        </w:tc>
      </w:tr>
      <w:tr>
        <w:trPr>
          <w:trHeight w:val="189"/>
        </w:trPr>
        <w:tc>
          <w:tcPr>
            <w:tcW w:w="980" w:type="dxa"/>
            <w:vAlign w:val="bottom"/>
            <w:tcBorders>
              <w:right w:val="single" w:sz="8" w:color="D9D9D9"/>
            </w:tcBorders>
          </w:tcPr>
          <w:p>
            <w:pPr>
              <w:spacing w:after="0"/>
              <w:rPr>
                <w:sz w:val="16"/>
                <w:szCs w:val="16"/>
                <w:color w:val="auto"/>
              </w:rPr>
            </w:pPr>
          </w:p>
        </w:tc>
        <w:tc>
          <w:tcPr>
            <w:tcW w:w="2920" w:type="dxa"/>
            <w:vAlign w:val="bottom"/>
          </w:tcPr>
          <w:p>
            <w:pPr>
              <w:ind w:left="40"/>
              <w:spacing w:after="0"/>
              <w:rPr>
                <w:sz w:val="20"/>
                <w:szCs w:val="20"/>
                <w:color w:val="auto"/>
              </w:rPr>
            </w:pPr>
            <w:r>
              <w:rPr>
                <w:rFonts w:ascii="Arial" w:cs="Arial" w:eastAsia="Arial" w:hAnsi="Arial"/>
                <w:sz w:val="16"/>
                <w:szCs w:val="16"/>
                <w:i w:val="1"/>
                <w:iCs w:val="1"/>
                <w:color w:val="auto"/>
              </w:rPr>
              <w:t>(RSUs)</w:t>
            </w:r>
          </w:p>
        </w:tc>
        <w:tc>
          <w:tcPr>
            <w:tcW w:w="2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tcPr>
          <w:p>
            <w:pPr>
              <w:ind w:left="120"/>
              <w:spacing w:after="0"/>
              <w:rPr>
                <w:sz w:val="20"/>
                <w:szCs w:val="20"/>
                <w:color w:val="auto"/>
              </w:rPr>
            </w:pPr>
            <w:r>
              <w:rPr>
                <w:rFonts w:ascii="Arial" w:cs="Arial" w:eastAsia="Arial" w:hAnsi="Arial"/>
                <w:sz w:val="16"/>
                <w:szCs w:val="16"/>
                <w:color w:val="auto"/>
              </w:rPr>
              <w:t>the grant date and quarterly thereafter</w:t>
            </w:r>
          </w:p>
        </w:tc>
        <w:tc>
          <w:tcPr>
            <w:tcW w:w="920" w:type="dxa"/>
            <w:vAlign w:val="bottom"/>
          </w:tcPr>
          <w:p>
            <w:pPr>
              <w:spacing w:after="0"/>
              <w:rPr>
                <w:sz w:val="16"/>
                <w:szCs w:val="16"/>
                <w:color w:val="auto"/>
              </w:rPr>
            </w:pPr>
          </w:p>
        </w:tc>
      </w:tr>
      <w:tr>
        <w:trPr>
          <w:trHeight w:val="215"/>
        </w:trPr>
        <w:tc>
          <w:tcPr>
            <w:tcW w:w="980" w:type="dxa"/>
            <w:vAlign w:val="bottom"/>
            <w:tcBorders>
              <w:right w:val="single" w:sz="8" w:color="D9D9D9"/>
            </w:tcBorders>
          </w:tcPr>
          <w:p>
            <w:pPr>
              <w:spacing w:after="0"/>
              <w:rPr>
                <w:sz w:val="18"/>
                <w:szCs w:val="18"/>
                <w:color w:val="auto"/>
              </w:rPr>
            </w:pPr>
          </w:p>
        </w:tc>
        <w:tc>
          <w:tcPr>
            <w:tcW w:w="2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Arial" w:cs="Arial" w:eastAsia="Arial" w:hAnsi="Arial"/>
                <w:sz w:val="16"/>
                <w:szCs w:val="16"/>
                <w:color w:val="auto"/>
              </w:rPr>
              <w:t>for two years</w:t>
            </w:r>
          </w:p>
        </w:tc>
        <w:tc>
          <w:tcPr>
            <w:tcW w:w="920" w:type="dxa"/>
            <w:vAlign w:val="bottom"/>
          </w:tcPr>
          <w:p>
            <w:pPr>
              <w:spacing w:after="0"/>
              <w:rPr>
                <w:sz w:val="18"/>
                <w:szCs w:val="18"/>
                <w:color w:val="auto"/>
              </w:rPr>
            </w:pPr>
          </w:p>
        </w:tc>
      </w:tr>
      <w:tr>
        <w:trPr>
          <w:trHeight w:val="225"/>
        </w:trPr>
        <w:tc>
          <w:tcPr>
            <w:tcW w:w="980" w:type="dxa"/>
            <w:vAlign w:val="bottom"/>
            <w:tcBorders>
              <w:right w:val="single" w:sz="8" w:color="D9D9D9"/>
            </w:tcBorders>
          </w:tcPr>
          <w:p>
            <w:pPr>
              <w:spacing w:after="0"/>
              <w:rPr>
                <w:sz w:val="19"/>
                <w:szCs w:val="19"/>
                <w:color w:val="auto"/>
              </w:rPr>
            </w:pPr>
          </w:p>
        </w:tc>
        <w:tc>
          <w:tcPr>
            <w:tcW w:w="29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420" w:type="dxa"/>
            <w:vAlign w:val="bottom"/>
            <w:gridSpan w:val="2"/>
          </w:tcPr>
          <w:p>
            <w:pPr>
              <w:ind w:left="10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Paid in Itron shares at vesting</w:t>
            </w:r>
          </w:p>
        </w:tc>
        <w:tc>
          <w:tcPr>
            <w:tcW w:w="92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2920" w:type="dxa"/>
            <w:vAlign w:val="bottom"/>
            <w:tcBorders>
              <w:top w:val="single" w:sz="8" w:color="0063A6"/>
              <w:bottom w:val="single" w:sz="8" w:color="D02A2E"/>
            </w:tcBorders>
          </w:tcPr>
          <w:p>
            <w:pPr>
              <w:spacing w:after="0"/>
              <w:rPr>
                <w:sz w:val="18"/>
                <w:szCs w:val="18"/>
                <w:color w:val="auto"/>
              </w:rPr>
            </w:pPr>
          </w:p>
        </w:tc>
        <w:tc>
          <w:tcPr>
            <w:tcW w:w="2780" w:type="dxa"/>
            <w:vAlign w:val="bottom"/>
            <w:tcBorders>
              <w:top w:val="single" w:sz="8" w:color="0063A6"/>
              <w:bottom w:val="single" w:sz="8" w:color="D02A2E"/>
            </w:tcBorders>
          </w:tcPr>
          <w:p>
            <w:pPr>
              <w:spacing w:after="0"/>
              <w:rPr>
                <w:sz w:val="18"/>
                <w:szCs w:val="18"/>
                <w:color w:val="auto"/>
              </w:rPr>
            </w:pPr>
          </w:p>
        </w:tc>
        <w:tc>
          <w:tcPr>
            <w:tcW w:w="320" w:type="dxa"/>
            <w:vAlign w:val="bottom"/>
            <w:tcBorders>
              <w:top w:val="single" w:sz="8" w:color="5D6673"/>
              <w:bottom w:val="single" w:sz="8" w:color="D02A2E"/>
            </w:tcBorders>
          </w:tcPr>
          <w:p>
            <w:pPr>
              <w:spacing w:after="0"/>
              <w:rPr>
                <w:sz w:val="18"/>
                <w:szCs w:val="18"/>
                <w:color w:val="auto"/>
              </w:rPr>
            </w:pPr>
          </w:p>
        </w:tc>
        <w:tc>
          <w:tcPr>
            <w:tcW w:w="3100" w:type="dxa"/>
            <w:vAlign w:val="bottom"/>
            <w:tcBorders>
              <w:top w:val="single" w:sz="8" w:color="0063A6"/>
              <w:bottom w:val="single" w:sz="8" w:color="D02A2E"/>
            </w:tcBorders>
          </w:tcPr>
          <w:p>
            <w:pPr>
              <w:spacing w:after="0"/>
              <w:rPr>
                <w:sz w:val="18"/>
                <w:szCs w:val="18"/>
                <w:color w:val="auto"/>
              </w:rPr>
            </w:pPr>
          </w:p>
        </w:tc>
        <w:tc>
          <w:tcPr>
            <w:tcW w:w="920" w:type="dxa"/>
            <w:vAlign w:val="bottom"/>
          </w:tcPr>
          <w:p>
            <w:pPr>
              <w:spacing w:after="0"/>
              <w:rPr>
                <w:sz w:val="18"/>
                <w:szCs w:val="18"/>
                <w:color w:val="auto"/>
              </w:rPr>
            </w:pPr>
          </w:p>
        </w:tc>
      </w:tr>
      <w:tr>
        <w:trPr>
          <w:trHeight w:val="316"/>
        </w:trPr>
        <w:tc>
          <w:tcPr>
            <w:tcW w:w="98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5D6673"/>
              </w:rPr>
              <w:t>2025 PROXY STATEMENT</w:t>
            </w:r>
          </w:p>
        </w:tc>
        <w:tc>
          <w:tcPr>
            <w:tcW w:w="2780" w:type="dxa"/>
            <w:vAlign w:val="bottom"/>
          </w:tcPr>
          <w:p>
            <w:pPr>
              <w:ind w:left="80"/>
              <w:spacing w:after="0"/>
              <w:rPr>
                <w:sz w:val="20"/>
                <w:szCs w:val="20"/>
                <w:color w:val="auto"/>
              </w:rPr>
            </w:pPr>
            <w:r>
              <w:rPr>
                <w:rFonts w:ascii="Arial" w:cs="Arial" w:eastAsia="Arial" w:hAnsi="Arial"/>
                <w:sz w:val="16"/>
                <w:szCs w:val="16"/>
                <w:color w:val="5D6673"/>
              </w:rPr>
              <w:t>                     ITRON, INC.</w:t>
            </w:r>
          </w:p>
        </w:tc>
        <w:tc>
          <w:tcPr>
            <w:tcW w:w="3420" w:type="dxa"/>
            <w:vAlign w:val="bottom"/>
            <w:gridSpan w:val="2"/>
          </w:tcPr>
          <w:p>
            <w:pPr>
              <w:jc w:val="right"/>
              <w:spacing w:after="0"/>
              <w:rPr>
                <w:sz w:val="20"/>
                <w:szCs w:val="20"/>
                <w:color w:val="auto"/>
              </w:rPr>
            </w:pPr>
            <w:r>
              <w:rPr>
                <w:rFonts w:ascii="Arial" w:cs="Arial" w:eastAsia="Arial" w:hAnsi="Arial"/>
                <w:sz w:val="16"/>
                <w:szCs w:val="16"/>
                <w:color w:val="5D6673"/>
              </w:rPr>
              <w:t>29</w:t>
            </w:r>
          </w:p>
        </w:tc>
        <w:tc>
          <w:tcPr>
            <w:tcW w:w="920" w:type="dxa"/>
            <w:vAlign w:val="bottom"/>
          </w:tcPr>
          <w:p>
            <w:pPr>
              <w:spacing w:after="0"/>
              <w:rPr>
                <w:sz w:val="24"/>
                <w:szCs w:val="24"/>
                <w:color w:val="auto"/>
              </w:rPr>
            </w:pPr>
          </w:p>
        </w:tc>
      </w:tr>
      <w:tr>
        <w:trPr>
          <w:trHeight w:val="225"/>
        </w:trPr>
        <w:tc>
          <w:tcPr>
            <w:tcW w:w="9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63A6"/>
        </w:rPr>
        <w:t>Compensation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Linking Pay and Performance</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key component of our executive compensation philosophy is the link between compensation and overall business results and shareholder value creation.</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shown in the charts below, 89% of our CEO Mr. Deitrich’s TDC for 2024 was variable, with 64% tied to measurable performance goals and another 25% linked to the value of our stock price. For our other NEOs, an average of 78% of their 2024 TDC was variable. These charts do not include any one-time equity grants or awards outside of target annual TDC,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66040</wp:posOffset>
            </wp:positionV>
            <wp:extent cx="5408930" cy="17487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0893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tabs>
          <w:tab w:leader="none" w:pos="45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color w:val="auto"/>
        </w:rPr>
        <w:t> </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Note: Figures may not add up to 100% due to rounding.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Our Decision-Making Process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the Compensation Committee</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 xml:space="preserve">The Compensation Committee oversees the executive compensation program for our NEOs. The Committee is comprised of independent, non-employee members of the Board. The Committee works very closely with its independent consultant and management to examine the effectiveness of the Company’s executive compensation program throughout the year. Details of the Committee’s authority and responsibilities are specified in the Compensation Committee’s charter, which may be accessed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“Investors,” and then “Sustainability and Governance.”</w:t>
      </w:r>
    </w:p>
    <w:p>
      <w:pPr>
        <w:spacing w:after="0" w:line="153"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The Committee makes all final compensation and equity award decisions regarding our NEOs, except for the CEO, whose compensation is determined by the independent members of the full Board, based upon the recommendations of the Committee.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Management</w:t>
      </w:r>
    </w:p>
    <w:p>
      <w:pPr>
        <w:spacing w:after="0" w:line="9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Members of our management team attend regular Compensation Committee meetings where executive compensation, Company and individual performance, and competitive compensation levels and practices are discussed and evaluated. Only the Committee members can vote on decisions regarding NEO compensation.</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CEO reviews his recommendations pertaining to the compensation of the other NEOs with the Committee providing management input, transparency, and oversight. Approval of NEO compensation other than CEO compensation is made by the Committee. The CEO does not participate in the deliberations of the Committee regarding his own compensation. Independent members of the Board make all final determinations regarding CEO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the Independent Consultant</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Committee engages an independent compensation consultant to provide expertise on competitive pay practices, program design, and an objective assessment of any inherent risks of any programs. Pursuant to the authority granted to it under its charter, the Committee has hired F.W. Cook as its independent consultant. F.W. Cook reports directly to the Committee and does not provide any additional services to management. The Committee has conducted an independence assessment of F.W. Cook in accordance with SEC rules and concluded that F.W. Cook is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5"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30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Compensation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Role of Peer Companies</w:t>
      </w:r>
    </w:p>
    <w:p>
      <w:pPr>
        <w:spacing w:after="0" w:line="77"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For some of our direct competitors who are not publicly held, or are smaller business units within a conglomerate, there is limited compensation information available. As a result, our peer companies for purposes of benchmarking executive compensation (Peer Companies) generally consist of direct competitors for which public information is available or companies that compete for our talent,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5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For the purpose of setting 2024 compensation, the Committee conducted an in-depth assessment of potential comparators to evaluate the degree to which the current Peer Companies are consistent with Itron’s growth and evolution. The Committee also took into consideration the broader marketplace to identify appropriate and relevant additions and removals from the current Peer Companies. As a result of this review, and in consultation with F.W. Cook, the following changes were made to the Peer Companies: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40" w:type="dxa"/>
            <w:vAlign w:val="bottom"/>
            <w:tcBorders>
              <w:bottom w:val="single" w:sz="8" w:color="0063A6"/>
            </w:tcBorders>
          </w:tcPr>
          <w:p>
            <w:pPr>
              <w:ind w:left="100"/>
              <w:spacing w:after="0"/>
              <w:rPr>
                <w:sz w:val="20"/>
                <w:szCs w:val="20"/>
                <w:color w:val="auto"/>
              </w:rPr>
            </w:pPr>
            <w:r>
              <w:rPr>
                <w:rFonts w:ascii="Arial" w:cs="Arial" w:eastAsia="Arial" w:hAnsi="Arial"/>
                <w:sz w:val="14"/>
                <w:szCs w:val="14"/>
                <w:b w:val="1"/>
                <w:bCs w:val="1"/>
                <w:color w:val="auto"/>
              </w:rPr>
              <w:t>Additions</w:t>
            </w:r>
          </w:p>
        </w:tc>
        <w:tc>
          <w:tcPr>
            <w:tcW w:w="5440" w:type="dxa"/>
            <w:vAlign w:val="bottom"/>
            <w:tcBorders>
              <w:bottom w:val="single" w:sz="8" w:color="0063A6"/>
            </w:tcBorders>
          </w:tcPr>
          <w:p>
            <w:pPr>
              <w:ind w:left="940"/>
              <w:spacing w:after="0"/>
              <w:rPr>
                <w:sz w:val="20"/>
                <w:szCs w:val="20"/>
                <w:color w:val="auto"/>
              </w:rPr>
            </w:pPr>
            <w:r>
              <w:rPr>
                <w:rFonts w:ascii="Arial" w:cs="Arial" w:eastAsia="Arial" w:hAnsi="Arial"/>
                <w:sz w:val="14"/>
                <w:szCs w:val="14"/>
                <w:b w:val="1"/>
                <w:bCs w:val="1"/>
                <w:color w:val="auto"/>
              </w:rPr>
              <w:t>Removals</w:t>
            </w:r>
          </w:p>
        </w:tc>
      </w:tr>
      <w:tr>
        <w:trPr>
          <w:trHeight w:val="237"/>
        </w:trPr>
        <w:tc>
          <w:tcPr>
            <w:tcW w:w="3740" w:type="dxa"/>
            <w:vAlign w:val="bottom"/>
            <w:tcBorders>
              <w:bottom w:val="single" w:sz="8" w:color="5D6673"/>
            </w:tcBorders>
          </w:tcPr>
          <w:p>
            <w:pPr>
              <w:ind w:left="800"/>
              <w:spacing w:after="0"/>
              <w:rPr>
                <w:sz w:val="20"/>
                <w:szCs w:val="20"/>
                <w:color w:val="auto"/>
              </w:rPr>
            </w:pPr>
            <w:r>
              <w:rPr>
                <w:rFonts w:ascii="Arial" w:cs="Arial" w:eastAsia="Arial" w:hAnsi="Arial"/>
                <w:sz w:val="16"/>
                <w:szCs w:val="16"/>
                <w:color w:val="auto"/>
              </w:rPr>
              <w:t>Advanced Energy Industries</w:t>
            </w:r>
          </w:p>
        </w:tc>
        <w:tc>
          <w:tcPr>
            <w:tcW w:w="5440" w:type="dxa"/>
            <w:vAlign w:val="bottom"/>
            <w:tcBorders>
              <w:bottom w:val="single" w:sz="8" w:color="5D6673"/>
            </w:tcBorders>
          </w:tcPr>
          <w:p>
            <w:pPr>
              <w:ind w:left="1660"/>
              <w:spacing w:after="0"/>
              <w:rPr>
                <w:sz w:val="20"/>
                <w:szCs w:val="20"/>
                <w:color w:val="auto"/>
              </w:rPr>
            </w:pPr>
            <w:r>
              <w:rPr>
                <w:rFonts w:ascii="Arial" w:cs="Arial" w:eastAsia="Arial" w:hAnsi="Arial"/>
                <w:sz w:val="16"/>
                <w:szCs w:val="16"/>
                <w:color w:val="auto"/>
              </w:rPr>
              <w:t>National Instruments</w:t>
            </w:r>
          </w:p>
        </w:tc>
      </w:tr>
      <w:tr>
        <w:trPr>
          <w:trHeight w:val="228"/>
        </w:trPr>
        <w:tc>
          <w:tcPr>
            <w:tcW w:w="3740" w:type="dxa"/>
            <w:vAlign w:val="bottom"/>
            <w:tcBorders>
              <w:bottom w:val="single" w:sz="8" w:color="0063A6"/>
            </w:tcBorders>
          </w:tcPr>
          <w:p>
            <w:pPr>
              <w:ind w:left="800"/>
              <w:spacing w:after="0"/>
              <w:rPr>
                <w:sz w:val="20"/>
                <w:szCs w:val="20"/>
                <w:color w:val="auto"/>
              </w:rPr>
            </w:pPr>
            <w:r>
              <w:rPr>
                <w:rFonts w:ascii="Arial" w:cs="Arial" w:eastAsia="Arial" w:hAnsi="Arial"/>
                <w:sz w:val="16"/>
                <w:szCs w:val="16"/>
                <w:color w:val="auto"/>
              </w:rPr>
              <w:t>Array Technologies</w:t>
            </w:r>
          </w:p>
        </w:tc>
        <w:tc>
          <w:tcPr>
            <w:tcW w:w="5440" w:type="dxa"/>
            <w:vAlign w:val="bottom"/>
            <w:tcBorders>
              <w:bottom w:val="single" w:sz="8" w:color="0063A6"/>
            </w:tcBorders>
          </w:tcPr>
          <w:p>
            <w:pPr>
              <w:ind w:left="1660"/>
              <w:spacing w:after="0"/>
              <w:rPr>
                <w:sz w:val="20"/>
                <w:szCs w:val="20"/>
                <w:color w:val="auto"/>
              </w:rPr>
            </w:pPr>
            <w:r>
              <w:rPr>
                <w:rFonts w:ascii="Arial" w:cs="Arial" w:eastAsia="Arial" w:hAnsi="Arial"/>
                <w:sz w:val="16"/>
                <w:szCs w:val="16"/>
                <w:color w:val="auto"/>
              </w:rPr>
              <w:t>Xylem,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-299085</wp:posOffset>
            </wp:positionV>
            <wp:extent cx="5760720" cy="17145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60720" cy="171450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166"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28460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Advanced Energy Industries</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PTC Inc.</w:t>
            </w:r>
          </w:p>
        </w:tc>
      </w:tr>
      <w:tr>
        <w:trPr>
          <w:trHeight w:val="213"/>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Array Technologies</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SolarWinds Corporation</w:t>
            </w:r>
          </w:p>
        </w:tc>
      </w:tr>
      <w:tr>
        <w:trPr>
          <w:trHeight w:val="210"/>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Bloom Energy Corporation</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Teradata Corporation</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EnerSys</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Teradyne Inc.</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F5 Networks, Inc.</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Trimble Inc.</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ITT Inc.</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Unisys Corporation</w:t>
            </w:r>
          </w:p>
        </w:tc>
      </w:tr>
      <w:tr>
        <w:trPr>
          <w:trHeight w:val="209"/>
        </w:trPr>
        <w:tc>
          <w:tcPr>
            <w:tcW w:w="2120" w:type="dxa"/>
            <w:vAlign w:val="bottom"/>
            <w:tcBorders>
              <w:bottom w:val="single" w:sz="8" w:color="5D6673"/>
            </w:tcBorders>
          </w:tcPr>
          <w:p>
            <w:pPr>
              <w:ind w:left="100"/>
              <w:spacing w:after="0"/>
              <w:rPr>
                <w:sz w:val="20"/>
                <w:szCs w:val="20"/>
                <w:color w:val="auto"/>
              </w:rPr>
            </w:pPr>
            <w:r>
              <w:rPr>
                <w:rFonts w:ascii="Arial" w:cs="Arial" w:eastAsia="Arial" w:hAnsi="Arial"/>
                <w:sz w:val="15"/>
                <w:szCs w:val="15"/>
                <w:color w:val="auto"/>
              </w:rPr>
              <w:t>Mueller Water Products, Inc.</w:t>
            </w:r>
          </w:p>
        </w:tc>
        <w:tc>
          <w:tcPr>
            <w:tcW w:w="2360" w:type="dxa"/>
            <w:vAlign w:val="bottom"/>
            <w:tcBorders>
              <w:bottom w:val="single" w:sz="8" w:color="5D6673"/>
            </w:tcBorders>
          </w:tcPr>
          <w:p>
            <w:pPr>
              <w:ind w:left="120"/>
              <w:spacing w:after="0"/>
              <w:rPr>
                <w:sz w:val="20"/>
                <w:szCs w:val="20"/>
                <w:color w:val="auto"/>
              </w:rPr>
            </w:pPr>
            <w:r>
              <w:rPr>
                <w:rFonts w:ascii="Arial" w:cs="Arial" w:eastAsia="Arial" w:hAnsi="Arial"/>
                <w:sz w:val="15"/>
                <w:szCs w:val="15"/>
                <w:color w:val="auto"/>
              </w:rPr>
              <w:t>Vontier Corporation</w:t>
            </w:r>
          </w:p>
        </w:tc>
      </w:tr>
      <w:tr>
        <w:trPr>
          <w:trHeight w:val="199"/>
        </w:trPr>
        <w:tc>
          <w:tcPr>
            <w:tcW w:w="2120" w:type="dxa"/>
            <w:vAlign w:val="bottom"/>
            <w:tcBorders>
              <w:bottom w:val="single" w:sz="8" w:color="0063A6"/>
            </w:tcBorders>
          </w:tcPr>
          <w:p>
            <w:pPr>
              <w:ind w:left="100"/>
              <w:spacing w:after="0"/>
              <w:rPr>
                <w:sz w:val="20"/>
                <w:szCs w:val="20"/>
                <w:color w:val="auto"/>
              </w:rPr>
            </w:pPr>
            <w:r>
              <w:rPr>
                <w:rFonts w:ascii="Arial" w:cs="Arial" w:eastAsia="Arial" w:hAnsi="Arial"/>
                <w:sz w:val="15"/>
                <w:szCs w:val="15"/>
                <w:color w:val="auto"/>
              </w:rPr>
              <w:t>NetScout Systems, Inc.</w:t>
            </w:r>
          </w:p>
        </w:tc>
        <w:tc>
          <w:tcPr>
            <w:tcW w:w="2360" w:type="dxa"/>
            <w:vAlign w:val="bottom"/>
            <w:tcBorders>
              <w:bottom w:val="single" w:sz="8" w:color="0063A6"/>
            </w:tcBorders>
          </w:tcPr>
          <w:p>
            <w:pPr>
              <w:ind w:left="120"/>
              <w:spacing w:after="0"/>
              <w:rPr>
                <w:sz w:val="20"/>
                <w:szCs w:val="20"/>
                <w:color w:val="auto"/>
              </w:rPr>
            </w:pPr>
            <w:r>
              <w:rPr>
                <w:rFonts w:ascii="Arial" w:cs="Arial" w:eastAsia="Arial" w:hAnsi="Arial"/>
                <w:sz w:val="15"/>
                <w:szCs w:val="15"/>
                <w:color w:val="auto"/>
              </w:rPr>
              <w:t>Watts Water Technologies, Inc</w:t>
            </w:r>
          </w:p>
        </w:tc>
      </w:tr>
    </w:tbl>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FFFFFF"/>
        </w:rPr>
        <w:t>Peer Data as of 12-31-2023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1420" w:type="dxa"/>
            <w:vAlign w:val="bottom"/>
            <w:shd w:val="clear" w:color="auto" w:fill="0063A6"/>
          </w:tcPr>
          <w:p>
            <w:pPr>
              <w:spacing w:after="0"/>
              <w:rPr>
                <w:sz w:val="18"/>
                <w:szCs w:val="18"/>
                <w:color w:val="auto"/>
              </w:rPr>
            </w:pPr>
          </w:p>
        </w:tc>
        <w:tc>
          <w:tcPr>
            <w:tcW w:w="1140" w:type="dxa"/>
            <w:vAlign w:val="bottom"/>
            <w:shd w:val="clear" w:color="auto" w:fill="0063A6"/>
          </w:tcPr>
          <w:p>
            <w:pPr>
              <w:spacing w:after="0"/>
              <w:rPr>
                <w:sz w:val="18"/>
                <w:szCs w:val="18"/>
                <w:color w:val="auto"/>
              </w:rPr>
            </w:pPr>
          </w:p>
        </w:tc>
        <w:tc>
          <w:tcPr>
            <w:tcW w:w="1780" w:type="dxa"/>
            <w:vAlign w:val="bottom"/>
            <w:shd w:val="clear" w:color="auto" w:fill="0063A6"/>
          </w:tcPr>
          <w:p>
            <w:pPr>
              <w:jc w:val="right"/>
              <w:ind w:right="1064"/>
              <w:spacing w:after="0"/>
              <w:rPr>
                <w:sz w:val="20"/>
                <w:szCs w:val="20"/>
                <w:color w:val="auto"/>
              </w:rPr>
            </w:pPr>
            <w:r>
              <w:rPr>
                <w:rFonts w:ascii="Arial" w:cs="Arial" w:eastAsia="Arial" w:hAnsi="Arial"/>
                <w:sz w:val="14"/>
                <w:szCs w:val="14"/>
                <w:b w:val="1"/>
                <w:bCs w:val="1"/>
                <w:color w:val="FFFFFF"/>
              </w:rPr>
              <w:t>$Millions</w:t>
            </w:r>
          </w:p>
        </w:tc>
        <w:tc>
          <w:tcPr>
            <w:tcW w:w="60" w:type="dxa"/>
            <w:vAlign w:val="bottom"/>
          </w:tcPr>
          <w:p>
            <w:pPr>
              <w:spacing w:after="0"/>
              <w:rPr>
                <w:sz w:val="18"/>
                <w:szCs w:val="18"/>
                <w:color w:val="auto"/>
              </w:rPr>
            </w:pPr>
          </w:p>
        </w:tc>
      </w:tr>
      <w:tr>
        <w:trPr>
          <w:trHeight w:val="201"/>
        </w:trPr>
        <w:tc>
          <w:tcPr>
            <w:tcW w:w="60" w:type="dxa"/>
            <w:vAlign w:val="bottom"/>
          </w:tcPr>
          <w:p>
            <w:pPr>
              <w:spacing w:after="0"/>
              <w:rPr>
                <w:sz w:val="17"/>
                <w:szCs w:val="17"/>
                <w:color w:val="auto"/>
              </w:rPr>
            </w:pPr>
          </w:p>
        </w:tc>
        <w:tc>
          <w:tcPr>
            <w:tcW w:w="1420" w:type="dxa"/>
            <w:vAlign w:val="bottom"/>
            <w:tcBorders>
              <w:bottom w:val="single" w:sz="8" w:color="0063A6"/>
            </w:tcBorders>
            <w:shd w:val="clear" w:color="auto" w:fill="0063A6"/>
          </w:tcPr>
          <w:p>
            <w:pPr>
              <w:ind w:left="360"/>
              <w:spacing w:after="0"/>
              <w:rPr>
                <w:sz w:val="20"/>
                <w:szCs w:val="20"/>
                <w:color w:val="auto"/>
              </w:rPr>
            </w:pPr>
            <w:r>
              <w:rPr>
                <w:rFonts w:ascii="Arial" w:cs="Arial" w:eastAsia="Arial" w:hAnsi="Arial"/>
                <w:sz w:val="15"/>
                <w:szCs w:val="15"/>
                <w:i w:val="1"/>
                <w:iCs w:val="1"/>
                <w:color w:val="FFFFFF"/>
              </w:rPr>
              <w:t>Percentile</w:t>
            </w:r>
          </w:p>
        </w:tc>
        <w:tc>
          <w:tcPr>
            <w:tcW w:w="1140" w:type="dxa"/>
            <w:vAlign w:val="bottom"/>
            <w:tcBorders>
              <w:bottom w:val="single" w:sz="8" w:color="0063A6"/>
            </w:tcBorders>
            <w:shd w:val="clear" w:color="auto" w:fill="0063A6"/>
          </w:tcPr>
          <w:p>
            <w:pPr>
              <w:jc w:val="right"/>
              <w:ind w:right="24"/>
              <w:spacing w:after="0"/>
              <w:rPr>
                <w:sz w:val="20"/>
                <w:szCs w:val="20"/>
                <w:color w:val="auto"/>
              </w:rPr>
            </w:pPr>
            <w:r>
              <w:rPr>
                <w:rFonts w:ascii="Arial" w:cs="Arial" w:eastAsia="Arial" w:hAnsi="Arial"/>
                <w:sz w:val="15"/>
                <w:szCs w:val="15"/>
                <w:i w:val="1"/>
                <w:iCs w:val="1"/>
                <w:color w:val="FFFFFF"/>
              </w:rPr>
              <w:t>Revenue</w:t>
            </w:r>
          </w:p>
        </w:tc>
        <w:tc>
          <w:tcPr>
            <w:tcW w:w="1780" w:type="dxa"/>
            <w:vAlign w:val="bottom"/>
            <w:tcBorders>
              <w:bottom w:val="single" w:sz="8" w:color="0063A6"/>
            </w:tcBorders>
            <w:shd w:val="clear" w:color="auto" w:fill="0063A6"/>
          </w:tcPr>
          <w:p>
            <w:pPr>
              <w:jc w:val="right"/>
              <w:ind w:right="244"/>
              <w:spacing w:after="0"/>
              <w:rPr>
                <w:sz w:val="20"/>
                <w:szCs w:val="20"/>
                <w:color w:val="auto"/>
              </w:rPr>
            </w:pPr>
            <w:r>
              <w:rPr>
                <w:rFonts w:ascii="Arial" w:cs="Arial" w:eastAsia="Arial" w:hAnsi="Arial"/>
                <w:sz w:val="15"/>
                <w:szCs w:val="15"/>
                <w:i w:val="1"/>
                <w:iCs w:val="1"/>
                <w:color w:val="FFFFFF"/>
              </w:rPr>
              <w:t>Market Cap</w:t>
            </w:r>
          </w:p>
        </w:tc>
        <w:tc>
          <w:tcPr>
            <w:tcW w:w="60" w:type="dxa"/>
            <w:vAlign w:val="bottom"/>
            <w:tcBorders>
              <w:bottom w:val="single" w:sz="8" w:color="0063A6"/>
            </w:tcBorders>
          </w:tcPr>
          <w:p>
            <w:pPr>
              <w:spacing w:after="0"/>
              <w:rPr>
                <w:sz w:val="17"/>
                <w:szCs w:val="17"/>
                <w:color w:val="auto"/>
              </w:rPr>
            </w:pPr>
          </w:p>
        </w:tc>
      </w:tr>
      <w:tr>
        <w:trPr>
          <w:trHeight w:val="238"/>
        </w:trPr>
        <w:tc>
          <w:tcPr>
            <w:tcW w:w="60" w:type="dxa"/>
            <w:vAlign w:val="bottom"/>
            <w:tcBorders>
              <w:bottom w:val="single" w:sz="8" w:color="0063A6"/>
            </w:tcBorders>
          </w:tcPr>
          <w:p>
            <w:pPr>
              <w:spacing w:after="0"/>
              <w:rPr>
                <w:sz w:val="20"/>
                <w:szCs w:val="20"/>
                <w:color w:val="auto"/>
              </w:rPr>
            </w:pPr>
          </w:p>
        </w:tc>
        <w:tc>
          <w:tcPr>
            <w:tcW w:w="1420" w:type="dxa"/>
            <w:vAlign w:val="bottom"/>
            <w:tcBorders>
              <w:bottom w:val="single" w:sz="8" w:color="0063A6"/>
            </w:tcBorders>
          </w:tcPr>
          <w:p>
            <w:pPr>
              <w:ind w:left="40"/>
              <w:spacing w:after="0" w:line="237" w:lineRule="exact"/>
              <w:rPr>
                <w:sz w:val="20"/>
                <w:szCs w:val="20"/>
                <w:color w:val="auto"/>
              </w:rPr>
            </w:pPr>
            <w:r>
              <w:rPr>
                <w:rFonts w:ascii="Arial" w:cs="Arial" w:eastAsia="Arial" w:hAnsi="Arial"/>
                <w:sz w:val="27"/>
                <w:szCs w:val="27"/>
                <w:i w:val="1"/>
                <w:iCs w:val="1"/>
                <w:color w:val="auto"/>
                <w:vertAlign w:val="subscript"/>
              </w:rPr>
              <w:t>25</w:t>
            </w:r>
            <w:r>
              <w:rPr>
                <w:rFonts w:ascii="Arial" w:cs="Arial" w:eastAsia="Arial" w:hAnsi="Arial"/>
                <w:sz w:val="12"/>
                <w:szCs w:val="12"/>
                <w:i w:val="1"/>
                <w:iCs w:val="1"/>
                <w:color w:val="auto"/>
              </w:rPr>
              <w:t>th</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$1,516</w:t>
            </w:r>
          </w:p>
        </w:tc>
        <w:tc>
          <w:tcPr>
            <w:tcW w:w="1780" w:type="dxa"/>
            <w:vAlign w:val="bottom"/>
            <w:tcBorders>
              <w:bottom w:val="single" w:sz="8" w:color="0063A6"/>
            </w:tcBorders>
          </w:tcPr>
          <w:p>
            <w:pPr>
              <w:jc w:val="right"/>
              <w:ind w:right="384"/>
              <w:spacing w:after="0"/>
              <w:rPr>
                <w:sz w:val="20"/>
                <w:szCs w:val="20"/>
                <w:color w:val="auto"/>
              </w:rPr>
            </w:pPr>
            <w:r>
              <w:rPr>
                <w:rFonts w:ascii="Arial" w:cs="Arial" w:eastAsia="Arial" w:hAnsi="Arial"/>
                <w:sz w:val="15"/>
                <w:szCs w:val="15"/>
                <w:color w:val="auto"/>
              </w:rPr>
              <w:t>$ 2,467</w:t>
            </w:r>
          </w:p>
        </w:tc>
        <w:tc>
          <w:tcPr>
            <w:tcW w:w="60" w:type="dxa"/>
            <w:vAlign w:val="bottom"/>
            <w:tcBorders>
              <w:bottom w:val="single" w:sz="8" w:color="0063A6"/>
            </w:tcBorders>
          </w:tcPr>
          <w:p>
            <w:pPr>
              <w:spacing w:after="0"/>
              <w:rPr>
                <w:sz w:val="20"/>
                <w:szCs w:val="20"/>
                <w:color w:val="auto"/>
              </w:rPr>
            </w:pPr>
          </w:p>
        </w:tc>
      </w:tr>
      <w:tr>
        <w:trPr>
          <w:trHeight w:val="237"/>
        </w:trPr>
        <w:tc>
          <w:tcPr>
            <w:tcW w:w="60" w:type="dxa"/>
            <w:vAlign w:val="bottom"/>
            <w:tcBorders>
              <w:bottom w:val="single" w:sz="8" w:color="0063A6"/>
            </w:tcBorders>
          </w:tcPr>
          <w:p>
            <w:pPr>
              <w:spacing w:after="0"/>
              <w:rPr>
                <w:sz w:val="20"/>
                <w:szCs w:val="20"/>
                <w:color w:val="auto"/>
              </w:rPr>
            </w:pPr>
          </w:p>
        </w:tc>
        <w:tc>
          <w:tcPr>
            <w:tcW w:w="1420" w:type="dxa"/>
            <w:vAlign w:val="bottom"/>
            <w:tcBorders>
              <w:bottom w:val="single" w:sz="8" w:color="0063A6"/>
            </w:tcBorders>
          </w:tcPr>
          <w:p>
            <w:pPr>
              <w:ind w:left="40"/>
              <w:spacing w:after="0" w:line="236" w:lineRule="exact"/>
              <w:rPr>
                <w:sz w:val="20"/>
                <w:szCs w:val="20"/>
                <w:color w:val="auto"/>
              </w:rPr>
            </w:pPr>
            <w:r>
              <w:rPr>
                <w:rFonts w:ascii="Arial" w:cs="Arial" w:eastAsia="Arial" w:hAnsi="Arial"/>
                <w:sz w:val="15"/>
                <w:szCs w:val="15"/>
                <w:i w:val="1"/>
                <w:iCs w:val="1"/>
                <w:color w:val="auto"/>
              </w:rPr>
              <w:t>50</w:t>
            </w:r>
            <w:r>
              <w:rPr>
                <w:rFonts w:ascii="Arial" w:cs="Arial" w:eastAsia="Arial" w:hAnsi="Arial"/>
                <w:sz w:val="25"/>
                <w:szCs w:val="25"/>
                <w:i w:val="1"/>
                <w:iCs w:val="1"/>
                <w:color w:val="auto"/>
                <w:vertAlign w:val="superscript"/>
              </w:rPr>
              <w:t>th</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$2,036</w:t>
            </w:r>
          </w:p>
        </w:tc>
        <w:tc>
          <w:tcPr>
            <w:tcW w:w="1780" w:type="dxa"/>
            <w:vAlign w:val="bottom"/>
            <w:tcBorders>
              <w:bottom w:val="single" w:sz="8" w:color="0063A6"/>
            </w:tcBorders>
          </w:tcPr>
          <w:p>
            <w:pPr>
              <w:jc w:val="right"/>
              <w:ind w:right="384"/>
              <w:spacing w:after="0"/>
              <w:rPr>
                <w:sz w:val="20"/>
                <w:szCs w:val="20"/>
                <w:color w:val="auto"/>
              </w:rPr>
            </w:pPr>
            <w:r>
              <w:rPr>
                <w:rFonts w:ascii="Arial" w:cs="Arial" w:eastAsia="Arial" w:hAnsi="Arial"/>
                <w:sz w:val="15"/>
                <w:szCs w:val="15"/>
                <w:color w:val="auto"/>
              </w:rPr>
              <w:t>$ 4,169</w:t>
            </w:r>
          </w:p>
        </w:tc>
        <w:tc>
          <w:tcPr>
            <w:tcW w:w="60" w:type="dxa"/>
            <w:vAlign w:val="bottom"/>
            <w:tcBorders>
              <w:bottom w:val="single" w:sz="8" w:color="0063A6"/>
            </w:tcBorders>
          </w:tcPr>
          <w:p>
            <w:pPr>
              <w:spacing w:after="0"/>
              <w:rPr>
                <w:sz w:val="20"/>
                <w:szCs w:val="20"/>
                <w:color w:val="auto"/>
              </w:rPr>
            </w:pPr>
          </w:p>
        </w:tc>
      </w:tr>
      <w:tr>
        <w:trPr>
          <w:trHeight w:val="237"/>
        </w:trPr>
        <w:tc>
          <w:tcPr>
            <w:tcW w:w="60" w:type="dxa"/>
            <w:vAlign w:val="bottom"/>
            <w:tcBorders>
              <w:bottom w:val="single" w:sz="8" w:color="0063A6"/>
            </w:tcBorders>
          </w:tcPr>
          <w:p>
            <w:pPr>
              <w:spacing w:after="0"/>
              <w:rPr>
                <w:sz w:val="20"/>
                <w:szCs w:val="20"/>
                <w:color w:val="auto"/>
              </w:rPr>
            </w:pPr>
          </w:p>
        </w:tc>
        <w:tc>
          <w:tcPr>
            <w:tcW w:w="1420" w:type="dxa"/>
            <w:vAlign w:val="bottom"/>
            <w:tcBorders>
              <w:bottom w:val="single" w:sz="8" w:color="0063A6"/>
            </w:tcBorders>
          </w:tcPr>
          <w:p>
            <w:pPr>
              <w:ind w:left="40"/>
              <w:spacing w:after="0" w:line="236" w:lineRule="exact"/>
              <w:rPr>
                <w:sz w:val="20"/>
                <w:szCs w:val="20"/>
                <w:color w:val="auto"/>
              </w:rPr>
            </w:pPr>
            <w:r>
              <w:rPr>
                <w:rFonts w:ascii="Arial" w:cs="Arial" w:eastAsia="Arial" w:hAnsi="Arial"/>
                <w:sz w:val="15"/>
                <w:szCs w:val="15"/>
                <w:i w:val="1"/>
                <w:iCs w:val="1"/>
                <w:color w:val="auto"/>
              </w:rPr>
              <w:t>75</w:t>
            </w:r>
            <w:r>
              <w:rPr>
                <w:rFonts w:ascii="Arial" w:cs="Arial" w:eastAsia="Arial" w:hAnsi="Arial"/>
                <w:sz w:val="25"/>
                <w:szCs w:val="25"/>
                <w:i w:val="1"/>
                <w:iCs w:val="1"/>
                <w:color w:val="auto"/>
                <w:vertAlign w:val="superscript"/>
              </w:rPr>
              <w:t>th</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$2,884</w:t>
            </w:r>
          </w:p>
        </w:tc>
        <w:tc>
          <w:tcPr>
            <w:tcW w:w="1780" w:type="dxa"/>
            <w:vAlign w:val="bottom"/>
            <w:tcBorders>
              <w:bottom w:val="single" w:sz="8" w:color="0063A6"/>
            </w:tcBorders>
          </w:tcPr>
          <w:p>
            <w:pPr>
              <w:jc w:val="right"/>
              <w:ind w:right="364"/>
              <w:spacing w:after="0"/>
              <w:rPr>
                <w:sz w:val="20"/>
                <w:szCs w:val="20"/>
                <w:color w:val="auto"/>
              </w:rPr>
            </w:pPr>
            <w:r>
              <w:rPr>
                <w:rFonts w:ascii="Arial" w:cs="Arial" w:eastAsia="Arial" w:hAnsi="Arial"/>
                <w:sz w:val="15"/>
                <w:szCs w:val="15"/>
                <w:color w:val="auto"/>
              </w:rPr>
              <w:t>$10,019</w:t>
            </w:r>
          </w:p>
        </w:tc>
        <w:tc>
          <w:tcPr>
            <w:tcW w:w="60" w:type="dxa"/>
            <w:vAlign w:val="bottom"/>
            <w:tcBorders>
              <w:bottom w:val="single" w:sz="8" w:color="0063A6"/>
            </w:tcBorders>
          </w:tcPr>
          <w:p>
            <w:pPr>
              <w:spacing w:after="0"/>
              <w:rPr>
                <w:sz w:val="20"/>
                <w:szCs w:val="20"/>
                <w:color w:val="auto"/>
              </w:rPr>
            </w:pPr>
          </w:p>
        </w:tc>
      </w:tr>
      <w:tr>
        <w:trPr>
          <w:trHeight w:val="196"/>
        </w:trPr>
        <w:tc>
          <w:tcPr>
            <w:tcW w:w="60" w:type="dxa"/>
            <w:vAlign w:val="bottom"/>
            <w:tcBorders>
              <w:bottom w:val="single" w:sz="8" w:color="0063A6"/>
            </w:tcBorders>
          </w:tcPr>
          <w:p>
            <w:pPr>
              <w:spacing w:after="0"/>
              <w:rPr>
                <w:sz w:val="17"/>
                <w:szCs w:val="17"/>
                <w:color w:val="auto"/>
              </w:rPr>
            </w:pPr>
          </w:p>
        </w:tc>
        <w:tc>
          <w:tcPr>
            <w:tcW w:w="1420" w:type="dxa"/>
            <w:vAlign w:val="bottom"/>
            <w:tcBorders>
              <w:bottom w:val="single" w:sz="8" w:color="0063A6"/>
            </w:tcBorders>
          </w:tcPr>
          <w:p>
            <w:pPr>
              <w:ind w:left="40"/>
              <w:spacing w:after="0"/>
              <w:rPr>
                <w:sz w:val="20"/>
                <w:szCs w:val="20"/>
                <w:color w:val="auto"/>
              </w:rPr>
            </w:pPr>
            <w:r>
              <w:rPr>
                <w:rFonts w:ascii="Arial" w:cs="Arial" w:eastAsia="Arial" w:hAnsi="Arial"/>
                <w:sz w:val="15"/>
                <w:szCs w:val="15"/>
                <w:b w:val="1"/>
                <w:bCs w:val="1"/>
                <w:color w:val="auto"/>
              </w:rPr>
              <w:t> </w:t>
            </w:r>
          </w:p>
        </w:tc>
        <w:tc>
          <w:tcPr>
            <w:tcW w:w="1140" w:type="dxa"/>
            <w:vAlign w:val="bottom"/>
            <w:tcBorders>
              <w:bottom w:val="single" w:sz="8" w:color="0063A6"/>
            </w:tcBorders>
          </w:tcPr>
          <w:p>
            <w:pPr>
              <w:spacing w:after="0"/>
              <w:rPr>
                <w:sz w:val="17"/>
                <w:szCs w:val="17"/>
                <w:color w:val="auto"/>
              </w:rPr>
            </w:pPr>
          </w:p>
        </w:tc>
        <w:tc>
          <w:tcPr>
            <w:tcW w:w="1780" w:type="dxa"/>
            <w:vAlign w:val="bottom"/>
            <w:tcBorders>
              <w:bottom w:val="single" w:sz="8" w:color="0063A6"/>
            </w:tcBorders>
          </w:tcPr>
          <w:p>
            <w:pPr>
              <w:spacing w:after="0"/>
              <w:rPr>
                <w:sz w:val="17"/>
                <w:szCs w:val="17"/>
                <w:color w:val="auto"/>
              </w:rPr>
            </w:pPr>
          </w:p>
        </w:tc>
        <w:tc>
          <w:tcPr>
            <w:tcW w:w="60" w:type="dxa"/>
            <w:vAlign w:val="bottom"/>
            <w:tcBorders>
              <w:bottom w:val="single" w:sz="8" w:color="0063A6"/>
            </w:tcBorders>
          </w:tcPr>
          <w:p>
            <w:pPr>
              <w:spacing w:after="0"/>
              <w:rPr>
                <w:sz w:val="17"/>
                <w:szCs w:val="17"/>
                <w:color w:val="auto"/>
              </w:rPr>
            </w:pPr>
          </w:p>
        </w:tc>
      </w:tr>
      <w:tr>
        <w:trPr>
          <w:trHeight w:val="195"/>
        </w:trPr>
        <w:tc>
          <w:tcPr>
            <w:tcW w:w="60" w:type="dxa"/>
            <w:vAlign w:val="bottom"/>
            <w:tcBorders>
              <w:bottom w:val="single" w:sz="8" w:color="0063A6"/>
            </w:tcBorders>
          </w:tcPr>
          <w:p>
            <w:pPr>
              <w:spacing w:after="0"/>
              <w:rPr>
                <w:sz w:val="16"/>
                <w:szCs w:val="16"/>
                <w:color w:val="auto"/>
              </w:rPr>
            </w:pPr>
          </w:p>
        </w:tc>
        <w:tc>
          <w:tcPr>
            <w:tcW w:w="1420" w:type="dxa"/>
            <w:vAlign w:val="bottom"/>
            <w:tcBorders>
              <w:bottom w:val="single" w:sz="8" w:color="0063A6"/>
            </w:tcBorders>
          </w:tcPr>
          <w:p>
            <w:pPr>
              <w:ind w:left="40"/>
              <w:spacing w:after="0"/>
              <w:rPr>
                <w:sz w:val="20"/>
                <w:szCs w:val="20"/>
                <w:color w:val="auto"/>
              </w:rPr>
            </w:pPr>
            <w:r>
              <w:rPr>
                <w:rFonts w:ascii="Arial" w:cs="Arial" w:eastAsia="Arial" w:hAnsi="Arial"/>
                <w:sz w:val="15"/>
                <w:szCs w:val="15"/>
                <w:color w:val="auto"/>
              </w:rPr>
              <w:t>Itron</w:t>
            </w:r>
          </w:p>
        </w:tc>
        <w:tc>
          <w:tcPr>
            <w:tcW w:w="1140" w:type="dxa"/>
            <w:vAlign w:val="bottom"/>
            <w:tcBorders>
              <w:bottom w:val="single" w:sz="8" w:color="0063A6"/>
            </w:tcBorders>
          </w:tcPr>
          <w:p>
            <w:pPr>
              <w:jc w:val="right"/>
              <w:ind w:right="84"/>
              <w:spacing w:after="0"/>
              <w:rPr>
                <w:sz w:val="20"/>
                <w:szCs w:val="20"/>
                <w:color w:val="auto"/>
              </w:rPr>
            </w:pPr>
            <w:r>
              <w:rPr>
                <w:rFonts w:ascii="Arial" w:cs="Arial" w:eastAsia="Arial" w:hAnsi="Arial"/>
                <w:sz w:val="15"/>
                <w:szCs w:val="15"/>
                <w:color w:val="auto"/>
              </w:rPr>
              <w:t>$2,174</w:t>
            </w:r>
          </w:p>
        </w:tc>
        <w:tc>
          <w:tcPr>
            <w:tcW w:w="1780" w:type="dxa"/>
            <w:vAlign w:val="bottom"/>
            <w:tcBorders>
              <w:bottom w:val="single" w:sz="8" w:color="0063A6"/>
            </w:tcBorders>
          </w:tcPr>
          <w:p>
            <w:pPr>
              <w:jc w:val="right"/>
              <w:ind w:right="384"/>
              <w:spacing w:after="0"/>
              <w:rPr>
                <w:sz w:val="20"/>
                <w:szCs w:val="20"/>
                <w:color w:val="auto"/>
              </w:rPr>
            </w:pPr>
            <w:r>
              <w:rPr>
                <w:rFonts w:ascii="Arial" w:cs="Arial" w:eastAsia="Arial" w:hAnsi="Arial"/>
                <w:sz w:val="15"/>
                <w:szCs w:val="15"/>
                <w:color w:val="auto"/>
              </w:rPr>
              <w:t>$ 3,435</w:t>
            </w:r>
          </w:p>
        </w:tc>
        <w:tc>
          <w:tcPr>
            <w:tcW w:w="60" w:type="dxa"/>
            <w:vAlign w:val="bottom"/>
            <w:tcBorders>
              <w:bottom w:val="single" w:sz="8" w:color="0063A6"/>
            </w:tcBorders>
          </w:tcPr>
          <w:p>
            <w:pPr>
              <w:spacing w:after="0"/>
              <w:rPr>
                <w:sz w:val="16"/>
                <w:szCs w:val="16"/>
                <w:color w:val="auto"/>
              </w:rPr>
            </w:pPr>
          </w:p>
        </w:tc>
      </w:tr>
      <w:tr>
        <w:trPr>
          <w:trHeight w:val="184"/>
        </w:trPr>
        <w:tc>
          <w:tcPr>
            <w:tcW w:w="60" w:type="dxa"/>
            <w:vAlign w:val="bottom"/>
            <w:tcBorders>
              <w:bottom w:val="single" w:sz="8" w:color="0063A6"/>
            </w:tcBorders>
          </w:tcPr>
          <w:p>
            <w:pPr>
              <w:spacing w:after="0"/>
              <w:rPr>
                <w:sz w:val="15"/>
                <w:szCs w:val="15"/>
                <w:color w:val="auto"/>
              </w:rPr>
            </w:pPr>
          </w:p>
        </w:tc>
        <w:tc>
          <w:tcPr>
            <w:tcW w:w="1420" w:type="dxa"/>
            <w:vAlign w:val="bottom"/>
            <w:tcBorders>
              <w:bottom w:val="single" w:sz="8" w:color="0063A6"/>
            </w:tcBorders>
          </w:tcPr>
          <w:p>
            <w:pPr>
              <w:ind w:left="40"/>
              <w:spacing w:after="0"/>
              <w:rPr>
                <w:sz w:val="20"/>
                <w:szCs w:val="20"/>
                <w:color w:val="auto"/>
              </w:rPr>
            </w:pPr>
            <w:r>
              <w:rPr>
                <w:rFonts w:ascii="Arial" w:cs="Arial" w:eastAsia="Arial" w:hAnsi="Arial"/>
                <w:sz w:val="15"/>
                <w:szCs w:val="15"/>
                <w:color w:val="auto"/>
              </w:rPr>
              <w:t>Percentile Rank</w:t>
            </w:r>
          </w:p>
        </w:tc>
        <w:tc>
          <w:tcPr>
            <w:tcW w:w="1140" w:type="dxa"/>
            <w:vAlign w:val="bottom"/>
            <w:tcBorders>
              <w:bottom w:val="single" w:sz="8" w:color="0063A6"/>
            </w:tcBorders>
          </w:tcPr>
          <w:p>
            <w:pPr>
              <w:jc w:val="right"/>
              <w:spacing w:after="0"/>
              <w:rPr>
                <w:sz w:val="20"/>
                <w:szCs w:val="20"/>
                <w:color w:val="auto"/>
              </w:rPr>
            </w:pPr>
            <w:r>
              <w:rPr>
                <w:rFonts w:ascii="Arial" w:cs="Arial" w:eastAsia="Arial" w:hAnsi="Arial"/>
                <w:sz w:val="15"/>
                <w:szCs w:val="15"/>
                <w:color w:val="auto"/>
              </w:rPr>
              <w:t>61%</w:t>
            </w:r>
          </w:p>
        </w:tc>
        <w:tc>
          <w:tcPr>
            <w:tcW w:w="1780" w:type="dxa"/>
            <w:vAlign w:val="bottom"/>
            <w:tcBorders>
              <w:bottom w:val="single" w:sz="8" w:color="0063A6"/>
            </w:tcBorders>
          </w:tcPr>
          <w:p>
            <w:pPr>
              <w:jc w:val="right"/>
              <w:ind w:right="244"/>
              <w:spacing w:after="0"/>
              <w:rPr>
                <w:sz w:val="20"/>
                <w:szCs w:val="20"/>
                <w:color w:val="auto"/>
              </w:rPr>
            </w:pPr>
            <w:r>
              <w:rPr>
                <w:rFonts w:ascii="Arial" w:cs="Arial" w:eastAsia="Arial" w:hAnsi="Arial"/>
                <w:sz w:val="15"/>
                <w:szCs w:val="15"/>
                <w:color w:val="auto"/>
              </w:rPr>
              <w:t>34%</w:t>
            </w:r>
          </w:p>
        </w:tc>
        <w:tc>
          <w:tcPr>
            <w:tcW w:w="60" w:type="dxa"/>
            <w:vAlign w:val="bottom"/>
            <w:tcBorders>
              <w:bottom w:val="single" w:sz="8" w:color="0063A6"/>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2">
            <w:col w:w="4480" w:space="220"/>
            <w:col w:w="4480"/>
          </w:cols>
          <w:pgMar w:left="1360" w:top="114" w:right="1359" w:bottom="1440" w:gutter="0" w:footer="0" w:header="0"/>
          <w:type w:val="continuous"/>
        </w:sectPr>
      </w:pP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For each of the Peer Companies, data regarding base salaries, annual incentives, and long-term incentives was obtained from their annual proxy statements and other public filings with the Securities and Exchange Commission. This data was supplemented with survey data from the Radford McLagan Compensation Database, which provides compensation market information on more than 2,400 technology companies, aggregated, and presented anonymously. The Radford Survey data was narrowed to those technology companies with revenues between $1 billion and $3 billion, similar to Itron.</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With the support of FW Cook, the Committee evaluates this data for informational purposes when establishing a range of competitive compensation for our NEOs. For each NEO, the Committee determines the salary range, annual incentive target, and long-term incentive taking into consideration market data for the position being evaluated. However, market data is not the sole determinant of the Company’s practices or executive compensation levels. The Committee also considers the experience, performance, responsibilities, and contributions to the Company by each NEO when making its decisions. For the CEO, the Committee makes a recommendation to the full Board, and the independent members of the Board review and approve the CEO’s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36" w:name="page37"/>
    <w:bookmarkEnd w:id="3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0063A6"/>
        </w:rPr>
        <w:t>Compensation Discussion and Analysis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063A6"/>
        </w:rPr>
        <w:t>The 2024 Executive Compensation Program in Detail</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Base Salary</w:t>
      </w:r>
    </w:p>
    <w:p>
      <w:pPr>
        <w:spacing w:after="0" w:line="90" w:lineRule="exact"/>
        <w:rPr>
          <w:sz w:val="20"/>
          <w:szCs w:val="20"/>
          <w:color w:val="auto"/>
        </w:rPr>
      </w:pPr>
    </w:p>
    <w:p>
      <w:pPr>
        <w:ind w:left="920" w:right="1040"/>
        <w:spacing w:after="0" w:line="253" w:lineRule="auto"/>
        <w:rPr>
          <w:sz w:val="20"/>
          <w:szCs w:val="20"/>
          <w:color w:val="auto"/>
        </w:rPr>
      </w:pPr>
      <w:r>
        <w:rPr>
          <w:rFonts w:ascii="Arial" w:cs="Arial" w:eastAsia="Arial" w:hAnsi="Arial"/>
          <w:sz w:val="16"/>
          <w:szCs w:val="16"/>
          <w:color w:val="auto"/>
        </w:rPr>
        <w:t>Base salary represents annual fixed compensation and is a standard element of compensation necessary to attract and retain executive leadership talent. In making base salary decisions, the Committee considers the CEO’s recommendations for NEO compensation (other than the CEO), as well as each NEO’s position and level of responsibility within the Company. The Committee considers factors such as relevant market data as well as individual performance and contributions. After its annual review, the Committee approved modest increases to base salaries for all the NEOs. These increases were merit-based, aligned with the overall timing and budget for all merit-based salary adjustments, and aimed at ensuring continued alignment with the market. The annual base salary rates for 2024 were as follows:</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55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1260" w:type="dxa"/>
            <w:vAlign w:val="bottom"/>
            <w:tcBorders>
              <w:bottom w:val="single" w:sz="8" w:color="0063A6"/>
            </w:tcBorders>
            <w:shd w:val="clear" w:color="auto" w:fill="0063A6"/>
          </w:tcPr>
          <w:p>
            <w:pPr>
              <w:jc w:val="right"/>
              <w:ind w:right="201"/>
              <w:spacing w:after="0"/>
              <w:rPr>
                <w:sz w:val="20"/>
                <w:szCs w:val="20"/>
                <w:color w:val="auto"/>
              </w:rPr>
            </w:pPr>
            <w:r>
              <w:rPr>
                <w:rFonts w:ascii="Arial" w:cs="Arial" w:eastAsia="Arial" w:hAnsi="Arial"/>
                <w:sz w:val="14"/>
                <w:szCs w:val="14"/>
                <w:b w:val="1"/>
                <w:bCs w:val="1"/>
                <w:color w:val="FFFFFF"/>
              </w:rPr>
              <w:t>2023</w:t>
            </w:r>
          </w:p>
        </w:tc>
        <w:tc>
          <w:tcPr>
            <w:tcW w:w="1280" w:type="dxa"/>
            <w:vAlign w:val="bottom"/>
            <w:tcBorders>
              <w:bottom w:val="single" w:sz="8" w:color="0063A6"/>
            </w:tcBorders>
            <w:shd w:val="clear" w:color="auto" w:fill="0063A6"/>
          </w:tcPr>
          <w:p>
            <w:pPr>
              <w:jc w:val="right"/>
              <w:ind w:right="221"/>
              <w:spacing w:after="0"/>
              <w:rPr>
                <w:sz w:val="20"/>
                <w:szCs w:val="20"/>
                <w:color w:val="auto"/>
              </w:rPr>
            </w:pPr>
            <w:r>
              <w:rPr>
                <w:rFonts w:ascii="Arial" w:cs="Arial" w:eastAsia="Arial" w:hAnsi="Arial"/>
                <w:sz w:val="14"/>
                <w:szCs w:val="14"/>
                <w:b w:val="1"/>
                <w:bCs w:val="1"/>
                <w:color w:val="FFFFFF"/>
              </w:rPr>
              <w:t>2024</w:t>
            </w:r>
          </w:p>
        </w:tc>
        <w:tc>
          <w:tcPr>
            <w:tcW w:w="1120" w:type="dxa"/>
            <w:vAlign w:val="bottom"/>
            <w:tcBorders>
              <w:bottom w:val="single" w:sz="8" w:color="0063A6"/>
            </w:tcBorders>
            <w:shd w:val="clear" w:color="auto" w:fill="0063A6"/>
          </w:tcPr>
          <w:p>
            <w:pPr>
              <w:jc w:val="right"/>
              <w:ind w:right="1"/>
              <w:spacing w:after="0"/>
              <w:rPr>
                <w:sz w:val="20"/>
                <w:szCs w:val="20"/>
                <w:color w:val="auto"/>
              </w:rPr>
            </w:pPr>
            <w:r>
              <w:rPr>
                <w:rFonts w:ascii="Arial" w:cs="Arial" w:eastAsia="Arial" w:hAnsi="Arial"/>
                <w:sz w:val="14"/>
                <w:szCs w:val="14"/>
                <w:b w:val="1"/>
                <w:bCs w:val="1"/>
                <w:color w:val="FFFFFF"/>
              </w:rPr>
              <w:t>% Increase</w:t>
            </w:r>
          </w:p>
        </w:tc>
      </w:tr>
      <w:tr>
        <w:trPr>
          <w:trHeight w:val="249"/>
        </w:trPr>
        <w:tc>
          <w:tcPr>
            <w:tcW w:w="5520" w:type="dxa"/>
            <w:vAlign w:val="bottom"/>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$875,000</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$900,000</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2.9%</w:t>
            </w:r>
          </w:p>
        </w:tc>
      </w:tr>
      <w:tr>
        <w:trPr>
          <w:trHeight w:val="21"/>
        </w:trPr>
        <w:tc>
          <w:tcPr>
            <w:tcW w:w="55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128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520" w:type="dxa"/>
            <w:vAlign w:val="bottom"/>
          </w:tcPr>
          <w:p>
            <w:pPr>
              <w:ind w:left="80"/>
              <w:spacing w:after="0"/>
              <w:rPr>
                <w:sz w:val="20"/>
                <w:szCs w:val="20"/>
                <w:color w:val="auto"/>
              </w:rPr>
            </w:pPr>
            <w:r>
              <w:rPr>
                <w:rFonts w:ascii="Arial" w:cs="Arial" w:eastAsia="Arial" w:hAnsi="Arial"/>
                <w:sz w:val="16"/>
                <w:szCs w:val="16"/>
                <w:b w:val="1"/>
                <w:bCs w:val="1"/>
                <w:color w:val="0063A6"/>
              </w:rPr>
              <w:t>Joan S. Hooper</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$540,000</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$550,000</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1.9%</w:t>
            </w:r>
          </w:p>
        </w:tc>
      </w:tr>
      <w:tr>
        <w:trPr>
          <w:trHeight w:val="21"/>
        </w:trPr>
        <w:tc>
          <w:tcPr>
            <w:tcW w:w="55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128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520" w:type="dxa"/>
            <w:vAlign w:val="bottom"/>
          </w:tcPr>
          <w:p>
            <w:pPr>
              <w:ind w:left="80"/>
              <w:spacing w:after="0"/>
              <w:rPr>
                <w:sz w:val="20"/>
                <w:szCs w:val="20"/>
                <w:color w:val="auto"/>
              </w:rPr>
            </w:pPr>
            <w:r>
              <w:rPr>
                <w:rFonts w:ascii="Arial" w:cs="Arial" w:eastAsia="Arial" w:hAnsi="Arial"/>
                <w:sz w:val="16"/>
                <w:szCs w:val="16"/>
                <w:b w:val="1"/>
                <w:bCs w:val="1"/>
                <w:color w:val="0063A6"/>
              </w:rPr>
              <w:t>Donald L. Reeves</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$460,000</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$470,000</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2.2%</w:t>
            </w:r>
          </w:p>
        </w:tc>
      </w:tr>
      <w:tr>
        <w:trPr>
          <w:trHeight w:val="21"/>
        </w:trPr>
        <w:tc>
          <w:tcPr>
            <w:tcW w:w="55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128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520" w:type="dxa"/>
            <w:vAlign w:val="bottom"/>
          </w:tcPr>
          <w:p>
            <w:pPr>
              <w:ind w:left="80"/>
              <w:spacing w:after="0"/>
              <w:rPr>
                <w:sz w:val="20"/>
                <w:szCs w:val="20"/>
                <w:color w:val="auto"/>
              </w:rPr>
            </w:pPr>
            <w:r>
              <w:rPr>
                <w:rFonts w:ascii="Arial" w:cs="Arial" w:eastAsia="Arial" w:hAnsi="Arial"/>
                <w:sz w:val="16"/>
                <w:szCs w:val="16"/>
                <w:b w:val="1"/>
                <w:bCs w:val="1"/>
                <w:color w:val="0063A6"/>
              </w:rPr>
              <w:t>John F. Marcolini</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$450,000</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$460,000</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2.2%</w:t>
            </w:r>
          </w:p>
        </w:tc>
      </w:tr>
      <w:tr>
        <w:trPr>
          <w:trHeight w:val="21"/>
        </w:trPr>
        <w:tc>
          <w:tcPr>
            <w:tcW w:w="55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128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37"/>
        </w:trPr>
        <w:tc>
          <w:tcPr>
            <w:tcW w:w="5520" w:type="dxa"/>
            <w:vAlign w:val="bottom"/>
            <w:tcBorders>
              <w:bottom w:val="single" w:sz="8" w:color="0063A6"/>
            </w:tcBorders>
          </w:tcPr>
          <w:p>
            <w:pPr>
              <w:ind w:left="80"/>
              <w:spacing w:after="0"/>
              <w:rPr>
                <w:sz w:val="20"/>
                <w:szCs w:val="20"/>
                <w:color w:val="auto"/>
              </w:rPr>
            </w:pPr>
            <w:r>
              <w:rPr>
                <w:rFonts w:ascii="Arial" w:cs="Arial" w:eastAsia="Arial" w:hAnsi="Arial"/>
                <w:sz w:val="16"/>
                <w:szCs w:val="16"/>
                <w:b w:val="1"/>
                <w:bCs w:val="1"/>
                <w:color w:val="0063A6"/>
              </w:rPr>
              <w:t>Justin K. Patrick</w:t>
            </w:r>
          </w:p>
        </w:tc>
        <w:tc>
          <w:tcPr>
            <w:tcW w:w="1260" w:type="dxa"/>
            <w:vAlign w:val="bottom"/>
            <w:tcBorders>
              <w:bottom w:val="single" w:sz="8" w:color="0063A6"/>
            </w:tcBorders>
          </w:tcPr>
          <w:p>
            <w:pPr>
              <w:jc w:val="right"/>
              <w:ind w:right="221"/>
              <w:spacing w:after="0"/>
              <w:rPr>
                <w:sz w:val="20"/>
                <w:szCs w:val="20"/>
                <w:color w:val="auto"/>
              </w:rPr>
            </w:pPr>
            <w:r>
              <w:rPr>
                <w:rFonts w:ascii="Arial" w:cs="Arial" w:eastAsia="Arial" w:hAnsi="Arial"/>
                <w:sz w:val="16"/>
                <w:szCs w:val="16"/>
                <w:color w:val="auto"/>
              </w:rPr>
              <w:t>$400,000</w:t>
            </w:r>
          </w:p>
        </w:tc>
        <w:tc>
          <w:tcPr>
            <w:tcW w:w="1280" w:type="dxa"/>
            <w:vAlign w:val="bottom"/>
            <w:tcBorders>
              <w:bottom w:val="single" w:sz="8" w:color="0063A6"/>
            </w:tcBorders>
          </w:tcPr>
          <w:p>
            <w:pPr>
              <w:jc w:val="right"/>
              <w:ind w:right="241"/>
              <w:spacing w:after="0"/>
              <w:rPr>
                <w:sz w:val="20"/>
                <w:szCs w:val="20"/>
                <w:color w:val="auto"/>
              </w:rPr>
            </w:pPr>
            <w:r>
              <w:rPr>
                <w:rFonts w:ascii="Arial" w:cs="Arial" w:eastAsia="Arial" w:hAnsi="Arial"/>
                <w:sz w:val="16"/>
                <w:szCs w:val="16"/>
                <w:color w:val="auto"/>
              </w:rPr>
              <w:t>$415,000</w:t>
            </w:r>
          </w:p>
        </w:tc>
        <w:tc>
          <w:tcPr>
            <w:tcW w:w="1120" w:type="dxa"/>
            <w:vAlign w:val="bottom"/>
            <w:tcBorders>
              <w:bottom w:val="single" w:sz="8" w:color="0063A6"/>
            </w:tcBorders>
          </w:tcPr>
          <w:p>
            <w:pPr>
              <w:jc w:val="right"/>
              <w:ind w:right="21"/>
              <w:spacing w:after="0"/>
              <w:rPr>
                <w:sz w:val="20"/>
                <w:szCs w:val="20"/>
                <w:color w:val="auto"/>
              </w:rPr>
            </w:pPr>
            <w:r>
              <w:rPr>
                <w:rFonts w:ascii="Arial" w:cs="Arial" w:eastAsia="Arial" w:hAnsi="Arial"/>
                <w:sz w:val="16"/>
                <w:szCs w:val="16"/>
                <w:color w:val="auto"/>
              </w:rPr>
              <w:t>3.8%</w:t>
            </w:r>
          </w:p>
        </w:tc>
      </w:tr>
    </w:tbl>
    <w:p>
      <w:pPr>
        <w:spacing w:after="0" w:line="233"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Annual Cash Incentives: The Itron Incentive Plan (IIP)</w:t>
      </w:r>
    </w:p>
    <w:p>
      <w:pPr>
        <w:spacing w:after="0" w:line="90" w:lineRule="exact"/>
        <w:rPr>
          <w:sz w:val="20"/>
          <w:szCs w:val="20"/>
          <w:color w:val="auto"/>
        </w:rPr>
      </w:pPr>
    </w:p>
    <w:p>
      <w:pPr>
        <w:ind w:left="920" w:right="1040"/>
        <w:spacing w:after="0" w:line="253" w:lineRule="auto"/>
        <w:rPr>
          <w:sz w:val="20"/>
          <w:szCs w:val="20"/>
          <w:color w:val="auto"/>
        </w:rPr>
      </w:pPr>
      <w:r>
        <w:rPr>
          <w:rFonts w:ascii="Arial" w:cs="Arial" w:eastAsia="Arial" w:hAnsi="Arial"/>
          <w:sz w:val="16"/>
          <w:szCs w:val="16"/>
          <w:color w:val="auto"/>
        </w:rPr>
        <w:t>The 2024 IIP provided our NEOs the opportunity to earn a performance-based annual cash bonus. Actual bonus payouts depend on the achievement of pre-determined financial and non-financial performance objectives. Financial objectives are subject to the achievement of a threshold Adjusted EBITDA goal and payouts can range from 0% to 150% of target award amounts. Non-financial objectives are based on Quantitative Strategic Goals and payouts can range between 0% and 100% of target award amounts. The Committee also retains discretion to apply a modifier to payouts under the IIP to either reduce or increase the payout based on its assessment of individual and/or business unit performance. As discussed below under “2024 Individual Performance,” the Committee applied this discretion for 2024 payouts.</w:t>
      </w:r>
    </w:p>
    <w:p>
      <w:pPr>
        <w:spacing w:after="0" w:line="141" w:lineRule="exact"/>
        <w:rPr>
          <w:sz w:val="20"/>
          <w:szCs w:val="20"/>
          <w:color w:val="auto"/>
        </w:rPr>
      </w:pPr>
    </w:p>
    <w:p>
      <w:pPr>
        <w:ind w:left="920" w:right="1000"/>
        <w:spacing w:after="0" w:line="259" w:lineRule="auto"/>
        <w:rPr>
          <w:sz w:val="20"/>
          <w:szCs w:val="20"/>
          <w:color w:val="auto"/>
        </w:rPr>
      </w:pPr>
      <w:r>
        <w:rPr>
          <w:rFonts w:ascii="Arial" w:cs="Arial" w:eastAsia="Arial" w:hAnsi="Arial"/>
          <w:sz w:val="16"/>
          <w:szCs w:val="16"/>
          <w:i w:val="1"/>
          <w:iCs w:val="1"/>
          <w:color w:val="auto"/>
        </w:rPr>
        <w:t xml:space="preserve">2024 Target Annual Bonus Opportunities. </w:t>
      </w:r>
      <w:r>
        <w:rPr>
          <w:rFonts w:ascii="Arial" w:cs="Arial" w:eastAsia="Arial" w:hAnsi="Arial"/>
          <w:sz w:val="16"/>
          <w:szCs w:val="16"/>
          <w:color w:val="auto"/>
        </w:rPr>
        <w:t>Target annual bonus opportunities are expressed as a percentage of base salary and</w:t>
      </w:r>
      <w:r>
        <w:rPr>
          <w:rFonts w:ascii="Arial" w:cs="Arial" w:eastAsia="Arial" w:hAnsi="Arial"/>
          <w:sz w:val="16"/>
          <w:szCs w:val="16"/>
          <w:i w:val="1"/>
          <w:iCs w:val="1"/>
          <w:color w:val="auto"/>
        </w:rPr>
        <w:t xml:space="preserve"> </w:t>
      </w:r>
      <w:r>
        <w:rPr>
          <w:rFonts w:ascii="Arial" w:cs="Arial" w:eastAsia="Arial" w:hAnsi="Arial"/>
          <w:sz w:val="16"/>
          <w:szCs w:val="16"/>
          <w:color w:val="auto"/>
        </w:rPr>
        <w:t>were established by the NEO’s level of responsibility and his or her ability to impact overall results. The Committee also considers market data in setting target award amounts. NEO target annual bonus opportunities for 2024 remained unchanged from 2023. As a result, target annual bonus opportunities for 2024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4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2024 Target IIP</w:t>
            </w:r>
          </w:p>
        </w:tc>
        <w:tc>
          <w:tcPr>
            <w:tcW w:w="920" w:type="dxa"/>
            <w:vAlign w:val="bottom"/>
          </w:tcPr>
          <w:p>
            <w:pPr>
              <w:spacing w:after="0"/>
              <w:rPr>
                <w:sz w:val="19"/>
                <w:szCs w:val="19"/>
                <w:color w:val="auto"/>
              </w:rPr>
            </w:pPr>
          </w:p>
        </w:tc>
      </w:tr>
      <w:tr>
        <w:trPr>
          <w:trHeight w:val="205"/>
        </w:trPr>
        <w:tc>
          <w:tcPr>
            <w:tcW w:w="920" w:type="dxa"/>
            <w:vAlign w:val="bottom"/>
          </w:tcPr>
          <w:p>
            <w:pPr>
              <w:spacing w:after="0"/>
              <w:rPr>
                <w:sz w:val="17"/>
                <w:szCs w:val="17"/>
                <w:color w:val="auto"/>
              </w:rPr>
            </w:pPr>
          </w:p>
        </w:tc>
        <w:tc>
          <w:tcPr>
            <w:tcW w:w="230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3840" w:type="dxa"/>
            <w:vAlign w:val="bottom"/>
            <w:tcBorders>
              <w:bottom w:val="single" w:sz="8" w:color="0063A6"/>
            </w:tcBorders>
          </w:tcPr>
          <w:p>
            <w:pPr>
              <w:spacing w:after="0"/>
              <w:rPr>
                <w:sz w:val="17"/>
                <w:szCs w:val="17"/>
                <w:color w:val="auto"/>
              </w:rPr>
            </w:pPr>
          </w:p>
        </w:tc>
        <w:tc>
          <w:tcPr>
            <w:tcW w:w="1300" w:type="dxa"/>
            <w:vAlign w:val="bottom"/>
            <w:tcBorders>
              <w:bottom w:val="single" w:sz="8" w:color="0063A6"/>
            </w:tcBorders>
          </w:tcPr>
          <w:p>
            <w:pPr>
              <w:spacing w:after="0"/>
              <w:rPr>
                <w:sz w:val="17"/>
                <w:szCs w:val="17"/>
                <w:color w:val="auto"/>
              </w:rPr>
            </w:pPr>
          </w:p>
        </w:tc>
        <w:tc>
          <w:tcPr>
            <w:tcW w:w="17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(as a % of Base Salary)</w:t>
            </w:r>
          </w:p>
        </w:tc>
        <w:tc>
          <w:tcPr>
            <w:tcW w:w="920" w:type="dxa"/>
            <w:vAlign w:val="bottom"/>
          </w:tcPr>
          <w:p>
            <w:pPr>
              <w:spacing w:after="0"/>
              <w:rPr>
                <w:sz w:val="17"/>
                <w:szCs w:val="17"/>
                <w:color w:val="auto"/>
              </w:rPr>
            </w:pPr>
          </w:p>
        </w:tc>
      </w:tr>
      <w:tr>
        <w:trPr>
          <w:trHeight w:val="249"/>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125%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Joan S. Hooper</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Donald L. Reeves</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6"/>
                <w:szCs w:val="16"/>
                <w:b w:val="1"/>
                <w:bCs w:val="1"/>
                <w:color w:val="0063A6"/>
              </w:rPr>
              <w:t>John F. Marcolini</w:t>
            </w:r>
          </w:p>
        </w:tc>
        <w:tc>
          <w:tcPr>
            <w:tcW w:w="3840" w:type="dxa"/>
            <w:vAlign w:val="bottom"/>
          </w:tcPr>
          <w:p>
            <w:pPr>
              <w:spacing w:after="0"/>
              <w:rPr>
                <w:sz w:val="21"/>
                <w:szCs w:val="21"/>
                <w:color w:val="auto"/>
              </w:rPr>
            </w:pPr>
          </w:p>
        </w:tc>
        <w:tc>
          <w:tcPr>
            <w:tcW w:w="3040" w:type="dxa"/>
            <w:vAlign w:val="bottom"/>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300" w:type="dxa"/>
            <w:vAlign w:val="bottom"/>
            <w:tcBorders>
              <w:bottom w:val="single" w:sz="8" w:color="5D6673"/>
            </w:tcBorders>
          </w:tcPr>
          <w:p>
            <w:pPr>
              <w:spacing w:after="0" w:line="20" w:lineRule="exact"/>
              <w:rPr>
                <w:sz w:val="1"/>
                <w:szCs w:val="1"/>
                <w:color w:val="auto"/>
              </w:rPr>
            </w:pPr>
          </w:p>
        </w:tc>
        <w:tc>
          <w:tcPr>
            <w:tcW w:w="3840" w:type="dxa"/>
            <w:vAlign w:val="bottom"/>
            <w:tcBorders>
              <w:bottom w:val="single" w:sz="8" w:color="5D6673"/>
            </w:tcBorders>
          </w:tcPr>
          <w:p>
            <w:pPr>
              <w:spacing w:after="0" w:line="20" w:lineRule="exact"/>
              <w:rPr>
                <w:sz w:val="1"/>
                <w:szCs w:val="1"/>
                <w:color w:val="auto"/>
              </w:rPr>
            </w:pPr>
          </w:p>
        </w:tc>
        <w:tc>
          <w:tcPr>
            <w:tcW w:w="3040" w:type="dxa"/>
            <w:vAlign w:val="bottom"/>
            <w:tcBorders>
              <w:bottom w:val="single" w:sz="8" w:color="5D6673"/>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2300" w:type="dxa"/>
            <w:vAlign w:val="bottom"/>
            <w:tcBorders>
              <w:bottom w:val="single" w:sz="8" w:color="0063A6"/>
            </w:tcBorders>
          </w:tcPr>
          <w:p>
            <w:pPr>
              <w:ind w:left="80"/>
              <w:spacing w:after="0"/>
              <w:rPr>
                <w:sz w:val="20"/>
                <w:szCs w:val="20"/>
                <w:color w:val="auto"/>
              </w:rPr>
            </w:pPr>
            <w:r>
              <w:rPr>
                <w:rFonts w:ascii="Arial" w:cs="Arial" w:eastAsia="Arial" w:hAnsi="Arial"/>
                <w:sz w:val="16"/>
                <w:szCs w:val="16"/>
                <w:b w:val="1"/>
                <w:bCs w:val="1"/>
                <w:color w:val="0063A6"/>
              </w:rPr>
              <w:t>Justin K. Patrick</w:t>
            </w:r>
          </w:p>
        </w:tc>
        <w:tc>
          <w:tcPr>
            <w:tcW w:w="3840" w:type="dxa"/>
            <w:vAlign w:val="bottom"/>
            <w:tcBorders>
              <w:bottom w:val="single" w:sz="8" w:color="0063A6"/>
            </w:tcBorders>
          </w:tcPr>
          <w:p>
            <w:pPr>
              <w:spacing w:after="0"/>
              <w:rPr>
                <w:sz w:val="20"/>
                <w:szCs w:val="20"/>
                <w:color w:val="auto"/>
              </w:rPr>
            </w:pPr>
          </w:p>
        </w:tc>
        <w:tc>
          <w:tcPr>
            <w:tcW w:w="3040" w:type="dxa"/>
            <w:vAlign w:val="bottom"/>
            <w:tcBorders>
              <w:bottom w:val="single" w:sz="8" w:color="0063A6"/>
            </w:tcBorders>
            <w:gridSpan w:val="2"/>
          </w:tcPr>
          <w:p>
            <w:pPr>
              <w:jc w:val="right"/>
              <w:ind w:right="8"/>
              <w:spacing w:after="0"/>
              <w:rPr>
                <w:sz w:val="20"/>
                <w:szCs w:val="20"/>
                <w:color w:val="auto"/>
              </w:rPr>
            </w:pPr>
            <w:r>
              <w:rPr>
                <w:rFonts w:ascii="Arial" w:cs="Arial" w:eastAsia="Arial" w:hAnsi="Arial"/>
                <w:sz w:val="16"/>
                <w:szCs w:val="16"/>
                <w:color w:val="auto"/>
              </w:rPr>
              <w:t>75%</w:t>
            </w:r>
          </w:p>
        </w:tc>
        <w:tc>
          <w:tcPr>
            <w:tcW w:w="920" w:type="dxa"/>
            <w:vAlign w:val="bottom"/>
          </w:tcPr>
          <w:p>
            <w:pPr>
              <w:spacing w:after="0"/>
              <w:rPr>
                <w:sz w:val="20"/>
                <w:szCs w:val="20"/>
                <w:color w:val="auto"/>
              </w:rPr>
            </w:pPr>
          </w:p>
        </w:tc>
      </w:tr>
      <w:tr>
        <w:trPr>
          <w:trHeight w:val="209"/>
        </w:trPr>
        <w:tc>
          <w:tcPr>
            <w:tcW w:w="920" w:type="dxa"/>
            <w:vAlign w:val="bottom"/>
          </w:tcPr>
          <w:p>
            <w:pPr>
              <w:spacing w:after="0"/>
              <w:rPr>
                <w:sz w:val="18"/>
                <w:szCs w:val="18"/>
                <w:color w:val="auto"/>
              </w:rPr>
            </w:pPr>
          </w:p>
        </w:tc>
        <w:tc>
          <w:tcPr>
            <w:tcW w:w="2300" w:type="dxa"/>
            <w:vAlign w:val="bottom"/>
            <w:tcBorders>
              <w:bottom w:val="single" w:sz="8" w:color="D02A2E"/>
            </w:tcBorders>
          </w:tcPr>
          <w:p>
            <w:pPr>
              <w:spacing w:after="0"/>
              <w:rPr>
                <w:sz w:val="18"/>
                <w:szCs w:val="18"/>
                <w:color w:val="auto"/>
              </w:rPr>
            </w:pPr>
          </w:p>
        </w:tc>
        <w:tc>
          <w:tcPr>
            <w:tcW w:w="3840" w:type="dxa"/>
            <w:vAlign w:val="bottom"/>
            <w:tcBorders>
              <w:bottom w:val="single" w:sz="8" w:color="D02A2E"/>
            </w:tcBorders>
          </w:tcPr>
          <w:p>
            <w:pPr>
              <w:spacing w:after="0"/>
              <w:rPr>
                <w:sz w:val="18"/>
                <w:szCs w:val="18"/>
                <w:color w:val="auto"/>
              </w:rPr>
            </w:pPr>
          </w:p>
        </w:tc>
        <w:tc>
          <w:tcPr>
            <w:tcW w:w="3040" w:type="dxa"/>
            <w:vAlign w:val="bottom"/>
            <w:tcBorders>
              <w:bottom w:val="single" w:sz="8" w:color="D02A2E"/>
            </w:tcBorders>
            <w:gridSpan w:val="2"/>
          </w:tcPr>
          <w:p>
            <w:pPr>
              <w:spacing w:after="0"/>
              <w:rPr>
                <w:sz w:val="18"/>
                <w:szCs w:val="18"/>
                <w:color w:val="auto"/>
              </w:rPr>
            </w:pPr>
          </w:p>
        </w:tc>
        <w:tc>
          <w:tcPr>
            <w:tcW w:w="920" w:type="dxa"/>
            <w:vAlign w:val="bottom"/>
          </w:tcPr>
          <w:p>
            <w:pPr>
              <w:spacing w:after="0"/>
              <w:rPr>
                <w:sz w:val="18"/>
                <w:szCs w:val="18"/>
                <w:color w:val="auto"/>
              </w:rPr>
            </w:pPr>
          </w:p>
        </w:tc>
      </w:tr>
      <w:tr>
        <w:trPr>
          <w:trHeight w:val="316"/>
        </w:trPr>
        <w:tc>
          <w:tcPr>
            <w:tcW w:w="92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6"/>
                <w:szCs w:val="16"/>
                <w:color w:val="5D6673"/>
              </w:rPr>
              <w:t>32</w:t>
            </w:r>
          </w:p>
        </w:tc>
        <w:tc>
          <w:tcPr>
            <w:tcW w:w="3840" w:type="dxa"/>
            <w:vAlign w:val="bottom"/>
          </w:tcPr>
          <w:p>
            <w:pPr>
              <w:ind w:left="760"/>
              <w:spacing w:after="0"/>
              <w:rPr>
                <w:sz w:val="20"/>
                <w:szCs w:val="20"/>
                <w:color w:val="auto"/>
              </w:rPr>
            </w:pPr>
            <w:r>
              <w:rPr>
                <w:rFonts w:ascii="Arial" w:cs="Arial" w:eastAsia="Arial" w:hAnsi="Arial"/>
                <w:sz w:val="16"/>
                <w:szCs w:val="16"/>
                <w:color w:val="5D6673"/>
              </w:rPr>
              <w:t>                     ITRON, INC.</w:t>
            </w:r>
          </w:p>
        </w:tc>
        <w:tc>
          <w:tcPr>
            <w:tcW w:w="3040" w:type="dxa"/>
            <w:vAlign w:val="bottom"/>
            <w:gridSpan w:val="2"/>
          </w:tcPr>
          <w:p>
            <w:pPr>
              <w:jc w:val="right"/>
              <w:spacing w:after="0"/>
              <w:rPr>
                <w:sz w:val="20"/>
                <w:szCs w:val="20"/>
                <w:color w:val="auto"/>
              </w:rPr>
            </w:pPr>
            <w:r>
              <w:rPr>
                <w:rFonts w:ascii="Arial" w:cs="Arial" w:eastAsia="Arial" w:hAnsi="Arial"/>
                <w:sz w:val="16"/>
                <w:szCs w:val="16"/>
                <w:color w:val="5D6673"/>
              </w:rPr>
              <w:t>2025 PROXY STATEMENT</w:t>
            </w:r>
          </w:p>
        </w:tc>
        <w:tc>
          <w:tcPr>
            <w:tcW w:w="92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37" w:name="page38"/>
    <w:bookmarkEnd w:id="3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666"/>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6" w:right="580"/>
        <w:spacing w:after="0" w:line="286" w:lineRule="auto"/>
        <w:rPr>
          <w:sz w:val="20"/>
          <w:szCs w:val="20"/>
          <w:color w:val="auto"/>
        </w:rPr>
      </w:pPr>
      <w:r>
        <w:rPr>
          <w:rFonts w:ascii="Arial" w:cs="Arial" w:eastAsia="Arial" w:hAnsi="Arial"/>
          <w:sz w:val="16"/>
          <w:szCs w:val="16"/>
          <w:i w:val="1"/>
          <w:iCs w:val="1"/>
          <w:color w:val="auto"/>
        </w:rPr>
        <w:t xml:space="preserve">2024 Performance Objectives. </w:t>
      </w:r>
      <w:r>
        <w:rPr>
          <w:rFonts w:ascii="Arial" w:cs="Arial" w:eastAsia="Arial" w:hAnsi="Arial"/>
          <w:sz w:val="16"/>
          <w:szCs w:val="16"/>
          <w:color w:val="auto"/>
        </w:rPr>
        <w:t>An individual NEO’s IIP award is based on the following mix of financial and non-financial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w:t>
      </w:r>
    </w:p>
    <w:p>
      <w:pPr>
        <w:spacing w:after="0" w:line="102"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1900" w:type="dxa"/>
            <w:vAlign w:val="bottom"/>
            <w:tcBorders>
              <w:bottom w:val="single" w:sz="8" w:color="0063A6"/>
            </w:tcBorders>
          </w:tcPr>
          <w:p>
            <w:pPr>
              <w:ind w:left="100"/>
              <w:spacing w:after="0"/>
              <w:rPr>
                <w:sz w:val="20"/>
                <w:szCs w:val="20"/>
                <w:color w:val="auto"/>
              </w:rPr>
            </w:pPr>
            <w:r>
              <w:rPr>
                <w:rFonts w:ascii="Arial" w:cs="Arial" w:eastAsia="Arial" w:hAnsi="Arial"/>
                <w:sz w:val="14"/>
                <w:szCs w:val="14"/>
                <w:b w:val="1"/>
                <w:bCs w:val="1"/>
                <w:color w:val="auto"/>
              </w:rPr>
              <w:t>Performance Objectives</w:t>
            </w:r>
          </w:p>
        </w:tc>
        <w:tc>
          <w:tcPr>
            <w:tcW w:w="100" w:type="dxa"/>
            <w:vAlign w:val="bottom"/>
            <w:tcBorders>
              <w:bottom w:val="single" w:sz="8" w:color="0063A6"/>
            </w:tcBorders>
            <w:shd w:val="clear" w:color="auto" w:fill="0063A6"/>
          </w:tcPr>
          <w:p>
            <w:pPr>
              <w:spacing w:after="0"/>
              <w:rPr>
                <w:sz w:val="22"/>
                <w:szCs w:val="22"/>
                <w:color w:val="auto"/>
              </w:rPr>
            </w:pPr>
          </w:p>
        </w:tc>
        <w:tc>
          <w:tcPr>
            <w:tcW w:w="164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Performance Metrics</w:t>
            </w:r>
          </w:p>
        </w:tc>
        <w:tc>
          <w:tcPr>
            <w:tcW w:w="1840" w:type="dxa"/>
            <w:vAlign w:val="bottom"/>
            <w:tcBorders>
              <w:bottom w:val="single" w:sz="8" w:color="0063A6"/>
            </w:tcBorders>
            <w:shd w:val="clear" w:color="auto" w:fill="0063A6"/>
          </w:tcPr>
          <w:p>
            <w:pPr>
              <w:ind w:left="380"/>
              <w:spacing w:after="0"/>
              <w:rPr>
                <w:sz w:val="20"/>
                <w:szCs w:val="20"/>
                <w:color w:val="auto"/>
              </w:rPr>
            </w:pPr>
            <w:r>
              <w:rPr>
                <w:rFonts w:ascii="Arial" w:cs="Arial" w:eastAsia="Arial" w:hAnsi="Arial"/>
                <w:sz w:val="14"/>
                <w:szCs w:val="14"/>
                <w:b w:val="1"/>
                <w:bCs w:val="1"/>
                <w:color w:val="FFFFFF"/>
              </w:rPr>
              <w:t>2023 IIP Weighting</w:t>
            </w:r>
          </w:p>
        </w:tc>
        <w:tc>
          <w:tcPr>
            <w:tcW w:w="3700" w:type="dxa"/>
            <w:vAlign w:val="bottom"/>
            <w:tcBorders>
              <w:bottom w:val="single" w:sz="8" w:color="0063A6"/>
            </w:tcBorders>
            <w:shd w:val="clear" w:color="auto" w:fill="0063A6"/>
          </w:tcPr>
          <w:p>
            <w:pPr>
              <w:ind w:left="200"/>
              <w:spacing w:after="0"/>
              <w:rPr>
                <w:sz w:val="20"/>
                <w:szCs w:val="20"/>
                <w:color w:val="auto"/>
              </w:rPr>
            </w:pPr>
            <w:r>
              <w:rPr>
                <w:rFonts w:ascii="Arial" w:cs="Arial" w:eastAsia="Arial" w:hAnsi="Arial"/>
                <w:sz w:val="14"/>
                <w:szCs w:val="14"/>
                <w:b w:val="1"/>
                <w:bCs w:val="1"/>
                <w:color w:val="FFFFFF"/>
              </w:rPr>
              <w:t>Rationale</w:t>
            </w:r>
          </w:p>
        </w:tc>
        <w:tc>
          <w:tcPr>
            <w:tcW w:w="0" w:type="dxa"/>
            <w:vAlign w:val="bottom"/>
          </w:tcPr>
          <w:p>
            <w:pPr>
              <w:spacing w:after="0"/>
              <w:rPr>
                <w:sz w:val="1"/>
                <w:szCs w:val="1"/>
                <w:color w:val="auto"/>
              </w:rPr>
            </w:pPr>
          </w:p>
        </w:tc>
      </w:tr>
      <w:tr>
        <w:trPr>
          <w:trHeight w:val="288"/>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Focuses on profitable growth, while continuing to</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provide strong accountability for returns.</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restart"/>
          </w:tcPr>
          <w:p>
            <w:pPr>
              <w:spacing w:after="0"/>
              <w:rPr>
                <w:sz w:val="20"/>
                <w:szCs w:val="20"/>
                <w:color w:val="auto"/>
              </w:rPr>
            </w:pPr>
            <w:r>
              <w:rPr>
                <w:rFonts w:ascii="Arial" w:cs="Arial" w:eastAsia="Arial" w:hAnsi="Arial"/>
                <w:sz w:val="16"/>
                <w:szCs w:val="16"/>
                <w:b w:val="1"/>
                <w:bCs w:val="1"/>
                <w:color w:val="0063A6"/>
              </w:rPr>
              <w:t>Adjusted</w:t>
            </w: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Adjusted EBITDA provides a more useful illustration</w:t>
            </w:r>
          </w:p>
        </w:tc>
        <w:tc>
          <w:tcPr>
            <w:tcW w:w="0" w:type="dxa"/>
            <w:vAlign w:val="bottom"/>
          </w:tcPr>
          <w:p>
            <w:pPr>
              <w:spacing w:after="0"/>
              <w:rPr>
                <w:sz w:val="1"/>
                <w:szCs w:val="1"/>
                <w:color w:val="auto"/>
              </w:rPr>
            </w:pPr>
          </w:p>
        </w:tc>
      </w:tr>
      <w:tr>
        <w:trPr>
          <w:trHeight w:val="157"/>
        </w:trPr>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3700" w:type="dxa"/>
            <w:vAlign w:val="bottom"/>
          </w:tcPr>
          <w:p>
            <w:pPr>
              <w:ind w:left="200"/>
              <w:spacing w:after="0" w:line="157" w:lineRule="exact"/>
              <w:rPr>
                <w:sz w:val="20"/>
                <w:szCs w:val="20"/>
                <w:color w:val="auto"/>
              </w:rPr>
            </w:pPr>
            <w:r>
              <w:rPr>
                <w:rFonts w:ascii="Arial" w:cs="Arial" w:eastAsia="Arial" w:hAnsi="Arial"/>
                <w:sz w:val="14"/>
                <w:szCs w:val="14"/>
                <w:color w:val="auto"/>
              </w:rPr>
              <w:t>of our financial performance and the ongoing</w:t>
            </w:r>
          </w:p>
        </w:tc>
        <w:tc>
          <w:tcPr>
            <w:tcW w:w="0" w:type="dxa"/>
            <w:vAlign w:val="bottom"/>
          </w:tcPr>
          <w:p>
            <w:pPr>
              <w:spacing w:after="0"/>
              <w:rPr>
                <w:sz w:val="1"/>
                <w:szCs w:val="1"/>
                <w:color w:val="auto"/>
              </w:rPr>
            </w:pPr>
          </w:p>
        </w:tc>
      </w:tr>
      <w:tr>
        <w:trPr>
          <w:trHeight w:val="167"/>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line="167" w:lineRule="exact"/>
              <w:rPr>
                <w:sz w:val="20"/>
                <w:szCs w:val="20"/>
                <w:color w:val="auto"/>
              </w:rPr>
            </w:pPr>
            <w:r>
              <w:rPr>
                <w:rFonts w:ascii="Arial" w:cs="Arial" w:eastAsia="Arial" w:hAnsi="Arial"/>
                <w:sz w:val="16"/>
                <w:szCs w:val="16"/>
                <w:b w:val="1"/>
                <w:bCs w:val="1"/>
                <w:color w:val="0063A6"/>
              </w:rPr>
              <w:t>EBITDA</w:t>
            </w:r>
          </w:p>
        </w:tc>
        <w:tc>
          <w:tcPr>
            <w:tcW w:w="1840" w:type="dxa"/>
            <w:vAlign w:val="bottom"/>
          </w:tcPr>
          <w:p>
            <w:pPr>
              <w:spacing w:after="0"/>
              <w:rPr>
                <w:sz w:val="14"/>
                <w:szCs w:val="1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operations of our business, since the adjustments</w:t>
            </w:r>
          </w:p>
        </w:tc>
        <w:tc>
          <w:tcPr>
            <w:tcW w:w="0" w:type="dxa"/>
            <w:vAlign w:val="bottom"/>
          </w:tcPr>
          <w:p>
            <w:pPr>
              <w:spacing w:after="0"/>
              <w:rPr>
                <w:sz w:val="1"/>
                <w:szCs w:val="1"/>
                <w:color w:val="auto"/>
              </w:rPr>
            </w:pPr>
          </w:p>
        </w:tc>
      </w:tr>
      <w:tr>
        <w:trPr>
          <w:trHeight w:val="198"/>
        </w:trPr>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0063A6"/>
              </w:rPr>
              <w:t>Financial</w:t>
            </w:r>
          </w:p>
        </w:tc>
        <w:tc>
          <w:tcPr>
            <w:tcW w:w="1640" w:type="dxa"/>
            <w:vAlign w:val="bottom"/>
          </w:tcPr>
          <w:p>
            <w:pPr>
              <w:spacing w:after="0"/>
              <w:rPr>
                <w:sz w:val="17"/>
                <w:szCs w:val="17"/>
                <w:color w:val="auto"/>
              </w:rPr>
            </w:pPr>
          </w:p>
        </w:tc>
        <w:tc>
          <w:tcPr>
            <w:tcW w:w="1840" w:type="dxa"/>
            <w:vAlign w:val="bottom"/>
            <w:vMerge w:val="restart"/>
          </w:tcPr>
          <w:p>
            <w:pPr>
              <w:ind w:left="200"/>
              <w:spacing w:after="0"/>
              <w:rPr>
                <w:sz w:val="20"/>
                <w:szCs w:val="20"/>
                <w:color w:val="auto"/>
              </w:rPr>
            </w:pPr>
            <w:r>
              <w:rPr>
                <w:rFonts w:ascii="Arial" w:cs="Arial" w:eastAsia="Arial" w:hAnsi="Arial"/>
                <w:sz w:val="16"/>
                <w:szCs w:val="16"/>
                <w:color w:val="auto"/>
              </w:rPr>
              <w:t> </w:t>
            </w:r>
          </w:p>
        </w:tc>
        <w:tc>
          <w:tcPr>
            <w:tcW w:w="3700" w:type="dxa"/>
            <w:vAlign w:val="bottom"/>
          </w:tcPr>
          <w:p>
            <w:pPr>
              <w:ind w:left="200"/>
              <w:spacing w:after="0"/>
              <w:rPr>
                <w:sz w:val="20"/>
                <w:szCs w:val="20"/>
                <w:color w:val="auto"/>
              </w:rPr>
            </w:pPr>
            <w:r>
              <w:rPr>
                <w:rFonts w:ascii="Arial" w:cs="Arial" w:eastAsia="Arial" w:hAnsi="Arial"/>
                <w:sz w:val="14"/>
                <w:szCs w:val="14"/>
                <w:color w:val="auto"/>
              </w:rPr>
              <w:t>exclude certain expenses that are not indicative of</w:t>
            </w:r>
          </w:p>
        </w:tc>
        <w:tc>
          <w:tcPr>
            <w:tcW w:w="0" w:type="dxa"/>
            <w:vAlign w:val="bottom"/>
          </w:tcPr>
          <w:p>
            <w:pPr>
              <w:spacing w:after="0"/>
              <w:rPr>
                <w:sz w:val="1"/>
                <w:szCs w:val="1"/>
                <w:color w:val="auto"/>
              </w:rPr>
            </w:pPr>
          </w:p>
        </w:tc>
      </w:tr>
      <w:tr>
        <w:trPr>
          <w:trHeight w:val="126"/>
        </w:trPr>
        <w:tc>
          <w:tcPr>
            <w:tcW w:w="1900" w:type="dxa"/>
            <w:vAlign w:val="bottom"/>
            <w:vMerge w:val="restart"/>
          </w:tcPr>
          <w:p>
            <w:pPr>
              <w:ind w:left="100"/>
              <w:spacing w:after="0"/>
              <w:rPr>
                <w:sz w:val="20"/>
                <w:szCs w:val="20"/>
                <w:color w:val="auto"/>
              </w:rPr>
            </w:pPr>
            <w:r>
              <w:rPr>
                <w:rFonts w:ascii="Arial" w:cs="Arial" w:eastAsia="Arial" w:hAnsi="Arial"/>
                <w:sz w:val="16"/>
                <w:szCs w:val="16"/>
                <w:b w:val="1"/>
                <w:bCs w:val="1"/>
                <w:color w:val="0063A6"/>
              </w:rPr>
              <w:t>(80%)</w:t>
            </w: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3700" w:type="dxa"/>
            <w:vAlign w:val="bottom"/>
          </w:tcPr>
          <w:p>
            <w:pPr>
              <w:ind w:left="200"/>
              <w:spacing w:after="0" w:line="126" w:lineRule="exact"/>
              <w:rPr>
                <w:sz w:val="20"/>
                <w:szCs w:val="20"/>
                <w:color w:val="auto"/>
              </w:rPr>
            </w:pPr>
            <w:r>
              <w:rPr>
                <w:rFonts w:ascii="Arial" w:cs="Arial" w:eastAsia="Arial" w:hAnsi="Arial"/>
                <w:sz w:val="14"/>
                <w:szCs w:val="14"/>
                <w:color w:val="auto"/>
              </w:rPr>
              <w:t>our recurring core operating results. This facilitates</w:t>
            </w:r>
          </w:p>
        </w:tc>
        <w:tc>
          <w:tcPr>
            <w:tcW w:w="0" w:type="dxa"/>
            <w:vAlign w:val="bottom"/>
          </w:tcPr>
          <w:p>
            <w:pPr>
              <w:spacing w:after="0"/>
              <w:rPr>
                <w:sz w:val="1"/>
                <w:szCs w:val="1"/>
                <w:color w:val="auto"/>
              </w:rPr>
            </w:pPr>
          </w:p>
        </w:tc>
      </w:tr>
      <w:tr>
        <w:trPr>
          <w:trHeight w:val="123"/>
        </w:trPr>
        <w:tc>
          <w:tcPr>
            <w:tcW w:w="1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700" w:type="dxa"/>
            <w:vAlign w:val="bottom"/>
          </w:tcPr>
          <w:p>
            <w:pPr>
              <w:ind w:left="200"/>
              <w:spacing w:after="0" w:line="109" w:lineRule="exact"/>
              <w:rPr>
                <w:sz w:val="20"/>
                <w:szCs w:val="20"/>
                <w:color w:val="auto"/>
              </w:rPr>
            </w:pPr>
            <w:r>
              <w:rPr>
                <w:rFonts w:ascii="Arial" w:cs="Arial" w:eastAsia="Arial" w:hAnsi="Arial"/>
                <w:sz w:val="12"/>
                <w:szCs w:val="12"/>
                <w:color w:val="auto"/>
              </w:rPr>
              <w:t>better comparisons to our historical performance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-980440</wp:posOffset>
            </wp:positionV>
            <wp:extent cx="5829300" cy="1911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0" cy="1911350"/>
                    </a:xfrm>
                    <a:prstGeom prst="rect">
                      <a:avLst/>
                    </a:prstGeom>
                    <a:noFill/>
                  </pic:spPr>
                </pic:pic>
              </a:graphicData>
            </a:graphic>
          </wp:anchor>
        </w:drawing>
      </w:r>
    </w:p>
    <w:tbl>
      <w:tblPr>
        <w:tblLayout w:type="fixed"/>
        <w:tblInd w:w="106" w:type="dxa"/>
        <w:tblCellMar>
          <w:top w:w="0" w:type="dxa"/>
          <w:left w:w="0" w:type="dxa"/>
          <w:bottom w:w="0" w:type="dxa"/>
          <w:right w:w="0" w:type="dxa"/>
        </w:tblCellMar>
      </w:tblPr>
      <w:tr>
        <w:trPr>
          <w:trHeight w:val="148"/>
        </w:trPr>
        <w:tc>
          <w:tcPr>
            <w:tcW w:w="1800" w:type="dxa"/>
            <w:vAlign w:val="bottom"/>
          </w:tcPr>
          <w:p>
            <w:pPr>
              <w:spacing w:after="0" w:line="148" w:lineRule="exact"/>
              <w:rPr>
                <w:sz w:val="20"/>
                <w:szCs w:val="20"/>
                <w:color w:val="auto"/>
              </w:rPr>
            </w:pPr>
            <w:r>
              <w:rPr>
                <w:rFonts w:ascii="Arial" w:cs="Arial" w:eastAsia="Arial" w:hAnsi="Arial"/>
                <w:sz w:val="14"/>
                <w:szCs w:val="14"/>
                <w:color w:val="auto"/>
              </w:rPr>
              <w:t>Maximum payout:</w:t>
            </w:r>
          </w:p>
        </w:tc>
        <w:tc>
          <w:tcPr>
            <w:tcW w:w="2280" w:type="dxa"/>
            <w:vAlign w:val="bottom"/>
          </w:tcPr>
          <w:p>
            <w:pPr>
              <w:spacing w:after="0"/>
              <w:rPr>
                <w:sz w:val="12"/>
                <w:szCs w:val="12"/>
                <w:color w:val="auto"/>
              </w:rPr>
            </w:pPr>
          </w:p>
        </w:tc>
        <w:tc>
          <w:tcPr>
            <w:tcW w:w="5000" w:type="dxa"/>
            <w:vAlign w:val="bottom"/>
            <w:vMerge w:val="restart"/>
          </w:tcPr>
          <w:p>
            <w:pPr>
              <w:ind w:left="1500"/>
              <w:spacing w:after="0"/>
              <w:rPr>
                <w:sz w:val="20"/>
                <w:szCs w:val="20"/>
                <w:color w:val="auto"/>
              </w:rPr>
            </w:pPr>
            <w:r>
              <w:rPr>
                <w:rFonts w:ascii="Arial" w:cs="Arial" w:eastAsia="Arial" w:hAnsi="Arial"/>
                <w:sz w:val="14"/>
                <w:szCs w:val="14"/>
                <w:color w:val="auto"/>
              </w:rPr>
              <w:t>our competitors’ operating results.</w:t>
            </w:r>
          </w:p>
        </w:tc>
        <w:tc>
          <w:tcPr>
            <w:tcW w:w="0" w:type="dxa"/>
            <w:vAlign w:val="bottom"/>
          </w:tcPr>
          <w:p>
            <w:pPr>
              <w:spacing w:after="0"/>
              <w:rPr>
                <w:sz w:val="1"/>
                <w:szCs w:val="1"/>
                <w:color w:val="auto"/>
              </w:rPr>
            </w:pPr>
          </w:p>
        </w:tc>
      </w:tr>
      <w:tr>
        <w:trPr>
          <w:trHeight w:val="96"/>
        </w:trPr>
        <w:tc>
          <w:tcPr>
            <w:tcW w:w="1800" w:type="dxa"/>
            <w:vAlign w:val="bottom"/>
            <w:vMerge w:val="restart"/>
          </w:tcPr>
          <w:p>
            <w:pPr>
              <w:spacing w:after="0"/>
              <w:rPr>
                <w:sz w:val="20"/>
                <w:szCs w:val="20"/>
                <w:color w:val="auto"/>
              </w:rPr>
            </w:pPr>
            <w:r>
              <w:rPr>
                <w:rFonts w:ascii="Arial" w:cs="Arial" w:eastAsia="Arial" w:hAnsi="Arial"/>
                <w:sz w:val="14"/>
                <w:szCs w:val="14"/>
                <w:color w:val="auto"/>
              </w:rPr>
              <w:t>150% of target</w:t>
            </w:r>
          </w:p>
        </w:tc>
        <w:tc>
          <w:tcPr>
            <w:tcW w:w="2280" w:type="dxa"/>
            <w:vAlign w:val="bottom"/>
          </w:tcPr>
          <w:p>
            <w:pPr>
              <w:spacing w:after="0"/>
              <w:rPr>
                <w:sz w:val="8"/>
                <w:szCs w:val="8"/>
                <w:color w:val="auto"/>
              </w:rPr>
            </w:pPr>
          </w:p>
        </w:tc>
        <w:tc>
          <w:tcPr>
            <w:tcW w:w="5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vMerge w:val="continue"/>
          </w:tcPr>
          <w:p>
            <w:pPr>
              <w:spacing w:after="0"/>
              <w:rPr>
                <w:sz w:val="8"/>
                <w:szCs w:val="8"/>
                <w:color w:val="auto"/>
              </w:rPr>
            </w:pPr>
          </w:p>
        </w:tc>
        <w:tc>
          <w:tcPr>
            <w:tcW w:w="22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2280" w:type="dxa"/>
            <w:vAlign w:val="bottom"/>
            <w:tcBorders>
              <w:bottom w:val="single" w:sz="8" w:color="5D6673"/>
            </w:tcBorders>
          </w:tcPr>
          <w:p>
            <w:pPr>
              <w:spacing w:after="0" w:line="20" w:lineRule="exact"/>
              <w:rPr>
                <w:sz w:val="1"/>
                <w:szCs w:val="1"/>
                <w:color w:val="auto"/>
              </w:rPr>
            </w:pPr>
          </w:p>
        </w:tc>
        <w:tc>
          <w:tcPr>
            <w:tcW w:w="500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1800" w:type="dxa"/>
            <w:vAlign w:val="bottom"/>
          </w:tcPr>
          <w:p>
            <w:pPr>
              <w:spacing w:after="0"/>
              <w:rPr>
                <w:sz w:val="24"/>
                <w:szCs w:val="24"/>
                <w:color w:val="auto"/>
              </w:rPr>
            </w:pPr>
          </w:p>
        </w:tc>
        <w:tc>
          <w:tcPr>
            <w:tcW w:w="2280" w:type="dxa"/>
            <w:vAlign w:val="bottom"/>
            <w:vMerge w:val="restart"/>
          </w:tcPr>
          <w:p>
            <w:pPr>
              <w:ind w:left="100"/>
              <w:spacing w:after="0"/>
              <w:rPr>
                <w:sz w:val="20"/>
                <w:szCs w:val="20"/>
                <w:color w:val="auto"/>
              </w:rPr>
            </w:pPr>
            <w:r>
              <w:rPr>
                <w:rFonts w:ascii="Arial" w:cs="Arial" w:eastAsia="Arial" w:hAnsi="Arial"/>
                <w:sz w:val="16"/>
                <w:szCs w:val="16"/>
                <w:b w:val="1"/>
                <w:bCs w:val="1"/>
                <w:color w:val="0063A6"/>
              </w:rPr>
              <w:t>Revenue</w:t>
            </w:r>
          </w:p>
        </w:tc>
        <w:tc>
          <w:tcPr>
            <w:tcW w:w="5000" w:type="dxa"/>
            <w:vAlign w:val="bottom"/>
          </w:tcPr>
          <w:p>
            <w:pPr>
              <w:ind w:left="1500"/>
              <w:spacing w:after="0"/>
              <w:rPr>
                <w:sz w:val="20"/>
                <w:szCs w:val="20"/>
                <w:color w:val="auto"/>
              </w:rPr>
            </w:pPr>
            <w:r>
              <w:rPr>
                <w:rFonts w:ascii="Arial" w:cs="Arial" w:eastAsia="Arial" w:hAnsi="Arial"/>
                <w:sz w:val="14"/>
                <w:szCs w:val="14"/>
                <w:color w:val="auto"/>
              </w:rPr>
              <w:t>Ensures we are delivering an appropriate level of top-</w:t>
            </w:r>
          </w:p>
        </w:tc>
        <w:tc>
          <w:tcPr>
            <w:tcW w:w="0" w:type="dxa"/>
            <w:vAlign w:val="bottom"/>
          </w:tcPr>
          <w:p>
            <w:pPr>
              <w:spacing w:after="0"/>
              <w:rPr>
                <w:sz w:val="1"/>
                <w:szCs w:val="1"/>
                <w:color w:val="auto"/>
              </w:rPr>
            </w:pPr>
          </w:p>
        </w:tc>
      </w:tr>
      <w:tr>
        <w:trPr>
          <w:trHeight w:val="123"/>
        </w:trPr>
        <w:tc>
          <w:tcPr>
            <w:tcW w:w="180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5000" w:type="dxa"/>
            <w:vAlign w:val="bottom"/>
            <w:vMerge w:val="restart"/>
          </w:tcPr>
          <w:p>
            <w:pPr>
              <w:ind w:left="1500"/>
              <w:spacing w:after="0"/>
              <w:rPr>
                <w:sz w:val="20"/>
                <w:szCs w:val="20"/>
                <w:color w:val="auto"/>
              </w:rPr>
            </w:pPr>
            <w:r>
              <w:rPr>
                <w:rFonts w:ascii="Arial" w:cs="Arial" w:eastAsia="Arial" w:hAnsi="Arial"/>
                <w:sz w:val="14"/>
                <w:szCs w:val="14"/>
                <w:color w:val="auto"/>
              </w:rPr>
              <w:t>line growth.</w:t>
            </w:r>
          </w:p>
        </w:tc>
        <w:tc>
          <w:tcPr>
            <w:tcW w:w="0" w:type="dxa"/>
            <w:vAlign w:val="bottom"/>
          </w:tcPr>
          <w:p>
            <w:pPr>
              <w:spacing w:after="0"/>
              <w:rPr>
                <w:sz w:val="1"/>
                <w:szCs w:val="1"/>
                <w:color w:val="auto"/>
              </w:rPr>
            </w:pPr>
          </w:p>
        </w:tc>
      </w:tr>
      <w:tr>
        <w:trPr>
          <w:trHeight w:val="67"/>
        </w:trPr>
        <w:tc>
          <w:tcPr>
            <w:tcW w:w="18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5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846"/>
        <w:spacing w:after="0"/>
        <w:rPr>
          <w:sz w:val="20"/>
          <w:szCs w:val="20"/>
          <w:color w:val="auto"/>
        </w:rPr>
      </w:pPr>
      <w:r>
        <w:rPr>
          <w:rFonts w:ascii="Arial" w:cs="Arial" w:eastAsia="Arial" w:hAnsi="Arial"/>
          <w:sz w:val="16"/>
          <w:szCs w:val="16"/>
          <w:color w:val="auto"/>
        </w:rPr>
        <w:t> </w:t>
      </w:r>
    </w:p>
    <w:p>
      <w:pPr>
        <w:sectPr>
          <w:pgSz w:w="11900" w:h="16838" w:orient="portrait"/>
          <w:cols w:equalWidth="0" w:num="1">
            <w:col w:w="9186"/>
          </w:cols>
          <w:pgMar w:left="1354" w:top="114" w:right="1359" w:bottom="1440" w:gutter="0" w:footer="0" w:header="0"/>
        </w:sectPr>
      </w:pPr>
    </w:p>
    <w:p>
      <w:pPr>
        <w:spacing w:after="0" w:line="73" w:lineRule="exact"/>
        <w:rPr>
          <w:sz w:val="20"/>
          <w:szCs w:val="20"/>
          <w:color w:val="auto"/>
        </w:rPr>
      </w:pPr>
    </w:p>
    <w:tbl>
      <w:tblPr>
        <w:tblLayout w:type="fixed"/>
        <w:tblInd w:w="16" w:type="dxa"/>
        <w:tblCellMar>
          <w:top w:w="0" w:type="dxa"/>
          <w:left w:w="0" w:type="dxa"/>
          <w:bottom w:w="0" w:type="dxa"/>
          <w:right w:w="0" w:type="dxa"/>
        </w:tblCellMar>
      </w:tblPr>
      <w:tr>
        <w:trPr>
          <w:trHeight w:val="256"/>
        </w:trPr>
        <w:tc>
          <w:tcPr>
            <w:tcW w:w="1900" w:type="dxa"/>
            <w:vAlign w:val="bottom"/>
            <w:tcBorders>
              <w:left w:val="single" w:sz="8" w:color="C1C7CD"/>
            </w:tcBorders>
            <w:vMerge w:val="restart"/>
            <w:shd w:val="clear" w:color="auto" w:fill="C1C7CD"/>
          </w:tcPr>
          <w:p>
            <w:pPr>
              <w:ind w:left="100"/>
              <w:spacing w:after="0"/>
              <w:rPr>
                <w:sz w:val="20"/>
                <w:szCs w:val="20"/>
                <w:color w:val="auto"/>
              </w:rPr>
            </w:pPr>
            <w:r>
              <w:rPr>
                <w:rFonts w:ascii="Arial" w:cs="Arial" w:eastAsia="Arial" w:hAnsi="Arial"/>
                <w:sz w:val="16"/>
                <w:szCs w:val="16"/>
                <w:b w:val="1"/>
                <w:bCs w:val="1"/>
                <w:color w:val="5D6673"/>
              </w:rPr>
              <w:t>Non-Financial</w:t>
            </w:r>
          </w:p>
        </w:tc>
        <w:tc>
          <w:tcPr>
            <w:tcW w:w="1760" w:type="dxa"/>
            <w:vAlign w:val="bottom"/>
          </w:tcPr>
          <w:p>
            <w:pPr>
              <w:ind w:left="100"/>
              <w:spacing w:after="0"/>
              <w:rPr>
                <w:sz w:val="20"/>
                <w:szCs w:val="20"/>
                <w:color w:val="auto"/>
              </w:rPr>
            </w:pPr>
            <w:r>
              <w:rPr>
                <w:rFonts w:ascii="Arial" w:cs="Arial" w:eastAsia="Arial" w:hAnsi="Arial"/>
                <w:sz w:val="16"/>
                <w:szCs w:val="16"/>
                <w:b w:val="1"/>
                <w:bCs w:val="1"/>
                <w:color w:val="5D6673"/>
              </w:rPr>
              <w:t>Quantitative</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C1C7CD"/>
            </w:tcBorders>
            <w:vMerge w:val="continue"/>
            <w:shd w:val="clear" w:color="auto" w:fill="C1C7CD"/>
          </w:tcPr>
          <w:p>
            <w:pPr>
              <w:spacing w:after="0"/>
              <w:rPr>
                <w:sz w:val="9"/>
                <w:szCs w:val="9"/>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b w:val="1"/>
                <w:bCs w:val="1"/>
                <w:color w:val="5D6673"/>
              </w:rPr>
              <w:t>Strategic Goals</w:t>
            </w: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00" w:type="dxa"/>
            <w:vAlign w:val="bottom"/>
            <w:tcBorders>
              <w:left w:val="single" w:sz="8" w:color="C1C7CD"/>
            </w:tcBorders>
            <w:vMerge w:val="restart"/>
            <w:shd w:val="clear" w:color="auto" w:fill="C1C7CD"/>
          </w:tcPr>
          <w:p>
            <w:pPr>
              <w:ind w:left="100"/>
              <w:spacing w:after="0"/>
              <w:rPr>
                <w:sz w:val="20"/>
                <w:szCs w:val="20"/>
                <w:color w:val="auto"/>
              </w:rPr>
            </w:pPr>
            <w:r>
              <w:rPr>
                <w:rFonts w:ascii="Arial" w:cs="Arial" w:eastAsia="Arial" w:hAnsi="Arial"/>
                <w:sz w:val="16"/>
                <w:szCs w:val="16"/>
                <w:b w:val="1"/>
                <w:bCs w:val="1"/>
                <w:color w:val="5D6673"/>
              </w:rPr>
              <w:t>(20%)</w:t>
            </w:r>
          </w:p>
        </w:tc>
        <w:tc>
          <w:tcPr>
            <w:tcW w:w="17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C1C7CD"/>
            </w:tcBorders>
            <w:vMerge w:val="continue"/>
            <w:shd w:val="clear" w:color="auto" w:fill="C1C7CD"/>
          </w:tcPr>
          <w:p>
            <w:pPr>
              <w:spacing w:after="0"/>
              <w:rPr>
                <w:sz w:val="9"/>
                <w:szCs w:val="9"/>
                <w:color w:val="auto"/>
              </w:rPr>
            </w:pPr>
          </w:p>
        </w:tc>
        <w:tc>
          <w:tcPr>
            <w:tcW w:w="1760" w:type="dxa"/>
            <w:vAlign w:val="bottom"/>
            <w:vMerge w:val="restart"/>
          </w:tcPr>
          <w:p>
            <w:pPr>
              <w:ind w:left="100"/>
              <w:spacing w:after="0"/>
              <w:rPr>
                <w:sz w:val="20"/>
                <w:szCs w:val="20"/>
                <w:color w:val="auto"/>
              </w:rPr>
            </w:pPr>
            <w:r>
              <w:rPr>
                <w:rFonts w:ascii="Arial" w:cs="Arial" w:eastAsia="Arial" w:hAnsi="Arial"/>
                <w:sz w:val="14"/>
                <w:szCs w:val="14"/>
                <w:color w:val="5D6673"/>
              </w:rPr>
              <w:t>•</w:t>
            </w:r>
            <w:r>
              <w:rPr>
                <w:rFonts w:ascii="Arial" w:cs="Arial" w:eastAsia="Arial" w:hAnsi="Arial"/>
                <w:sz w:val="14"/>
                <w:szCs w:val="14"/>
                <w:color w:val="000000"/>
              </w:rPr>
              <w:t xml:space="preserve">  GGI bookings</w:t>
            </w: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900" w:type="dxa"/>
            <w:vAlign w:val="bottom"/>
            <w:tcBorders>
              <w:left w:val="single" w:sz="8" w:color="C1C7CD"/>
            </w:tcBorders>
            <w:vMerge w:val="restart"/>
            <w:shd w:val="clear" w:color="auto" w:fill="C1C7CD"/>
          </w:tcPr>
          <w:p>
            <w:pPr>
              <w:ind w:left="100"/>
              <w:spacing w:after="0"/>
              <w:rPr>
                <w:sz w:val="20"/>
                <w:szCs w:val="20"/>
                <w:color w:val="auto"/>
              </w:rPr>
            </w:pPr>
            <w:r>
              <w:rPr>
                <w:rFonts w:ascii="Arial" w:cs="Arial" w:eastAsia="Arial" w:hAnsi="Arial"/>
                <w:sz w:val="14"/>
                <w:szCs w:val="14"/>
                <w:color w:val="auto"/>
              </w:rPr>
              <w:t>Maximum payout:</w:t>
            </w:r>
          </w:p>
        </w:tc>
        <w:tc>
          <w:tcPr>
            <w:tcW w:w="17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900" w:type="dxa"/>
            <w:vAlign w:val="bottom"/>
            <w:tcBorders>
              <w:left w:val="single" w:sz="8" w:color="C1C7CD"/>
            </w:tcBorders>
            <w:vMerge w:val="continue"/>
            <w:shd w:val="clear" w:color="auto" w:fill="C1C7CD"/>
          </w:tcPr>
          <w:p>
            <w:pPr>
              <w:spacing w:after="0"/>
              <w:rPr>
                <w:sz w:val="6"/>
                <w:szCs w:val="6"/>
                <w:color w:val="auto"/>
              </w:rPr>
            </w:pPr>
          </w:p>
        </w:tc>
        <w:tc>
          <w:tcPr>
            <w:tcW w:w="1760" w:type="dxa"/>
            <w:vAlign w:val="bottom"/>
            <w:vMerge w:val="restart"/>
          </w:tcPr>
          <w:p>
            <w:pPr>
              <w:ind w:left="100"/>
              <w:spacing w:after="0"/>
              <w:rPr>
                <w:sz w:val="20"/>
                <w:szCs w:val="20"/>
                <w:color w:val="auto"/>
              </w:rPr>
            </w:pPr>
            <w:r>
              <w:rPr>
                <w:rFonts w:ascii="Arial" w:cs="Arial" w:eastAsia="Arial" w:hAnsi="Arial"/>
                <w:sz w:val="14"/>
                <w:szCs w:val="14"/>
                <w:color w:val="5D6673"/>
              </w:rPr>
              <w:t>•</w:t>
            </w:r>
            <w:r>
              <w:rPr>
                <w:rFonts w:ascii="Arial" w:cs="Arial" w:eastAsia="Arial" w:hAnsi="Arial"/>
                <w:sz w:val="14"/>
                <w:szCs w:val="14"/>
                <w:color w:val="000000"/>
              </w:rPr>
              <w:t xml:space="preserve">  Reduction in intensity</w:t>
            </w: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900" w:type="dxa"/>
            <w:vAlign w:val="bottom"/>
            <w:tcBorders>
              <w:left w:val="single" w:sz="8" w:color="C1C7CD"/>
            </w:tcBorders>
            <w:shd w:val="clear" w:color="auto" w:fill="C1C7CD"/>
          </w:tcPr>
          <w:p>
            <w:pPr>
              <w:ind w:left="100"/>
              <w:spacing w:after="0" w:line="145" w:lineRule="exact"/>
              <w:rPr>
                <w:sz w:val="20"/>
                <w:szCs w:val="20"/>
                <w:color w:val="auto"/>
              </w:rPr>
            </w:pPr>
            <w:r>
              <w:rPr>
                <w:rFonts w:ascii="Arial" w:cs="Arial" w:eastAsia="Arial" w:hAnsi="Arial"/>
                <w:sz w:val="14"/>
                <w:szCs w:val="14"/>
                <w:color w:val="auto"/>
              </w:rPr>
              <w:t>100% of target</w:t>
            </w:r>
          </w:p>
        </w:tc>
        <w:tc>
          <w:tcPr>
            <w:tcW w:w="1760" w:type="dxa"/>
            <w:vAlign w:val="bottom"/>
            <w:vMerge w:val="continue"/>
          </w:tcPr>
          <w:p>
            <w:pPr>
              <w:spacing w:after="0"/>
              <w:rPr>
                <w:sz w:val="12"/>
                <w:szCs w:val="12"/>
                <w:color w:val="auto"/>
              </w:rPr>
            </w:pPr>
          </w:p>
        </w:tc>
        <w:tc>
          <w:tcPr>
            <w:tcW w:w="1200" w:type="dxa"/>
            <w:vAlign w:val="bottom"/>
            <w:vMerge w:val="restart"/>
          </w:tcPr>
          <w:p>
            <w:pPr>
              <w:jc w:val="right"/>
              <w:ind w:right="8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3"/>
        </w:trPr>
        <w:tc>
          <w:tcPr>
            <w:tcW w:w="1900" w:type="dxa"/>
            <w:vAlign w:val="bottom"/>
            <w:tcBorders>
              <w:left w:val="single" w:sz="8" w:color="C1C7CD"/>
              <w:bottom w:val="single" w:sz="8" w:color="C1C7CD"/>
            </w:tcBorders>
            <w:shd w:val="clear" w:color="auto" w:fill="C1C7CD"/>
          </w:tcPr>
          <w:p>
            <w:pPr>
              <w:spacing w:after="0"/>
              <w:rPr>
                <w:sz w:val="19"/>
                <w:szCs w:val="19"/>
                <w:color w:val="auto"/>
              </w:rPr>
            </w:pPr>
          </w:p>
        </w:tc>
        <w:tc>
          <w:tcPr>
            <w:tcW w:w="1760" w:type="dxa"/>
            <w:vAlign w:val="bottom"/>
          </w:tcPr>
          <w:p>
            <w:pPr>
              <w:ind w:left="220"/>
              <w:spacing w:after="0"/>
              <w:rPr>
                <w:sz w:val="20"/>
                <w:szCs w:val="20"/>
                <w:color w:val="auto"/>
              </w:rPr>
            </w:pPr>
            <w:r>
              <w:rPr>
                <w:rFonts w:ascii="Arial" w:cs="Arial" w:eastAsia="Arial" w:hAnsi="Arial"/>
                <w:sz w:val="14"/>
                <w:szCs w:val="14"/>
                <w:color w:val="auto"/>
              </w:rPr>
              <w:t>of GHG emissions</w:t>
            </w: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0063A6"/>
            </w:tcBorders>
          </w:tcPr>
          <w:p>
            <w:pPr>
              <w:ind w:left="100"/>
              <w:spacing w:after="0"/>
              <w:rPr>
                <w:sz w:val="20"/>
                <w:szCs w:val="20"/>
                <w:color w:val="auto"/>
              </w:rPr>
            </w:pPr>
            <w:r>
              <w:rPr>
                <w:rFonts w:ascii="Arial" w:cs="Arial" w:eastAsia="Arial" w:hAnsi="Arial"/>
                <w:sz w:val="16"/>
                <w:szCs w:val="16"/>
                <w:b w:val="1"/>
                <w:bCs w:val="1"/>
                <w:color w:val="FFFFFF"/>
              </w:rPr>
              <w:t>Total</w:t>
            </w:r>
          </w:p>
        </w:tc>
        <w:tc>
          <w:tcPr>
            <w:tcW w:w="1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FFFFFF"/>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582930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29300" cy="18859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-856615</wp:posOffset>
            </wp:positionV>
            <wp:extent cx="522605" cy="522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right="320"/>
        <w:spacing w:after="0" w:line="285" w:lineRule="auto"/>
        <w:rPr>
          <w:sz w:val="20"/>
          <w:szCs w:val="20"/>
          <w:color w:val="auto"/>
        </w:rPr>
      </w:pPr>
      <w:r>
        <w:rPr>
          <w:rFonts w:ascii="Arial" w:cs="Arial" w:eastAsia="Arial" w:hAnsi="Arial"/>
          <w:sz w:val="14"/>
          <w:szCs w:val="14"/>
          <w:color w:val="auto"/>
        </w:rPr>
        <w:t>Adds accountability for driving results linked to the Company’s strategic goals.</w:t>
      </w:r>
    </w:p>
    <w:p>
      <w:pPr>
        <w:spacing w:after="0" w:line="839" w:lineRule="exact"/>
        <w:rPr>
          <w:sz w:val="20"/>
          <w:szCs w:val="20"/>
          <w:color w:val="auto"/>
        </w:rPr>
      </w:pPr>
    </w:p>
    <w:p>
      <w:pPr>
        <w:sectPr>
          <w:pgSz w:w="11900" w:h="16838" w:orient="portrait"/>
          <w:cols w:equalWidth="0" w:num="2">
            <w:col w:w="4966" w:space="720"/>
            <w:col w:w="3500"/>
          </w:cols>
          <w:pgMar w:left="1354" w:top="114" w:right="1359" w:bottom="1440" w:gutter="0" w:footer="0" w:header="0"/>
          <w:type w:val="continuous"/>
        </w:sectPr>
      </w:pPr>
    </w:p>
    <w:p>
      <w:pPr>
        <w:spacing w:after="0" w:line="29" w:lineRule="exact"/>
        <w:rPr>
          <w:sz w:val="20"/>
          <w:szCs w:val="20"/>
          <w:color w:val="auto"/>
        </w:rPr>
      </w:pPr>
    </w:p>
    <w:p>
      <w:pPr>
        <w:ind w:left="6" w:right="140"/>
        <w:spacing w:after="0" w:line="286" w:lineRule="auto"/>
        <w:rPr>
          <w:sz w:val="20"/>
          <w:szCs w:val="20"/>
          <w:color w:val="auto"/>
        </w:rPr>
      </w:pPr>
      <w:r>
        <w:rPr>
          <w:rFonts w:ascii="Arial" w:cs="Arial" w:eastAsia="Arial" w:hAnsi="Arial"/>
          <w:sz w:val="16"/>
          <w:szCs w:val="16"/>
          <w:i w:val="1"/>
          <w:iCs w:val="1"/>
          <w:color w:val="auto"/>
        </w:rPr>
        <w:t xml:space="preserve">2024 Financial Performance Levels &amp; Results. </w:t>
      </w:r>
      <w:r>
        <w:rPr>
          <w:rFonts w:ascii="Arial" w:cs="Arial" w:eastAsia="Arial" w:hAnsi="Arial"/>
          <w:sz w:val="16"/>
          <w:szCs w:val="16"/>
          <w:color w:val="auto"/>
        </w:rPr>
        <w:t>The following table shows the financial performance necessary to achieve</w:t>
      </w:r>
      <w:r>
        <w:rPr>
          <w:rFonts w:ascii="Arial" w:cs="Arial" w:eastAsia="Arial" w:hAnsi="Arial"/>
          <w:sz w:val="16"/>
          <w:szCs w:val="16"/>
          <w:i w:val="1"/>
          <w:iCs w:val="1"/>
          <w:color w:val="auto"/>
        </w:rPr>
        <w:t xml:space="preserve"> </w:t>
      </w:r>
      <w:r>
        <w:rPr>
          <w:rFonts w:ascii="Arial" w:cs="Arial" w:eastAsia="Arial" w:hAnsi="Arial"/>
          <w:sz w:val="16"/>
          <w:szCs w:val="16"/>
          <w:color w:val="auto"/>
        </w:rPr>
        <w:t>threshold (0% payout), target (100% payout), and maximum (150% payout) bonus amounts, along with actual results for 2024:</w:t>
      </w:r>
    </w:p>
    <w:p>
      <w:pPr>
        <w:spacing w:after="0" w:line="102"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5360" w:type="dxa"/>
            <w:vAlign w:val="bottom"/>
          </w:tcPr>
          <w:p>
            <w:pPr>
              <w:spacing w:after="0"/>
              <w:rPr>
                <w:sz w:val="19"/>
                <w:szCs w:val="19"/>
                <w:color w:val="auto"/>
              </w:rPr>
            </w:pPr>
          </w:p>
        </w:tc>
        <w:tc>
          <w:tcPr>
            <w:tcW w:w="120" w:type="dxa"/>
            <w:vAlign w:val="bottom"/>
            <w:shd w:val="clear" w:color="auto" w:fill="0063A6"/>
          </w:tcPr>
          <w:p>
            <w:pPr>
              <w:spacing w:after="0"/>
              <w:rPr>
                <w:sz w:val="19"/>
                <w:szCs w:val="19"/>
                <w:color w:val="auto"/>
              </w:rPr>
            </w:pPr>
          </w:p>
        </w:tc>
        <w:tc>
          <w:tcPr>
            <w:tcW w:w="840" w:type="dxa"/>
            <w:vAlign w:val="bottom"/>
            <w:gridSpan w:val="2"/>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Threshold</w:t>
            </w:r>
          </w:p>
        </w:tc>
        <w:tc>
          <w:tcPr>
            <w:tcW w:w="740" w:type="dxa"/>
            <w:vAlign w:val="bottom"/>
            <w:shd w:val="clear" w:color="auto" w:fill="0063A6"/>
          </w:tcPr>
          <w:p>
            <w:pPr>
              <w:jc w:val="right"/>
              <w:ind w:right="84"/>
              <w:spacing w:after="0"/>
              <w:rPr>
                <w:sz w:val="20"/>
                <w:szCs w:val="20"/>
                <w:color w:val="auto"/>
              </w:rPr>
            </w:pPr>
            <w:r>
              <w:rPr>
                <w:rFonts w:ascii="Arial" w:cs="Arial" w:eastAsia="Arial" w:hAnsi="Arial"/>
                <w:sz w:val="14"/>
                <w:szCs w:val="14"/>
                <w:b w:val="1"/>
                <w:bCs w:val="1"/>
                <w:color w:val="FFFFFF"/>
              </w:rPr>
              <w:t>Target</w:t>
            </w:r>
          </w:p>
        </w:tc>
        <w:tc>
          <w:tcPr>
            <w:tcW w:w="920" w:type="dxa"/>
            <w:vAlign w:val="bottom"/>
            <w:gridSpan w:val="2"/>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Maximum</w:t>
            </w:r>
          </w:p>
        </w:tc>
        <w:tc>
          <w:tcPr>
            <w:tcW w:w="1200" w:type="dxa"/>
            <w:vAlign w:val="bottom"/>
            <w:gridSpan w:val="2"/>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Actual Results</w:t>
            </w:r>
          </w:p>
        </w:tc>
      </w:tr>
      <w:tr>
        <w:trPr>
          <w:trHeight w:val="205"/>
        </w:trPr>
        <w:tc>
          <w:tcPr>
            <w:tcW w:w="5360" w:type="dxa"/>
            <w:vAlign w:val="bottom"/>
            <w:tcBorders>
              <w:bottom w:val="single" w:sz="8" w:color="0063A6"/>
            </w:tcBorders>
          </w:tcPr>
          <w:p>
            <w:pPr>
              <w:spacing w:after="0"/>
              <w:rPr>
                <w:sz w:val="17"/>
                <w:szCs w:val="17"/>
                <w:color w:val="auto"/>
              </w:rPr>
            </w:pPr>
          </w:p>
        </w:tc>
        <w:tc>
          <w:tcPr>
            <w:tcW w:w="120" w:type="dxa"/>
            <w:vAlign w:val="bottom"/>
            <w:tcBorders>
              <w:bottom w:val="single" w:sz="8" w:color="0063A6"/>
            </w:tcBorders>
            <w:shd w:val="clear" w:color="auto" w:fill="0063A6"/>
          </w:tcPr>
          <w:p>
            <w:pPr>
              <w:spacing w:after="0"/>
              <w:rPr>
                <w:sz w:val="17"/>
                <w:szCs w:val="17"/>
                <w:color w:val="auto"/>
              </w:rPr>
            </w:pPr>
          </w:p>
        </w:tc>
        <w:tc>
          <w:tcPr>
            <w:tcW w:w="160" w:type="dxa"/>
            <w:vAlign w:val="bottom"/>
            <w:tcBorders>
              <w:bottom w:val="single" w:sz="8" w:color="0063A6"/>
            </w:tcBorders>
            <w:shd w:val="clear" w:color="auto" w:fill="0063A6"/>
          </w:tcPr>
          <w:p>
            <w:pPr>
              <w:spacing w:after="0"/>
              <w:rPr>
                <w:sz w:val="17"/>
                <w:szCs w:val="17"/>
                <w:color w:val="auto"/>
              </w:rPr>
            </w:pPr>
          </w:p>
        </w:tc>
        <w:tc>
          <w:tcPr>
            <w:tcW w:w="680" w:type="dxa"/>
            <w:vAlign w:val="bottom"/>
            <w:tcBorders>
              <w:bottom w:val="single" w:sz="8" w:color="0063A6"/>
            </w:tcBorders>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($M)</w:t>
            </w:r>
          </w:p>
        </w:tc>
        <w:tc>
          <w:tcPr>
            <w:tcW w:w="740" w:type="dxa"/>
            <w:vAlign w:val="bottom"/>
            <w:tcBorders>
              <w:bottom w:val="single" w:sz="8" w:color="0063A6"/>
            </w:tcBorders>
            <w:shd w:val="clear" w:color="auto" w:fill="0063A6"/>
          </w:tcPr>
          <w:p>
            <w:pPr>
              <w:jc w:val="right"/>
              <w:ind w:right="44"/>
              <w:spacing w:after="0"/>
              <w:rPr>
                <w:sz w:val="20"/>
                <w:szCs w:val="20"/>
                <w:color w:val="auto"/>
              </w:rPr>
            </w:pPr>
            <w:r>
              <w:rPr>
                <w:rFonts w:ascii="Arial" w:cs="Arial" w:eastAsia="Arial" w:hAnsi="Arial"/>
                <w:sz w:val="14"/>
                <w:szCs w:val="14"/>
                <w:b w:val="1"/>
                <w:bCs w:val="1"/>
                <w:color w:val="FFFFFF"/>
              </w:rPr>
              <w:t>($M)</w:t>
            </w:r>
          </w:p>
        </w:tc>
        <w:tc>
          <w:tcPr>
            <w:tcW w:w="240" w:type="dxa"/>
            <w:vAlign w:val="bottom"/>
            <w:tcBorders>
              <w:bottom w:val="single" w:sz="8" w:color="0063A6"/>
            </w:tcBorders>
            <w:shd w:val="clear" w:color="auto" w:fill="0063A6"/>
          </w:tcPr>
          <w:p>
            <w:pPr>
              <w:spacing w:after="0"/>
              <w:rPr>
                <w:sz w:val="17"/>
                <w:szCs w:val="17"/>
                <w:color w:val="auto"/>
              </w:rPr>
            </w:pPr>
          </w:p>
        </w:tc>
        <w:tc>
          <w:tcPr>
            <w:tcW w:w="680" w:type="dxa"/>
            <w:vAlign w:val="bottom"/>
            <w:tcBorders>
              <w:bottom w:val="single" w:sz="8" w:color="0063A6"/>
            </w:tcBorders>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($M)</w:t>
            </w:r>
          </w:p>
        </w:tc>
        <w:tc>
          <w:tcPr>
            <w:tcW w:w="560" w:type="dxa"/>
            <w:vAlign w:val="bottom"/>
            <w:tcBorders>
              <w:bottom w:val="single" w:sz="8" w:color="0063A6"/>
            </w:tcBorders>
            <w:shd w:val="clear" w:color="auto" w:fill="0063A6"/>
          </w:tcPr>
          <w:p>
            <w:pPr>
              <w:spacing w:after="0"/>
              <w:rPr>
                <w:sz w:val="17"/>
                <w:szCs w:val="17"/>
                <w:color w:val="auto"/>
              </w:rPr>
            </w:pPr>
          </w:p>
        </w:tc>
        <w:tc>
          <w:tcPr>
            <w:tcW w:w="640" w:type="dxa"/>
            <w:vAlign w:val="bottom"/>
            <w:tcBorders>
              <w:bottom w:val="single" w:sz="8" w:color="0063A6"/>
            </w:tcBorders>
            <w:shd w:val="clear" w:color="auto" w:fill="0063A6"/>
          </w:tcPr>
          <w:p>
            <w:pPr>
              <w:jc w:val="right"/>
              <w:ind w:right="2"/>
              <w:spacing w:after="0"/>
              <w:rPr>
                <w:sz w:val="20"/>
                <w:szCs w:val="20"/>
                <w:color w:val="auto"/>
              </w:rPr>
            </w:pPr>
            <w:r>
              <w:rPr>
                <w:rFonts w:ascii="Arial" w:cs="Arial" w:eastAsia="Arial" w:hAnsi="Arial"/>
                <w:sz w:val="14"/>
                <w:szCs w:val="14"/>
                <w:b w:val="1"/>
                <w:bCs w:val="1"/>
                <w:color w:val="FFFFFF"/>
              </w:rPr>
              <w:t>($M)</w:t>
            </w:r>
          </w:p>
        </w:tc>
      </w:tr>
      <w:tr>
        <w:trPr>
          <w:trHeight w:val="241"/>
        </w:trPr>
        <w:tc>
          <w:tcPr>
            <w:tcW w:w="5480" w:type="dxa"/>
            <w:vAlign w:val="bottom"/>
            <w:gridSpan w:val="2"/>
          </w:tcPr>
          <w:p>
            <w:pPr>
              <w:ind w:left="80"/>
              <w:spacing w:after="0"/>
              <w:rPr>
                <w:sz w:val="20"/>
                <w:szCs w:val="20"/>
                <w:color w:val="auto"/>
              </w:rPr>
            </w:pPr>
            <w:r>
              <w:rPr>
                <w:rFonts w:ascii="Arial" w:cs="Arial" w:eastAsia="Arial" w:hAnsi="Arial"/>
                <w:sz w:val="16"/>
                <w:szCs w:val="16"/>
                <w:color w:val="auto"/>
              </w:rPr>
              <w:t>Adjusted EBITDA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2"/>
              <w:spacing w:after="0"/>
              <w:rPr>
                <w:sz w:val="20"/>
                <w:szCs w:val="20"/>
                <w:color w:val="auto"/>
              </w:rPr>
            </w:pPr>
            <w:r>
              <w:rPr>
                <w:rFonts w:ascii="Arial" w:cs="Arial" w:eastAsia="Arial" w:hAnsi="Arial"/>
                <w:sz w:val="16"/>
                <w:szCs w:val="16"/>
                <w:color w:val="auto"/>
              </w:rPr>
              <w:t>200.0</w:t>
            </w:r>
          </w:p>
        </w:tc>
        <w:tc>
          <w:tcPr>
            <w:tcW w:w="740" w:type="dxa"/>
            <w:vAlign w:val="bottom"/>
          </w:tcPr>
          <w:p>
            <w:pPr>
              <w:jc w:val="right"/>
              <w:ind w:right="64"/>
              <w:spacing w:after="0"/>
              <w:rPr>
                <w:sz w:val="20"/>
                <w:szCs w:val="20"/>
                <w:color w:val="auto"/>
              </w:rPr>
            </w:pPr>
            <w:r>
              <w:rPr>
                <w:rFonts w:ascii="Arial" w:cs="Arial" w:eastAsia="Arial" w:hAnsi="Arial"/>
                <w:sz w:val="16"/>
                <w:szCs w:val="16"/>
                <w:color w:val="auto"/>
              </w:rPr>
              <w:t>$250.0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2"/>
              <w:spacing w:after="0"/>
              <w:rPr>
                <w:sz w:val="20"/>
                <w:szCs w:val="20"/>
                <w:color w:val="auto"/>
              </w:rPr>
            </w:pPr>
            <w:r>
              <w:rPr>
                <w:rFonts w:ascii="Arial" w:cs="Arial" w:eastAsia="Arial" w:hAnsi="Arial"/>
                <w:sz w:val="16"/>
                <w:szCs w:val="16"/>
                <w:color w:val="auto"/>
              </w:rPr>
              <w:t>275.0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323.6</w:t>
            </w:r>
          </w:p>
        </w:tc>
      </w:tr>
      <w:tr>
        <w:trPr>
          <w:trHeight w:val="29"/>
        </w:trPr>
        <w:tc>
          <w:tcPr>
            <w:tcW w:w="5480" w:type="dxa"/>
            <w:vAlign w:val="bottom"/>
            <w:tcBorders>
              <w:bottom w:val="single" w:sz="8" w:color="5D6673"/>
            </w:tcBorders>
            <w:gridSpan w:val="2"/>
          </w:tcPr>
          <w:p>
            <w:pPr>
              <w:spacing w:after="0"/>
              <w:rPr>
                <w:sz w:val="2"/>
                <w:szCs w:val="2"/>
                <w:color w:val="auto"/>
              </w:rPr>
            </w:pPr>
          </w:p>
        </w:tc>
        <w:tc>
          <w:tcPr>
            <w:tcW w:w="160" w:type="dxa"/>
            <w:vAlign w:val="bottom"/>
            <w:tcBorders>
              <w:bottom w:val="single" w:sz="8" w:color="5D6673"/>
            </w:tcBorders>
          </w:tcPr>
          <w:p>
            <w:pPr>
              <w:spacing w:after="0"/>
              <w:rPr>
                <w:sz w:val="2"/>
                <w:szCs w:val="2"/>
                <w:color w:val="auto"/>
              </w:rPr>
            </w:pPr>
          </w:p>
        </w:tc>
        <w:tc>
          <w:tcPr>
            <w:tcW w:w="68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6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640" w:type="dxa"/>
            <w:vAlign w:val="bottom"/>
            <w:tcBorders>
              <w:bottom w:val="single" w:sz="8" w:color="5D6673"/>
            </w:tcBorders>
          </w:tcPr>
          <w:p>
            <w:pPr>
              <w:spacing w:after="0"/>
              <w:rPr>
                <w:sz w:val="2"/>
                <w:szCs w:val="2"/>
                <w:color w:val="auto"/>
              </w:rPr>
            </w:pPr>
          </w:p>
        </w:tc>
      </w:tr>
      <w:tr>
        <w:trPr>
          <w:trHeight w:val="235"/>
        </w:trPr>
        <w:tc>
          <w:tcPr>
            <w:tcW w:w="548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color w:val="auto"/>
              </w:rPr>
              <w:t>Revenue</w:t>
            </w:r>
          </w:p>
        </w:tc>
        <w:tc>
          <w:tcPr>
            <w:tcW w:w="1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63A6"/>
            </w:tcBorders>
          </w:tcPr>
          <w:p>
            <w:pPr>
              <w:jc w:val="right"/>
              <w:ind w:right="62"/>
              <w:spacing w:after="0"/>
              <w:rPr>
                <w:sz w:val="20"/>
                <w:szCs w:val="20"/>
                <w:color w:val="auto"/>
              </w:rPr>
            </w:pPr>
            <w:r>
              <w:rPr>
                <w:rFonts w:ascii="Arial" w:cs="Arial" w:eastAsia="Arial" w:hAnsi="Arial"/>
                <w:sz w:val="16"/>
                <w:szCs w:val="16"/>
                <w:color w:val="auto"/>
                <w:w w:val="97"/>
              </w:rPr>
              <w:t>2,130.0</w:t>
            </w:r>
          </w:p>
        </w:tc>
        <w:tc>
          <w:tcPr>
            <w:tcW w:w="740" w:type="dxa"/>
            <w:vAlign w:val="bottom"/>
            <w:tcBorders>
              <w:bottom w:val="single" w:sz="8" w:color="0063A6"/>
            </w:tcBorders>
          </w:tcPr>
          <w:p>
            <w:pPr>
              <w:jc w:val="right"/>
              <w:ind w:right="64"/>
              <w:spacing w:after="0"/>
              <w:rPr>
                <w:sz w:val="20"/>
                <w:szCs w:val="20"/>
                <w:color w:val="auto"/>
              </w:rPr>
            </w:pPr>
            <w:r>
              <w:rPr>
                <w:rFonts w:ascii="Arial" w:cs="Arial" w:eastAsia="Arial" w:hAnsi="Arial"/>
                <w:sz w:val="16"/>
                <w:szCs w:val="16"/>
                <w:color w:val="auto"/>
              </w:rPr>
              <w:t>$2,350</w:t>
            </w:r>
          </w:p>
        </w:tc>
        <w:tc>
          <w:tcPr>
            <w:tcW w:w="24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63A6"/>
            </w:tcBorders>
          </w:tcPr>
          <w:p>
            <w:pPr>
              <w:jc w:val="right"/>
              <w:ind w:right="42"/>
              <w:spacing w:after="0"/>
              <w:rPr>
                <w:sz w:val="20"/>
                <w:szCs w:val="20"/>
                <w:color w:val="auto"/>
              </w:rPr>
            </w:pPr>
            <w:r>
              <w:rPr>
                <w:rFonts w:ascii="Arial" w:cs="Arial" w:eastAsia="Arial" w:hAnsi="Arial"/>
                <w:sz w:val="16"/>
                <w:szCs w:val="16"/>
                <w:color w:val="auto"/>
              </w:rPr>
              <w:t>2,460.0</w:t>
            </w:r>
          </w:p>
        </w:tc>
        <w:tc>
          <w:tcPr>
            <w:tcW w:w="5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0063A6"/>
            </w:tcBorders>
          </w:tcPr>
          <w:p>
            <w:pPr>
              <w:jc w:val="right"/>
              <w:ind w:right="22"/>
              <w:spacing w:after="0"/>
              <w:rPr>
                <w:sz w:val="20"/>
                <w:szCs w:val="20"/>
                <w:color w:val="auto"/>
              </w:rPr>
            </w:pPr>
            <w:r>
              <w:rPr>
                <w:rFonts w:ascii="Arial" w:cs="Arial" w:eastAsia="Arial" w:hAnsi="Arial"/>
                <w:sz w:val="16"/>
                <w:szCs w:val="16"/>
                <w:color w:val="auto"/>
                <w:w w:val="97"/>
              </w:rPr>
              <w:t>2,440.8</w:t>
            </w:r>
          </w:p>
        </w:tc>
      </w:tr>
    </w:tbl>
    <w:p>
      <w:pPr>
        <w:spacing w:after="0" w:line="99" w:lineRule="exact"/>
        <w:rPr>
          <w:sz w:val="20"/>
          <w:szCs w:val="20"/>
          <w:color w:val="auto"/>
        </w:rPr>
      </w:pPr>
    </w:p>
    <w:p>
      <w:pPr>
        <w:ind w:left="6"/>
        <w:spacing w:after="0"/>
        <w:rPr>
          <w:sz w:val="20"/>
          <w:szCs w:val="20"/>
          <w:color w:val="auto"/>
        </w:rPr>
      </w:pPr>
      <w:r>
        <w:rPr>
          <w:rFonts w:ascii="Arial" w:cs="Arial" w:eastAsia="Arial" w:hAnsi="Arial"/>
          <w:sz w:val="14"/>
          <w:szCs w:val="14"/>
          <w:color w:val="auto"/>
        </w:rPr>
        <w:t>Note: Payouts are linearly interpolated for performance between threshold and maximum.</w:t>
      </w:r>
    </w:p>
    <w:p>
      <w:pPr>
        <w:spacing w:after="0" w:line="185" w:lineRule="exact"/>
        <w:rPr>
          <w:sz w:val="20"/>
          <w:szCs w:val="20"/>
          <w:color w:val="auto"/>
        </w:rPr>
      </w:pPr>
    </w:p>
    <w:p>
      <w:pPr>
        <w:ind w:left="6" w:right="40"/>
        <w:spacing w:after="0" w:line="254" w:lineRule="auto"/>
        <w:rPr>
          <w:sz w:val="20"/>
          <w:szCs w:val="20"/>
          <w:color w:val="auto"/>
        </w:rPr>
      </w:pPr>
      <w:r>
        <w:rPr>
          <w:rFonts w:ascii="Arial" w:cs="Arial" w:eastAsia="Arial" w:hAnsi="Arial"/>
          <w:sz w:val="16"/>
          <w:szCs w:val="16"/>
          <w:color w:val="auto"/>
        </w:rPr>
        <w:t>Each year, the Committee reviews the financial performance and considers adjustments for items that are not reflective of 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pandemics, and the effects of foreign currency translation. No adjustments were made in 2024.</w:t>
      </w:r>
    </w:p>
    <w:p>
      <w:pPr>
        <w:spacing w:after="0" w:line="141" w:lineRule="exact"/>
        <w:rPr>
          <w:sz w:val="20"/>
          <w:szCs w:val="20"/>
          <w:color w:val="auto"/>
        </w:rPr>
      </w:pPr>
    </w:p>
    <w:p>
      <w:pPr>
        <w:ind w:left="6" w:right="480"/>
        <w:spacing w:after="0" w:line="286" w:lineRule="auto"/>
        <w:rPr>
          <w:sz w:val="20"/>
          <w:szCs w:val="20"/>
          <w:color w:val="auto"/>
        </w:rPr>
      </w:pPr>
      <w:r>
        <w:rPr>
          <w:rFonts w:ascii="Arial" w:cs="Arial" w:eastAsia="Arial" w:hAnsi="Arial"/>
          <w:sz w:val="16"/>
          <w:szCs w:val="16"/>
          <w:color w:val="auto"/>
        </w:rPr>
        <w:t>Based on the above financial performance results, the portion of the 2024 IIP payout linked to the financial objectives was earned at 118.3% of each NEO’s applicable target.</w:t>
      </w:r>
    </w:p>
    <w:p>
      <w:pPr>
        <w:spacing w:after="0" w:line="115" w:lineRule="exact"/>
        <w:rPr>
          <w:sz w:val="20"/>
          <w:szCs w:val="20"/>
          <w:color w:val="auto"/>
        </w:rPr>
      </w:pPr>
    </w:p>
    <w:p>
      <w:pPr>
        <w:ind w:left="6" w:right="40"/>
        <w:spacing w:after="0" w:line="286" w:lineRule="auto"/>
        <w:rPr>
          <w:sz w:val="20"/>
          <w:szCs w:val="20"/>
          <w:color w:val="auto"/>
        </w:rPr>
      </w:pPr>
      <w:r>
        <w:rPr>
          <w:rFonts w:ascii="Arial" w:cs="Arial" w:eastAsia="Arial" w:hAnsi="Arial"/>
          <w:sz w:val="16"/>
          <w:szCs w:val="16"/>
          <w:i w:val="1"/>
          <w:iCs w:val="1"/>
          <w:color w:val="auto"/>
        </w:rPr>
        <w:t xml:space="preserve">2024 Non-Financial Performance Levels and Results. </w:t>
      </w:r>
      <w:r>
        <w:rPr>
          <w:rFonts w:ascii="Arial" w:cs="Arial" w:eastAsia="Arial" w:hAnsi="Arial"/>
          <w:sz w:val="16"/>
          <w:szCs w:val="16"/>
          <w:color w:val="auto"/>
        </w:rPr>
        <w:t>For 2024, the metrics for the IIP included non-financial objectives focused</w:t>
      </w:r>
      <w:r>
        <w:rPr>
          <w:rFonts w:ascii="Arial" w:cs="Arial" w:eastAsia="Arial" w:hAnsi="Arial"/>
          <w:sz w:val="16"/>
          <w:szCs w:val="16"/>
          <w:i w:val="1"/>
          <w:iCs w:val="1"/>
          <w:color w:val="auto"/>
        </w:rPr>
        <w:t xml:space="preserve"> </w:t>
      </w:r>
      <w:r>
        <w:rPr>
          <w:rFonts w:ascii="Arial" w:cs="Arial" w:eastAsia="Arial" w:hAnsi="Arial"/>
          <w:sz w:val="16"/>
          <w:szCs w:val="16"/>
          <w:color w:val="auto"/>
        </w:rPr>
        <w:t>on two equally weighted Quantitative Strategic Goal categories:</w:t>
      </w:r>
    </w:p>
    <w:p>
      <w:pPr>
        <w:spacing w:after="0" w:line="48" w:lineRule="exact"/>
        <w:rPr>
          <w:sz w:val="20"/>
          <w:szCs w:val="20"/>
          <w:color w:val="auto"/>
        </w:rPr>
      </w:pPr>
    </w:p>
    <w:p>
      <w:pPr>
        <w:ind w:left="226" w:right="340" w:hanging="226"/>
        <w:spacing w:after="0" w:line="286" w:lineRule="auto"/>
        <w:tabs>
          <w:tab w:leader="none" w:pos="2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GGI Bookings. GGI bookings aim to accelerate Itron’s growth with key solutions in high growth areas in targeted regions. Bookings of GGI products and services will contribute to the success of this goal.</w:t>
      </w:r>
    </w:p>
    <w:p>
      <w:pPr>
        <w:spacing w:after="0" w:line="47" w:lineRule="exact"/>
        <w:rPr>
          <w:rFonts w:ascii="Arial" w:cs="Arial" w:eastAsia="Arial" w:hAnsi="Arial"/>
          <w:sz w:val="16"/>
          <w:szCs w:val="16"/>
          <w:color w:val="auto"/>
        </w:rPr>
      </w:pPr>
    </w:p>
    <w:p>
      <w:pPr>
        <w:ind w:left="226" w:right="180" w:hanging="226"/>
        <w:spacing w:after="0" w:line="259" w:lineRule="auto"/>
        <w:tabs>
          <w:tab w:leader="none" w:pos="2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Reduction in intensity of GHG Emissions. Itron has committed to achieving a &gt;50% reduction (from the 2019 baseline) in Scope 1 and Scope 2 greenhouse gas emissions by 2028. Scope 1 includes direct emissions from Company-owned and controlled (leased) sources; Scope 2 emissions include those indirect emissions associated with the purchase of electricity, heat, steam or cooling.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58293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38" w:name="page39"/>
    <w:bookmarkEnd w:id="3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6" w:right="480"/>
        <w:spacing w:after="0" w:line="286" w:lineRule="auto"/>
        <w:rPr>
          <w:sz w:val="20"/>
          <w:szCs w:val="20"/>
          <w:color w:val="auto"/>
        </w:rPr>
      </w:pPr>
      <w:r>
        <w:rPr>
          <w:rFonts w:ascii="Arial" w:cs="Arial" w:eastAsia="Arial" w:hAnsi="Arial"/>
          <w:sz w:val="16"/>
          <w:szCs w:val="16"/>
          <w:color w:val="auto"/>
        </w:rPr>
        <w:t>The Committee selected these categories and their respective metrics and goals at the beginning of the year to reflect the Company’s business strategy and commitment to our long term strategy.</w:t>
      </w:r>
    </w:p>
    <w:p>
      <w:pPr>
        <w:spacing w:after="0" w:line="115" w:lineRule="exact"/>
        <w:rPr>
          <w:sz w:val="20"/>
          <w:szCs w:val="20"/>
          <w:color w:val="auto"/>
        </w:rPr>
      </w:pPr>
    </w:p>
    <w:p>
      <w:pPr>
        <w:ind w:left="6" w:right="100"/>
        <w:spacing w:after="0" w:line="266" w:lineRule="auto"/>
        <w:rPr>
          <w:sz w:val="20"/>
          <w:szCs w:val="20"/>
          <w:color w:val="auto"/>
        </w:rPr>
      </w:pPr>
      <w:r>
        <w:rPr>
          <w:rFonts w:ascii="Arial" w:cs="Arial" w:eastAsia="Arial" w:hAnsi="Arial"/>
          <w:sz w:val="16"/>
          <w:szCs w:val="16"/>
          <w:color w:val="auto"/>
        </w:rPr>
        <w:t>The Quantitative Strategic Goals are binary, equally weighted and scored independently. Any related payouts are limited to 100% of target. The specific metrics and goals in each category that were approved by the Compensation Committee for 2024, as well as the actual achievement results for 2024, are outlined below:</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2980" w:type="dxa"/>
            <w:vAlign w:val="bottom"/>
            <w:tcBorders>
              <w:bottom w:val="single" w:sz="8" w:color="0063A6"/>
            </w:tcBorders>
          </w:tcPr>
          <w:p>
            <w:pPr>
              <w:spacing w:after="0"/>
              <w:rPr>
                <w:sz w:val="22"/>
                <w:szCs w:val="22"/>
                <w:color w:val="auto"/>
              </w:rPr>
            </w:pPr>
          </w:p>
        </w:tc>
        <w:tc>
          <w:tcPr>
            <w:tcW w:w="3520" w:type="dxa"/>
            <w:vAlign w:val="bottom"/>
            <w:tcBorders>
              <w:bottom w:val="single" w:sz="8" w:color="0063A6"/>
            </w:tcBorders>
            <w:shd w:val="clear" w:color="auto" w:fill="0063A6"/>
          </w:tcPr>
          <w:p>
            <w:pPr>
              <w:ind w:left="1700"/>
              <w:spacing w:after="0"/>
              <w:rPr>
                <w:sz w:val="20"/>
                <w:szCs w:val="20"/>
                <w:color w:val="auto"/>
              </w:rPr>
            </w:pPr>
            <w:r>
              <w:rPr>
                <w:rFonts w:ascii="Arial" w:cs="Arial" w:eastAsia="Arial" w:hAnsi="Arial"/>
                <w:sz w:val="14"/>
                <w:szCs w:val="14"/>
                <w:b w:val="1"/>
                <w:bCs w:val="1"/>
                <w:color w:val="FFFFFF"/>
              </w:rPr>
              <w:t>2024 Goal</w:t>
            </w:r>
          </w:p>
        </w:tc>
        <w:tc>
          <w:tcPr>
            <w:tcW w:w="2680" w:type="dxa"/>
            <w:vAlign w:val="bottom"/>
            <w:tcBorders>
              <w:bottom w:val="single" w:sz="8" w:color="0063A6"/>
            </w:tcBorders>
            <w:shd w:val="clear" w:color="auto" w:fill="0063A6"/>
          </w:tcPr>
          <w:p>
            <w:pPr>
              <w:jc w:val="center"/>
              <w:ind w:left="522"/>
              <w:spacing w:after="0"/>
              <w:rPr>
                <w:sz w:val="20"/>
                <w:szCs w:val="20"/>
                <w:color w:val="auto"/>
              </w:rPr>
            </w:pPr>
            <w:r>
              <w:rPr>
                <w:rFonts w:ascii="Arial" w:cs="Arial" w:eastAsia="Arial" w:hAnsi="Arial"/>
                <w:sz w:val="14"/>
                <w:szCs w:val="14"/>
                <w:b w:val="1"/>
                <w:bCs w:val="1"/>
                <w:color w:val="FFFFFF"/>
              </w:rPr>
              <w:t>Actual Results</w:t>
            </w:r>
          </w:p>
        </w:tc>
      </w:tr>
      <w:tr>
        <w:trPr>
          <w:trHeight w:val="237"/>
        </w:trPr>
        <w:tc>
          <w:tcPr>
            <w:tcW w:w="298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GGI Bookings</w:t>
            </w:r>
          </w:p>
        </w:tc>
        <w:tc>
          <w:tcPr>
            <w:tcW w:w="352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&gt;$240 million</w:t>
            </w:r>
          </w:p>
        </w:tc>
        <w:tc>
          <w:tcPr>
            <w:tcW w:w="2680" w:type="dxa"/>
            <w:vAlign w:val="bottom"/>
            <w:tcBorders>
              <w:bottom w:val="single" w:sz="8" w:color="5D6673"/>
            </w:tcBorders>
          </w:tcPr>
          <w:p>
            <w:pPr>
              <w:jc w:val="center"/>
              <w:ind w:left="522"/>
              <w:spacing w:after="0"/>
              <w:rPr>
                <w:sz w:val="20"/>
                <w:szCs w:val="20"/>
                <w:color w:val="auto"/>
              </w:rPr>
            </w:pPr>
            <w:r>
              <w:rPr>
                <w:rFonts w:ascii="Arial" w:cs="Arial" w:eastAsia="Arial" w:hAnsi="Arial"/>
                <w:sz w:val="16"/>
                <w:szCs w:val="16"/>
                <w:color w:val="auto"/>
              </w:rPr>
              <w:t>Pass</w:t>
            </w:r>
          </w:p>
        </w:tc>
      </w:tr>
      <w:tr>
        <w:trPr>
          <w:trHeight w:val="202"/>
        </w:trPr>
        <w:tc>
          <w:tcPr>
            <w:tcW w:w="2980" w:type="dxa"/>
            <w:vAlign w:val="bottom"/>
          </w:tcPr>
          <w:p>
            <w:pPr>
              <w:ind w:left="100"/>
              <w:spacing w:after="0"/>
              <w:rPr>
                <w:sz w:val="20"/>
                <w:szCs w:val="20"/>
                <w:color w:val="auto"/>
              </w:rPr>
            </w:pPr>
            <w:r>
              <w:rPr>
                <w:rFonts w:ascii="Arial" w:cs="Arial" w:eastAsia="Arial" w:hAnsi="Arial"/>
                <w:sz w:val="16"/>
                <w:szCs w:val="16"/>
                <w:color w:val="auto"/>
              </w:rPr>
              <w:t>Reduction in intensity of GHG</w:t>
            </w:r>
          </w:p>
        </w:tc>
        <w:tc>
          <w:tcPr>
            <w:tcW w:w="35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16"/>
        </w:trPr>
        <w:tc>
          <w:tcPr>
            <w:tcW w:w="2980" w:type="dxa"/>
            <w:vAlign w:val="bottom"/>
            <w:tcBorders>
              <w:bottom w:val="single" w:sz="8" w:color="0063A6"/>
            </w:tcBorders>
          </w:tcPr>
          <w:p>
            <w:pPr>
              <w:ind w:left="100"/>
              <w:spacing w:after="0"/>
              <w:rPr>
                <w:sz w:val="20"/>
                <w:szCs w:val="20"/>
                <w:color w:val="auto"/>
              </w:rPr>
            </w:pPr>
            <w:r>
              <w:rPr>
                <w:rFonts w:ascii="Arial" w:cs="Arial" w:eastAsia="Arial" w:hAnsi="Arial"/>
                <w:sz w:val="16"/>
                <w:szCs w:val="16"/>
                <w:color w:val="auto"/>
              </w:rPr>
              <w:t>Emissions</w:t>
            </w:r>
          </w:p>
        </w:tc>
        <w:tc>
          <w:tcPr>
            <w:tcW w:w="3520" w:type="dxa"/>
            <w:vAlign w:val="bottom"/>
            <w:tcBorders>
              <w:bottom w:val="single" w:sz="8" w:color="0063A6"/>
            </w:tcBorders>
          </w:tcPr>
          <w:p>
            <w:pPr>
              <w:ind w:left="100"/>
              <w:spacing w:after="0"/>
              <w:rPr>
                <w:sz w:val="20"/>
                <w:szCs w:val="20"/>
                <w:color w:val="auto"/>
              </w:rPr>
            </w:pPr>
            <w:r>
              <w:rPr>
                <w:rFonts w:ascii="Arial" w:cs="Arial" w:eastAsia="Arial" w:hAnsi="Arial"/>
                <w:sz w:val="16"/>
                <w:szCs w:val="16"/>
                <w:color w:val="auto"/>
              </w:rPr>
              <w:t>&gt;5% reduction from 2023 level</w:t>
            </w:r>
          </w:p>
        </w:tc>
        <w:tc>
          <w:tcPr>
            <w:tcW w:w="2680" w:type="dxa"/>
            <w:vAlign w:val="bottom"/>
            <w:tcBorders>
              <w:bottom w:val="single" w:sz="8" w:color="0063A6"/>
            </w:tcBorders>
          </w:tcPr>
          <w:p>
            <w:pPr>
              <w:jc w:val="center"/>
              <w:ind w:left="522"/>
              <w:spacing w:after="0"/>
              <w:rPr>
                <w:sz w:val="20"/>
                <w:szCs w:val="20"/>
                <w:color w:val="auto"/>
              </w:rPr>
            </w:pPr>
            <w:r>
              <w:rPr>
                <w:rFonts w:ascii="Arial" w:cs="Arial" w:eastAsia="Arial" w:hAnsi="Arial"/>
                <w:sz w:val="16"/>
                <w:szCs w:val="16"/>
                <w:color w:val="auto"/>
              </w:rPr>
              <w:t>Pass</w:t>
            </w:r>
          </w:p>
        </w:tc>
      </w:tr>
    </w:tbl>
    <w:p>
      <w:pPr>
        <w:spacing w:after="0" w:line="215" w:lineRule="exact"/>
        <w:rPr>
          <w:sz w:val="20"/>
          <w:szCs w:val="20"/>
          <w:color w:val="auto"/>
        </w:rPr>
      </w:pPr>
    </w:p>
    <w:p>
      <w:pPr>
        <w:ind w:left="6" w:right="300"/>
        <w:spacing w:after="0" w:line="286" w:lineRule="auto"/>
        <w:rPr>
          <w:sz w:val="20"/>
          <w:szCs w:val="20"/>
          <w:color w:val="auto"/>
        </w:rPr>
      </w:pPr>
      <w:r>
        <w:rPr>
          <w:rFonts w:ascii="Arial" w:cs="Arial" w:eastAsia="Arial" w:hAnsi="Arial"/>
          <w:sz w:val="16"/>
          <w:szCs w:val="16"/>
          <w:color w:val="auto"/>
        </w:rPr>
        <w:t>Based on the above non-financial performance results, the portion of the 2024 IIP payout linked to the Quantitative Strategic Goals was earned at 100% of each NEO’s applicable target.</w:t>
      </w:r>
    </w:p>
    <w:p>
      <w:pPr>
        <w:spacing w:after="0" w:line="129"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i w:val="1"/>
          <w:iCs w:val="1"/>
          <w:color w:val="auto"/>
        </w:rPr>
        <w:t xml:space="preserve">2024 Individual Performance </w:t>
      </w:r>
      <w:r>
        <w:rPr>
          <w:rFonts w:ascii="Arial" w:cs="Arial" w:eastAsia="Arial" w:hAnsi="Arial"/>
          <w:sz w:val="16"/>
          <w:szCs w:val="16"/>
          <w:color w:val="auto"/>
        </w:rPr>
        <w:t>. The Committee has discretion to make adjustments based on the NEO’s individual and/or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unit’s performance. The Committee may decide to adjust each NEO’s IIP payout upward or downward by applying a multiplier in the range of 0% to 150% against the initially-calculated payout based on the financial and non-financial results.</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2024 IIP Results and Payouts</w:t>
      </w:r>
      <w:r>
        <w:rPr>
          <w:rFonts w:ascii="Arial" w:cs="Arial" w:eastAsia="Arial" w:hAnsi="Arial"/>
          <w:sz w:val="16"/>
          <w:szCs w:val="16"/>
          <w:color w:val="auto"/>
        </w:rPr>
        <w:t>. The actual IIP awards paid to the NEOs for 2024 were as follows:</w:t>
      </w:r>
    </w:p>
    <w:p>
      <w:pPr>
        <w:spacing w:after="0" w:line="16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4420" w:type="dxa"/>
            <w:vAlign w:val="bottom"/>
          </w:tcPr>
          <w:p>
            <w:pPr>
              <w:spacing w:after="0"/>
              <w:rPr>
                <w:sz w:val="19"/>
                <w:szCs w:val="19"/>
                <w:color w:val="auto"/>
              </w:rPr>
            </w:pPr>
          </w:p>
        </w:tc>
        <w:tc>
          <w:tcPr>
            <w:tcW w:w="126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2024</w:t>
            </w:r>
          </w:p>
        </w:tc>
        <w:tc>
          <w:tcPr>
            <w:tcW w:w="280" w:type="dxa"/>
            <w:vAlign w:val="bottom"/>
            <w:shd w:val="clear" w:color="auto" w:fill="0063A6"/>
          </w:tcPr>
          <w:p>
            <w:pPr>
              <w:spacing w:after="0"/>
              <w:rPr>
                <w:sz w:val="19"/>
                <w:szCs w:val="19"/>
                <w:color w:val="auto"/>
              </w:rPr>
            </w:pPr>
          </w:p>
        </w:tc>
        <w:tc>
          <w:tcPr>
            <w:tcW w:w="780" w:type="dxa"/>
            <w:vAlign w:val="bottom"/>
            <w:shd w:val="clear" w:color="auto" w:fill="0063A6"/>
          </w:tcPr>
          <w:p>
            <w:pPr>
              <w:spacing w:after="0"/>
              <w:rPr>
                <w:sz w:val="19"/>
                <w:szCs w:val="19"/>
                <w:color w:val="auto"/>
              </w:rPr>
            </w:pPr>
          </w:p>
        </w:tc>
        <w:tc>
          <w:tcPr>
            <w:tcW w:w="1260" w:type="dxa"/>
            <w:vAlign w:val="bottom"/>
            <w:gridSpan w:val="2"/>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Final Financial</w:t>
            </w:r>
          </w:p>
        </w:tc>
        <w:tc>
          <w:tcPr>
            <w:tcW w:w="260" w:type="dxa"/>
            <w:vAlign w:val="bottom"/>
            <w:shd w:val="clear" w:color="auto" w:fill="0063A6"/>
          </w:tcPr>
          <w:p>
            <w:pPr>
              <w:spacing w:after="0"/>
              <w:rPr>
                <w:sz w:val="19"/>
                <w:szCs w:val="19"/>
                <w:color w:val="auto"/>
              </w:rPr>
            </w:pPr>
          </w:p>
        </w:tc>
        <w:tc>
          <w:tcPr>
            <w:tcW w:w="920" w:type="dxa"/>
            <w:vAlign w:val="bottom"/>
            <w:shd w:val="clear" w:color="auto" w:fill="0063A6"/>
          </w:tcPr>
          <w:p>
            <w:pPr>
              <w:spacing w:after="0"/>
              <w:rPr>
                <w:sz w:val="19"/>
                <w:szCs w:val="19"/>
                <w:color w:val="auto"/>
              </w:rPr>
            </w:pPr>
          </w:p>
        </w:tc>
      </w:tr>
      <w:tr>
        <w:trPr>
          <w:trHeight w:val="162"/>
        </w:trPr>
        <w:tc>
          <w:tcPr>
            <w:tcW w:w="4420" w:type="dxa"/>
            <w:vAlign w:val="bottom"/>
          </w:tcPr>
          <w:p>
            <w:pPr>
              <w:spacing w:after="0"/>
              <w:rPr>
                <w:sz w:val="14"/>
                <w:szCs w:val="14"/>
                <w:color w:val="auto"/>
              </w:rPr>
            </w:pPr>
          </w:p>
        </w:tc>
        <w:tc>
          <w:tcPr>
            <w:tcW w:w="1260" w:type="dxa"/>
            <w:vAlign w:val="bottom"/>
            <w:shd w:val="clear" w:color="auto" w:fill="0063A6"/>
          </w:tcPr>
          <w:p>
            <w:pPr>
              <w:jc w:val="right"/>
              <w:ind w:right="84"/>
              <w:spacing w:after="0"/>
              <w:rPr>
                <w:sz w:val="20"/>
                <w:szCs w:val="20"/>
                <w:color w:val="auto"/>
              </w:rPr>
            </w:pPr>
            <w:r>
              <w:rPr>
                <w:rFonts w:ascii="Arial" w:cs="Arial" w:eastAsia="Arial" w:hAnsi="Arial"/>
                <w:sz w:val="14"/>
                <w:szCs w:val="14"/>
                <w:b w:val="1"/>
                <w:bCs w:val="1"/>
                <w:color w:val="FFFFFF"/>
              </w:rPr>
              <w:t>Target</w:t>
            </w:r>
          </w:p>
        </w:tc>
        <w:tc>
          <w:tcPr>
            <w:tcW w:w="28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1260" w:type="dxa"/>
            <w:vAlign w:val="bottom"/>
            <w:gridSpan w:val="2"/>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and</w:t>
            </w:r>
          </w:p>
        </w:tc>
        <w:tc>
          <w:tcPr>
            <w:tcW w:w="26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163"/>
              <w:spacing w:after="0"/>
              <w:rPr>
                <w:sz w:val="20"/>
                <w:szCs w:val="20"/>
                <w:color w:val="auto"/>
              </w:rPr>
            </w:pPr>
            <w:r>
              <w:rPr>
                <w:rFonts w:ascii="Arial" w:cs="Arial" w:eastAsia="Arial" w:hAnsi="Arial"/>
                <w:sz w:val="14"/>
                <w:szCs w:val="14"/>
                <w:b w:val="1"/>
                <w:bCs w:val="1"/>
                <w:color w:val="FFFFFF"/>
              </w:rPr>
              <w:t>2024</w:t>
            </w:r>
          </w:p>
        </w:tc>
      </w:tr>
      <w:tr>
        <w:trPr>
          <w:trHeight w:val="162"/>
        </w:trPr>
        <w:tc>
          <w:tcPr>
            <w:tcW w:w="4420" w:type="dxa"/>
            <w:vAlign w:val="bottom"/>
          </w:tcPr>
          <w:p>
            <w:pPr>
              <w:spacing w:after="0"/>
              <w:rPr>
                <w:sz w:val="14"/>
                <w:szCs w:val="14"/>
                <w:color w:val="auto"/>
              </w:rPr>
            </w:pPr>
          </w:p>
        </w:tc>
        <w:tc>
          <w:tcPr>
            <w:tcW w:w="126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(as a % of</w:t>
            </w:r>
          </w:p>
        </w:tc>
        <w:tc>
          <w:tcPr>
            <w:tcW w:w="28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2024</w:t>
            </w:r>
          </w:p>
        </w:tc>
        <w:tc>
          <w:tcPr>
            <w:tcW w:w="1260" w:type="dxa"/>
            <w:vAlign w:val="bottom"/>
            <w:gridSpan w:val="2"/>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Non-Financial</w:t>
            </w:r>
          </w:p>
        </w:tc>
        <w:tc>
          <w:tcPr>
            <w:tcW w:w="26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163"/>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4420" w:type="dxa"/>
            <w:vAlign w:val="bottom"/>
          </w:tcPr>
          <w:p>
            <w:pPr>
              <w:spacing w:after="0"/>
              <w:rPr>
                <w:sz w:val="14"/>
                <w:szCs w:val="14"/>
                <w:color w:val="auto"/>
              </w:rPr>
            </w:pPr>
          </w:p>
        </w:tc>
        <w:tc>
          <w:tcPr>
            <w:tcW w:w="126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Base</w:t>
            </w:r>
          </w:p>
        </w:tc>
        <w:tc>
          <w:tcPr>
            <w:tcW w:w="28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Target</w:t>
            </w:r>
          </w:p>
        </w:tc>
        <w:tc>
          <w:tcPr>
            <w:tcW w:w="1260" w:type="dxa"/>
            <w:vAlign w:val="bottom"/>
            <w:gridSpan w:val="2"/>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Results</w:t>
            </w:r>
          </w:p>
        </w:tc>
        <w:tc>
          <w:tcPr>
            <w:tcW w:w="26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163"/>
              <w:spacing w:after="0"/>
              <w:rPr>
                <w:sz w:val="20"/>
                <w:szCs w:val="20"/>
                <w:color w:val="auto"/>
              </w:rPr>
            </w:pPr>
            <w:r>
              <w:rPr>
                <w:rFonts w:ascii="Arial" w:cs="Arial" w:eastAsia="Arial" w:hAnsi="Arial"/>
                <w:sz w:val="14"/>
                <w:szCs w:val="14"/>
                <w:b w:val="1"/>
                <w:bCs w:val="1"/>
                <w:color w:val="FFFFFF"/>
              </w:rPr>
              <w:t>Award</w:t>
            </w:r>
          </w:p>
        </w:tc>
      </w:tr>
      <w:tr>
        <w:trPr>
          <w:trHeight w:val="205"/>
        </w:trPr>
        <w:tc>
          <w:tcPr>
            <w:tcW w:w="44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1260" w:type="dxa"/>
            <w:vAlign w:val="bottom"/>
            <w:tcBorders>
              <w:bottom w:val="single" w:sz="8" w:color="0063A6"/>
            </w:tcBorders>
            <w:shd w:val="clear" w:color="auto" w:fill="0063A6"/>
          </w:tcPr>
          <w:p>
            <w:pPr>
              <w:jc w:val="right"/>
              <w:ind w:right="84"/>
              <w:spacing w:after="0"/>
              <w:rPr>
                <w:sz w:val="20"/>
                <w:szCs w:val="20"/>
                <w:color w:val="auto"/>
              </w:rPr>
            </w:pPr>
            <w:r>
              <w:rPr>
                <w:rFonts w:ascii="Arial" w:cs="Arial" w:eastAsia="Arial" w:hAnsi="Arial"/>
                <w:sz w:val="14"/>
                <w:szCs w:val="14"/>
                <w:b w:val="1"/>
                <w:bCs w:val="1"/>
                <w:color w:val="FFFFFF"/>
              </w:rPr>
              <w:t>Salary)</w:t>
            </w:r>
          </w:p>
        </w:tc>
        <w:tc>
          <w:tcPr>
            <w:tcW w:w="280" w:type="dxa"/>
            <w:vAlign w:val="bottom"/>
            <w:tcBorders>
              <w:bottom w:val="single" w:sz="8" w:color="0063A6"/>
            </w:tcBorders>
            <w:shd w:val="clear" w:color="auto" w:fill="0063A6"/>
          </w:tcPr>
          <w:p>
            <w:pPr>
              <w:spacing w:after="0"/>
              <w:rPr>
                <w:sz w:val="17"/>
                <w:szCs w:val="17"/>
                <w:color w:val="auto"/>
              </w:rPr>
            </w:pPr>
          </w:p>
        </w:tc>
        <w:tc>
          <w:tcPr>
            <w:tcW w:w="7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bottom w:val="single" w:sz="8" w:color="0063A6"/>
            </w:tcBorders>
            <w:shd w:val="clear" w:color="auto" w:fill="0063A6"/>
          </w:tcPr>
          <w:p>
            <w:pPr>
              <w:spacing w:after="0"/>
              <w:rPr>
                <w:sz w:val="17"/>
                <w:szCs w:val="17"/>
                <w:color w:val="auto"/>
              </w:rPr>
            </w:pPr>
          </w:p>
        </w:tc>
        <w:tc>
          <w:tcPr>
            <w:tcW w:w="460" w:type="dxa"/>
            <w:vAlign w:val="bottom"/>
            <w:tcBorders>
              <w:bottom w:val="single" w:sz="8" w:color="0063A6"/>
            </w:tcBorders>
            <w:shd w:val="clear" w:color="auto" w:fill="0063A6"/>
          </w:tcPr>
          <w:p>
            <w:pPr>
              <w:jc w:val="right"/>
              <w:ind w:right="101"/>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0063A6"/>
            </w:tcBorders>
            <w:shd w:val="clear" w:color="auto" w:fill="0063A6"/>
          </w:tcPr>
          <w:p>
            <w:pPr>
              <w:spacing w:after="0"/>
              <w:rPr>
                <w:sz w:val="17"/>
                <w:szCs w:val="17"/>
                <w:color w:val="auto"/>
              </w:rPr>
            </w:pPr>
          </w:p>
        </w:tc>
        <w:tc>
          <w:tcPr>
            <w:tcW w:w="920" w:type="dxa"/>
            <w:vAlign w:val="bottom"/>
            <w:tcBorders>
              <w:bottom w:val="single" w:sz="8" w:color="0063A6"/>
            </w:tcBorders>
            <w:shd w:val="clear" w:color="auto" w:fill="0063A6"/>
          </w:tcPr>
          <w:p>
            <w:pPr>
              <w:jc w:val="right"/>
              <w:ind w:right="123"/>
              <w:spacing w:after="0"/>
              <w:rPr>
                <w:sz w:val="20"/>
                <w:szCs w:val="20"/>
                <w:color w:val="auto"/>
              </w:rPr>
            </w:pPr>
            <w:r>
              <w:rPr>
                <w:rFonts w:ascii="Arial" w:cs="Arial" w:eastAsia="Arial" w:hAnsi="Arial"/>
                <w:sz w:val="14"/>
                <w:szCs w:val="14"/>
                <w:b w:val="1"/>
                <w:bCs w:val="1"/>
                <w:color w:val="FFFFFF"/>
              </w:rPr>
              <w:t>($)</w:t>
            </w:r>
          </w:p>
        </w:tc>
      </w:tr>
      <w:tr>
        <w:trPr>
          <w:trHeight w:val="249"/>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125%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1,125,000</w:t>
            </w:r>
          </w:p>
        </w:tc>
        <w:tc>
          <w:tcPr>
            <w:tcW w:w="800" w:type="dxa"/>
            <w:vAlign w:val="bottom"/>
          </w:tcPr>
          <w:p>
            <w:pPr>
              <w:ind w:left="540"/>
              <w:spacing w:after="0"/>
              <w:rPr>
                <w:sz w:val="20"/>
                <w:szCs w:val="20"/>
                <w:color w:val="auto"/>
              </w:rPr>
            </w:pPr>
            <w:r>
              <w:rPr>
                <w:rFonts w:ascii="Arial" w:cs="Arial" w:eastAsia="Arial" w:hAnsi="Arial"/>
                <w:sz w:val="16"/>
                <w:szCs w:val="16"/>
                <w:color w:val="auto"/>
                <w:w w:val="89"/>
              </w:rPr>
              <w:t>172​</w:t>
            </w:r>
          </w:p>
        </w:tc>
        <w:tc>
          <w:tcPr>
            <w:tcW w:w="460" w:type="dxa"/>
            <w:vAlign w:val="bottom"/>
          </w:tcPr>
          <w:p>
            <w:pPr>
              <w:jc w:val="right"/>
              <w:ind w:right="101"/>
              <w:spacing w:after="0"/>
              <w:rPr>
                <w:sz w:val="20"/>
                <w:szCs w:val="20"/>
                <w:color w:val="auto"/>
              </w:rPr>
            </w:pPr>
            <w:r>
              <w:rPr>
                <w:rFonts w:ascii="Arial" w:cs="Arial" w:eastAsia="Arial" w:hAnsi="Arial"/>
                <w:sz w:val="16"/>
                <w:szCs w:val="16"/>
                <w:color w:val="auto"/>
                <w:w w:val="94"/>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w w:val="98"/>
              </w:rPr>
              <w:t>1,944,844</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gridSpan w:val="2"/>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43"/>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Joan S. Hooper</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412,500</w:t>
            </w:r>
          </w:p>
        </w:tc>
        <w:tc>
          <w:tcPr>
            <w:tcW w:w="1260" w:type="dxa"/>
            <w:vAlign w:val="bottom"/>
            <w:gridSpan w:val="2"/>
          </w:tcPr>
          <w:p>
            <w:pPr>
              <w:jc w:val="right"/>
              <w:ind w:right="101"/>
              <w:spacing w:after="0"/>
              <w:rPr>
                <w:sz w:val="20"/>
                <w:szCs w:val="20"/>
                <w:color w:val="auto"/>
              </w:rPr>
            </w:pPr>
            <w:r>
              <w:rPr>
                <w:rFonts w:ascii="Arial" w:cs="Arial" w:eastAsia="Arial" w:hAnsi="Arial"/>
                <w:sz w:val="16"/>
                <w:szCs w:val="16"/>
                <w:color w:val="auto"/>
              </w:rPr>
              <w:t>138.3%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570,488</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gridSpan w:val="2"/>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43"/>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Donald L. Reeves</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352,500</w:t>
            </w:r>
          </w:p>
        </w:tc>
        <w:tc>
          <w:tcPr>
            <w:tcW w:w="1260" w:type="dxa"/>
            <w:vAlign w:val="bottom"/>
            <w:gridSpan w:val="2"/>
          </w:tcPr>
          <w:p>
            <w:pPr>
              <w:jc w:val="right"/>
              <w:ind w:right="101"/>
              <w:spacing w:after="0"/>
              <w:rPr>
                <w:sz w:val="20"/>
                <w:szCs w:val="20"/>
                <w:color w:val="auto"/>
              </w:rPr>
            </w:pPr>
            <w:r>
              <w:rPr>
                <w:rFonts w:ascii="Arial" w:cs="Arial" w:eastAsia="Arial" w:hAnsi="Arial"/>
                <w:sz w:val="16"/>
                <w:szCs w:val="16"/>
                <w:color w:val="auto"/>
              </w:rPr>
              <w:t>138.3%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487,508</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800" w:type="dxa"/>
            <w:vAlign w:val="bottom"/>
            <w:tcBorders>
              <w:bottom w:val="single" w:sz="8" w:color="5D6673"/>
            </w:tcBorders>
          </w:tcPr>
          <w:p>
            <w:pPr>
              <w:spacing w:after="0" w:line="20" w:lineRule="exact"/>
              <w:rPr>
                <w:sz w:val="1"/>
                <w:szCs w:val="1"/>
                <w:color w:val="auto"/>
              </w:rPr>
            </w:pPr>
          </w:p>
        </w:tc>
        <w:tc>
          <w:tcPr>
            <w:tcW w:w="460" w:type="dxa"/>
            <w:vAlign w:val="bottom"/>
            <w:tcBorders>
              <w:bottom w:val="single" w:sz="8" w:color="5D6673"/>
            </w:tcBorders>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43"/>
        </w:trPr>
        <w:tc>
          <w:tcPr>
            <w:tcW w:w="4420" w:type="dxa"/>
            <w:vAlign w:val="bottom"/>
          </w:tcPr>
          <w:p>
            <w:pPr>
              <w:ind w:left="80"/>
              <w:spacing w:after="0"/>
              <w:rPr>
                <w:sz w:val="20"/>
                <w:szCs w:val="20"/>
                <w:color w:val="auto"/>
              </w:rPr>
            </w:pPr>
            <w:r>
              <w:rPr>
                <w:rFonts w:ascii="Arial" w:cs="Arial" w:eastAsia="Arial" w:hAnsi="Arial"/>
                <w:sz w:val="16"/>
                <w:szCs w:val="16"/>
                <w:b w:val="1"/>
                <w:bCs w:val="1"/>
                <w:color w:val="0063A6"/>
              </w:rPr>
              <w:t>John F. Marcolini</w:t>
            </w:r>
          </w:p>
        </w:tc>
        <w:tc>
          <w:tcPr>
            <w:tcW w:w="1260" w:type="dxa"/>
            <w:vAlign w:val="bottom"/>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345,000</w:t>
            </w:r>
          </w:p>
        </w:tc>
        <w:tc>
          <w:tcPr>
            <w:tcW w:w="800" w:type="dxa"/>
            <w:vAlign w:val="bottom"/>
          </w:tcPr>
          <w:p>
            <w:pPr>
              <w:ind w:left="540"/>
              <w:spacing w:after="0"/>
              <w:rPr>
                <w:sz w:val="20"/>
                <w:szCs w:val="20"/>
                <w:color w:val="auto"/>
              </w:rPr>
            </w:pPr>
            <w:r>
              <w:rPr>
                <w:rFonts w:ascii="Arial" w:cs="Arial" w:eastAsia="Arial" w:hAnsi="Arial"/>
                <w:sz w:val="16"/>
                <w:szCs w:val="16"/>
                <w:color w:val="auto"/>
                <w:w w:val="89"/>
              </w:rPr>
              <w:t>152​</w:t>
            </w:r>
          </w:p>
        </w:tc>
        <w:tc>
          <w:tcPr>
            <w:tcW w:w="460" w:type="dxa"/>
            <w:vAlign w:val="bottom"/>
          </w:tcPr>
          <w:p>
            <w:pPr>
              <w:jc w:val="right"/>
              <w:ind w:right="101"/>
              <w:spacing w:after="0"/>
              <w:rPr>
                <w:sz w:val="20"/>
                <w:szCs w:val="20"/>
                <w:color w:val="auto"/>
              </w:rPr>
            </w:pPr>
            <w:r>
              <w:rPr>
                <w:rFonts w:ascii="Arial" w:cs="Arial" w:eastAsia="Arial" w:hAnsi="Arial"/>
                <w:sz w:val="16"/>
                <w:szCs w:val="16"/>
                <w:color w:val="auto"/>
                <w:w w:val="94"/>
              </w:rPr>
              <w:t>.1%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524,849</w:t>
            </w:r>
          </w:p>
        </w:tc>
      </w:tr>
      <w:tr>
        <w:trPr>
          <w:trHeight w:val="21"/>
        </w:trPr>
        <w:tc>
          <w:tcPr>
            <w:tcW w:w="4420" w:type="dxa"/>
            <w:vAlign w:val="bottom"/>
            <w:tcBorders>
              <w:bottom w:val="single" w:sz="8" w:color="5D6673"/>
            </w:tcBorders>
          </w:tcPr>
          <w:p>
            <w:pPr>
              <w:spacing w:after="0" w:line="20" w:lineRule="exact"/>
              <w:rPr>
                <w:sz w:val="1"/>
                <w:szCs w:val="1"/>
                <w:color w:val="auto"/>
              </w:rPr>
            </w:pPr>
          </w:p>
        </w:tc>
        <w:tc>
          <w:tcPr>
            <w:tcW w:w="1260" w:type="dxa"/>
            <w:vAlign w:val="bottom"/>
            <w:tcBorders>
              <w:bottom w:val="single" w:sz="8" w:color="5D6673"/>
            </w:tcBorders>
          </w:tcPr>
          <w:p>
            <w:pPr>
              <w:spacing w:after="0" w:line="20" w:lineRule="exact"/>
              <w:rPr>
                <w:sz w:val="1"/>
                <w:szCs w:val="1"/>
                <w:color w:val="auto"/>
              </w:rPr>
            </w:pPr>
          </w:p>
        </w:tc>
        <w:tc>
          <w:tcPr>
            <w:tcW w:w="2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800" w:type="dxa"/>
            <w:vAlign w:val="bottom"/>
            <w:tcBorders>
              <w:bottom w:val="single" w:sz="8" w:color="5D6673"/>
            </w:tcBorders>
          </w:tcPr>
          <w:p>
            <w:pPr>
              <w:spacing w:after="0" w:line="20" w:lineRule="exact"/>
              <w:rPr>
                <w:sz w:val="1"/>
                <w:szCs w:val="1"/>
                <w:color w:val="auto"/>
              </w:rPr>
            </w:pPr>
          </w:p>
        </w:tc>
        <w:tc>
          <w:tcPr>
            <w:tcW w:w="460" w:type="dxa"/>
            <w:vAlign w:val="bottom"/>
            <w:tcBorders>
              <w:bottom w:val="single" w:sz="8" w:color="5D6673"/>
            </w:tcBorders>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920" w:type="dxa"/>
            <w:vAlign w:val="bottom"/>
            <w:tcBorders>
              <w:bottom w:val="single" w:sz="8" w:color="5D6673"/>
            </w:tcBorders>
          </w:tcPr>
          <w:p>
            <w:pPr>
              <w:spacing w:after="0" w:line="20" w:lineRule="exact"/>
              <w:rPr>
                <w:sz w:val="1"/>
                <w:szCs w:val="1"/>
                <w:color w:val="auto"/>
              </w:rPr>
            </w:pPr>
          </w:p>
        </w:tc>
      </w:tr>
      <w:tr>
        <w:trPr>
          <w:trHeight w:val="236"/>
        </w:trPr>
        <w:tc>
          <w:tcPr>
            <w:tcW w:w="4420" w:type="dxa"/>
            <w:vAlign w:val="bottom"/>
            <w:tcBorders>
              <w:bottom w:val="single" w:sz="8" w:color="0063A6"/>
            </w:tcBorders>
          </w:tcPr>
          <w:p>
            <w:pPr>
              <w:ind w:left="80"/>
              <w:spacing w:after="0"/>
              <w:rPr>
                <w:sz w:val="20"/>
                <w:szCs w:val="20"/>
                <w:color w:val="auto"/>
              </w:rPr>
            </w:pPr>
            <w:r>
              <w:rPr>
                <w:rFonts w:ascii="Arial" w:cs="Arial" w:eastAsia="Arial" w:hAnsi="Arial"/>
                <w:sz w:val="16"/>
                <w:szCs w:val="16"/>
                <w:b w:val="1"/>
                <w:bCs w:val="1"/>
                <w:color w:val="0063A6"/>
              </w:rPr>
              <w:t>Justin K. Patrick</w:t>
            </w:r>
          </w:p>
        </w:tc>
        <w:tc>
          <w:tcPr>
            <w:tcW w:w="1260" w:type="dxa"/>
            <w:vAlign w:val="bottom"/>
            <w:tcBorders>
              <w:bottom w:val="single" w:sz="8" w:color="0063A6"/>
            </w:tcBorders>
          </w:tcPr>
          <w:p>
            <w:pPr>
              <w:jc w:val="right"/>
              <w:ind w:right="84"/>
              <w:spacing w:after="0"/>
              <w:rPr>
                <w:sz w:val="20"/>
                <w:szCs w:val="20"/>
                <w:color w:val="auto"/>
              </w:rPr>
            </w:pPr>
            <w:r>
              <w:rPr>
                <w:rFonts w:ascii="Arial" w:cs="Arial" w:eastAsia="Arial" w:hAnsi="Arial"/>
                <w:sz w:val="16"/>
                <w:szCs w:val="16"/>
                <w:color w:val="auto"/>
              </w:rPr>
              <w:t>75%</w:t>
            </w:r>
          </w:p>
        </w:tc>
        <w:tc>
          <w:tcPr>
            <w:tcW w:w="2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0063A6"/>
            </w:tcBorders>
          </w:tcPr>
          <w:p>
            <w:pPr>
              <w:jc w:val="right"/>
              <w:ind w:right="2"/>
              <w:spacing w:after="0"/>
              <w:rPr>
                <w:sz w:val="20"/>
                <w:szCs w:val="20"/>
                <w:color w:val="auto"/>
              </w:rPr>
            </w:pPr>
            <w:r>
              <w:rPr>
                <w:rFonts w:ascii="Arial" w:cs="Arial" w:eastAsia="Arial" w:hAnsi="Arial"/>
                <w:sz w:val="16"/>
                <w:szCs w:val="16"/>
                <w:color w:val="auto"/>
              </w:rPr>
              <w:t>311,250</w:t>
            </w:r>
          </w:p>
        </w:tc>
        <w:tc>
          <w:tcPr>
            <w:tcW w:w="800" w:type="dxa"/>
            <w:vAlign w:val="bottom"/>
            <w:tcBorders>
              <w:bottom w:val="single" w:sz="8" w:color="0063A6"/>
            </w:tcBorders>
          </w:tcPr>
          <w:p>
            <w:pPr>
              <w:ind w:left="540"/>
              <w:spacing w:after="0"/>
              <w:rPr>
                <w:sz w:val="20"/>
                <w:szCs w:val="20"/>
                <w:color w:val="auto"/>
              </w:rPr>
            </w:pPr>
            <w:r>
              <w:rPr>
                <w:rFonts w:ascii="Arial" w:cs="Arial" w:eastAsia="Arial" w:hAnsi="Arial"/>
                <w:sz w:val="16"/>
                <w:szCs w:val="16"/>
                <w:color w:val="auto"/>
                <w:w w:val="89"/>
              </w:rPr>
              <w:t>152​</w:t>
            </w:r>
          </w:p>
        </w:tc>
        <w:tc>
          <w:tcPr>
            <w:tcW w:w="460" w:type="dxa"/>
            <w:vAlign w:val="bottom"/>
            <w:tcBorders>
              <w:bottom w:val="single" w:sz="8" w:color="0063A6"/>
            </w:tcBorders>
          </w:tcPr>
          <w:p>
            <w:pPr>
              <w:jc w:val="right"/>
              <w:ind w:right="101"/>
              <w:spacing w:after="0"/>
              <w:rPr>
                <w:sz w:val="20"/>
                <w:szCs w:val="20"/>
                <w:color w:val="auto"/>
              </w:rPr>
            </w:pPr>
            <w:r>
              <w:rPr>
                <w:rFonts w:ascii="Arial" w:cs="Arial" w:eastAsia="Arial" w:hAnsi="Arial"/>
                <w:sz w:val="16"/>
                <w:szCs w:val="16"/>
                <w:color w:val="auto"/>
                <w:w w:val="94"/>
              </w:rPr>
              <w:t>.1%</w:t>
            </w:r>
          </w:p>
        </w:tc>
        <w:tc>
          <w:tcPr>
            <w:tcW w:w="2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63A6"/>
            </w:tcBorders>
          </w:tcPr>
          <w:p>
            <w:pPr>
              <w:jc w:val="right"/>
              <w:ind w:right="123"/>
              <w:spacing w:after="0"/>
              <w:rPr>
                <w:sz w:val="20"/>
                <w:szCs w:val="20"/>
                <w:color w:val="auto"/>
              </w:rPr>
            </w:pPr>
            <w:r>
              <w:rPr>
                <w:rFonts w:ascii="Arial" w:cs="Arial" w:eastAsia="Arial" w:hAnsi="Arial"/>
                <w:sz w:val="16"/>
                <w:szCs w:val="16"/>
                <w:color w:val="auto"/>
              </w:rPr>
              <w:t>473,505</w:t>
            </w:r>
          </w:p>
        </w:tc>
      </w:tr>
    </w:tbl>
    <w:p>
      <w:pPr>
        <w:spacing w:after="0" w:line="23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Long-Term Equity Incentive: The Long-Term Incentive Plan (LTIP)</w:t>
      </w:r>
    </w:p>
    <w:p>
      <w:pPr>
        <w:spacing w:after="0" w:line="90"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color w:val="auto"/>
        </w:rPr>
        <w:t>The NEOs are eligible for long-term incentives, all of which were issued under the terms of our Third A&amp;R 2010 Plan. The Compensation Committee considers a mix of equity vehicles when granting long-term incentives and uses PRSUs and RSUs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194945</wp:posOffset>
            </wp:positionV>
            <wp:extent cx="5734685" cy="17487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3468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ind w:left="226" w:hanging="226"/>
        <w:spacing w:after="0"/>
        <w:tabs>
          <w:tab w:leader="none" w:pos="2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PRSUs reward the achievement of financial goals over a three-year performance period.</w:t>
      </w:r>
    </w:p>
    <w:p>
      <w:pPr>
        <w:spacing w:after="0" w:line="113" w:lineRule="exact"/>
        <w:rPr>
          <w:rFonts w:ascii="Arial" w:cs="Arial" w:eastAsia="Arial" w:hAnsi="Arial"/>
          <w:sz w:val="16"/>
          <w:szCs w:val="16"/>
          <w:color w:val="auto"/>
        </w:rPr>
      </w:pPr>
    </w:p>
    <w:p>
      <w:pPr>
        <w:ind w:left="226" w:hanging="226"/>
        <w:spacing w:after="0"/>
        <w:tabs>
          <w:tab w:leader="none" w:pos="2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RSUs support retention; they vest 1/3 on the first anniversary of the grant date and quarterly thereafter for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34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39" w:name="page40"/>
    <w:bookmarkEnd w:id="3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666"/>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jc w:val="both"/>
        <w:ind w:left="6" w:right="500"/>
        <w:spacing w:after="0" w:line="286" w:lineRule="auto"/>
        <w:rPr>
          <w:sz w:val="20"/>
          <w:szCs w:val="20"/>
          <w:color w:val="auto"/>
        </w:rPr>
      </w:pPr>
      <w:r>
        <w:rPr>
          <w:rFonts w:ascii="Arial" w:cs="Arial" w:eastAsia="Arial" w:hAnsi="Arial"/>
          <w:sz w:val="16"/>
          <w:szCs w:val="16"/>
          <w:color w:val="auto"/>
        </w:rPr>
        <w:t>The Compensation Committee emphasizes performance-based equity for the CEO by using an annual LTIP award mix of 67% PRSUs and 33% RSUs. The annual LTIP awards for all other NEOs are comprised of 50% PRSUs and 50% RSUs.</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 xml:space="preserve">2024 Target Long-Term Incentive Award Grants. </w:t>
      </w:r>
      <w:r>
        <w:rPr>
          <w:rFonts w:ascii="Arial" w:cs="Arial" w:eastAsia="Arial" w:hAnsi="Arial"/>
          <w:sz w:val="16"/>
          <w:szCs w:val="16"/>
          <w:color w:val="auto"/>
        </w:rPr>
        <w:t>After its annual review, including updated market data from the Committee’s</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color w:val="auto"/>
        </w:rPr>
        <w:t>consultant which reflected market movement in equity grants, the Committee increased Mr. Deitrich’s, Ms. Hooper’s and</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Messrs. Reeves', Marcolini’s, and Patrick’s target annual long-term incentive awards by $1,300,000, $300,000, $500,000,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$550,000 and $450,000, respectively, to continue to improve competitive positioning and ensure alignment relative to market.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table below shows the target annual LTIP award values granted for fiscal year 2024 for each of the NEOs:</w:t>
      </w:r>
    </w:p>
    <w:p>
      <w:pPr>
        <w:spacing w:after="0" w:line="152"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50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NEO</w:t>
            </w:r>
          </w:p>
        </w:tc>
        <w:tc>
          <w:tcPr>
            <w:tcW w:w="240" w:type="dxa"/>
            <w:vAlign w:val="bottom"/>
            <w:tcBorders>
              <w:bottom w:val="single" w:sz="8" w:color="0063A6"/>
            </w:tcBorders>
            <w:shd w:val="clear" w:color="auto" w:fill="0063A6"/>
          </w:tcPr>
          <w:p>
            <w:pPr>
              <w:spacing w:after="0"/>
              <w:rPr>
                <w:sz w:val="22"/>
                <w:szCs w:val="22"/>
                <w:color w:val="auto"/>
              </w:rPr>
            </w:pPr>
          </w:p>
        </w:tc>
        <w:tc>
          <w:tcPr>
            <w:tcW w:w="1520" w:type="dxa"/>
            <w:vAlign w:val="bottom"/>
            <w:tcBorders>
              <w:bottom w:val="single" w:sz="8" w:color="0063A6"/>
            </w:tcBorders>
            <w:gridSpan w:val="2"/>
            <w:shd w:val="clear" w:color="auto" w:fill="0063A6"/>
          </w:tcPr>
          <w:p>
            <w:pPr>
              <w:jc w:val="right"/>
              <w:ind w:right="139"/>
              <w:spacing w:after="0"/>
              <w:rPr>
                <w:sz w:val="20"/>
                <w:szCs w:val="20"/>
                <w:color w:val="auto"/>
              </w:rPr>
            </w:pPr>
            <w:r>
              <w:rPr>
                <w:rFonts w:ascii="Arial" w:cs="Arial" w:eastAsia="Arial" w:hAnsi="Arial"/>
                <w:sz w:val="14"/>
                <w:szCs w:val="14"/>
                <w:b w:val="1"/>
                <w:bCs w:val="1"/>
                <w:color w:val="FFFFFF"/>
              </w:rPr>
              <w:t>PRSUs* (at Target)</w:t>
            </w:r>
          </w:p>
        </w:tc>
        <w:tc>
          <w:tcPr>
            <w:tcW w:w="320" w:type="dxa"/>
            <w:vAlign w:val="bottom"/>
            <w:tcBorders>
              <w:bottom w:val="single" w:sz="8" w:color="0063A6"/>
            </w:tcBorders>
            <w:shd w:val="clear" w:color="auto" w:fill="0063A6"/>
          </w:tcPr>
          <w:p>
            <w:pPr>
              <w:spacing w:after="0"/>
              <w:rPr>
                <w:sz w:val="22"/>
                <w:szCs w:val="22"/>
                <w:color w:val="auto"/>
              </w:rPr>
            </w:pPr>
          </w:p>
        </w:tc>
        <w:tc>
          <w:tcPr>
            <w:tcW w:w="960" w:type="dxa"/>
            <w:vAlign w:val="bottom"/>
            <w:tcBorders>
              <w:bottom w:val="single" w:sz="8" w:color="0063A6"/>
            </w:tcBorders>
            <w:shd w:val="clear" w:color="auto" w:fill="0063A6"/>
          </w:tcPr>
          <w:p>
            <w:pPr>
              <w:jc w:val="right"/>
              <w:ind w:right="141"/>
              <w:spacing w:after="0"/>
              <w:rPr>
                <w:sz w:val="20"/>
                <w:szCs w:val="20"/>
                <w:color w:val="auto"/>
              </w:rPr>
            </w:pPr>
            <w:r>
              <w:rPr>
                <w:rFonts w:ascii="Arial" w:cs="Arial" w:eastAsia="Arial" w:hAnsi="Arial"/>
                <w:sz w:val="14"/>
                <w:szCs w:val="14"/>
                <w:b w:val="1"/>
                <w:bCs w:val="1"/>
                <w:color w:val="FFFFFF"/>
              </w:rPr>
              <w:t>RSUs*</w:t>
            </w:r>
          </w:p>
        </w:tc>
        <w:tc>
          <w:tcPr>
            <w:tcW w:w="11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Total Value</w:t>
            </w:r>
          </w:p>
        </w:tc>
      </w:tr>
      <w:tr>
        <w:trPr>
          <w:trHeight w:val="249"/>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Thomas L. Deitrich</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w w:val="98"/>
              </w:rPr>
              <w:t>4,000,000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w w:val="98"/>
              </w:rPr>
              <w:t>2,000,000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$6,000,000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Joan S. Hooper</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950,000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950,000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$1,900,000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Donald L. Reeves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550,000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550,000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$1,100,000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Arial" w:cs="Arial" w:eastAsia="Arial" w:hAnsi="Arial"/>
                <w:sz w:val="16"/>
                <w:szCs w:val="16"/>
                <w:b w:val="1"/>
                <w:bCs w:val="1"/>
                <w:color w:val="0063A6"/>
              </w:rPr>
              <w:t>John F. Marcolini</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575,000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575,000</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$1,150,000</w:t>
            </w:r>
          </w:p>
        </w:tc>
      </w:tr>
      <w:tr>
        <w:trPr>
          <w:trHeight w:val="21"/>
        </w:trPr>
        <w:tc>
          <w:tcPr>
            <w:tcW w:w="5260" w:type="dxa"/>
            <w:vAlign w:val="bottom"/>
            <w:tcBorders>
              <w:bottom w:val="single" w:sz="8" w:color="5D6673"/>
            </w:tcBorders>
            <w:gridSpan w:val="2"/>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320" w:type="dxa"/>
            <w:vAlign w:val="bottom"/>
            <w:tcBorders>
              <w:bottom w:val="single" w:sz="8" w:color="5D6673"/>
            </w:tcBorders>
          </w:tcPr>
          <w:p>
            <w:pPr>
              <w:spacing w:after="0" w:line="20" w:lineRule="exact"/>
              <w:rPr>
                <w:sz w:val="1"/>
                <w:szCs w:val="1"/>
                <w:color w:val="auto"/>
              </w:rPr>
            </w:pPr>
          </w:p>
        </w:tc>
        <w:tc>
          <w:tcPr>
            <w:tcW w:w="960" w:type="dxa"/>
            <w:vAlign w:val="bottom"/>
            <w:tcBorders>
              <w:bottom w:val="single" w:sz="8" w:color="5D6673"/>
            </w:tcBorders>
          </w:tcPr>
          <w:p>
            <w:pPr>
              <w:spacing w:after="0" w:line="20" w:lineRule="exact"/>
              <w:rPr>
                <w:sz w:val="1"/>
                <w:szCs w:val="1"/>
                <w:color w:val="auto"/>
              </w:rPr>
            </w:pPr>
          </w:p>
        </w:tc>
        <w:tc>
          <w:tcPr>
            <w:tcW w:w="1120" w:type="dxa"/>
            <w:vAlign w:val="bottom"/>
            <w:tcBorders>
              <w:bottom w:val="single" w:sz="8" w:color="5D6673"/>
            </w:tcBorders>
          </w:tcPr>
          <w:p>
            <w:pPr>
              <w:spacing w:after="0" w:line="20" w:lineRule="exact"/>
              <w:rPr>
                <w:sz w:val="1"/>
                <w:szCs w:val="1"/>
                <w:color w:val="auto"/>
              </w:rPr>
            </w:pPr>
          </w:p>
        </w:tc>
      </w:tr>
      <w:tr>
        <w:trPr>
          <w:trHeight w:val="237"/>
        </w:trPr>
        <w:tc>
          <w:tcPr>
            <w:tcW w:w="526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b w:val="1"/>
                <w:bCs w:val="1"/>
                <w:color w:val="0063A6"/>
              </w:rPr>
              <w:t>Justin K. Patrick</w:t>
            </w:r>
          </w:p>
        </w:tc>
        <w:tc>
          <w:tcPr>
            <w:tcW w:w="5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63A6"/>
            </w:tcBorders>
          </w:tcPr>
          <w:p>
            <w:pPr>
              <w:jc w:val="right"/>
              <w:ind w:right="159"/>
              <w:spacing w:after="0"/>
              <w:rPr>
                <w:sz w:val="20"/>
                <w:szCs w:val="20"/>
                <w:color w:val="auto"/>
              </w:rPr>
            </w:pPr>
            <w:r>
              <w:rPr>
                <w:rFonts w:ascii="Arial" w:cs="Arial" w:eastAsia="Arial" w:hAnsi="Arial"/>
                <w:sz w:val="16"/>
                <w:szCs w:val="16"/>
                <w:color w:val="auto"/>
              </w:rPr>
              <w:t>500,000</w:t>
            </w:r>
          </w:p>
        </w:tc>
        <w:tc>
          <w:tcPr>
            <w:tcW w:w="32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63A6"/>
            </w:tcBorders>
          </w:tcPr>
          <w:p>
            <w:pPr>
              <w:jc w:val="right"/>
              <w:ind w:right="161"/>
              <w:spacing w:after="0"/>
              <w:rPr>
                <w:sz w:val="20"/>
                <w:szCs w:val="20"/>
                <w:color w:val="auto"/>
              </w:rPr>
            </w:pPr>
            <w:r>
              <w:rPr>
                <w:rFonts w:ascii="Arial" w:cs="Arial" w:eastAsia="Arial" w:hAnsi="Arial"/>
                <w:sz w:val="16"/>
                <w:szCs w:val="16"/>
                <w:color w:val="auto"/>
              </w:rPr>
              <w:t>500,000</w:t>
            </w:r>
          </w:p>
        </w:tc>
        <w:tc>
          <w:tcPr>
            <w:tcW w:w="112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$1,000,000</w:t>
            </w:r>
          </w:p>
        </w:tc>
      </w:tr>
    </w:tbl>
    <w:p>
      <w:pPr>
        <w:spacing w:after="0" w:line="139" w:lineRule="exact"/>
        <w:rPr>
          <w:sz w:val="20"/>
          <w:szCs w:val="20"/>
          <w:color w:val="auto"/>
        </w:rPr>
      </w:pPr>
    </w:p>
    <w:p>
      <w:pPr>
        <w:ind w:left="126" w:right="100" w:hanging="126"/>
        <w:spacing w:after="0" w:line="285" w:lineRule="auto"/>
        <w:tabs>
          <w:tab w:leader="none" w:pos="12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Award amounts for PRSUs and RSUs were determined based on the closing price of our common stock on the date of grant on February 23, 2024, which was $74.93.</w:t>
      </w:r>
    </w:p>
    <w:p>
      <w:pPr>
        <w:spacing w:after="0" w:line="112"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i w:val="1"/>
          <w:iCs w:val="1"/>
          <w:color w:val="auto"/>
        </w:rPr>
        <w:t xml:space="preserve">A Closer Look at PRSUs. </w:t>
      </w:r>
      <w:r>
        <w:rPr>
          <w:rFonts w:ascii="Arial" w:cs="Arial" w:eastAsia="Arial" w:hAnsi="Arial"/>
          <w:sz w:val="16"/>
          <w:szCs w:val="16"/>
          <w:color w:val="auto"/>
        </w:rPr>
        <w:t>The actual number of PRSUs that are earned and vested is based on the achievement of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EPS goals and relative TSR results.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 then is adjusted +/-25% based on performance relative to TSR as compared to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191770</wp:posOffset>
            </wp:positionV>
            <wp:extent cx="5803265" cy="11398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03265"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
        <w:spacing w:after="0"/>
        <w:rPr>
          <w:sz w:val="20"/>
          <w:szCs w:val="20"/>
          <w:color w:val="auto"/>
        </w:rPr>
      </w:pPr>
      <w:r>
        <w:rPr>
          <w:rFonts w:ascii="Arial" w:cs="Arial" w:eastAsia="Arial" w:hAnsi="Arial"/>
          <w:sz w:val="16"/>
          <w:szCs w:val="16"/>
          <w:color w:val="auto"/>
        </w:rPr>
        <w:t> </w:t>
      </w:r>
    </w:p>
    <w:p>
      <w:pPr>
        <w:spacing w:after="0" w:line="181" w:lineRule="exact"/>
        <w:rPr>
          <w:sz w:val="20"/>
          <w:szCs w:val="20"/>
          <w:color w:val="auto"/>
        </w:rPr>
      </w:pPr>
    </w:p>
    <w:p>
      <w:pPr>
        <w:ind w:left="6" w:right="480"/>
        <w:spacing w:after="0" w:line="286" w:lineRule="auto"/>
        <w:rPr>
          <w:sz w:val="20"/>
          <w:szCs w:val="20"/>
          <w:color w:val="auto"/>
        </w:rPr>
      </w:pPr>
      <w:r>
        <w:rPr>
          <w:rFonts w:ascii="Arial" w:cs="Arial" w:eastAsia="Arial" w:hAnsi="Arial"/>
          <w:sz w:val="16"/>
          <w:szCs w:val="16"/>
          <w:i w:val="1"/>
          <w:iCs w:val="1"/>
          <w:color w:val="auto"/>
        </w:rPr>
        <w:t xml:space="preserve">2024 Performance Metrics. Non-GAAP Diluted EPS &amp; Relative TSR. </w:t>
      </w:r>
      <w:r>
        <w:rPr>
          <w:rFonts w:ascii="Arial" w:cs="Arial" w:eastAsia="Arial" w:hAnsi="Arial"/>
          <w:sz w:val="16"/>
          <w:szCs w:val="16"/>
          <w:color w:val="auto"/>
        </w:rPr>
        <w:t>PRSUs are driven by the achievement of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EPS and relative TSR performance targets.</w:t>
      </w:r>
    </w:p>
    <w:p>
      <w:pPr>
        <w:spacing w:after="0" w:line="48" w:lineRule="exact"/>
        <w:rPr>
          <w:sz w:val="20"/>
          <w:szCs w:val="20"/>
          <w:color w:val="auto"/>
        </w:rPr>
      </w:pPr>
    </w:p>
    <w:p>
      <w:pPr>
        <w:ind w:left="226" w:right="680" w:hanging="226"/>
        <w:spacing w:after="0" w:line="266" w:lineRule="auto"/>
        <w:tabs>
          <w:tab w:leader="none" w:pos="226"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Non-GAAP Diluted EPS: </w:t>
      </w:r>
      <w:r>
        <w:rPr>
          <w:rFonts w:ascii="Arial" w:cs="Arial" w:eastAsia="Arial" w:hAnsi="Arial"/>
          <w:sz w:val="16"/>
          <w:szCs w:val="16"/>
          <w:color w:val="auto"/>
        </w:rPr>
        <w:t>Non-GAAP diluted EPS targets are set by the Committee at the beginning of each annual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cycle. Payout levels can range from 0% to 200% of target for the performance cycle and depend on performance results.</w:t>
      </w:r>
    </w:p>
    <w:p>
      <w:pPr>
        <w:spacing w:after="0" w:line="63" w:lineRule="exact"/>
        <w:rPr>
          <w:rFonts w:ascii="Arial" w:cs="Arial" w:eastAsia="Arial" w:hAnsi="Arial"/>
          <w:sz w:val="16"/>
          <w:szCs w:val="16"/>
          <w:color w:val="auto"/>
        </w:rPr>
      </w:pPr>
    </w:p>
    <w:p>
      <w:pPr>
        <w:ind w:left="226" w:right="20" w:hanging="226"/>
        <w:spacing w:after="0" w:line="259" w:lineRule="auto"/>
        <w:tabs>
          <w:tab w:leader="none" w:pos="226"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Relative TSR: </w:t>
      </w:r>
      <w:r>
        <w:rPr>
          <w:rFonts w:ascii="Arial" w:cs="Arial" w:eastAsia="Arial" w:hAnsi="Arial"/>
          <w:sz w:val="16"/>
          <w:szCs w:val="16"/>
          <w:color w:val="auto"/>
        </w:rPr>
        <w:t>At the end of the three-year performance period, the non-GAAP diluted EPS attainment results for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performance cycles are averaged. The average non-GAAP diluted EPS attainment is then adjusted +/-25% based on the achievement by the Company of TSR relative to the Russell 3000 index for the same three-year performance cycle as follows:</w:t>
      </w:r>
    </w:p>
    <w:p>
      <w:pPr>
        <w:spacing w:after="0" w:line="124"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4580" w:type="dxa"/>
            <w:vAlign w:val="bottom"/>
            <w:tcBorders>
              <w:bottom w:val="single" w:sz="8" w:color="0063A6"/>
            </w:tcBorders>
          </w:tcPr>
          <w:p>
            <w:pPr>
              <w:ind w:left="100"/>
              <w:spacing w:after="0"/>
              <w:rPr>
                <w:sz w:val="20"/>
                <w:szCs w:val="20"/>
                <w:color w:val="auto"/>
              </w:rPr>
            </w:pPr>
            <w:r>
              <w:rPr>
                <w:rFonts w:ascii="Arial" w:cs="Arial" w:eastAsia="Arial" w:hAnsi="Arial"/>
                <w:sz w:val="14"/>
                <w:szCs w:val="14"/>
                <w:b w:val="1"/>
                <w:bCs w:val="1"/>
                <w:color w:val="auto"/>
              </w:rPr>
              <w:t>If relative TSR attainment is:</w:t>
            </w:r>
          </w:p>
        </w:tc>
        <w:tc>
          <w:tcPr>
            <w:tcW w:w="100" w:type="dxa"/>
            <w:vAlign w:val="bottom"/>
            <w:tcBorders>
              <w:bottom w:val="single" w:sz="8" w:color="0063A6"/>
            </w:tcBorders>
            <w:shd w:val="clear" w:color="auto" w:fill="0063A6"/>
          </w:tcPr>
          <w:p>
            <w:pPr>
              <w:spacing w:after="0"/>
              <w:rPr>
                <w:sz w:val="22"/>
                <w:szCs w:val="22"/>
                <w:color w:val="auto"/>
              </w:rPr>
            </w:pPr>
          </w:p>
        </w:tc>
        <w:tc>
          <w:tcPr>
            <w:tcW w:w="45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Then the average non-GAAP diluted EPS attainment is:</w:t>
            </w:r>
          </w:p>
        </w:tc>
      </w:tr>
      <w:tr>
        <w:trPr>
          <w:trHeight w:val="283"/>
        </w:trPr>
        <w:tc>
          <w:tcPr>
            <w:tcW w:w="4680" w:type="dxa"/>
            <w:vAlign w:val="bottom"/>
            <w:tcBorders>
              <w:bottom w:val="single" w:sz="8" w:color="5D6673"/>
            </w:tcBorders>
            <w:gridSpan w:val="2"/>
          </w:tcPr>
          <w:p>
            <w:pPr>
              <w:ind w:left="100"/>
              <w:spacing w:after="0" w:line="283" w:lineRule="exact"/>
              <w:rPr>
                <w:sz w:val="20"/>
                <w:szCs w:val="20"/>
                <w:color w:val="auto"/>
              </w:rPr>
            </w:pPr>
            <w:r>
              <w:rPr>
                <w:rFonts w:ascii="Arial" w:cs="Arial" w:eastAsia="Arial" w:hAnsi="Arial"/>
                <w:sz w:val="16"/>
                <w:szCs w:val="16"/>
                <w:color w:val="auto"/>
              </w:rPr>
              <w:t>Below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500" w:type="dxa"/>
            <w:vAlign w:val="bottom"/>
            <w:tcBorders>
              <w:bottom w:val="single" w:sz="8" w:color="5D6673"/>
            </w:tcBorders>
          </w:tcPr>
          <w:p>
            <w:pPr>
              <w:spacing w:after="0"/>
              <w:rPr>
                <w:sz w:val="20"/>
                <w:szCs w:val="20"/>
                <w:color w:val="auto"/>
              </w:rPr>
            </w:pPr>
            <w:r>
              <w:rPr>
                <w:rFonts w:ascii="Arial" w:cs="Arial" w:eastAsia="Arial" w:hAnsi="Arial"/>
                <w:sz w:val="16"/>
                <w:szCs w:val="16"/>
                <w:color w:val="auto"/>
              </w:rPr>
              <w:t>Adjusted down by 25%</w:t>
            </w:r>
          </w:p>
        </w:tc>
      </w:tr>
      <w:tr>
        <w:trPr>
          <w:trHeight w:val="277"/>
        </w:trPr>
        <w:tc>
          <w:tcPr>
            <w:tcW w:w="4680" w:type="dxa"/>
            <w:vAlign w:val="bottom"/>
            <w:tcBorders>
              <w:bottom w:val="single" w:sz="8" w:color="5D6673"/>
            </w:tcBorders>
            <w:gridSpan w:val="2"/>
          </w:tcPr>
          <w:p>
            <w:pPr>
              <w:ind w:left="100"/>
              <w:spacing w:after="0" w:line="277" w:lineRule="exact"/>
              <w:rPr>
                <w:sz w:val="20"/>
                <w:szCs w:val="20"/>
                <w:color w:val="auto"/>
              </w:rPr>
            </w:pPr>
            <w:r>
              <w:rPr>
                <w:rFonts w:ascii="Arial" w:cs="Arial" w:eastAsia="Arial" w:hAnsi="Arial"/>
                <w:sz w:val="16"/>
                <w:szCs w:val="16"/>
                <w:color w:val="auto"/>
              </w:rPr>
              <w:t>Between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500" w:type="dxa"/>
            <w:vAlign w:val="bottom"/>
            <w:tcBorders>
              <w:bottom w:val="single" w:sz="8" w:color="5D6673"/>
            </w:tcBorders>
          </w:tcPr>
          <w:p>
            <w:pPr>
              <w:spacing w:after="0"/>
              <w:rPr>
                <w:sz w:val="20"/>
                <w:szCs w:val="20"/>
                <w:color w:val="auto"/>
              </w:rPr>
            </w:pPr>
            <w:r>
              <w:rPr>
                <w:rFonts w:ascii="Arial" w:cs="Arial" w:eastAsia="Arial" w:hAnsi="Arial"/>
                <w:sz w:val="16"/>
                <w:szCs w:val="16"/>
                <w:color w:val="auto"/>
              </w:rPr>
              <w:t>No adjustment</w:t>
            </w:r>
          </w:p>
        </w:tc>
      </w:tr>
      <w:tr>
        <w:trPr>
          <w:trHeight w:val="264"/>
        </w:trPr>
        <w:tc>
          <w:tcPr>
            <w:tcW w:w="4680" w:type="dxa"/>
            <w:vAlign w:val="bottom"/>
            <w:tcBorders>
              <w:bottom w:val="single" w:sz="8" w:color="0063A6"/>
            </w:tcBorders>
            <w:gridSpan w:val="2"/>
          </w:tcPr>
          <w:p>
            <w:pPr>
              <w:ind w:left="100"/>
              <w:spacing w:after="0" w:line="263" w:lineRule="exact"/>
              <w:rPr>
                <w:sz w:val="20"/>
                <w:szCs w:val="20"/>
                <w:color w:val="auto"/>
              </w:rPr>
            </w:pPr>
            <w:r>
              <w:rPr>
                <w:rFonts w:ascii="Arial" w:cs="Arial" w:eastAsia="Arial" w:hAnsi="Arial"/>
                <w:sz w:val="16"/>
                <w:szCs w:val="16"/>
                <w:color w:val="auto"/>
              </w:rPr>
              <w:t>Above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500" w:type="dxa"/>
            <w:vAlign w:val="bottom"/>
            <w:tcBorders>
              <w:bottom w:val="single" w:sz="8" w:color="0063A6"/>
            </w:tcBorders>
          </w:tcPr>
          <w:p>
            <w:pPr>
              <w:spacing w:after="0"/>
              <w:rPr>
                <w:sz w:val="20"/>
                <w:szCs w:val="20"/>
                <w:color w:val="auto"/>
              </w:rPr>
            </w:pPr>
            <w:r>
              <w:rPr>
                <w:rFonts w:ascii="Arial" w:cs="Arial" w:eastAsia="Arial" w:hAnsi="Arial"/>
                <w:sz w:val="16"/>
                <w:szCs w:val="16"/>
                <w:color w:val="auto"/>
              </w:rPr>
              <w:t>Increased by 25%</w:t>
            </w:r>
          </w:p>
        </w:tc>
      </w:tr>
    </w:tbl>
    <w:p>
      <w:pPr>
        <w:spacing w:after="0" w:line="215" w:lineRule="exact"/>
        <w:rPr>
          <w:sz w:val="20"/>
          <w:szCs w:val="20"/>
          <w:color w:val="auto"/>
        </w:rPr>
      </w:pPr>
    </w:p>
    <w:p>
      <w:pPr>
        <w:ind w:left="6" w:right="340"/>
        <w:spacing w:after="0" w:line="286" w:lineRule="auto"/>
        <w:rPr>
          <w:sz w:val="20"/>
          <w:szCs w:val="20"/>
          <w:color w:val="auto"/>
        </w:rPr>
      </w:pPr>
      <w:r>
        <w:rPr>
          <w:rFonts w:ascii="Arial" w:cs="Arial" w:eastAsia="Arial" w:hAnsi="Arial"/>
          <w:sz w:val="16"/>
          <w:szCs w:val="16"/>
          <w:color w:val="auto"/>
        </w:rPr>
        <w:t>For the PRSUs granted in 2024, the TSR targets and point multipliers were established in December 2023, and approved in February 2024, by the Compensation Committee and by the independent members of the full Board for the CEO.</w:t>
      </w:r>
    </w:p>
    <w:p>
      <w:pPr>
        <w:spacing w:after="0" w:line="129" w:lineRule="exact"/>
        <w:rPr>
          <w:sz w:val="20"/>
          <w:szCs w:val="20"/>
          <w:color w:val="auto"/>
        </w:rPr>
      </w:pPr>
    </w:p>
    <w:p>
      <w:pPr>
        <w:ind w:left="6" w:right="300"/>
        <w:spacing w:after="0" w:line="286" w:lineRule="auto"/>
        <w:rPr>
          <w:sz w:val="20"/>
          <w:szCs w:val="20"/>
          <w:color w:val="auto"/>
        </w:rPr>
      </w:pPr>
      <w:r>
        <w:rPr>
          <w:rFonts w:ascii="Arial" w:cs="Arial" w:eastAsia="Arial" w:hAnsi="Arial"/>
          <w:sz w:val="16"/>
          <w:szCs w:val="16"/>
          <w:i w:val="1"/>
          <w:iCs w:val="1"/>
          <w:color w:val="auto"/>
        </w:rPr>
        <w:t xml:space="preserve">PRSUs Earned and Vested In 2024 (1/1/2022–12/31/2024). </w:t>
      </w:r>
      <w:r>
        <w:rPr>
          <w:rFonts w:ascii="Arial" w:cs="Arial" w:eastAsia="Arial" w:hAnsi="Arial"/>
          <w:sz w:val="16"/>
          <w:szCs w:val="16"/>
          <w:color w:val="auto"/>
        </w:rPr>
        <w:t>In 2022, the NEOs at that time were granted their target PRSUs</w:t>
      </w:r>
      <w:r>
        <w:rPr>
          <w:rFonts w:ascii="Arial" w:cs="Arial" w:eastAsia="Arial" w:hAnsi="Arial"/>
          <w:sz w:val="16"/>
          <w:szCs w:val="16"/>
          <w:i w:val="1"/>
          <w:iCs w:val="1"/>
          <w:color w:val="auto"/>
        </w:rPr>
        <w:t xml:space="preserve"> </w:t>
      </w:r>
      <w:r>
        <w:rPr>
          <w:rFonts w:ascii="Arial" w:cs="Arial" w:eastAsia="Arial" w:hAnsi="Arial"/>
          <w:sz w:val="16"/>
          <w:szCs w:val="16"/>
          <w:color w:val="auto"/>
        </w:rPr>
        <w:t>with vesting based on achievement of the non-GAAP diluted EPS goals for 2022, 2023, and 2024, and our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1"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0" w:name="page41"/>
    <w:bookmarkEnd w:id="4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0063A6"/>
        </w:rPr>
        <w:t>Compensation Discussion and Analysis</w:t>
      </w:r>
    </w:p>
    <w:p>
      <w:pPr>
        <w:spacing w:after="0" w:line="90" w:lineRule="exact"/>
        <w:rPr>
          <w:sz w:val="20"/>
          <w:szCs w:val="20"/>
          <w:color w:val="auto"/>
        </w:rPr>
      </w:pPr>
    </w:p>
    <w:p>
      <w:pPr>
        <w:ind w:left="920" w:right="1100"/>
        <w:spacing w:after="0" w:line="259" w:lineRule="auto"/>
        <w:rPr>
          <w:sz w:val="20"/>
          <w:szCs w:val="20"/>
          <w:color w:val="auto"/>
        </w:rPr>
      </w:pPr>
      <w:r>
        <w:rPr>
          <w:rFonts w:ascii="Arial" w:cs="Arial" w:eastAsia="Arial" w:hAnsi="Arial"/>
          <w:sz w:val="16"/>
          <w:szCs w:val="16"/>
          <w:color w:val="auto"/>
        </w:rPr>
        <w:t>performance targets for the three-year performance cycle. The following table shows the award payout levels as a percentage of target for non-GAAP diluted EPS results against goals. These goals are set by the Committee at the beginning of each annual performance cycle. The table also shows our non-GAAP diluted EPS results used for calculating PRSUs earned for 2022, 2023 and 2024.</w:t>
      </w:r>
    </w:p>
    <w:p>
      <w:pPr>
        <w:spacing w:after="0" w:line="124" w:lineRule="exact"/>
        <w:rPr>
          <w:sz w:val="20"/>
          <w:szCs w:val="20"/>
          <w:color w:val="auto"/>
        </w:rPr>
      </w:pPr>
    </w:p>
    <w:tbl>
      <w:tblPr>
        <w:tblLayout w:type="fixed"/>
        <w:tblInd w:w="920" w:type="dxa"/>
        <w:tblCellMar>
          <w:top w:w="0" w:type="dxa"/>
          <w:left w:w="0" w:type="dxa"/>
          <w:bottom w:w="0" w:type="dxa"/>
          <w:right w:w="0" w:type="dxa"/>
        </w:tblCellMar>
      </w:tblPr>
      <w:tr>
        <w:trPr>
          <w:trHeight w:val="254"/>
        </w:trPr>
        <w:tc>
          <w:tcPr>
            <w:tcW w:w="1720" w:type="dxa"/>
            <w:vAlign w:val="bottom"/>
          </w:tcPr>
          <w:p>
            <w:pPr>
              <w:spacing w:after="0"/>
              <w:rPr>
                <w:sz w:val="22"/>
                <w:szCs w:val="22"/>
                <w:color w:val="auto"/>
              </w:rPr>
            </w:pPr>
          </w:p>
        </w:tc>
        <w:tc>
          <w:tcPr>
            <w:tcW w:w="1340" w:type="dxa"/>
            <w:vAlign w:val="bottom"/>
            <w:shd w:val="clear" w:color="auto" w:fill="0063A6"/>
          </w:tcPr>
          <w:p>
            <w:pPr>
              <w:spacing w:after="0"/>
              <w:rPr>
                <w:sz w:val="22"/>
                <w:szCs w:val="22"/>
                <w:color w:val="auto"/>
              </w:rPr>
            </w:pPr>
          </w:p>
        </w:tc>
        <w:tc>
          <w:tcPr>
            <w:tcW w:w="3900" w:type="dxa"/>
            <w:vAlign w:val="bottom"/>
            <w:gridSpan w:val="3"/>
            <w:shd w:val="clear" w:color="auto" w:fill="0063A6"/>
          </w:tcPr>
          <w:p>
            <w:pPr>
              <w:jc w:val="right"/>
              <w:ind w:right="741"/>
              <w:spacing w:after="0"/>
              <w:rPr>
                <w:sz w:val="20"/>
                <w:szCs w:val="20"/>
                <w:color w:val="auto"/>
              </w:rPr>
            </w:pPr>
            <w:r>
              <w:rPr>
                <w:rFonts w:ascii="Arial" w:cs="Arial" w:eastAsia="Arial" w:hAnsi="Arial"/>
                <w:sz w:val="14"/>
                <w:szCs w:val="14"/>
                <w:b w:val="1"/>
                <w:bCs w:val="1"/>
                <w:color w:val="FFFFFF"/>
              </w:rPr>
              <w:t>Award Payout Levels (% of Target)</w:t>
            </w:r>
          </w:p>
        </w:tc>
        <w:tc>
          <w:tcPr>
            <w:tcW w:w="1240" w:type="dxa"/>
            <w:vAlign w:val="bottom"/>
            <w:shd w:val="clear" w:color="auto" w:fill="0063A6"/>
          </w:tcPr>
          <w:p>
            <w:pPr>
              <w:spacing w:after="0"/>
              <w:rPr>
                <w:sz w:val="22"/>
                <w:szCs w:val="22"/>
                <w:color w:val="auto"/>
              </w:rPr>
            </w:pPr>
          </w:p>
        </w:tc>
        <w:tc>
          <w:tcPr>
            <w:tcW w:w="400" w:type="dxa"/>
            <w:vAlign w:val="bottom"/>
            <w:shd w:val="clear" w:color="auto" w:fill="0063A6"/>
          </w:tcPr>
          <w:p>
            <w:pPr>
              <w:spacing w:after="0"/>
              <w:rPr>
                <w:sz w:val="22"/>
                <w:szCs w:val="22"/>
                <w:color w:val="auto"/>
              </w:rPr>
            </w:pPr>
          </w:p>
        </w:tc>
        <w:tc>
          <w:tcPr>
            <w:tcW w:w="58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340" w:type="dxa"/>
            <w:vAlign w:val="bottom"/>
            <w:shd w:val="clear" w:color="auto" w:fill="0063A6"/>
          </w:tcPr>
          <w:p>
            <w:pPr>
              <w:jc w:val="right"/>
              <w:ind w:right="361"/>
              <w:spacing w:after="0"/>
              <w:rPr>
                <w:sz w:val="20"/>
                <w:szCs w:val="20"/>
                <w:color w:val="auto"/>
              </w:rPr>
            </w:pPr>
            <w:r>
              <w:rPr>
                <w:rFonts w:ascii="Arial" w:cs="Arial" w:eastAsia="Arial" w:hAnsi="Arial"/>
                <w:sz w:val="14"/>
                <w:szCs w:val="14"/>
                <w:b w:val="1"/>
                <w:bCs w:val="1"/>
                <w:color w:val="FFFFFF"/>
              </w:rPr>
              <w:t>0%</w:t>
            </w:r>
          </w:p>
        </w:tc>
        <w:tc>
          <w:tcPr>
            <w:tcW w:w="1300" w:type="dxa"/>
            <w:vAlign w:val="bottom"/>
            <w:shd w:val="clear" w:color="auto" w:fill="0063A6"/>
          </w:tcPr>
          <w:p>
            <w:pPr>
              <w:jc w:val="right"/>
              <w:ind w:right="364"/>
              <w:spacing w:after="0"/>
              <w:rPr>
                <w:sz w:val="20"/>
                <w:szCs w:val="20"/>
                <w:color w:val="auto"/>
              </w:rPr>
            </w:pPr>
            <w:r>
              <w:rPr>
                <w:rFonts w:ascii="Arial" w:cs="Arial" w:eastAsia="Arial" w:hAnsi="Arial"/>
                <w:sz w:val="14"/>
                <w:szCs w:val="14"/>
                <w:b w:val="1"/>
                <w:bCs w:val="1"/>
                <w:color w:val="FFFFFF"/>
              </w:rPr>
              <w:t>50%</w:t>
            </w:r>
          </w:p>
        </w:tc>
        <w:tc>
          <w:tcPr>
            <w:tcW w:w="1300" w:type="dxa"/>
            <w:vAlign w:val="bottom"/>
            <w:shd w:val="clear" w:color="auto" w:fill="0063A6"/>
          </w:tcPr>
          <w:p>
            <w:pPr>
              <w:jc w:val="right"/>
              <w:ind w:right="361"/>
              <w:spacing w:after="0"/>
              <w:rPr>
                <w:sz w:val="20"/>
                <w:szCs w:val="20"/>
                <w:color w:val="auto"/>
              </w:rPr>
            </w:pPr>
            <w:r>
              <w:rPr>
                <w:rFonts w:ascii="Arial" w:cs="Arial" w:eastAsia="Arial" w:hAnsi="Arial"/>
                <w:sz w:val="14"/>
                <w:szCs w:val="14"/>
                <w:b w:val="1"/>
                <w:bCs w:val="1"/>
                <w:color w:val="FFFFFF"/>
              </w:rPr>
              <w:t>100%</w:t>
            </w:r>
          </w:p>
        </w:tc>
        <w:tc>
          <w:tcPr>
            <w:tcW w:w="1300" w:type="dxa"/>
            <w:vAlign w:val="bottom"/>
            <w:shd w:val="clear" w:color="auto" w:fill="0063A6"/>
          </w:tcPr>
          <w:p>
            <w:pPr>
              <w:jc w:val="right"/>
              <w:ind w:right="361"/>
              <w:spacing w:after="0"/>
              <w:rPr>
                <w:sz w:val="20"/>
                <w:szCs w:val="20"/>
                <w:color w:val="auto"/>
              </w:rPr>
            </w:pPr>
            <w:r>
              <w:rPr>
                <w:rFonts w:ascii="Arial" w:cs="Arial" w:eastAsia="Arial" w:hAnsi="Arial"/>
                <w:sz w:val="14"/>
                <w:szCs w:val="14"/>
                <w:b w:val="1"/>
                <w:bCs w:val="1"/>
                <w:color w:val="FFFFFF"/>
              </w:rPr>
              <w:t>160%</w:t>
            </w:r>
          </w:p>
        </w:tc>
        <w:tc>
          <w:tcPr>
            <w:tcW w:w="1240" w:type="dxa"/>
            <w:vAlign w:val="bottom"/>
            <w:shd w:val="clear" w:color="auto" w:fill="0063A6"/>
          </w:tcPr>
          <w:p>
            <w:pPr>
              <w:jc w:val="right"/>
              <w:ind w:right="301"/>
              <w:spacing w:after="0"/>
              <w:rPr>
                <w:sz w:val="20"/>
                <w:szCs w:val="20"/>
                <w:color w:val="auto"/>
              </w:rPr>
            </w:pPr>
            <w:r>
              <w:rPr>
                <w:rFonts w:ascii="Arial" w:cs="Arial" w:eastAsia="Arial" w:hAnsi="Arial"/>
                <w:sz w:val="14"/>
                <w:szCs w:val="14"/>
                <w:b w:val="1"/>
                <w:bCs w:val="1"/>
                <w:color w:val="FFFFFF"/>
              </w:rPr>
              <w:t>200%</w:t>
            </w:r>
          </w:p>
        </w:tc>
        <w:tc>
          <w:tcPr>
            <w:tcW w:w="400" w:type="dxa"/>
            <w:vAlign w:val="bottom"/>
            <w:shd w:val="clear" w:color="auto" w:fill="0063A6"/>
          </w:tcPr>
          <w:p>
            <w:pPr>
              <w:spacing w:after="0"/>
              <w:rPr>
                <w:sz w:val="22"/>
                <w:szCs w:val="22"/>
                <w:color w:val="auto"/>
              </w:rPr>
            </w:pPr>
          </w:p>
        </w:tc>
        <w:tc>
          <w:tcPr>
            <w:tcW w:w="580" w:type="dxa"/>
            <w:vAlign w:val="bottom"/>
            <w:vMerge w:val="restart"/>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60"/>
        </w:trPr>
        <w:tc>
          <w:tcPr>
            <w:tcW w:w="1720" w:type="dxa"/>
            <w:vAlign w:val="bottom"/>
          </w:tcPr>
          <w:p>
            <w:pPr>
              <w:spacing w:after="0"/>
              <w:rPr>
                <w:sz w:val="5"/>
                <w:szCs w:val="5"/>
                <w:color w:val="auto"/>
              </w:rPr>
            </w:pPr>
          </w:p>
        </w:tc>
        <w:tc>
          <w:tcPr>
            <w:tcW w:w="1340" w:type="dxa"/>
            <w:vAlign w:val="bottom"/>
            <w:shd w:val="clear" w:color="auto" w:fill="0063A6"/>
          </w:tcPr>
          <w:p>
            <w:pPr>
              <w:spacing w:after="0"/>
              <w:rPr>
                <w:sz w:val="5"/>
                <w:szCs w:val="5"/>
                <w:color w:val="auto"/>
              </w:rPr>
            </w:pPr>
          </w:p>
        </w:tc>
        <w:tc>
          <w:tcPr>
            <w:tcW w:w="1300" w:type="dxa"/>
            <w:vAlign w:val="bottom"/>
            <w:shd w:val="clear" w:color="auto" w:fill="0063A6"/>
          </w:tcPr>
          <w:p>
            <w:pPr>
              <w:spacing w:after="0"/>
              <w:rPr>
                <w:sz w:val="5"/>
                <w:szCs w:val="5"/>
                <w:color w:val="auto"/>
              </w:rPr>
            </w:pPr>
          </w:p>
        </w:tc>
        <w:tc>
          <w:tcPr>
            <w:tcW w:w="1300" w:type="dxa"/>
            <w:vAlign w:val="bottom"/>
            <w:shd w:val="clear" w:color="auto" w:fill="0063A6"/>
          </w:tcPr>
          <w:p>
            <w:pPr>
              <w:spacing w:after="0"/>
              <w:rPr>
                <w:sz w:val="5"/>
                <w:szCs w:val="5"/>
                <w:color w:val="auto"/>
              </w:rPr>
            </w:pPr>
          </w:p>
        </w:tc>
        <w:tc>
          <w:tcPr>
            <w:tcW w:w="1300" w:type="dxa"/>
            <w:vAlign w:val="bottom"/>
            <w:shd w:val="clear" w:color="auto" w:fill="0063A6"/>
          </w:tcPr>
          <w:p>
            <w:pPr>
              <w:spacing w:after="0"/>
              <w:rPr>
                <w:sz w:val="5"/>
                <w:szCs w:val="5"/>
                <w:color w:val="auto"/>
              </w:rPr>
            </w:pPr>
          </w:p>
        </w:tc>
        <w:tc>
          <w:tcPr>
            <w:tcW w:w="1240" w:type="dxa"/>
            <w:vAlign w:val="bottom"/>
            <w:shd w:val="clear" w:color="auto" w:fill="0063A6"/>
          </w:tcPr>
          <w:p>
            <w:pPr>
              <w:spacing w:after="0"/>
              <w:rPr>
                <w:sz w:val="5"/>
                <w:szCs w:val="5"/>
                <w:color w:val="auto"/>
              </w:rPr>
            </w:pPr>
          </w:p>
        </w:tc>
        <w:tc>
          <w:tcPr>
            <w:tcW w:w="400" w:type="dxa"/>
            <w:vAlign w:val="bottom"/>
            <w:shd w:val="clear" w:color="auto" w:fill="0063A6"/>
          </w:tcPr>
          <w:p>
            <w:pPr>
              <w:spacing w:after="0"/>
              <w:rPr>
                <w:sz w:val="5"/>
                <w:szCs w:val="5"/>
                <w:color w:val="auto"/>
              </w:rPr>
            </w:pPr>
          </w:p>
        </w:tc>
        <w:tc>
          <w:tcPr>
            <w:tcW w:w="580" w:type="dxa"/>
            <w:vAlign w:val="bottom"/>
            <w:vMerge w:val="continue"/>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7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Performance Year</w:t>
            </w:r>
          </w:p>
        </w:tc>
        <w:tc>
          <w:tcPr>
            <w:tcW w:w="1340" w:type="dxa"/>
            <w:vAlign w:val="bottom"/>
            <w:tcBorders>
              <w:bottom w:val="single" w:sz="8" w:color="0063A6"/>
            </w:tcBorders>
            <w:shd w:val="clear" w:color="auto" w:fill="0063A6"/>
          </w:tcPr>
          <w:p>
            <w:pPr>
              <w:spacing w:after="0"/>
              <w:rPr>
                <w:sz w:val="17"/>
                <w:szCs w:val="17"/>
                <w:color w:val="auto"/>
              </w:rPr>
            </w:pPr>
          </w:p>
        </w:tc>
        <w:tc>
          <w:tcPr>
            <w:tcW w:w="3900" w:type="dxa"/>
            <w:vAlign w:val="bottom"/>
            <w:tcBorders>
              <w:bottom w:val="single" w:sz="8" w:color="0063A6"/>
            </w:tcBorders>
            <w:gridSpan w:val="3"/>
            <w:shd w:val="clear" w:color="auto" w:fill="0063A6"/>
          </w:tcPr>
          <w:p>
            <w:pPr>
              <w:jc w:val="right"/>
              <w:ind w:right="441"/>
              <w:spacing w:after="0"/>
              <w:rPr>
                <w:sz w:val="20"/>
                <w:szCs w:val="20"/>
                <w:color w:val="auto"/>
              </w:rPr>
            </w:pPr>
            <w:r>
              <w:rPr>
                <w:rFonts w:ascii="Arial" w:cs="Arial" w:eastAsia="Arial" w:hAnsi="Arial"/>
                <w:sz w:val="14"/>
                <w:szCs w:val="14"/>
                <w:b w:val="1"/>
                <w:bCs w:val="1"/>
                <w:color w:val="FFFFFF"/>
              </w:rPr>
              <w:t>Non-GAAP Diluted EPS Performance Goals</w:t>
            </w:r>
          </w:p>
        </w:tc>
        <w:tc>
          <w:tcPr>
            <w:tcW w:w="1240" w:type="dxa"/>
            <w:vAlign w:val="bottom"/>
            <w:tcBorders>
              <w:bottom w:val="single" w:sz="8" w:color="0063A6"/>
            </w:tcBorders>
            <w:shd w:val="clear" w:color="auto" w:fill="0063A6"/>
          </w:tcPr>
          <w:p>
            <w:pPr>
              <w:spacing w:after="0"/>
              <w:rPr>
                <w:sz w:val="17"/>
                <w:szCs w:val="17"/>
                <w:color w:val="auto"/>
              </w:rPr>
            </w:pPr>
          </w:p>
        </w:tc>
        <w:tc>
          <w:tcPr>
            <w:tcW w:w="400" w:type="dxa"/>
            <w:vAlign w:val="bottom"/>
            <w:tcBorders>
              <w:bottom w:val="single" w:sz="8" w:color="0063A6"/>
            </w:tcBorders>
            <w:shd w:val="clear" w:color="auto" w:fill="0063A6"/>
          </w:tcPr>
          <w:p>
            <w:pPr>
              <w:spacing w:after="0"/>
              <w:rPr>
                <w:sz w:val="17"/>
                <w:szCs w:val="17"/>
                <w:color w:val="auto"/>
              </w:rPr>
            </w:pPr>
          </w:p>
        </w:tc>
        <w:tc>
          <w:tcPr>
            <w:tcW w:w="5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w w:val="98"/>
              </w:rPr>
              <w:t>Results</w:t>
            </w:r>
          </w:p>
        </w:tc>
        <w:tc>
          <w:tcPr>
            <w:tcW w:w="0" w:type="dxa"/>
            <w:vAlign w:val="bottom"/>
          </w:tcPr>
          <w:p>
            <w:pPr>
              <w:spacing w:after="0"/>
              <w:rPr>
                <w:sz w:val="1"/>
                <w:szCs w:val="1"/>
                <w:color w:val="auto"/>
              </w:rPr>
            </w:pPr>
          </w:p>
        </w:tc>
      </w:tr>
      <w:tr>
        <w:trPr>
          <w:trHeight w:val="249"/>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1340" w:type="dxa"/>
            <w:vAlign w:val="bottom"/>
          </w:tcPr>
          <w:p>
            <w:pPr>
              <w:jc w:val="right"/>
              <w:ind w:right="361"/>
              <w:spacing w:after="0"/>
              <w:rPr>
                <w:sz w:val="20"/>
                <w:szCs w:val="20"/>
                <w:color w:val="auto"/>
              </w:rPr>
            </w:pPr>
            <w:r>
              <w:rPr>
                <w:rFonts w:ascii="Arial" w:cs="Arial" w:eastAsia="Arial" w:hAnsi="Arial"/>
                <w:sz w:val="16"/>
                <w:szCs w:val="16"/>
                <w:color w:val="auto"/>
              </w:rPr>
              <w:t>$1.04</w:t>
            </w:r>
          </w:p>
        </w:tc>
        <w:tc>
          <w:tcPr>
            <w:tcW w:w="1300" w:type="dxa"/>
            <w:vAlign w:val="bottom"/>
          </w:tcPr>
          <w:p>
            <w:pPr>
              <w:jc w:val="right"/>
              <w:ind w:right="364"/>
              <w:spacing w:after="0"/>
              <w:rPr>
                <w:sz w:val="20"/>
                <w:szCs w:val="20"/>
                <w:color w:val="auto"/>
              </w:rPr>
            </w:pPr>
            <w:r>
              <w:rPr>
                <w:rFonts w:ascii="Arial" w:cs="Arial" w:eastAsia="Arial" w:hAnsi="Arial"/>
                <w:sz w:val="16"/>
                <w:szCs w:val="16"/>
                <w:color w:val="auto"/>
              </w:rPr>
              <w:t>$1.32</w:t>
            </w:r>
          </w:p>
        </w:tc>
        <w:tc>
          <w:tcPr>
            <w:tcW w:w="1300" w:type="dxa"/>
            <w:vAlign w:val="bottom"/>
          </w:tcPr>
          <w:p>
            <w:pPr>
              <w:jc w:val="right"/>
              <w:ind w:right="361"/>
              <w:spacing w:after="0"/>
              <w:rPr>
                <w:sz w:val="20"/>
                <w:szCs w:val="20"/>
                <w:color w:val="auto"/>
              </w:rPr>
            </w:pPr>
            <w:r>
              <w:rPr>
                <w:rFonts w:ascii="Arial" w:cs="Arial" w:eastAsia="Arial" w:hAnsi="Arial"/>
                <w:sz w:val="16"/>
                <w:szCs w:val="16"/>
                <w:color w:val="auto"/>
              </w:rPr>
              <w:t>$1.60</w:t>
            </w:r>
          </w:p>
        </w:tc>
        <w:tc>
          <w:tcPr>
            <w:tcW w:w="1300" w:type="dxa"/>
            <w:vAlign w:val="bottom"/>
          </w:tcPr>
          <w:p>
            <w:pPr>
              <w:jc w:val="right"/>
              <w:ind w:right="381"/>
              <w:spacing w:after="0"/>
              <w:rPr>
                <w:sz w:val="20"/>
                <w:szCs w:val="20"/>
                <w:color w:val="auto"/>
              </w:rPr>
            </w:pPr>
            <w:r>
              <w:rPr>
                <w:rFonts w:ascii="Arial" w:cs="Arial" w:eastAsia="Arial" w:hAnsi="Arial"/>
                <w:sz w:val="16"/>
                <w:szCs w:val="16"/>
                <w:color w:val="auto"/>
              </w:rPr>
              <w:t>$2.00</w:t>
            </w:r>
          </w:p>
        </w:tc>
        <w:tc>
          <w:tcPr>
            <w:tcW w:w="12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
        </w:trPr>
        <w:tc>
          <w:tcPr>
            <w:tcW w:w="17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980" w:type="dxa"/>
            <w:vAlign w:val="bottom"/>
            <w:tcBorders>
              <w:bottom w:val="single" w:sz="8" w:color="5D667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2023</w:t>
            </w:r>
          </w:p>
        </w:tc>
        <w:tc>
          <w:tcPr>
            <w:tcW w:w="1340" w:type="dxa"/>
            <w:vAlign w:val="bottom"/>
          </w:tcPr>
          <w:p>
            <w:pPr>
              <w:jc w:val="right"/>
              <w:ind w:right="361"/>
              <w:spacing w:after="0"/>
              <w:rPr>
                <w:sz w:val="20"/>
                <w:szCs w:val="20"/>
                <w:color w:val="auto"/>
              </w:rPr>
            </w:pPr>
            <w:r>
              <w:rPr>
                <w:rFonts w:ascii="Arial" w:cs="Arial" w:eastAsia="Arial" w:hAnsi="Arial"/>
                <w:sz w:val="16"/>
                <w:szCs w:val="16"/>
                <w:color w:val="auto"/>
              </w:rPr>
              <w:t>$0.50</w:t>
            </w:r>
          </w:p>
        </w:tc>
        <w:tc>
          <w:tcPr>
            <w:tcW w:w="1300" w:type="dxa"/>
            <w:vAlign w:val="bottom"/>
          </w:tcPr>
          <w:p>
            <w:pPr>
              <w:jc w:val="right"/>
              <w:ind w:right="364"/>
              <w:spacing w:after="0"/>
              <w:rPr>
                <w:sz w:val="20"/>
                <w:szCs w:val="20"/>
                <w:color w:val="auto"/>
              </w:rPr>
            </w:pPr>
            <w:r>
              <w:rPr>
                <w:rFonts w:ascii="Arial" w:cs="Arial" w:eastAsia="Arial" w:hAnsi="Arial"/>
                <w:sz w:val="16"/>
                <w:szCs w:val="16"/>
                <w:color w:val="auto"/>
              </w:rPr>
              <w:t>$0.70</w:t>
            </w:r>
          </w:p>
        </w:tc>
        <w:tc>
          <w:tcPr>
            <w:tcW w:w="1300" w:type="dxa"/>
            <w:vAlign w:val="bottom"/>
          </w:tcPr>
          <w:p>
            <w:pPr>
              <w:jc w:val="right"/>
              <w:ind w:right="361"/>
              <w:spacing w:after="0"/>
              <w:rPr>
                <w:sz w:val="20"/>
                <w:szCs w:val="20"/>
                <w:color w:val="auto"/>
              </w:rPr>
            </w:pPr>
            <w:r>
              <w:rPr>
                <w:rFonts w:ascii="Arial" w:cs="Arial" w:eastAsia="Arial" w:hAnsi="Arial"/>
                <w:sz w:val="16"/>
                <w:szCs w:val="16"/>
                <w:color w:val="auto"/>
              </w:rPr>
              <w:t>$1.08</w:t>
            </w:r>
          </w:p>
        </w:tc>
        <w:tc>
          <w:tcPr>
            <w:tcW w:w="130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21"/>
              <w:spacing w:after="0"/>
              <w:rPr>
                <w:sz w:val="20"/>
                <w:szCs w:val="20"/>
                <w:color w:val="auto"/>
              </w:rPr>
            </w:pPr>
            <w:r>
              <w:rPr>
                <w:rFonts w:ascii="Arial" w:cs="Arial" w:eastAsia="Arial" w:hAnsi="Arial"/>
                <w:sz w:val="16"/>
                <w:szCs w:val="16"/>
                <w:color w:val="auto"/>
              </w:rPr>
              <w:t>$1.35</w:t>
            </w:r>
          </w:p>
        </w:tc>
        <w:tc>
          <w:tcPr>
            <w:tcW w:w="980" w:type="dxa"/>
            <w:vAlign w:val="bottom"/>
            <w:gridSpan w:val="2"/>
          </w:tcPr>
          <w:p>
            <w:pPr>
              <w:jc w:val="right"/>
              <w:ind w:right="8"/>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
        </w:trPr>
        <w:tc>
          <w:tcPr>
            <w:tcW w:w="17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30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980" w:type="dxa"/>
            <w:vAlign w:val="bottom"/>
            <w:tcBorders>
              <w:bottom w:val="single" w:sz="8" w:color="5D667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auto"/>
              </w:rPr>
              <w:t>2024</w:t>
            </w:r>
          </w:p>
        </w:tc>
        <w:tc>
          <w:tcPr>
            <w:tcW w:w="1340" w:type="dxa"/>
            <w:vAlign w:val="bottom"/>
            <w:tcBorders>
              <w:bottom w:val="single" w:sz="8" w:color="0063A6"/>
            </w:tcBorders>
          </w:tcPr>
          <w:p>
            <w:pPr>
              <w:jc w:val="right"/>
              <w:ind w:right="361"/>
              <w:spacing w:after="0"/>
              <w:rPr>
                <w:sz w:val="20"/>
                <w:szCs w:val="20"/>
                <w:color w:val="auto"/>
              </w:rPr>
            </w:pPr>
            <w:r>
              <w:rPr>
                <w:rFonts w:ascii="Arial" w:cs="Arial" w:eastAsia="Arial" w:hAnsi="Arial"/>
                <w:sz w:val="16"/>
                <w:szCs w:val="16"/>
                <w:color w:val="auto"/>
              </w:rPr>
              <w:t>$0.50</w:t>
            </w:r>
          </w:p>
        </w:tc>
        <w:tc>
          <w:tcPr>
            <w:tcW w:w="1300" w:type="dxa"/>
            <w:vAlign w:val="bottom"/>
            <w:tcBorders>
              <w:bottom w:val="single" w:sz="8" w:color="0063A6"/>
            </w:tcBorders>
          </w:tcPr>
          <w:p>
            <w:pPr>
              <w:jc w:val="right"/>
              <w:ind w:right="364"/>
              <w:spacing w:after="0"/>
              <w:rPr>
                <w:sz w:val="20"/>
                <w:szCs w:val="20"/>
                <w:color w:val="auto"/>
              </w:rPr>
            </w:pPr>
            <w:r>
              <w:rPr>
                <w:rFonts w:ascii="Arial" w:cs="Arial" w:eastAsia="Arial" w:hAnsi="Arial"/>
                <w:sz w:val="16"/>
                <w:szCs w:val="16"/>
                <w:color w:val="auto"/>
              </w:rPr>
              <w:t>$2.75</w:t>
            </w:r>
          </w:p>
        </w:tc>
        <w:tc>
          <w:tcPr>
            <w:tcW w:w="1300" w:type="dxa"/>
            <w:vAlign w:val="bottom"/>
            <w:tcBorders>
              <w:bottom w:val="single" w:sz="8" w:color="0063A6"/>
            </w:tcBorders>
          </w:tcPr>
          <w:p>
            <w:pPr>
              <w:jc w:val="right"/>
              <w:ind w:right="361"/>
              <w:spacing w:after="0"/>
              <w:rPr>
                <w:sz w:val="20"/>
                <w:szCs w:val="20"/>
                <w:color w:val="auto"/>
              </w:rPr>
            </w:pPr>
            <w:r>
              <w:rPr>
                <w:rFonts w:ascii="Arial" w:cs="Arial" w:eastAsia="Arial" w:hAnsi="Arial"/>
                <w:sz w:val="16"/>
                <w:szCs w:val="16"/>
                <w:color w:val="auto"/>
              </w:rPr>
              <w:t>$3.42</w:t>
            </w:r>
          </w:p>
        </w:tc>
        <w:tc>
          <w:tcPr>
            <w:tcW w:w="1300" w:type="dxa"/>
            <w:vAlign w:val="bottom"/>
            <w:tcBorders>
              <w:bottom w:val="single" w:sz="8" w:color="0063A6"/>
            </w:tcBorders>
          </w:tcPr>
          <w:p>
            <w:pPr>
              <w:jc w:val="right"/>
              <w:ind w:right="38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063A6"/>
            </w:tcBorders>
          </w:tcPr>
          <w:p>
            <w:pPr>
              <w:jc w:val="right"/>
              <w:ind w:right="321"/>
              <w:spacing w:after="0"/>
              <w:rPr>
                <w:sz w:val="20"/>
                <w:szCs w:val="20"/>
                <w:color w:val="auto"/>
              </w:rPr>
            </w:pPr>
            <w:r>
              <w:rPr>
                <w:rFonts w:ascii="Arial" w:cs="Arial" w:eastAsia="Arial" w:hAnsi="Arial"/>
                <w:sz w:val="16"/>
                <w:szCs w:val="16"/>
                <w:color w:val="auto"/>
              </w:rPr>
              <w:t>$3.75</w:t>
            </w:r>
          </w:p>
        </w:tc>
        <w:tc>
          <w:tcPr>
            <w:tcW w:w="980" w:type="dxa"/>
            <w:vAlign w:val="bottom"/>
            <w:tcBorders>
              <w:bottom w:val="single" w:sz="8" w:color="0063A6"/>
            </w:tcBorders>
            <w:gridSpan w:val="2"/>
          </w:tcPr>
          <w:p>
            <w:pPr>
              <w:jc w:val="right"/>
              <w:ind w:right="8"/>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920" w:right="1160"/>
        <w:spacing w:after="0" w:line="256" w:lineRule="auto"/>
        <w:rPr>
          <w:sz w:val="20"/>
          <w:szCs w:val="20"/>
          <w:color w:val="auto"/>
        </w:rPr>
      </w:pPr>
      <w:r>
        <w:rPr>
          <w:rFonts w:ascii="Arial" w:cs="Arial" w:eastAsia="Arial" w:hAnsi="Arial"/>
          <w:sz w:val="14"/>
          <w:szCs w:val="14"/>
          <w:color w:val="auto"/>
        </w:rPr>
        <w:t>Note: The non-GAAP diluted EPS results shown are based on financial results as reported for 2022 (as reported in our Annual Report on Form 10-K for the year ended December 31, 2022), 2023 (as reported in our Annual Report on Form 10-K for the year ended December 31, 2023), and 2024 (as reported in our Annual Report on Form 10-K for the year ended December 31, 2024). Payouts for performance between the indicated goals are linearly interpolated.</w:t>
      </w:r>
    </w:p>
    <w:p>
      <w:pPr>
        <w:spacing w:after="0" w:line="132" w:lineRule="exact"/>
        <w:rPr>
          <w:sz w:val="20"/>
          <w:szCs w:val="20"/>
          <w:color w:val="auto"/>
        </w:rPr>
      </w:pPr>
    </w:p>
    <w:p>
      <w:pPr>
        <w:ind w:left="920" w:right="1540"/>
        <w:spacing w:after="0" w:line="286" w:lineRule="auto"/>
        <w:rPr>
          <w:sz w:val="20"/>
          <w:szCs w:val="20"/>
          <w:color w:val="auto"/>
        </w:rPr>
      </w:pPr>
      <w:r>
        <w:rPr>
          <w:rFonts w:ascii="Arial" w:cs="Arial" w:eastAsia="Arial" w:hAnsi="Arial"/>
          <w:sz w:val="16"/>
          <w:szCs w:val="16"/>
          <w:color w:val="auto"/>
        </w:rPr>
        <w:t>The actual award earned was calculated at the end of the three-year performance period by averaging the results of the three annual performance cycles, as follows:</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728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Performance Year</w:t>
            </w:r>
          </w:p>
        </w:tc>
        <w:tc>
          <w:tcPr>
            <w:tcW w:w="80" w:type="dxa"/>
            <w:vAlign w:val="bottom"/>
            <w:tcBorders>
              <w:bottom w:val="single" w:sz="8" w:color="0063A6"/>
            </w:tcBorders>
            <w:shd w:val="clear" w:color="auto" w:fill="0063A6"/>
          </w:tcPr>
          <w:p>
            <w:pPr>
              <w:spacing w:after="0"/>
              <w:rPr>
                <w:sz w:val="22"/>
                <w:szCs w:val="22"/>
                <w:color w:val="auto"/>
              </w:rPr>
            </w:pPr>
          </w:p>
        </w:tc>
        <w:tc>
          <w:tcPr>
            <w:tcW w:w="1820" w:type="dxa"/>
            <w:vAlign w:val="bottom"/>
            <w:tcBorders>
              <w:bottom w:val="single" w:sz="8" w:color="0063A6"/>
            </w:tcBorders>
            <w:shd w:val="clear" w:color="auto" w:fill="0063A6"/>
          </w:tcPr>
          <w:p>
            <w:pPr>
              <w:jc w:val="right"/>
              <w:ind w:right="1"/>
              <w:spacing w:after="0"/>
              <w:rPr>
                <w:sz w:val="20"/>
                <w:szCs w:val="20"/>
                <w:color w:val="auto"/>
              </w:rPr>
            </w:pPr>
            <w:r>
              <w:rPr>
                <w:rFonts w:ascii="Arial" w:cs="Arial" w:eastAsia="Arial" w:hAnsi="Arial"/>
                <w:sz w:val="14"/>
                <w:szCs w:val="14"/>
                <w:b w:val="1"/>
                <w:bCs w:val="1"/>
                <w:color w:val="FFFFFF"/>
              </w:rPr>
              <w:t>Percentage of Attainment</w:t>
            </w:r>
          </w:p>
        </w:tc>
      </w:tr>
      <w:tr>
        <w:trPr>
          <w:trHeight w:val="241"/>
        </w:trPr>
        <w:tc>
          <w:tcPr>
            <w:tcW w:w="7280" w:type="dxa"/>
            <w:vAlign w:val="bottom"/>
          </w:tcPr>
          <w:p>
            <w:pPr>
              <w:ind w:left="80"/>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16.07%</w:t>
            </w:r>
          </w:p>
        </w:tc>
      </w:tr>
      <w:tr>
        <w:trPr>
          <w:trHeight w:val="29"/>
        </w:trPr>
        <w:tc>
          <w:tcPr>
            <w:tcW w:w="728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820" w:type="dxa"/>
            <w:vAlign w:val="bottom"/>
            <w:tcBorders>
              <w:bottom w:val="single" w:sz="8" w:color="5D6673"/>
            </w:tcBorders>
          </w:tcPr>
          <w:p>
            <w:pPr>
              <w:spacing w:after="0"/>
              <w:rPr>
                <w:sz w:val="2"/>
                <w:szCs w:val="2"/>
                <w:color w:val="auto"/>
              </w:rPr>
            </w:pPr>
          </w:p>
        </w:tc>
      </w:tr>
      <w:tr>
        <w:trPr>
          <w:trHeight w:val="234"/>
        </w:trPr>
        <w:tc>
          <w:tcPr>
            <w:tcW w:w="7280" w:type="dxa"/>
            <w:vAlign w:val="bottom"/>
          </w:tcPr>
          <w:p>
            <w:pPr>
              <w:ind w:left="80"/>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200.00%</w:t>
            </w:r>
          </w:p>
        </w:tc>
      </w:tr>
      <w:tr>
        <w:trPr>
          <w:trHeight w:val="29"/>
        </w:trPr>
        <w:tc>
          <w:tcPr>
            <w:tcW w:w="728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820" w:type="dxa"/>
            <w:vAlign w:val="bottom"/>
            <w:tcBorders>
              <w:bottom w:val="single" w:sz="8" w:color="5D6673"/>
            </w:tcBorders>
          </w:tcPr>
          <w:p>
            <w:pPr>
              <w:spacing w:after="0"/>
              <w:rPr>
                <w:sz w:val="2"/>
                <w:szCs w:val="2"/>
                <w:color w:val="auto"/>
              </w:rPr>
            </w:pPr>
          </w:p>
        </w:tc>
      </w:tr>
      <w:tr>
        <w:trPr>
          <w:trHeight w:val="234"/>
        </w:trPr>
        <w:tc>
          <w:tcPr>
            <w:tcW w:w="7280" w:type="dxa"/>
            <w:vAlign w:val="bottom"/>
          </w:tcPr>
          <w:p>
            <w:pPr>
              <w:ind w:left="80"/>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200.00%</w:t>
            </w:r>
          </w:p>
        </w:tc>
      </w:tr>
      <w:tr>
        <w:trPr>
          <w:trHeight w:val="29"/>
        </w:trPr>
        <w:tc>
          <w:tcPr>
            <w:tcW w:w="7360" w:type="dxa"/>
            <w:vAlign w:val="bottom"/>
            <w:tcBorders>
              <w:bottom w:val="single" w:sz="8" w:color="5D6673"/>
            </w:tcBorders>
            <w:gridSpan w:val="2"/>
          </w:tcPr>
          <w:p>
            <w:pPr>
              <w:spacing w:after="0"/>
              <w:rPr>
                <w:sz w:val="2"/>
                <w:szCs w:val="2"/>
                <w:color w:val="auto"/>
              </w:rPr>
            </w:pPr>
          </w:p>
        </w:tc>
        <w:tc>
          <w:tcPr>
            <w:tcW w:w="1820" w:type="dxa"/>
            <w:vAlign w:val="bottom"/>
            <w:tcBorders>
              <w:bottom w:val="single" w:sz="8" w:color="5D6673"/>
            </w:tcBorders>
          </w:tcPr>
          <w:p>
            <w:pPr>
              <w:spacing w:after="0"/>
              <w:rPr>
                <w:sz w:val="2"/>
                <w:szCs w:val="2"/>
                <w:color w:val="auto"/>
              </w:rPr>
            </w:pPr>
          </w:p>
        </w:tc>
      </w:tr>
      <w:tr>
        <w:trPr>
          <w:trHeight w:val="236"/>
        </w:trPr>
        <w:tc>
          <w:tcPr>
            <w:tcW w:w="736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color w:val="auto"/>
              </w:rPr>
              <w:t>2022-2024 Average</w:t>
            </w:r>
          </w:p>
        </w:tc>
        <w:tc>
          <w:tcPr>
            <w:tcW w:w="182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138.69%</w:t>
            </w:r>
          </w:p>
        </w:tc>
      </w:tr>
    </w:tbl>
    <w:p>
      <w:pPr>
        <w:spacing w:after="0" w:line="215" w:lineRule="exact"/>
        <w:rPr>
          <w:sz w:val="20"/>
          <w:szCs w:val="20"/>
          <w:color w:val="auto"/>
        </w:rPr>
      </w:pPr>
    </w:p>
    <w:p>
      <w:pPr>
        <w:ind w:left="920" w:right="1040"/>
        <w:spacing w:after="0" w:line="214" w:lineRule="auto"/>
        <w:rPr>
          <w:sz w:val="20"/>
          <w:szCs w:val="20"/>
          <w:color w:val="auto"/>
        </w:rPr>
      </w:pPr>
      <w:r>
        <w:rPr>
          <w:rFonts w:ascii="Arial" w:cs="Arial" w:eastAsia="Arial" w:hAnsi="Arial"/>
          <w:sz w:val="16"/>
          <w:szCs w:val="16"/>
          <w:color w:val="auto"/>
        </w:rPr>
        <w:t>Under the terms of the 2022-2024 PRSU award, the TSR multiplier is linearly interpolated between .75x and 1.0x for results up to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and between 1.0x and 1.25x for results above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Based on our actual TSR results</w:t>
      </w:r>
    </w:p>
    <w:p>
      <w:pPr>
        <w:spacing w:after="0" w:line="1" w:lineRule="exact"/>
        <w:rPr>
          <w:sz w:val="20"/>
          <w:szCs w:val="20"/>
          <w:color w:val="auto"/>
        </w:rPr>
      </w:pPr>
    </w:p>
    <w:p>
      <w:pPr>
        <w:ind w:left="920" w:right="1240"/>
        <w:spacing w:after="0" w:line="214" w:lineRule="auto"/>
        <w:rPr>
          <w:sz w:val="20"/>
          <w:szCs w:val="20"/>
          <w:color w:val="auto"/>
        </w:rPr>
      </w:pPr>
      <w:r>
        <w:rPr>
          <w:rFonts w:ascii="Arial" w:cs="Arial" w:eastAsia="Arial" w:hAnsi="Arial"/>
          <w:sz w:val="16"/>
          <w:szCs w:val="16"/>
          <w:color w:val="auto"/>
        </w:rPr>
        <w:t>approximating the 87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Russell 3000 index, performance attainment for 2022-2024 PRSUs was adjusted by 1.12x. As a result, the NEOs earned 155.33% of their target PRSUs for the 2022-2024 performance cycle,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0" w:type="dxa"/>
            <w:vAlign w:val="bottom"/>
          </w:tcPr>
          <w:p>
            <w:pPr>
              <w:spacing w:after="0"/>
              <w:rPr>
                <w:sz w:val="22"/>
                <w:szCs w:val="22"/>
                <w:color w:val="auto"/>
              </w:rPr>
            </w:pPr>
          </w:p>
        </w:tc>
        <w:tc>
          <w:tcPr>
            <w:tcW w:w="228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NEO</w:t>
            </w:r>
          </w:p>
        </w:tc>
        <w:tc>
          <w:tcPr>
            <w:tcW w:w="3420" w:type="dxa"/>
            <w:vAlign w:val="bottom"/>
            <w:tcBorders>
              <w:bottom w:val="single" w:sz="8" w:color="0063A6"/>
            </w:tcBorders>
          </w:tcPr>
          <w:p>
            <w:pPr>
              <w:spacing w:after="0"/>
              <w:rPr>
                <w:sz w:val="22"/>
                <w:szCs w:val="22"/>
                <w:color w:val="auto"/>
              </w:rPr>
            </w:pPr>
          </w:p>
        </w:tc>
        <w:tc>
          <w:tcPr>
            <w:tcW w:w="1800" w:type="dxa"/>
            <w:vAlign w:val="bottom"/>
            <w:tcBorders>
              <w:bottom w:val="single" w:sz="8" w:color="0063A6"/>
            </w:tcBorders>
            <w:shd w:val="clear" w:color="auto" w:fill="0063A6"/>
          </w:tcPr>
          <w:p>
            <w:pPr>
              <w:jc w:val="right"/>
              <w:ind w:right="40"/>
              <w:spacing w:after="0"/>
              <w:rPr>
                <w:sz w:val="20"/>
                <w:szCs w:val="20"/>
                <w:color w:val="auto"/>
              </w:rPr>
            </w:pPr>
            <w:r>
              <w:rPr>
                <w:rFonts w:ascii="Arial" w:cs="Arial" w:eastAsia="Arial" w:hAnsi="Arial"/>
                <w:sz w:val="14"/>
                <w:szCs w:val="14"/>
                <w:b w:val="1"/>
                <w:bCs w:val="1"/>
                <w:color w:val="FFFFFF"/>
              </w:rPr>
              <w:t>Target PRSUs Granted</w:t>
            </w:r>
          </w:p>
        </w:tc>
        <w:tc>
          <w:tcPr>
            <w:tcW w:w="16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Actual PRSUs Earned</w:t>
            </w:r>
          </w:p>
        </w:tc>
        <w:tc>
          <w:tcPr>
            <w:tcW w:w="920" w:type="dxa"/>
            <w:vAlign w:val="bottom"/>
          </w:tcPr>
          <w:p>
            <w:pPr>
              <w:spacing w:after="0"/>
              <w:rPr>
                <w:sz w:val="22"/>
                <w:szCs w:val="22"/>
                <w:color w:val="auto"/>
              </w:rPr>
            </w:pPr>
          </w:p>
        </w:tc>
      </w:tr>
      <w:tr>
        <w:trPr>
          <w:trHeight w:val="249"/>
        </w:trPr>
        <w:tc>
          <w:tcPr>
            <w:tcW w:w="920" w:type="dxa"/>
            <w:vAlign w:val="bottom"/>
          </w:tcPr>
          <w:p>
            <w:pPr>
              <w:spacing w:after="0"/>
              <w:rPr>
                <w:sz w:val="21"/>
                <w:szCs w:val="21"/>
                <w:color w:val="auto"/>
              </w:rPr>
            </w:pPr>
          </w:p>
        </w:tc>
        <w:tc>
          <w:tcPr>
            <w:tcW w:w="2280" w:type="dxa"/>
            <w:vAlign w:val="bottom"/>
          </w:tcPr>
          <w:p>
            <w:pPr>
              <w:ind w:left="60"/>
              <w:spacing w:after="0"/>
              <w:rPr>
                <w:sz w:val="20"/>
                <w:szCs w:val="20"/>
                <w:color w:val="auto"/>
              </w:rPr>
            </w:pPr>
            <w:r>
              <w:rPr>
                <w:rFonts w:ascii="Arial" w:cs="Arial" w:eastAsia="Arial" w:hAnsi="Arial"/>
                <w:sz w:val="16"/>
                <w:szCs w:val="16"/>
                <w:b w:val="1"/>
                <w:bCs w:val="1"/>
                <w:color w:val="0063A6"/>
              </w:rPr>
              <w:t>Thomas L. Deitrich</w:t>
            </w:r>
          </w:p>
        </w:tc>
        <w:tc>
          <w:tcPr>
            <w:tcW w:w="3420" w:type="dxa"/>
            <w:vAlign w:val="bottom"/>
          </w:tcPr>
          <w:p>
            <w:pPr>
              <w:spacing w:after="0"/>
              <w:rPr>
                <w:sz w:val="21"/>
                <w:szCs w:val="21"/>
                <w:color w:val="auto"/>
              </w:rPr>
            </w:pPr>
          </w:p>
        </w:tc>
        <w:tc>
          <w:tcPr>
            <w:tcW w:w="1800" w:type="dxa"/>
            <w:vAlign w:val="bottom"/>
          </w:tcPr>
          <w:p>
            <w:pPr>
              <w:jc w:val="right"/>
              <w:ind w:right="60"/>
              <w:spacing w:after="0"/>
              <w:rPr>
                <w:sz w:val="20"/>
                <w:szCs w:val="20"/>
                <w:color w:val="auto"/>
              </w:rPr>
            </w:pPr>
            <w:r>
              <w:rPr>
                <w:rFonts w:ascii="Arial" w:cs="Arial" w:eastAsia="Arial" w:hAnsi="Arial"/>
                <w:sz w:val="16"/>
                <w:szCs w:val="16"/>
                <w:color w:val="auto"/>
              </w:rPr>
              <w:t>46,339</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71,979</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280" w:type="dxa"/>
            <w:vAlign w:val="bottom"/>
            <w:tcBorders>
              <w:bottom w:val="single" w:sz="8" w:color="5D6673"/>
            </w:tcBorders>
          </w:tcPr>
          <w:p>
            <w:pPr>
              <w:spacing w:after="0" w:line="20" w:lineRule="exact"/>
              <w:rPr>
                <w:sz w:val="1"/>
                <w:szCs w:val="1"/>
                <w:color w:val="auto"/>
              </w:rPr>
            </w:pPr>
          </w:p>
        </w:tc>
        <w:tc>
          <w:tcPr>
            <w:tcW w:w="3420" w:type="dxa"/>
            <w:vAlign w:val="bottom"/>
            <w:tcBorders>
              <w:bottom w:val="single" w:sz="8" w:color="5D6673"/>
            </w:tcBorders>
          </w:tcPr>
          <w:p>
            <w:pPr>
              <w:spacing w:after="0" w:line="20" w:lineRule="exact"/>
              <w:rPr>
                <w:sz w:val="1"/>
                <w:szCs w:val="1"/>
                <w:color w:val="auto"/>
              </w:rPr>
            </w:pPr>
          </w:p>
        </w:tc>
        <w:tc>
          <w:tcPr>
            <w:tcW w:w="1800" w:type="dxa"/>
            <w:vAlign w:val="bottom"/>
            <w:tcBorders>
              <w:bottom w:val="single" w:sz="8" w:color="5D6673"/>
            </w:tcBorders>
          </w:tcPr>
          <w:p>
            <w:pPr>
              <w:spacing w:after="0" w:line="20" w:lineRule="exact"/>
              <w:rPr>
                <w:sz w:val="1"/>
                <w:szCs w:val="1"/>
                <w:color w:val="auto"/>
              </w:rPr>
            </w:pPr>
          </w:p>
        </w:tc>
        <w:tc>
          <w:tcPr>
            <w:tcW w:w="168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280" w:type="dxa"/>
            <w:vAlign w:val="bottom"/>
          </w:tcPr>
          <w:p>
            <w:pPr>
              <w:ind w:left="60"/>
              <w:spacing w:after="0"/>
              <w:rPr>
                <w:sz w:val="20"/>
                <w:szCs w:val="20"/>
                <w:color w:val="auto"/>
              </w:rPr>
            </w:pPr>
            <w:r>
              <w:rPr>
                <w:rFonts w:ascii="Arial" w:cs="Arial" w:eastAsia="Arial" w:hAnsi="Arial"/>
                <w:sz w:val="16"/>
                <w:szCs w:val="16"/>
                <w:b w:val="1"/>
                <w:bCs w:val="1"/>
                <w:color w:val="0063A6"/>
              </w:rPr>
              <w:t>Joan S. Hooper</w:t>
            </w:r>
          </w:p>
        </w:tc>
        <w:tc>
          <w:tcPr>
            <w:tcW w:w="3420" w:type="dxa"/>
            <w:vAlign w:val="bottom"/>
          </w:tcPr>
          <w:p>
            <w:pPr>
              <w:spacing w:after="0"/>
              <w:rPr>
                <w:sz w:val="21"/>
                <w:szCs w:val="21"/>
                <w:color w:val="auto"/>
              </w:rPr>
            </w:pPr>
          </w:p>
        </w:tc>
        <w:tc>
          <w:tcPr>
            <w:tcW w:w="1800" w:type="dxa"/>
            <w:vAlign w:val="bottom"/>
          </w:tcPr>
          <w:p>
            <w:pPr>
              <w:jc w:val="right"/>
              <w:ind w:right="60"/>
              <w:spacing w:after="0"/>
              <w:rPr>
                <w:sz w:val="20"/>
                <w:szCs w:val="20"/>
                <w:color w:val="auto"/>
              </w:rPr>
            </w:pPr>
            <w:r>
              <w:rPr>
                <w:rFonts w:ascii="Arial" w:cs="Arial" w:eastAsia="Arial" w:hAnsi="Arial"/>
                <w:sz w:val="16"/>
                <w:szCs w:val="16"/>
                <w:color w:val="auto"/>
              </w:rPr>
              <w:t>13,901</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21,592</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280" w:type="dxa"/>
            <w:vAlign w:val="bottom"/>
            <w:tcBorders>
              <w:bottom w:val="single" w:sz="8" w:color="5D6673"/>
            </w:tcBorders>
          </w:tcPr>
          <w:p>
            <w:pPr>
              <w:spacing w:after="0" w:line="20" w:lineRule="exact"/>
              <w:rPr>
                <w:sz w:val="1"/>
                <w:szCs w:val="1"/>
                <w:color w:val="auto"/>
              </w:rPr>
            </w:pPr>
          </w:p>
        </w:tc>
        <w:tc>
          <w:tcPr>
            <w:tcW w:w="3420" w:type="dxa"/>
            <w:vAlign w:val="bottom"/>
            <w:tcBorders>
              <w:bottom w:val="single" w:sz="8" w:color="5D6673"/>
            </w:tcBorders>
          </w:tcPr>
          <w:p>
            <w:pPr>
              <w:spacing w:after="0" w:line="20" w:lineRule="exact"/>
              <w:rPr>
                <w:sz w:val="1"/>
                <w:szCs w:val="1"/>
                <w:color w:val="auto"/>
              </w:rPr>
            </w:pPr>
          </w:p>
        </w:tc>
        <w:tc>
          <w:tcPr>
            <w:tcW w:w="1800" w:type="dxa"/>
            <w:vAlign w:val="bottom"/>
            <w:tcBorders>
              <w:bottom w:val="single" w:sz="8" w:color="5D6673"/>
            </w:tcBorders>
          </w:tcPr>
          <w:p>
            <w:pPr>
              <w:spacing w:after="0" w:line="20" w:lineRule="exact"/>
              <w:rPr>
                <w:sz w:val="1"/>
                <w:szCs w:val="1"/>
                <w:color w:val="auto"/>
              </w:rPr>
            </w:pPr>
          </w:p>
        </w:tc>
        <w:tc>
          <w:tcPr>
            <w:tcW w:w="168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280" w:type="dxa"/>
            <w:vAlign w:val="bottom"/>
          </w:tcPr>
          <w:p>
            <w:pPr>
              <w:ind w:left="60"/>
              <w:spacing w:after="0"/>
              <w:rPr>
                <w:sz w:val="20"/>
                <w:szCs w:val="20"/>
                <w:color w:val="auto"/>
              </w:rPr>
            </w:pPr>
            <w:r>
              <w:rPr>
                <w:rFonts w:ascii="Arial" w:cs="Arial" w:eastAsia="Arial" w:hAnsi="Arial"/>
                <w:sz w:val="16"/>
                <w:szCs w:val="16"/>
                <w:b w:val="1"/>
                <w:bCs w:val="1"/>
                <w:color w:val="0063A6"/>
              </w:rPr>
              <w:t>Donald L. Reeves</w:t>
            </w:r>
          </w:p>
        </w:tc>
        <w:tc>
          <w:tcPr>
            <w:tcW w:w="3420" w:type="dxa"/>
            <w:vAlign w:val="bottom"/>
          </w:tcPr>
          <w:p>
            <w:pPr>
              <w:spacing w:after="0"/>
              <w:rPr>
                <w:sz w:val="21"/>
                <w:szCs w:val="21"/>
                <w:color w:val="auto"/>
              </w:rPr>
            </w:pPr>
          </w:p>
        </w:tc>
        <w:tc>
          <w:tcPr>
            <w:tcW w:w="1800" w:type="dxa"/>
            <w:vAlign w:val="bottom"/>
          </w:tcPr>
          <w:p>
            <w:pPr>
              <w:jc w:val="right"/>
              <w:ind w:right="60"/>
              <w:spacing w:after="0"/>
              <w:rPr>
                <w:sz w:val="20"/>
                <w:szCs w:val="20"/>
                <w:color w:val="auto"/>
              </w:rPr>
            </w:pPr>
            <w:r>
              <w:rPr>
                <w:rFonts w:ascii="Arial" w:cs="Arial" w:eastAsia="Arial" w:hAnsi="Arial"/>
                <w:sz w:val="16"/>
                <w:szCs w:val="16"/>
                <w:color w:val="auto"/>
              </w:rPr>
              <w:t>4,170</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6,477</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280" w:type="dxa"/>
            <w:vAlign w:val="bottom"/>
            <w:tcBorders>
              <w:bottom w:val="single" w:sz="8" w:color="5D6673"/>
            </w:tcBorders>
          </w:tcPr>
          <w:p>
            <w:pPr>
              <w:spacing w:after="0" w:line="20" w:lineRule="exact"/>
              <w:rPr>
                <w:sz w:val="1"/>
                <w:szCs w:val="1"/>
                <w:color w:val="auto"/>
              </w:rPr>
            </w:pPr>
          </w:p>
        </w:tc>
        <w:tc>
          <w:tcPr>
            <w:tcW w:w="3420" w:type="dxa"/>
            <w:vAlign w:val="bottom"/>
            <w:tcBorders>
              <w:bottom w:val="single" w:sz="8" w:color="5D6673"/>
            </w:tcBorders>
          </w:tcPr>
          <w:p>
            <w:pPr>
              <w:spacing w:after="0" w:line="20" w:lineRule="exact"/>
              <w:rPr>
                <w:sz w:val="1"/>
                <w:szCs w:val="1"/>
                <w:color w:val="auto"/>
              </w:rPr>
            </w:pPr>
          </w:p>
        </w:tc>
        <w:tc>
          <w:tcPr>
            <w:tcW w:w="1800" w:type="dxa"/>
            <w:vAlign w:val="bottom"/>
            <w:tcBorders>
              <w:bottom w:val="single" w:sz="8" w:color="5D6673"/>
            </w:tcBorders>
          </w:tcPr>
          <w:p>
            <w:pPr>
              <w:spacing w:after="0" w:line="20" w:lineRule="exact"/>
              <w:rPr>
                <w:sz w:val="1"/>
                <w:szCs w:val="1"/>
                <w:color w:val="auto"/>
              </w:rPr>
            </w:pPr>
          </w:p>
        </w:tc>
        <w:tc>
          <w:tcPr>
            <w:tcW w:w="168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920" w:type="dxa"/>
            <w:vAlign w:val="bottom"/>
          </w:tcPr>
          <w:p>
            <w:pPr>
              <w:spacing w:after="0"/>
              <w:rPr>
                <w:sz w:val="21"/>
                <w:szCs w:val="21"/>
                <w:color w:val="auto"/>
              </w:rPr>
            </w:pPr>
          </w:p>
        </w:tc>
        <w:tc>
          <w:tcPr>
            <w:tcW w:w="2280" w:type="dxa"/>
            <w:vAlign w:val="bottom"/>
          </w:tcPr>
          <w:p>
            <w:pPr>
              <w:ind w:left="60"/>
              <w:spacing w:after="0"/>
              <w:rPr>
                <w:sz w:val="20"/>
                <w:szCs w:val="20"/>
                <w:color w:val="auto"/>
              </w:rPr>
            </w:pPr>
            <w:r>
              <w:rPr>
                <w:rFonts w:ascii="Arial" w:cs="Arial" w:eastAsia="Arial" w:hAnsi="Arial"/>
                <w:sz w:val="16"/>
                <w:szCs w:val="16"/>
                <w:b w:val="1"/>
                <w:bCs w:val="1"/>
                <w:color w:val="0063A6"/>
              </w:rPr>
              <w:t>John F. Marcolini</w:t>
            </w:r>
          </w:p>
        </w:tc>
        <w:tc>
          <w:tcPr>
            <w:tcW w:w="3420" w:type="dxa"/>
            <w:vAlign w:val="bottom"/>
          </w:tcPr>
          <w:p>
            <w:pPr>
              <w:spacing w:after="0"/>
              <w:rPr>
                <w:sz w:val="21"/>
                <w:szCs w:val="21"/>
                <w:color w:val="auto"/>
              </w:rPr>
            </w:pPr>
          </w:p>
        </w:tc>
        <w:tc>
          <w:tcPr>
            <w:tcW w:w="1800" w:type="dxa"/>
            <w:vAlign w:val="bottom"/>
          </w:tcPr>
          <w:p>
            <w:pPr>
              <w:jc w:val="right"/>
              <w:ind w:right="60"/>
              <w:spacing w:after="0"/>
              <w:rPr>
                <w:sz w:val="20"/>
                <w:szCs w:val="20"/>
                <w:color w:val="auto"/>
              </w:rPr>
            </w:pPr>
            <w:r>
              <w:rPr>
                <w:rFonts w:ascii="Arial" w:cs="Arial" w:eastAsia="Arial" w:hAnsi="Arial"/>
                <w:sz w:val="16"/>
                <w:szCs w:val="16"/>
                <w:color w:val="auto"/>
              </w:rPr>
              <w:t>4,170</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6,477</w:t>
            </w:r>
          </w:p>
        </w:tc>
        <w:tc>
          <w:tcPr>
            <w:tcW w:w="920" w:type="dxa"/>
            <w:vAlign w:val="bottom"/>
          </w:tcPr>
          <w:p>
            <w:pPr>
              <w:spacing w:after="0"/>
              <w:rPr>
                <w:sz w:val="21"/>
                <w:szCs w:val="21"/>
                <w:color w:val="auto"/>
              </w:rPr>
            </w:pPr>
          </w:p>
        </w:tc>
      </w:tr>
      <w:tr>
        <w:trPr>
          <w:trHeight w:val="21"/>
        </w:trPr>
        <w:tc>
          <w:tcPr>
            <w:tcW w:w="920" w:type="dxa"/>
            <w:vAlign w:val="bottom"/>
          </w:tcPr>
          <w:p>
            <w:pPr>
              <w:spacing w:after="0" w:line="20" w:lineRule="exact"/>
              <w:rPr>
                <w:sz w:val="1"/>
                <w:szCs w:val="1"/>
                <w:color w:val="auto"/>
              </w:rPr>
            </w:pPr>
          </w:p>
        </w:tc>
        <w:tc>
          <w:tcPr>
            <w:tcW w:w="2280" w:type="dxa"/>
            <w:vAlign w:val="bottom"/>
            <w:tcBorders>
              <w:bottom w:val="single" w:sz="8" w:color="5D6673"/>
            </w:tcBorders>
          </w:tcPr>
          <w:p>
            <w:pPr>
              <w:spacing w:after="0" w:line="20" w:lineRule="exact"/>
              <w:rPr>
                <w:sz w:val="1"/>
                <w:szCs w:val="1"/>
                <w:color w:val="auto"/>
              </w:rPr>
            </w:pPr>
          </w:p>
        </w:tc>
        <w:tc>
          <w:tcPr>
            <w:tcW w:w="3420" w:type="dxa"/>
            <w:vAlign w:val="bottom"/>
            <w:tcBorders>
              <w:bottom w:val="single" w:sz="8" w:color="5D6673"/>
            </w:tcBorders>
          </w:tcPr>
          <w:p>
            <w:pPr>
              <w:spacing w:after="0" w:line="20" w:lineRule="exact"/>
              <w:rPr>
                <w:sz w:val="1"/>
                <w:szCs w:val="1"/>
                <w:color w:val="auto"/>
              </w:rPr>
            </w:pPr>
          </w:p>
        </w:tc>
        <w:tc>
          <w:tcPr>
            <w:tcW w:w="1800" w:type="dxa"/>
            <w:vAlign w:val="bottom"/>
            <w:tcBorders>
              <w:bottom w:val="single" w:sz="8" w:color="5D6673"/>
            </w:tcBorders>
          </w:tcPr>
          <w:p>
            <w:pPr>
              <w:spacing w:after="0" w:line="20" w:lineRule="exact"/>
              <w:rPr>
                <w:sz w:val="1"/>
                <w:szCs w:val="1"/>
                <w:color w:val="auto"/>
              </w:rPr>
            </w:pPr>
          </w:p>
        </w:tc>
        <w:tc>
          <w:tcPr>
            <w:tcW w:w="1680" w:type="dxa"/>
            <w:vAlign w:val="bottom"/>
            <w:tcBorders>
              <w:bottom w:val="single" w:sz="8" w:color="5D6673"/>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228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0063A6"/>
              </w:rPr>
              <w:t>Justin K. Patrick</w:t>
            </w:r>
          </w:p>
        </w:tc>
        <w:tc>
          <w:tcPr>
            <w:tcW w:w="3420" w:type="dxa"/>
            <w:vAlign w:val="bottom"/>
            <w:tcBorders>
              <w:bottom w:val="single" w:sz="8" w:color="0063A6"/>
            </w:tcBorders>
          </w:tcPr>
          <w:p>
            <w:pPr>
              <w:spacing w:after="0"/>
              <w:rPr>
                <w:sz w:val="20"/>
                <w:szCs w:val="20"/>
                <w:color w:val="auto"/>
              </w:rPr>
            </w:pPr>
          </w:p>
        </w:tc>
        <w:tc>
          <w:tcPr>
            <w:tcW w:w="1800" w:type="dxa"/>
            <w:vAlign w:val="bottom"/>
            <w:tcBorders>
              <w:bottom w:val="single" w:sz="8" w:color="0063A6"/>
            </w:tcBorders>
          </w:tcPr>
          <w:p>
            <w:pPr>
              <w:jc w:val="right"/>
              <w:ind w:right="60"/>
              <w:spacing w:after="0"/>
              <w:rPr>
                <w:sz w:val="20"/>
                <w:szCs w:val="20"/>
                <w:color w:val="auto"/>
              </w:rPr>
            </w:pPr>
            <w:r>
              <w:rPr>
                <w:rFonts w:ascii="Arial" w:cs="Arial" w:eastAsia="Arial" w:hAnsi="Arial"/>
                <w:sz w:val="16"/>
                <w:szCs w:val="16"/>
                <w:color w:val="auto"/>
              </w:rPr>
              <w:t>4,170</w:t>
            </w:r>
          </w:p>
        </w:tc>
        <w:tc>
          <w:tcPr>
            <w:tcW w:w="1680" w:type="dxa"/>
            <w:vAlign w:val="bottom"/>
            <w:tcBorders>
              <w:bottom w:val="single" w:sz="8" w:color="0063A6"/>
            </w:tcBorders>
          </w:tcPr>
          <w:p>
            <w:pPr>
              <w:jc w:val="right"/>
              <w:ind w:right="1"/>
              <w:spacing w:after="0"/>
              <w:rPr>
                <w:sz w:val="20"/>
                <w:szCs w:val="20"/>
                <w:color w:val="auto"/>
              </w:rPr>
            </w:pPr>
            <w:r>
              <w:rPr>
                <w:rFonts w:ascii="Arial" w:cs="Arial" w:eastAsia="Arial" w:hAnsi="Arial"/>
                <w:sz w:val="16"/>
                <w:szCs w:val="16"/>
                <w:color w:val="auto"/>
              </w:rPr>
              <w:t>6,477</w:t>
            </w:r>
          </w:p>
        </w:tc>
        <w:tc>
          <w:tcPr>
            <w:tcW w:w="920" w:type="dxa"/>
            <w:vAlign w:val="bottom"/>
          </w:tcPr>
          <w:p>
            <w:pPr>
              <w:spacing w:after="0"/>
              <w:rPr>
                <w:sz w:val="20"/>
                <w:szCs w:val="20"/>
                <w:color w:val="auto"/>
              </w:rPr>
            </w:pPr>
          </w:p>
        </w:tc>
      </w:tr>
      <w:tr>
        <w:trPr>
          <w:trHeight w:val="210"/>
        </w:trPr>
        <w:tc>
          <w:tcPr>
            <w:tcW w:w="920" w:type="dxa"/>
            <w:vAlign w:val="bottom"/>
          </w:tcPr>
          <w:p>
            <w:pPr>
              <w:spacing w:after="0"/>
              <w:rPr>
                <w:sz w:val="18"/>
                <w:szCs w:val="18"/>
                <w:color w:val="auto"/>
              </w:rPr>
            </w:pPr>
          </w:p>
        </w:tc>
        <w:tc>
          <w:tcPr>
            <w:tcW w:w="2280" w:type="dxa"/>
            <w:vAlign w:val="bottom"/>
            <w:tcBorders>
              <w:bottom w:val="single" w:sz="8" w:color="D02A2E"/>
            </w:tcBorders>
          </w:tcPr>
          <w:p>
            <w:pPr>
              <w:spacing w:after="0"/>
              <w:rPr>
                <w:sz w:val="18"/>
                <w:szCs w:val="18"/>
                <w:color w:val="auto"/>
              </w:rPr>
            </w:pPr>
          </w:p>
        </w:tc>
        <w:tc>
          <w:tcPr>
            <w:tcW w:w="3420" w:type="dxa"/>
            <w:vAlign w:val="bottom"/>
            <w:tcBorders>
              <w:bottom w:val="single" w:sz="8" w:color="D02A2E"/>
            </w:tcBorders>
          </w:tcPr>
          <w:p>
            <w:pPr>
              <w:spacing w:after="0"/>
              <w:rPr>
                <w:sz w:val="18"/>
                <w:szCs w:val="18"/>
                <w:color w:val="auto"/>
              </w:rPr>
            </w:pPr>
          </w:p>
        </w:tc>
        <w:tc>
          <w:tcPr>
            <w:tcW w:w="3480" w:type="dxa"/>
            <w:vAlign w:val="bottom"/>
            <w:tcBorders>
              <w:bottom w:val="single" w:sz="8" w:color="D02A2E"/>
            </w:tcBorders>
            <w:gridSpan w:val="2"/>
          </w:tcPr>
          <w:p>
            <w:pPr>
              <w:spacing w:after="0"/>
              <w:rPr>
                <w:sz w:val="18"/>
                <w:szCs w:val="18"/>
                <w:color w:val="auto"/>
              </w:rPr>
            </w:pPr>
          </w:p>
        </w:tc>
        <w:tc>
          <w:tcPr>
            <w:tcW w:w="920" w:type="dxa"/>
            <w:vAlign w:val="bottom"/>
          </w:tcPr>
          <w:p>
            <w:pPr>
              <w:spacing w:after="0"/>
              <w:rPr>
                <w:sz w:val="18"/>
                <w:szCs w:val="18"/>
                <w:color w:val="auto"/>
              </w:rPr>
            </w:pPr>
          </w:p>
        </w:tc>
      </w:tr>
      <w:tr>
        <w:trPr>
          <w:trHeight w:val="315"/>
        </w:trPr>
        <w:tc>
          <w:tcPr>
            <w:tcW w:w="9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16"/>
                <w:szCs w:val="16"/>
                <w:color w:val="5D6673"/>
              </w:rPr>
              <w:t>36</w:t>
            </w:r>
          </w:p>
        </w:tc>
        <w:tc>
          <w:tcPr>
            <w:tcW w:w="3420" w:type="dxa"/>
            <w:vAlign w:val="bottom"/>
          </w:tcPr>
          <w:p>
            <w:pPr>
              <w:ind w:left="780"/>
              <w:spacing w:after="0"/>
              <w:rPr>
                <w:sz w:val="20"/>
                <w:szCs w:val="20"/>
                <w:color w:val="auto"/>
              </w:rPr>
            </w:pPr>
            <w:r>
              <w:rPr>
                <w:rFonts w:ascii="Arial" w:cs="Arial" w:eastAsia="Arial" w:hAnsi="Arial"/>
                <w:sz w:val="16"/>
                <w:szCs w:val="16"/>
                <w:color w:val="5D6673"/>
              </w:rPr>
              <w:t>                     ITRON, INC.</w:t>
            </w:r>
          </w:p>
        </w:tc>
        <w:tc>
          <w:tcPr>
            <w:tcW w:w="3480" w:type="dxa"/>
            <w:vAlign w:val="bottom"/>
            <w:gridSpan w:val="2"/>
          </w:tcPr>
          <w:p>
            <w:pPr>
              <w:jc w:val="right"/>
              <w:spacing w:after="0"/>
              <w:rPr>
                <w:sz w:val="20"/>
                <w:szCs w:val="20"/>
                <w:color w:val="auto"/>
              </w:rPr>
            </w:pPr>
            <w:r>
              <w:rPr>
                <w:rFonts w:ascii="Arial" w:cs="Arial" w:eastAsia="Arial" w:hAnsi="Arial"/>
                <w:sz w:val="16"/>
                <w:szCs w:val="16"/>
                <w:color w:val="5D6673"/>
              </w:rPr>
              <w:t>2025 PROXY STATEMENT</w:t>
            </w:r>
          </w:p>
        </w:tc>
        <w:tc>
          <w:tcPr>
            <w:tcW w:w="92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063A6"/>
        </w:rPr>
        <w:t>Other Practices, Policies and Guidelines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Stock Ownership Guidelines</w:t>
      </w:r>
    </w:p>
    <w:p>
      <w:pPr>
        <w:spacing w:after="0" w:line="8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believe that holding an equity interest in the Company creates an incentive to avoid excessive business risks. We maintain stock ownership guidelines to encourage certain of our executive officers to own stock at least equal in value to:</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22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Title</w:t>
            </w:r>
          </w:p>
        </w:tc>
        <w:tc>
          <w:tcPr>
            <w:tcW w:w="19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Multiple of Base Salary</w:t>
            </w:r>
          </w:p>
        </w:tc>
      </w:tr>
      <w:tr>
        <w:trPr>
          <w:trHeight w:val="241"/>
        </w:trPr>
        <w:tc>
          <w:tcPr>
            <w:tcW w:w="7220" w:type="dxa"/>
            <w:vAlign w:val="bottom"/>
          </w:tcPr>
          <w:p>
            <w:pPr>
              <w:ind w:left="80"/>
              <w:spacing w:after="0"/>
              <w:rPr>
                <w:sz w:val="20"/>
                <w:szCs w:val="20"/>
                <w:color w:val="auto"/>
              </w:rPr>
            </w:pPr>
            <w:r>
              <w:rPr>
                <w:rFonts w:ascii="Arial" w:cs="Arial" w:eastAsia="Arial" w:hAnsi="Arial"/>
                <w:sz w:val="16"/>
                <w:szCs w:val="16"/>
                <w:color w:val="auto"/>
              </w:rPr>
              <w:t>CEO</w:t>
            </w:r>
          </w:p>
        </w:tc>
        <w:tc>
          <w:tcPr>
            <w:tcW w:w="1960" w:type="dxa"/>
            <w:vAlign w:val="bottom"/>
          </w:tcPr>
          <w:p>
            <w:pPr>
              <w:jc w:val="right"/>
              <w:spacing w:after="0"/>
              <w:rPr>
                <w:sz w:val="20"/>
                <w:szCs w:val="20"/>
                <w:color w:val="auto"/>
              </w:rPr>
            </w:pPr>
            <w:r>
              <w:rPr>
                <w:rFonts w:ascii="Arial" w:cs="Arial" w:eastAsia="Arial" w:hAnsi="Arial"/>
                <w:sz w:val="16"/>
                <w:szCs w:val="16"/>
                <w:color w:val="auto"/>
              </w:rPr>
              <w:t>6.0x</w:t>
            </w:r>
          </w:p>
        </w:tc>
      </w:tr>
      <w:tr>
        <w:trPr>
          <w:trHeight w:val="29"/>
        </w:trPr>
        <w:tc>
          <w:tcPr>
            <w:tcW w:w="7220" w:type="dxa"/>
            <w:vAlign w:val="bottom"/>
            <w:tcBorders>
              <w:bottom w:val="single" w:sz="8" w:color="5D6673"/>
            </w:tcBorders>
          </w:tcPr>
          <w:p>
            <w:pPr>
              <w:spacing w:after="0"/>
              <w:rPr>
                <w:sz w:val="2"/>
                <w:szCs w:val="2"/>
                <w:color w:val="auto"/>
              </w:rPr>
            </w:pPr>
          </w:p>
        </w:tc>
        <w:tc>
          <w:tcPr>
            <w:tcW w:w="1960" w:type="dxa"/>
            <w:vAlign w:val="bottom"/>
            <w:tcBorders>
              <w:bottom w:val="single" w:sz="8" w:color="5D6673"/>
            </w:tcBorders>
          </w:tcPr>
          <w:p>
            <w:pPr>
              <w:spacing w:after="0"/>
              <w:rPr>
                <w:sz w:val="2"/>
                <w:szCs w:val="2"/>
                <w:color w:val="auto"/>
              </w:rPr>
            </w:pPr>
          </w:p>
        </w:tc>
      </w:tr>
      <w:tr>
        <w:trPr>
          <w:trHeight w:val="234"/>
        </w:trPr>
        <w:tc>
          <w:tcPr>
            <w:tcW w:w="7220" w:type="dxa"/>
            <w:vAlign w:val="bottom"/>
          </w:tcPr>
          <w:p>
            <w:pPr>
              <w:ind w:left="80"/>
              <w:spacing w:after="0"/>
              <w:rPr>
                <w:sz w:val="20"/>
                <w:szCs w:val="20"/>
                <w:color w:val="auto"/>
              </w:rPr>
            </w:pPr>
            <w:r>
              <w:rPr>
                <w:rFonts w:ascii="Arial" w:cs="Arial" w:eastAsia="Arial" w:hAnsi="Arial"/>
                <w:sz w:val="16"/>
                <w:szCs w:val="16"/>
                <w:color w:val="auto"/>
              </w:rPr>
              <w:t>CFO</w:t>
            </w:r>
          </w:p>
        </w:tc>
        <w:tc>
          <w:tcPr>
            <w:tcW w:w="1960" w:type="dxa"/>
            <w:vAlign w:val="bottom"/>
          </w:tcPr>
          <w:p>
            <w:pPr>
              <w:jc w:val="right"/>
              <w:spacing w:after="0"/>
              <w:rPr>
                <w:sz w:val="20"/>
                <w:szCs w:val="20"/>
                <w:color w:val="auto"/>
              </w:rPr>
            </w:pPr>
            <w:r>
              <w:rPr>
                <w:rFonts w:ascii="Arial" w:cs="Arial" w:eastAsia="Arial" w:hAnsi="Arial"/>
                <w:sz w:val="16"/>
                <w:szCs w:val="16"/>
                <w:color w:val="auto"/>
              </w:rPr>
              <w:t>3.0x</w:t>
            </w:r>
          </w:p>
        </w:tc>
      </w:tr>
      <w:tr>
        <w:trPr>
          <w:trHeight w:val="29"/>
        </w:trPr>
        <w:tc>
          <w:tcPr>
            <w:tcW w:w="7220" w:type="dxa"/>
            <w:vAlign w:val="bottom"/>
            <w:tcBorders>
              <w:bottom w:val="single" w:sz="8" w:color="5D6673"/>
            </w:tcBorders>
          </w:tcPr>
          <w:p>
            <w:pPr>
              <w:spacing w:after="0"/>
              <w:rPr>
                <w:sz w:val="2"/>
                <w:szCs w:val="2"/>
                <w:color w:val="auto"/>
              </w:rPr>
            </w:pPr>
          </w:p>
        </w:tc>
        <w:tc>
          <w:tcPr>
            <w:tcW w:w="1960" w:type="dxa"/>
            <w:vAlign w:val="bottom"/>
            <w:tcBorders>
              <w:bottom w:val="single" w:sz="8" w:color="5D6673"/>
            </w:tcBorders>
          </w:tcPr>
          <w:p>
            <w:pPr>
              <w:spacing w:after="0"/>
              <w:rPr>
                <w:sz w:val="2"/>
                <w:szCs w:val="2"/>
                <w:color w:val="auto"/>
              </w:rPr>
            </w:pPr>
          </w:p>
        </w:tc>
      </w:tr>
      <w:tr>
        <w:trPr>
          <w:trHeight w:val="236"/>
        </w:trPr>
        <w:tc>
          <w:tcPr>
            <w:tcW w:w="7220" w:type="dxa"/>
            <w:vAlign w:val="bottom"/>
            <w:tcBorders>
              <w:bottom w:val="single" w:sz="8" w:color="0063A6"/>
            </w:tcBorders>
          </w:tcPr>
          <w:p>
            <w:pPr>
              <w:ind w:left="80"/>
              <w:spacing w:after="0"/>
              <w:rPr>
                <w:sz w:val="20"/>
                <w:szCs w:val="20"/>
                <w:color w:val="auto"/>
              </w:rPr>
            </w:pPr>
            <w:r>
              <w:rPr>
                <w:rFonts w:ascii="Arial" w:cs="Arial" w:eastAsia="Arial" w:hAnsi="Arial"/>
                <w:sz w:val="16"/>
                <w:szCs w:val="16"/>
                <w:color w:val="auto"/>
              </w:rPr>
              <w:t>Other Three Section 16 Senior Vice Presidents</w:t>
            </w:r>
          </w:p>
        </w:tc>
        <w:tc>
          <w:tcPr>
            <w:tcW w:w="19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2.0x</w:t>
            </w:r>
          </w:p>
        </w:tc>
      </w:tr>
    </w:tbl>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Common stock, vested and unvested restricted shares, the net after-tax value of unexercised vested and unvested stock options, and stock held in the deferred compensation, 401(k) and the Employee Stock Purchase Plans and shares beneficially owned and held in trust for the benefit of a family member all count towards satisfaction of the guidelines. Additionally, participants are required to retain 50% of net profit shares from all stock acquired upon exercise or vesting unless the guideline level is achieved. Net profit shares are defined as the number of shares of stock acquired after payment of (i) in the case of options, any exercise price and tax withholding upon exercise, or (ii) in the case of restricted stock or restricted stock units, tax withholding upon vesting. We annually review the levels of stock ownership of our executive officers listed above, and, based on a rolling 12-month average of our stock price as of the end of 2024, each of them has met the guidelines. We also have stock ownership guidelines for the members of our Board.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Anti-Hedging Policy</w:t>
      </w:r>
    </w:p>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prohibit the NEOs, other executive officers, directors and employees from engaging in transactions designed to insulate them from changes in the Company’s stock price. Therefore, the Company has an Anti-Hedging Policy that prohibits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Change-in-Control Agreements</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have entered into change-in-control agreements with certain of our executive officers to encourage their full attention and dedication to the Company in the event of a change-in-control of the Company, and to provide them with reasonable compensation and benefits in the event of a change-in-control and a subsequent loss of employment. All equity awards granted have “double trigger” requirements before vesting upon a change-in-control. See “</w:t>
      </w:r>
      <w:r>
        <w:rPr>
          <w:rFonts w:ascii="Arial" w:cs="Arial" w:eastAsia="Arial" w:hAnsi="Arial"/>
          <w:sz w:val="16"/>
          <w:szCs w:val="16"/>
          <w:i w:val="1"/>
          <w:iCs w:val="1"/>
          <w:color w:val="auto"/>
        </w:rPr>
        <w:t>Executive Compensation Tables – 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upon Change-in-Control</w:t>
      </w:r>
      <w:r>
        <w:rPr>
          <w:rFonts w:ascii="Arial" w:cs="Arial" w:eastAsia="Arial" w:hAnsi="Arial"/>
          <w:sz w:val="16"/>
          <w:szCs w:val="16"/>
          <w:color w:val="auto"/>
        </w:rPr>
        <w:t>” for descriptions of the benefits provided under the change-in-control agreements.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Employment Agreements; Severance Policy</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 do not have formal employment agreements with our executive officers. However, we do have an Executive Severance Policy for our executive officers that provides severance pay equal to one year’s base salary, employer benefit premium payments or reimbursements for one year, and outplacement assistance provided there is a release of claims, non-disparagement, and confidentiality agreement with the executive officer. In addition, the executive officer must enter into a one-year non-compete agreement, where enforceable.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Incentive Compensation Recovery (Clawback) Policy</w:t>
      </w:r>
    </w:p>
    <w:p>
      <w:pPr>
        <w:spacing w:after="0" w:line="72"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Board has adopted the 2023 Incentive Compensation Recovery Policy (“Compensation Recovery Policy”), in accordance with Rule 10D-1 under Section 10D of the Securities Exchange Act of 1934, as amended (“Rule 10D-1”) and the corresponding Nasdaq Listing Rule 5608 (the “Listing Rules”). This policy applies to our current and former executive officers as defined in Rule 10D-1, including the NEOs, and will be administered by the Compensation Committee. In the event we are required to prepare an accounting restatement to correct a material noncompliance with any financial reporting requirement under the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the policy provides for the recovery of erroneously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58293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8"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0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incentive-based compensation received by its executive officers on or after the policy’s effective date. The recovery of such compensation applies regardless of whether an executive officer engaged in misconduct or otherwise caused or contributed to the requirement for a restatement.</w:t>
      </w:r>
    </w:p>
    <w:p>
      <w:pPr>
        <w:spacing w:after="0" w:line="18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addition, our Incentive Repayment Policy, in effect prior to December 1, 2023 will continue to apply to incentive-based compensation received prior to December 1, 2023. Under that policy, in the event of a restatement of the Company’s financial results, the Compensation Committee, as designated by the Board, may review all cash or equity incentive awards that were based in whole or in part on the achievement of certain financial results. Where award(s) were predicated, in part or in whole, upon the achievement of certain financial results that were subsequently the subject of a material financial restatement and, as determined by the Compensation Committee, the executive(s) engaged in fraud that caused or partially caused the need for the restatement, the Compensation Committee will seek forfeiture or reimbursement to the Company of the award(s) from the executive officer(s) engaged in fraud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Executive Deferred Compensation Plan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Executive officers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up to 50% of their annual cash incentive into a nonqualified account.</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Executive officers are also permitted to elect to defer an additional portion of their base salary under the EDCP equal to the amount of any contributions returned to them during the year from the Company’s 401(k) Plan. In 2024, the Company made matching contributions to the account of each participating executive at the rate of 75% of the first 6% of base salary and annual incentive deferred by the executive officer during that year, which is the same matching formula as the Company’s 401(k) Plan. The employer match into the EDCP starts </w:t>
      </w:r>
      <w:r>
        <w:rPr>
          <w:rFonts w:ascii="Arial" w:cs="Arial" w:eastAsia="Arial" w:hAnsi="Arial"/>
          <w:sz w:val="16"/>
          <w:szCs w:val="16"/>
          <w:i w:val="1"/>
          <w:iCs w:val="1"/>
          <w:color w:val="auto"/>
        </w:rPr>
        <w:t>after</w:t>
      </w:r>
      <w:r>
        <w:rPr>
          <w:rFonts w:ascii="Arial" w:cs="Arial" w:eastAsia="Arial" w:hAnsi="Arial"/>
          <w:sz w:val="16"/>
          <w:szCs w:val="16"/>
          <w:color w:val="auto"/>
        </w:rPr>
        <w:t xml:space="preserve"> the employee reaches IRS limits on the 401(k) Plan and is no longer eligible for the 401(k) match. The executive officers’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 See “</w:t>
      </w:r>
      <w:r>
        <w:rPr>
          <w:rFonts w:ascii="Arial" w:cs="Arial" w:eastAsia="Arial" w:hAnsi="Arial"/>
          <w:sz w:val="16"/>
          <w:szCs w:val="16"/>
          <w:i w:val="1"/>
          <w:iCs w:val="1"/>
          <w:color w:val="auto"/>
        </w:rPr>
        <w:t>Executive Compensation Tables – 2024 Nonqualified Deferred Compensation Table</w:t>
      </w:r>
      <w:r>
        <w:rPr>
          <w:rFonts w:ascii="Arial" w:cs="Arial" w:eastAsia="Arial" w:hAnsi="Arial"/>
          <w:sz w:val="16"/>
          <w:szCs w:val="16"/>
          <w:color w:val="auto"/>
        </w:rPr>
        <w:t>” for more details.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General Benefits and Perquisites</w:t>
      </w:r>
    </w:p>
    <w:p>
      <w:pPr>
        <w:spacing w:after="0" w:line="72"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long-term extended business travel to a new location.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401(k) Plan and Employee Stock Purchase Plan</w:t>
      </w:r>
    </w:p>
    <w:p>
      <w:pPr>
        <w:spacing w:after="0" w:line="8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Executive officers located in the U.S. are eligible to participate in our 401(k) Plan which provides our employees, including the NEOs, with a 75% Company match on the first 6% of compensation deferred, subject to qualified plan limits. Similarly, executive officers may participate in the Company’s Employee Stock Purchase Plan, along with our other employees.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any defined benefit or supplemental retirement programs for our NEOs.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Impact of Tax and Accounting</w:t>
      </w:r>
    </w:p>
    <w:p>
      <w:pPr>
        <w:spacing w:after="0" w:line="72"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We regularly consider the various tax and accounting implications of our compensation plans. When determining the value of long-term incentives and equity grants to executives and employees, the compensation costs associated with the grants are reviewed, as required by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38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063A6"/>
        </w:rPr>
        <w:t>Compensation Committee Report</w:t>
      </w:r>
    </w:p>
    <w:p>
      <w:pPr>
        <w:spacing w:after="0" w:line="106"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Itron’s management and the Board’s outside compensation consultant. Based on the review and discussions, the Compensation Committee has recommended to the Board of Directors that the Compensation Discussion and Analysis be included in the Company’s 2024 Annual Report on Form 10-K and the Company’s 2025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Committee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Frank M. Jaehnert,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Santiago Perez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Lynda L.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58293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20"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4" w:name="page45"/>
    <w:bookmarkEnd w:id="4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23"/>
          <w:szCs w:val="23"/>
          <w:b w:val="1"/>
          <w:bCs w:val="1"/>
          <w:u w:val="single" w:color="auto"/>
          <w:color w:val="0063A6"/>
        </w:rPr>
        <w:t>Executive Compensation Tables</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Summary Compensation Table</w:t>
      </w:r>
    </w:p>
    <w:p>
      <w:pPr>
        <w:spacing w:after="0" w:line="200" w:lineRule="exact"/>
        <w:rPr>
          <w:sz w:val="20"/>
          <w:szCs w:val="20"/>
          <w:color w:val="auto"/>
        </w:rPr>
      </w:pPr>
    </w:p>
    <w:p>
      <w:pPr>
        <w:spacing w:after="0" w:line="309" w:lineRule="exact"/>
        <w:rPr>
          <w:sz w:val="20"/>
          <w:szCs w:val="20"/>
          <w:color w:val="auto"/>
        </w:rPr>
      </w:pPr>
    </w:p>
    <w:tbl>
      <w:tblPr>
        <w:tblLayout w:type="fixed"/>
        <w:tblInd w:w="6"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660" w:type="dxa"/>
            <w:vAlign w:val="bottom"/>
            <w:tcBorders>
              <w:bottom w:val="single" w:sz="8" w:color="0063A6"/>
            </w:tcBorders>
          </w:tcPr>
          <w:p>
            <w:pPr>
              <w:spacing w:after="0"/>
              <w:rPr>
                <w:sz w:val="16"/>
                <w:szCs w:val="16"/>
                <w:color w:val="auto"/>
              </w:rPr>
            </w:pPr>
          </w:p>
        </w:tc>
        <w:tc>
          <w:tcPr>
            <w:tcW w:w="780" w:type="dxa"/>
            <w:vAlign w:val="bottom"/>
            <w:tcBorders>
              <w:bottom w:val="single" w:sz="8" w:color="0063A6"/>
            </w:tcBorders>
          </w:tcPr>
          <w:p>
            <w:pPr>
              <w:spacing w:after="0"/>
              <w:rPr>
                <w:sz w:val="16"/>
                <w:szCs w:val="16"/>
                <w:color w:val="auto"/>
              </w:rPr>
            </w:pPr>
          </w:p>
        </w:tc>
        <w:tc>
          <w:tcPr>
            <w:tcW w:w="640" w:type="dxa"/>
            <w:vAlign w:val="bottom"/>
            <w:tcBorders>
              <w:bottom w:val="single" w:sz="8" w:color="0063A6"/>
            </w:tcBorders>
          </w:tcPr>
          <w:p>
            <w:pPr>
              <w:spacing w:after="0"/>
              <w:rPr>
                <w:sz w:val="16"/>
                <w:szCs w:val="16"/>
                <w:color w:val="auto"/>
              </w:rPr>
            </w:pPr>
          </w:p>
        </w:tc>
        <w:tc>
          <w:tcPr>
            <w:tcW w:w="280" w:type="dxa"/>
            <w:vAlign w:val="bottom"/>
            <w:tcBorders>
              <w:bottom w:val="single" w:sz="8" w:color="0063A6"/>
            </w:tcBorders>
          </w:tcPr>
          <w:p>
            <w:pPr>
              <w:spacing w:after="0"/>
              <w:rPr>
                <w:sz w:val="16"/>
                <w:szCs w:val="16"/>
                <w:color w:val="auto"/>
              </w:rPr>
            </w:pPr>
          </w:p>
        </w:tc>
        <w:tc>
          <w:tcPr>
            <w:tcW w:w="2340" w:type="dxa"/>
            <w:vAlign w:val="bottom"/>
            <w:tcBorders>
              <w:bottom w:val="single" w:sz="8" w:color="0063A6"/>
            </w:tcBorders>
            <w:gridSpan w:val="2"/>
          </w:tcPr>
          <w:p>
            <w:pPr>
              <w:jc w:val="right"/>
              <w:ind w:right="688"/>
              <w:spacing w:after="0"/>
              <w:rPr>
                <w:sz w:val="20"/>
                <w:szCs w:val="20"/>
                <w:color w:val="auto"/>
              </w:rPr>
            </w:pPr>
            <w:r>
              <w:rPr>
                <w:rFonts w:ascii="Arial" w:cs="Arial" w:eastAsia="Arial" w:hAnsi="Arial"/>
                <w:sz w:val="14"/>
                <w:szCs w:val="14"/>
                <w:b w:val="1"/>
                <w:bCs w:val="1"/>
                <w:color w:val="auto"/>
              </w:rPr>
              <w:t>ITRON, INC.</w:t>
            </w:r>
          </w:p>
        </w:tc>
        <w:tc>
          <w:tcPr>
            <w:tcW w:w="1360" w:type="dxa"/>
            <w:vAlign w:val="bottom"/>
            <w:tcBorders>
              <w:bottom w:val="single" w:sz="8" w:color="0063A6"/>
            </w:tcBorders>
          </w:tcPr>
          <w:p>
            <w:pPr>
              <w:spacing w:after="0"/>
              <w:rPr>
                <w:sz w:val="16"/>
                <w:szCs w:val="16"/>
                <w:color w:val="auto"/>
              </w:rPr>
            </w:pPr>
          </w:p>
        </w:tc>
        <w:tc>
          <w:tcPr>
            <w:tcW w:w="1040" w:type="dxa"/>
            <w:vAlign w:val="bottom"/>
            <w:tcBorders>
              <w:bottom w:val="single" w:sz="8" w:color="0063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Summary Compensation Table</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Pr>
          <w:p>
            <w:pPr>
              <w:spacing w:after="0"/>
              <w:rPr>
                <w:sz w:val="15"/>
                <w:szCs w:val="15"/>
                <w:color w:val="auto"/>
              </w:rPr>
            </w:pPr>
          </w:p>
        </w:tc>
        <w:tc>
          <w:tcPr>
            <w:tcW w:w="660" w:type="dxa"/>
            <w:vAlign w:val="bottom"/>
            <w:shd w:val="clear" w:color="auto" w:fill="0063A6"/>
          </w:tcPr>
          <w:p>
            <w:pPr>
              <w:spacing w:after="0"/>
              <w:rPr>
                <w:sz w:val="15"/>
                <w:szCs w:val="15"/>
                <w:color w:val="auto"/>
              </w:rPr>
            </w:pPr>
          </w:p>
        </w:tc>
        <w:tc>
          <w:tcPr>
            <w:tcW w:w="780" w:type="dxa"/>
            <w:vAlign w:val="bottom"/>
            <w:shd w:val="clear" w:color="auto" w:fill="0063A6"/>
          </w:tcPr>
          <w:p>
            <w:pPr>
              <w:spacing w:after="0"/>
              <w:rPr>
                <w:sz w:val="15"/>
                <w:szCs w:val="15"/>
                <w:color w:val="auto"/>
              </w:rPr>
            </w:pPr>
          </w:p>
        </w:tc>
        <w:tc>
          <w:tcPr>
            <w:tcW w:w="640" w:type="dxa"/>
            <w:vAlign w:val="bottom"/>
            <w:shd w:val="clear" w:color="auto" w:fill="0063A6"/>
          </w:tcPr>
          <w:p>
            <w:pPr>
              <w:spacing w:after="0"/>
              <w:rPr>
                <w:sz w:val="15"/>
                <w:szCs w:val="15"/>
                <w:color w:val="auto"/>
              </w:rPr>
            </w:pPr>
          </w:p>
        </w:tc>
        <w:tc>
          <w:tcPr>
            <w:tcW w:w="280" w:type="dxa"/>
            <w:vAlign w:val="bottom"/>
            <w:shd w:val="clear" w:color="auto" w:fill="0063A6"/>
          </w:tcPr>
          <w:p>
            <w:pPr>
              <w:spacing w:after="0"/>
              <w:rPr>
                <w:sz w:val="15"/>
                <w:szCs w:val="15"/>
                <w:color w:val="auto"/>
              </w:rPr>
            </w:pPr>
          </w:p>
        </w:tc>
        <w:tc>
          <w:tcPr>
            <w:tcW w:w="880" w:type="dxa"/>
            <w:vAlign w:val="bottom"/>
            <w:shd w:val="clear" w:color="auto" w:fill="0063A6"/>
          </w:tcPr>
          <w:p>
            <w:pPr>
              <w:spacing w:after="0"/>
              <w:rPr>
                <w:sz w:val="15"/>
                <w:szCs w:val="15"/>
                <w:color w:val="auto"/>
              </w:rPr>
            </w:pPr>
          </w:p>
        </w:tc>
        <w:tc>
          <w:tcPr>
            <w:tcW w:w="1460" w:type="dxa"/>
            <w:vAlign w:val="bottom"/>
            <w:shd w:val="clear" w:color="auto" w:fill="0063A6"/>
          </w:tcPr>
          <w:p>
            <w:pPr>
              <w:jc w:val="right"/>
              <w:ind w:right="288"/>
              <w:spacing w:after="0"/>
              <w:rPr>
                <w:sz w:val="20"/>
                <w:szCs w:val="20"/>
                <w:color w:val="auto"/>
              </w:rPr>
            </w:pPr>
            <w:r>
              <w:rPr>
                <w:rFonts w:ascii="Arial" w:cs="Arial" w:eastAsia="Arial" w:hAnsi="Arial"/>
                <w:sz w:val="14"/>
                <w:szCs w:val="14"/>
                <w:b w:val="1"/>
                <w:bCs w:val="1"/>
                <w:color w:val="FFFFFF"/>
              </w:rPr>
              <w:t>Non-Equity</w:t>
            </w:r>
          </w:p>
        </w:tc>
        <w:tc>
          <w:tcPr>
            <w:tcW w:w="1360" w:type="dxa"/>
            <w:vAlign w:val="bottom"/>
            <w:shd w:val="clear" w:color="auto" w:fill="0063A6"/>
          </w:tcPr>
          <w:p>
            <w:pPr>
              <w:spacing w:after="0"/>
              <w:rPr>
                <w:sz w:val="15"/>
                <w:szCs w:val="15"/>
                <w:color w:val="auto"/>
              </w:rPr>
            </w:pPr>
          </w:p>
        </w:tc>
        <w:tc>
          <w:tcPr>
            <w:tcW w:w="1040" w:type="dxa"/>
            <w:vAlign w:val="bottom"/>
            <w:shd w:val="clear" w:color="auto" w:fill="0063A6"/>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780" w:type="dxa"/>
            <w:vAlign w:val="bottom"/>
            <w:shd w:val="clear" w:color="auto" w:fill="0063A6"/>
          </w:tcPr>
          <w:p>
            <w:pPr>
              <w:spacing w:after="0"/>
              <w:rPr>
                <w:sz w:val="14"/>
                <w:szCs w:val="14"/>
                <w:color w:val="auto"/>
              </w:rPr>
            </w:pPr>
          </w:p>
        </w:tc>
        <w:tc>
          <w:tcPr>
            <w:tcW w:w="640" w:type="dxa"/>
            <w:vAlign w:val="bottom"/>
            <w:shd w:val="clear" w:color="auto" w:fill="0063A6"/>
          </w:tcPr>
          <w:p>
            <w:pPr>
              <w:spacing w:after="0"/>
              <w:rPr>
                <w:sz w:val="14"/>
                <w:szCs w:val="14"/>
                <w:color w:val="auto"/>
              </w:rPr>
            </w:pPr>
          </w:p>
        </w:tc>
        <w:tc>
          <w:tcPr>
            <w:tcW w:w="280" w:type="dxa"/>
            <w:vAlign w:val="bottom"/>
            <w:shd w:val="clear" w:color="auto" w:fill="0063A6"/>
          </w:tcPr>
          <w:p>
            <w:pPr>
              <w:spacing w:after="0"/>
              <w:rPr>
                <w:sz w:val="14"/>
                <w:szCs w:val="14"/>
                <w:color w:val="auto"/>
              </w:rPr>
            </w:pPr>
          </w:p>
        </w:tc>
        <w:tc>
          <w:tcPr>
            <w:tcW w:w="880" w:type="dxa"/>
            <w:vAlign w:val="bottom"/>
            <w:shd w:val="clear" w:color="auto" w:fill="0063A6"/>
          </w:tcPr>
          <w:p>
            <w:pPr>
              <w:ind w:left="340"/>
              <w:spacing w:after="0"/>
              <w:rPr>
                <w:sz w:val="20"/>
                <w:szCs w:val="20"/>
                <w:color w:val="auto"/>
              </w:rPr>
            </w:pPr>
            <w:r>
              <w:rPr>
                <w:rFonts w:ascii="Arial" w:cs="Arial" w:eastAsia="Arial" w:hAnsi="Arial"/>
                <w:sz w:val="14"/>
                <w:szCs w:val="14"/>
                <w:b w:val="1"/>
                <w:bCs w:val="1"/>
                <w:color w:val="FFFFFF"/>
              </w:rPr>
              <w:t>Stock</w:t>
            </w:r>
          </w:p>
        </w:tc>
        <w:tc>
          <w:tcPr>
            <w:tcW w:w="1460" w:type="dxa"/>
            <w:vAlign w:val="bottom"/>
            <w:shd w:val="clear" w:color="auto" w:fill="0063A6"/>
          </w:tcPr>
          <w:p>
            <w:pPr>
              <w:jc w:val="right"/>
              <w:ind w:right="288"/>
              <w:spacing w:after="0"/>
              <w:rPr>
                <w:sz w:val="20"/>
                <w:szCs w:val="20"/>
                <w:color w:val="auto"/>
              </w:rPr>
            </w:pPr>
            <w:r>
              <w:rPr>
                <w:rFonts w:ascii="Arial" w:cs="Arial" w:eastAsia="Arial" w:hAnsi="Arial"/>
                <w:sz w:val="14"/>
                <w:szCs w:val="14"/>
                <w:b w:val="1"/>
                <w:bCs w:val="1"/>
                <w:color w:val="FFFFFF"/>
              </w:rPr>
              <w:t>Incentive Plan</w:t>
            </w:r>
          </w:p>
        </w:tc>
        <w:tc>
          <w:tcPr>
            <w:tcW w:w="1360" w:type="dxa"/>
            <w:vAlign w:val="bottom"/>
            <w:shd w:val="clear" w:color="auto" w:fill="0063A6"/>
          </w:tcPr>
          <w:p>
            <w:pPr>
              <w:ind w:left="460"/>
              <w:spacing w:after="0"/>
              <w:rPr>
                <w:sz w:val="20"/>
                <w:szCs w:val="20"/>
                <w:color w:val="auto"/>
              </w:rPr>
            </w:pPr>
            <w:r>
              <w:rPr>
                <w:rFonts w:ascii="Arial" w:cs="Arial" w:eastAsia="Arial" w:hAnsi="Arial"/>
                <w:sz w:val="14"/>
                <w:szCs w:val="14"/>
                <w:b w:val="1"/>
                <w:bCs w:val="1"/>
                <w:color w:val="FFFFFF"/>
              </w:rPr>
              <w:t>All Other</w:t>
            </w:r>
          </w:p>
        </w:tc>
        <w:tc>
          <w:tcPr>
            <w:tcW w:w="104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Name and Principal</w:t>
            </w:r>
          </w:p>
        </w:tc>
        <w:tc>
          <w:tcPr>
            <w:tcW w:w="66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Salary</w:t>
            </w:r>
          </w:p>
        </w:tc>
        <w:tc>
          <w:tcPr>
            <w:tcW w:w="920" w:type="dxa"/>
            <w:vAlign w:val="bottom"/>
            <w:gridSpan w:val="2"/>
            <w:shd w:val="clear" w:color="auto" w:fill="0063A6"/>
          </w:tcPr>
          <w:p>
            <w:pPr>
              <w:jc w:val="right"/>
              <w:ind w:right="60"/>
              <w:spacing w:after="0"/>
              <w:rPr>
                <w:sz w:val="20"/>
                <w:szCs w:val="20"/>
                <w:color w:val="auto"/>
              </w:rPr>
            </w:pPr>
            <w:r>
              <w:rPr>
                <w:rFonts w:ascii="Arial" w:cs="Arial" w:eastAsia="Arial" w:hAnsi="Arial"/>
                <w:sz w:val="14"/>
                <w:szCs w:val="14"/>
                <w:b w:val="1"/>
                <w:bCs w:val="1"/>
                <w:color w:val="FFFFFF"/>
              </w:rPr>
              <w:t>Bonus</w:t>
            </w:r>
          </w:p>
        </w:tc>
        <w:tc>
          <w:tcPr>
            <w:tcW w:w="880" w:type="dxa"/>
            <w:vAlign w:val="bottom"/>
            <w:shd w:val="clear" w:color="auto" w:fill="0063A6"/>
          </w:tcPr>
          <w:p>
            <w:pPr>
              <w:jc w:val="right"/>
              <w:ind w:right="49"/>
              <w:spacing w:after="0"/>
              <w:rPr>
                <w:sz w:val="20"/>
                <w:szCs w:val="20"/>
                <w:color w:val="auto"/>
              </w:rPr>
            </w:pPr>
            <w:r>
              <w:rPr>
                <w:rFonts w:ascii="Arial" w:cs="Arial" w:eastAsia="Arial" w:hAnsi="Arial"/>
                <w:sz w:val="14"/>
                <w:szCs w:val="14"/>
                <w:b w:val="1"/>
                <w:bCs w:val="1"/>
                <w:color w:val="FFFFFF"/>
              </w:rPr>
              <w:t>Awards</w:t>
            </w:r>
          </w:p>
        </w:tc>
        <w:tc>
          <w:tcPr>
            <w:tcW w:w="1460" w:type="dxa"/>
            <w:vAlign w:val="bottom"/>
            <w:shd w:val="clear" w:color="auto" w:fill="0063A6"/>
          </w:tcPr>
          <w:p>
            <w:pPr>
              <w:jc w:val="right"/>
              <w:ind w:right="248"/>
              <w:spacing w:after="0"/>
              <w:rPr>
                <w:sz w:val="20"/>
                <w:szCs w:val="20"/>
                <w:color w:val="auto"/>
              </w:rPr>
            </w:pPr>
            <w:r>
              <w:rPr>
                <w:rFonts w:ascii="Arial" w:cs="Arial" w:eastAsia="Arial" w:hAnsi="Arial"/>
                <w:sz w:val="14"/>
                <w:szCs w:val="14"/>
                <w:b w:val="1"/>
                <w:bCs w:val="1"/>
                <w:color w:val="FFFFFF"/>
              </w:rPr>
              <w:t>Compensation</w:t>
            </w:r>
          </w:p>
        </w:tc>
        <w:tc>
          <w:tcPr>
            <w:tcW w:w="1360" w:type="dxa"/>
            <w:vAlign w:val="bottom"/>
            <w:shd w:val="clear" w:color="auto" w:fill="0063A6"/>
          </w:tcPr>
          <w:p>
            <w:pPr>
              <w:jc w:val="right"/>
              <w:ind w:right="171"/>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3"/>
        </w:trPr>
        <w:tc>
          <w:tcPr>
            <w:tcW w:w="208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Position</w:t>
            </w:r>
          </w:p>
        </w:tc>
        <w:tc>
          <w:tcPr>
            <w:tcW w:w="66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Year</w:t>
            </w:r>
          </w:p>
        </w:tc>
        <w:tc>
          <w:tcPr>
            <w:tcW w:w="780" w:type="dxa"/>
            <w:vAlign w:val="bottom"/>
            <w:tcBorders>
              <w:bottom w:val="single" w:sz="8" w:color="0063A6"/>
            </w:tcBorders>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0063A6"/>
            </w:tcBorders>
            <w:gridSpan w:val="2"/>
            <w:shd w:val="clear" w:color="auto" w:fill="0063A6"/>
          </w:tcPr>
          <w:p>
            <w:pPr>
              <w:jc w:val="right"/>
              <w:ind w:right="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63A6"/>
            </w:tcBorders>
            <w:shd w:val="clear" w:color="auto" w:fill="0063A6"/>
          </w:tcPr>
          <w:p>
            <w:pPr>
              <w:jc w:val="right"/>
              <w:ind w:right="49"/>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1"/>
                <w:szCs w:val="11"/>
                <w:b w:val="1"/>
                <w:bCs w:val="1"/>
                <w:color w:val="FFFFFF"/>
              </w:rPr>
              <w:t>(1)(2)</w:t>
            </w:r>
          </w:p>
        </w:tc>
        <w:tc>
          <w:tcPr>
            <w:tcW w:w="1460" w:type="dxa"/>
            <w:vAlign w:val="bottom"/>
            <w:tcBorders>
              <w:bottom w:val="single" w:sz="8" w:color="0063A6"/>
            </w:tcBorders>
            <w:shd w:val="clear" w:color="auto" w:fill="0063A6"/>
          </w:tcPr>
          <w:p>
            <w:pPr>
              <w:jc w:val="right"/>
              <w:ind w:right="248"/>
              <w:spacing w:after="0" w:line="202"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(3)</w:t>
            </w:r>
          </w:p>
        </w:tc>
        <w:tc>
          <w:tcPr>
            <w:tcW w:w="1360" w:type="dxa"/>
            <w:vAlign w:val="bottom"/>
            <w:tcBorders>
              <w:bottom w:val="single" w:sz="8" w:color="0063A6"/>
            </w:tcBorders>
            <w:shd w:val="clear" w:color="auto" w:fill="0063A6"/>
          </w:tcPr>
          <w:p>
            <w:pPr>
              <w:jc w:val="right"/>
              <w:ind w:right="171"/>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bottom w:val="single" w:sz="8" w:color="0063A6"/>
            </w:tcBorders>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b w:val="1"/>
                <w:bCs w:val="1"/>
                <w:color w:val="0063A6"/>
              </w:rPr>
              <w:t>Thomas L. Deitrich</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900,000</w:t>
            </w:r>
          </w:p>
        </w:tc>
        <w:tc>
          <w:tcPr>
            <w:tcW w:w="640" w:type="dxa"/>
            <w:vAlign w:val="bottom"/>
          </w:tcPr>
          <w:p>
            <w:pPr>
              <w:jc w:val="right"/>
              <w:spacing w:after="0"/>
              <w:rPr>
                <w:sz w:val="20"/>
                <w:szCs w:val="20"/>
                <w:color w:val="auto"/>
              </w:rPr>
            </w:pPr>
            <w:r>
              <w:rPr>
                <w:rFonts w:ascii="Arial" w:cs="Arial" w:eastAsia="Arial" w:hAnsi="Arial"/>
                <w:sz w:val="14"/>
                <w:szCs w:val="14"/>
                <w:color w:val="auto"/>
              </w:rPr>
              <w:t>388,969​</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w w:val="81"/>
              </w:rPr>
              <w:t>(4)</w:t>
            </w:r>
          </w:p>
        </w:tc>
        <w:tc>
          <w:tcPr>
            <w:tcW w:w="880" w:type="dxa"/>
            <w:vAlign w:val="bottom"/>
          </w:tcPr>
          <w:p>
            <w:pPr>
              <w:ind w:left="120"/>
              <w:spacing w:after="0"/>
              <w:rPr>
                <w:sz w:val="20"/>
                <w:szCs w:val="20"/>
                <w:color w:val="auto"/>
              </w:rPr>
            </w:pPr>
            <w:r>
              <w:rPr>
                <w:rFonts w:ascii="Arial" w:cs="Arial" w:eastAsia="Arial" w:hAnsi="Arial"/>
                <w:sz w:val="14"/>
                <w:szCs w:val="14"/>
                <w:color w:val="auto"/>
              </w:rPr>
              <w:t>6,535,375</w:t>
            </w:r>
          </w:p>
        </w:tc>
        <w:tc>
          <w:tcPr>
            <w:tcW w:w="1460" w:type="dxa"/>
            <w:vAlign w:val="bottom"/>
          </w:tcPr>
          <w:p>
            <w:pPr>
              <w:jc w:val="right"/>
              <w:ind w:right="248"/>
              <w:spacing w:after="0"/>
              <w:rPr>
                <w:sz w:val="20"/>
                <w:szCs w:val="20"/>
                <w:color w:val="auto"/>
              </w:rPr>
            </w:pPr>
            <w:r>
              <w:rPr>
                <w:rFonts w:ascii="Arial" w:cs="Arial" w:eastAsia="Arial" w:hAnsi="Arial"/>
                <w:sz w:val="14"/>
                <w:szCs w:val="14"/>
                <w:color w:val="auto"/>
              </w:rPr>
              <w:t>1,555,875​</w:t>
            </w:r>
          </w:p>
        </w:tc>
        <w:tc>
          <w:tcPr>
            <w:tcW w:w="1360" w:type="dxa"/>
            <w:vAlign w:val="bottom"/>
          </w:tcPr>
          <w:p>
            <w:pPr>
              <w:ind w:left="520"/>
              <w:spacing w:after="0" w:line="169" w:lineRule="exact"/>
              <w:rPr>
                <w:sz w:val="20"/>
                <w:szCs w:val="20"/>
                <w:color w:val="auto"/>
              </w:rPr>
            </w:pPr>
            <w:r>
              <w:rPr>
                <w:rFonts w:ascii="Arial" w:cs="Arial" w:eastAsia="Arial" w:hAnsi="Arial"/>
                <w:sz w:val="12"/>
                <w:szCs w:val="12"/>
                <w:color w:val="auto"/>
              </w:rPr>
              <w:t>15,525</w:t>
            </w:r>
            <w:r>
              <w:rPr>
                <w:rFonts w:ascii="Arial" w:cs="Arial" w:eastAsia="Arial" w:hAnsi="Arial"/>
                <w:sz w:val="19"/>
                <w:szCs w:val="19"/>
                <w:color w:val="auto"/>
                <w:vertAlign w:val="superscript"/>
              </w:rPr>
              <w:t>(5)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9,395,744​</w:t>
            </w:r>
          </w:p>
        </w:tc>
        <w:tc>
          <w:tcPr>
            <w:tcW w:w="0" w:type="dxa"/>
            <w:vAlign w:val="bottom"/>
          </w:tcPr>
          <w:p>
            <w:pPr>
              <w:spacing w:after="0"/>
              <w:rPr>
                <w:sz w:val="1"/>
                <w:szCs w:val="1"/>
                <w:color w:val="auto"/>
              </w:rPr>
            </w:pPr>
          </w:p>
        </w:tc>
      </w:tr>
      <w:tr>
        <w:trPr>
          <w:trHeight w:val="41"/>
        </w:trPr>
        <w:tc>
          <w:tcPr>
            <w:tcW w:w="208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President and CEO</w:t>
            </w:r>
          </w:p>
        </w:tc>
        <w:tc>
          <w:tcPr>
            <w:tcW w:w="66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28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1460" w:type="dxa"/>
            <w:vAlign w:val="bottom"/>
            <w:tcBorders>
              <w:bottom w:val="single" w:sz="8" w:color="5D6673"/>
            </w:tcBorders>
          </w:tcPr>
          <w:p>
            <w:pPr>
              <w:spacing w:after="0"/>
              <w:rPr>
                <w:sz w:val="3"/>
                <w:szCs w:val="3"/>
                <w:color w:val="auto"/>
              </w:rPr>
            </w:pPr>
          </w:p>
        </w:tc>
        <w:tc>
          <w:tcPr>
            <w:tcW w:w="1360" w:type="dxa"/>
            <w:vAlign w:val="bottom"/>
            <w:tcBorders>
              <w:bottom w:val="single" w:sz="8" w:color="5D6673"/>
            </w:tcBorders>
          </w:tcPr>
          <w:p>
            <w:pPr>
              <w:spacing w:after="0"/>
              <w:rPr>
                <w:sz w:val="3"/>
                <w:szCs w:val="3"/>
                <w:color w:val="auto"/>
              </w:rPr>
            </w:pPr>
          </w:p>
        </w:tc>
        <w:tc>
          <w:tcPr>
            <w:tcW w:w="10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080" w:type="dxa"/>
            <w:vAlign w:val="bottom"/>
            <w:vMerge w:val="continue"/>
          </w:tcPr>
          <w:p>
            <w:pPr>
              <w:spacing w:after="0"/>
              <w:rPr>
                <w:sz w:val="11"/>
                <w:szCs w:val="11"/>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875,000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color w:val="auto"/>
              </w:rPr>
              <w:t>3,746,266</w:t>
            </w:r>
          </w:p>
        </w:tc>
        <w:tc>
          <w:tcPr>
            <w:tcW w:w="1460" w:type="dxa"/>
            <w:vAlign w:val="bottom"/>
            <w:vMerge w:val="restart"/>
          </w:tcPr>
          <w:p>
            <w:pPr>
              <w:jc w:val="right"/>
              <w:ind w:right="248"/>
              <w:spacing w:after="0"/>
              <w:rPr>
                <w:sz w:val="20"/>
                <w:szCs w:val="20"/>
                <w:color w:val="auto"/>
              </w:rPr>
            </w:pPr>
            <w:r>
              <w:rPr>
                <w:rFonts w:ascii="Arial" w:cs="Arial" w:eastAsia="Arial" w:hAnsi="Arial"/>
                <w:sz w:val="14"/>
                <w:szCs w:val="14"/>
                <w:color w:val="auto"/>
              </w:rPr>
              <w:t>1,531,250</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14,850</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6,167,366</w:t>
            </w:r>
          </w:p>
        </w:tc>
        <w:tc>
          <w:tcPr>
            <w:tcW w:w="0" w:type="dxa"/>
            <w:vAlign w:val="bottom"/>
          </w:tcPr>
          <w:p>
            <w:pPr>
              <w:spacing w:after="0"/>
              <w:rPr>
                <w:sz w:val="1"/>
                <w:szCs w:val="1"/>
                <w:color w:val="auto"/>
              </w:rPr>
            </w:pPr>
          </w:p>
        </w:tc>
      </w:tr>
      <w:tr>
        <w:trPr>
          <w:trHeight w:val="56"/>
        </w:trPr>
        <w:tc>
          <w:tcPr>
            <w:tcW w:w="2080" w:type="dxa"/>
            <w:vAlign w:val="bottom"/>
          </w:tcPr>
          <w:p>
            <w:pPr>
              <w:spacing w:after="0"/>
              <w:rPr>
                <w:sz w:val="4"/>
                <w:szCs w:val="4"/>
                <w:color w:val="auto"/>
              </w:rPr>
            </w:pPr>
          </w:p>
        </w:tc>
        <w:tc>
          <w:tcPr>
            <w:tcW w:w="660" w:type="dxa"/>
            <w:vAlign w:val="bottom"/>
            <w:tcBorders>
              <w:bottom w:val="single" w:sz="8" w:color="5D6673"/>
            </w:tcBorders>
            <w:vMerge w:val="continue"/>
          </w:tcPr>
          <w:p>
            <w:pPr>
              <w:spacing w:after="0"/>
              <w:rPr>
                <w:sz w:val="4"/>
                <w:szCs w:val="4"/>
                <w:color w:val="auto"/>
              </w:rPr>
            </w:pPr>
          </w:p>
        </w:tc>
        <w:tc>
          <w:tcPr>
            <w:tcW w:w="780" w:type="dxa"/>
            <w:vAlign w:val="bottom"/>
            <w:tcBorders>
              <w:bottom w:val="single" w:sz="8" w:color="5D6673"/>
            </w:tcBorders>
            <w:vMerge w:val="continue"/>
          </w:tcPr>
          <w:p>
            <w:pPr>
              <w:spacing w:after="0"/>
              <w:rPr>
                <w:sz w:val="4"/>
                <w:szCs w:val="4"/>
                <w:color w:val="auto"/>
              </w:rPr>
            </w:pPr>
          </w:p>
        </w:tc>
        <w:tc>
          <w:tcPr>
            <w:tcW w:w="640" w:type="dxa"/>
            <w:vAlign w:val="bottom"/>
            <w:tcBorders>
              <w:bottom w:val="single" w:sz="8" w:color="5D6673"/>
            </w:tcBorders>
            <w:vMerge w:val="continue"/>
          </w:tcPr>
          <w:p>
            <w:pPr>
              <w:spacing w:after="0"/>
              <w:rPr>
                <w:sz w:val="4"/>
                <w:szCs w:val="4"/>
                <w:color w:val="auto"/>
              </w:rPr>
            </w:pPr>
          </w:p>
        </w:tc>
        <w:tc>
          <w:tcPr>
            <w:tcW w:w="280" w:type="dxa"/>
            <w:vAlign w:val="bottom"/>
            <w:tcBorders>
              <w:bottom w:val="single" w:sz="8" w:color="5D6673"/>
            </w:tcBorders>
          </w:tcPr>
          <w:p>
            <w:pPr>
              <w:spacing w:after="0"/>
              <w:rPr>
                <w:sz w:val="4"/>
                <w:szCs w:val="4"/>
                <w:color w:val="auto"/>
              </w:rPr>
            </w:pPr>
          </w:p>
        </w:tc>
        <w:tc>
          <w:tcPr>
            <w:tcW w:w="880" w:type="dxa"/>
            <w:vAlign w:val="bottom"/>
            <w:tcBorders>
              <w:bottom w:val="single" w:sz="8" w:color="5D6673"/>
            </w:tcBorders>
            <w:vMerge w:val="continue"/>
          </w:tcPr>
          <w:p>
            <w:pPr>
              <w:spacing w:after="0"/>
              <w:rPr>
                <w:sz w:val="4"/>
                <w:szCs w:val="4"/>
                <w:color w:val="auto"/>
              </w:rPr>
            </w:pPr>
          </w:p>
        </w:tc>
        <w:tc>
          <w:tcPr>
            <w:tcW w:w="1460" w:type="dxa"/>
            <w:vAlign w:val="bottom"/>
            <w:tcBorders>
              <w:bottom w:val="single" w:sz="8" w:color="5D6673"/>
            </w:tcBorders>
            <w:vMerge w:val="continue"/>
          </w:tcPr>
          <w:p>
            <w:pPr>
              <w:spacing w:after="0"/>
              <w:rPr>
                <w:sz w:val="4"/>
                <w:szCs w:val="4"/>
                <w:color w:val="auto"/>
              </w:rPr>
            </w:pPr>
          </w:p>
        </w:tc>
        <w:tc>
          <w:tcPr>
            <w:tcW w:w="1360" w:type="dxa"/>
            <w:vAlign w:val="bottom"/>
            <w:tcBorders>
              <w:bottom w:val="single" w:sz="8" w:color="5D6673"/>
            </w:tcBorders>
            <w:vMerge w:val="continue"/>
          </w:tcPr>
          <w:p>
            <w:pPr>
              <w:spacing w:after="0"/>
              <w:rPr>
                <w:sz w:val="4"/>
                <w:szCs w:val="4"/>
                <w:color w:val="auto"/>
              </w:rPr>
            </w:pPr>
          </w:p>
        </w:tc>
        <w:tc>
          <w:tcPr>
            <w:tcW w:w="1040" w:type="dxa"/>
            <w:vAlign w:val="bottom"/>
            <w:tcBorders>
              <w:bottom w:val="single" w:sz="8" w:color="5D6673"/>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80" w:type="dxa"/>
            <w:vAlign w:val="bottom"/>
            <w:tcBorders>
              <w:bottom w:val="single" w:sz="8" w:color="5D6673"/>
            </w:tcBorders>
          </w:tcPr>
          <w:p>
            <w:pPr>
              <w:spacing w:after="0"/>
              <w:rPr>
                <w:sz w:val="16"/>
                <w:szCs w:val="16"/>
                <w:color w:val="auto"/>
              </w:rPr>
            </w:pPr>
          </w:p>
        </w:tc>
        <w:tc>
          <w:tcPr>
            <w:tcW w:w="66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5D6673"/>
            </w:tcBorders>
          </w:tcPr>
          <w:p>
            <w:pPr>
              <w:jc w:val="right"/>
              <w:ind w:right="68"/>
              <w:spacing w:after="0"/>
              <w:rPr>
                <w:sz w:val="20"/>
                <w:szCs w:val="20"/>
                <w:color w:val="auto"/>
              </w:rPr>
            </w:pPr>
            <w:r>
              <w:rPr>
                <w:rFonts w:ascii="Arial" w:cs="Arial" w:eastAsia="Arial" w:hAnsi="Arial"/>
                <w:sz w:val="14"/>
                <w:szCs w:val="14"/>
                <w:color w:val="auto"/>
              </w:rPr>
              <w:t>830,000</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5D6673"/>
            </w:tcBorders>
          </w:tcPr>
          <w:p>
            <w:pPr>
              <w:spacing w:after="0"/>
              <w:rPr>
                <w:sz w:val="16"/>
                <w:szCs w:val="16"/>
                <w:color w:val="auto"/>
              </w:rPr>
            </w:pPr>
          </w:p>
        </w:tc>
        <w:tc>
          <w:tcPr>
            <w:tcW w:w="88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3,059,156</w:t>
            </w:r>
          </w:p>
        </w:tc>
        <w:tc>
          <w:tcPr>
            <w:tcW w:w="1460" w:type="dxa"/>
            <w:vAlign w:val="bottom"/>
            <w:tcBorders>
              <w:bottom w:val="single" w:sz="8" w:color="5D6673"/>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5D6673"/>
            </w:tcBorders>
          </w:tcPr>
          <w:p>
            <w:pPr>
              <w:ind w:left="520"/>
              <w:spacing w:after="0"/>
              <w:rPr>
                <w:sz w:val="20"/>
                <w:szCs w:val="20"/>
                <w:color w:val="auto"/>
              </w:rPr>
            </w:pPr>
            <w:r>
              <w:rPr>
                <w:rFonts w:ascii="Arial" w:cs="Arial" w:eastAsia="Arial" w:hAnsi="Arial"/>
                <w:sz w:val="14"/>
                <w:szCs w:val="14"/>
                <w:color w:val="auto"/>
              </w:rPr>
              <w:t>13,725</w:t>
            </w:r>
          </w:p>
        </w:tc>
        <w:tc>
          <w:tcPr>
            <w:tcW w:w="1040" w:type="dxa"/>
            <w:vAlign w:val="bottom"/>
            <w:tcBorders>
              <w:bottom w:val="single" w:sz="8" w:color="5D6673"/>
            </w:tcBorders>
          </w:tcPr>
          <w:p>
            <w:pPr>
              <w:jc w:val="right"/>
              <w:ind w:right="88"/>
              <w:spacing w:after="0"/>
              <w:rPr>
                <w:sz w:val="20"/>
                <w:szCs w:val="20"/>
                <w:color w:val="auto"/>
              </w:rPr>
            </w:pPr>
            <w:r>
              <w:rPr>
                <w:rFonts w:ascii="Arial" w:cs="Arial" w:eastAsia="Arial" w:hAnsi="Arial"/>
                <w:sz w:val="14"/>
                <w:szCs w:val="14"/>
                <w:color w:val="auto"/>
              </w:rPr>
              <w:t>3,902,881</w:t>
            </w: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b w:val="1"/>
                <w:bCs w:val="1"/>
                <w:color w:val="0063A6"/>
              </w:rPr>
              <w:t>Joan S. Hooper</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550,000</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rPr>
              <w:t>2,133,339</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570,488</w:t>
            </w:r>
          </w:p>
        </w:tc>
        <w:tc>
          <w:tcPr>
            <w:tcW w:w="1360" w:type="dxa"/>
            <w:vAlign w:val="bottom"/>
          </w:tcPr>
          <w:p>
            <w:pPr>
              <w:ind w:left="520"/>
              <w:spacing w:after="0" w:line="169" w:lineRule="exact"/>
              <w:rPr>
                <w:sz w:val="20"/>
                <w:szCs w:val="20"/>
                <w:color w:val="auto"/>
              </w:rPr>
            </w:pPr>
            <w:r>
              <w:rPr>
                <w:rFonts w:ascii="Arial" w:cs="Arial" w:eastAsia="Arial" w:hAnsi="Arial"/>
                <w:sz w:val="12"/>
                <w:szCs w:val="12"/>
                <w:color w:val="auto"/>
              </w:rPr>
              <w:t>49,660</w:t>
            </w:r>
            <w:r>
              <w:rPr>
                <w:rFonts w:ascii="Arial" w:cs="Arial" w:eastAsia="Arial" w:hAnsi="Arial"/>
                <w:sz w:val="19"/>
                <w:szCs w:val="19"/>
                <w:color w:val="auto"/>
                <w:vertAlign w:val="superscript"/>
              </w:rPr>
              <w:t>(5)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3,303,487</w:t>
            </w:r>
          </w:p>
        </w:tc>
        <w:tc>
          <w:tcPr>
            <w:tcW w:w="0" w:type="dxa"/>
            <w:vAlign w:val="bottom"/>
          </w:tcPr>
          <w:p>
            <w:pPr>
              <w:spacing w:after="0"/>
              <w:rPr>
                <w:sz w:val="1"/>
                <w:szCs w:val="1"/>
                <w:color w:val="auto"/>
              </w:rPr>
            </w:pPr>
          </w:p>
        </w:tc>
      </w:tr>
      <w:tr>
        <w:trPr>
          <w:trHeight w:val="40"/>
        </w:trPr>
        <w:tc>
          <w:tcPr>
            <w:tcW w:w="208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6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28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1460" w:type="dxa"/>
            <w:vAlign w:val="bottom"/>
            <w:tcBorders>
              <w:bottom w:val="single" w:sz="8" w:color="5D6673"/>
            </w:tcBorders>
          </w:tcPr>
          <w:p>
            <w:pPr>
              <w:spacing w:after="0"/>
              <w:rPr>
                <w:sz w:val="3"/>
                <w:szCs w:val="3"/>
                <w:color w:val="auto"/>
              </w:rPr>
            </w:pPr>
          </w:p>
        </w:tc>
        <w:tc>
          <w:tcPr>
            <w:tcW w:w="1360" w:type="dxa"/>
            <w:vAlign w:val="bottom"/>
            <w:tcBorders>
              <w:bottom w:val="single" w:sz="8" w:color="5D6673"/>
            </w:tcBorders>
          </w:tcPr>
          <w:p>
            <w:pPr>
              <w:spacing w:after="0"/>
              <w:rPr>
                <w:sz w:val="3"/>
                <w:szCs w:val="3"/>
                <w:color w:val="auto"/>
              </w:rPr>
            </w:pPr>
          </w:p>
        </w:tc>
        <w:tc>
          <w:tcPr>
            <w:tcW w:w="10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80" w:type="dxa"/>
            <w:vAlign w:val="bottom"/>
            <w:vMerge w:val="continue"/>
          </w:tcPr>
          <w:p>
            <w:pPr>
              <w:spacing w:after="0"/>
              <w:rPr>
                <w:sz w:val="8"/>
                <w:szCs w:val="8"/>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540,000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8"/>
                <w:szCs w:val="8"/>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color w:val="auto"/>
              </w:rPr>
              <w:t>1,449,557</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567,000</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23,153</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2,579,711</w:t>
            </w:r>
          </w:p>
        </w:tc>
        <w:tc>
          <w:tcPr>
            <w:tcW w:w="0" w:type="dxa"/>
            <w:vAlign w:val="bottom"/>
          </w:tcPr>
          <w:p>
            <w:pPr>
              <w:spacing w:after="0"/>
              <w:rPr>
                <w:sz w:val="1"/>
                <w:szCs w:val="1"/>
                <w:color w:val="auto"/>
              </w:rPr>
            </w:pPr>
          </w:p>
        </w:tc>
      </w:tr>
      <w:tr>
        <w:trPr>
          <w:trHeight w:val="100"/>
        </w:trPr>
        <w:tc>
          <w:tcPr>
            <w:tcW w:w="208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and CFO</w:t>
            </w:r>
          </w:p>
        </w:tc>
        <w:tc>
          <w:tcPr>
            <w:tcW w:w="660" w:type="dxa"/>
            <w:vAlign w:val="bottom"/>
            <w:tcBorders>
              <w:bottom w:val="single" w:sz="8" w:color="5D6673"/>
            </w:tcBorders>
            <w:vMerge w:val="continue"/>
          </w:tcPr>
          <w:p>
            <w:pPr>
              <w:spacing w:after="0"/>
              <w:rPr>
                <w:sz w:val="8"/>
                <w:szCs w:val="8"/>
                <w:color w:val="auto"/>
              </w:rPr>
            </w:pPr>
          </w:p>
        </w:tc>
        <w:tc>
          <w:tcPr>
            <w:tcW w:w="780" w:type="dxa"/>
            <w:vAlign w:val="bottom"/>
            <w:tcBorders>
              <w:bottom w:val="single" w:sz="8" w:color="5D6673"/>
            </w:tcBorders>
            <w:vMerge w:val="continue"/>
          </w:tcPr>
          <w:p>
            <w:pPr>
              <w:spacing w:after="0"/>
              <w:rPr>
                <w:sz w:val="8"/>
                <w:szCs w:val="8"/>
                <w:color w:val="auto"/>
              </w:rPr>
            </w:pPr>
          </w:p>
        </w:tc>
        <w:tc>
          <w:tcPr>
            <w:tcW w:w="640" w:type="dxa"/>
            <w:vAlign w:val="bottom"/>
            <w:tcBorders>
              <w:bottom w:val="single" w:sz="8" w:color="5D6673"/>
            </w:tcBorders>
            <w:vMerge w:val="continue"/>
          </w:tcPr>
          <w:p>
            <w:pPr>
              <w:spacing w:after="0"/>
              <w:rPr>
                <w:sz w:val="8"/>
                <w:szCs w:val="8"/>
                <w:color w:val="auto"/>
              </w:rPr>
            </w:pPr>
          </w:p>
        </w:tc>
        <w:tc>
          <w:tcPr>
            <w:tcW w:w="280" w:type="dxa"/>
            <w:vAlign w:val="bottom"/>
            <w:tcBorders>
              <w:bottom w:val="single" w:sz="8" w:color="5D6673"/>
            </w:tcBorders>
          </w:tcPr>
          <w:p>
            <w:pPr>
              <w:spacing w:after="0"/>
              <w:rPr>
                <w:sz w:val="8"/>
                <w:szCs w:val="8"/>
                <w:color w:val="auto"/>
              </w:rPr>
            </w:pPr>
          </w:p>
        </w:tc>
        <w:tc>
          <w:tcPr>
            <w:tcW w:w="880" w:type="dxa"/>
            <w:vAlign w:val="bottom"/>
            <w:tcBorders>
              <w:bottom w:val="single" w:sz="8" w:color="5D6673"/>
            </w:tcBorders>
            <w:vMerge w:val="continue"/>
          </w:tcPr>
          <w:p>
            <w:pPr>
              <w:spacing w:after="0"/>
              <w:rPr>
                <w:sz w:val="8"/>
                <w:szCs w:val="8"/>
                <w:color w:val="auto"/>
              </w:rPr>
            </w:pPr>
          </w:p>
        </w:tc>
        <w:tc>
          <w:tcPr>
            <w:tcW w:w="1460" w:type="dxa"/>
            <w:vAlign w:val="bottom"/>
            <w:tcBorders>
              <w:bottom w:val="single" w:sz="8" w:color="5D6673"/>
            </w:tcBorders>
            <w:vMerge w:val="continue"/>
          </w:tcPr>
          <w:p>
            <w:pPr>
              <w:spacing w:after="0"/>
              <w:rPr>
                <w:sz w:val="8"/>
                <w:szCs w:val="8"/>
                <w:color w:val="auto"/>
              </w:rPr>
            </w:pPr>
          </w:p>
        </w:tc>
        <w:tc>
          <w:tcPr>
            <w:tcW w:w="1360" w:type="dxa"/>
            <w:vAlign w:val="bottom"/>
            <w:tcBorders>
              <w:bottom w:val="single" w:sz="8" w:color="5D6673"/>
            </w:tcBorders>
            <w:vMerge w:val="continue"/>
          </w:tcPr>
          <w:p>
            <w:pPr>
              <w:spacing w:after="0"/>
              <w:rPr>
                <w:sz w:val="8"/>
                <w:szCs w:val="8"/>
                <w:color w:val="auto"/>
              </w:rPr>
            </w:pPr>
          </w:p>
        </w:tc>
        <w:tc>
          <w:tcPr>
            <w:tcW w:w="1040" w:type="dxa"/>
            <w:vAlign w:val="bottom"/>
            <w:tcBorders>
              <w:bottom w:val="single" w:sz="8" w:color="5D667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2022</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530,000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6"/>
                <w:szCs w:val="6"/>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color w:val="auto"/>
              </w:rPr>
              <w:t>1,311,495</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39,714</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1,881,209</w:t>
            </w:r>
          </w:p>
        </w:tc>
        <w:tc>
          <w:tcPr>
            <w:tcW w:w="0" w:type="dxa"/>
            <w:vAlign w:val="bottom"/>
          </w:tcPr>
          <w:p>
            <w:pPr>
              <w:spacing w:after="0"/>
              <w:rPr>
                <w:sz w:val="1"/>
                <w:szCs w:val="1"/>
                <w:color w:val="auto"/>
              </w:rPr>
            </w:pPr>
          </w:p>
        </w:tc>
      </w:tr>
      <w:tr>
        <w:trPr>
          <w:trHeight w:val="110"/>
        </w:trPr>
        <w:tc>
          <w:tcPr>
            <w:tcW w:w="2080" w:type="dxa"/>
            <w:vAlign w:val="bottom"/>
            <w:tcBorders>
              <w:bottom w:val="single" w:sz="8" w:color="5D6673"/>
            </w:tcBorders>
          </w:tcPr>
          <w:p>
            <w:pPr>
              <w:spacing w:after="0"/>
              <w:rPr>
                <w:sz w:val="9"/>
                <w:szCs w:val="9"/>
                <w:color w:val="auto"/>
              </w:rPr>
            </w:pPr>
          </w:p>
        </w:tc>
        <w:tc>
          <w:tcPr>
            <w:tcW w:w="660" w:type="dxa"/>
            <w:vAlign w:val="bottom"/>
            <w:tcBorders>
              <w:bottom w:val="single" w:sz="8" w:color="5D6673"/>
            </w:tcBorders>
            <w:vMerge w:val="continue"/>
          </w:tcPr>
          <w:p>
            <w:pPr>
              <w:spacing w:after="0"/>
              <w:rPr>
                <w:sz w:val="9"/>
                <w:szCs w:val="9"/>
                <w:color w:val="auto"/>
              </w:rPr>
            </w:pPr>
          </w:p>
        </w:tc>
        <w:tc>
          <w:tcPr>
            <w:tcW w:w="780" w:type="dxa"/>
            <w:vAlign w:val="bottom"/>
            <w:tcBorders>
              <w:bottom w:val="single" w:sz="8" w:color="5D6673"/>
            </w:tcBorders>
            <w:vMerge w:val="continue"/>
          </w:tcPr>
          <w:p>
            <w:pPr>
              <w:spacing w:after="0"/>
              <w:rPr>
                <w:sz w:val="9"/>
                <w:szCs w:val="9"/>
                <w:color w:val="auto"/>
              </w:rPr>
            </w:pPr>
          </w:p>
        </w:tc>
        <w:tc>
          <w:tcPr>
            <w:tcW w:w="640" w:type="dxa"/>
            <w:vAlign w:val="bottom"/>
            <w:tcBorders>
              <w:bottom w:val="single" w:sz="8" w:color="5D6673"/>
            </w:tcBorders>
            <w:vMerge w:val="continue"/>
          </w:tcPr>
          <w:p>
            <w:pPr>
              <w:spacing w:after="0"/>
              <w:rPr>
                <w:sz w:val="9"/>
                <w:szCs w:val="9"/>
                <w:color w:val="auto"/>
              </w:rPr>
            </w:pPr>
          </w:p>
        </w:tc>
        <w:tc>
          <w:tcPr>
            <w:tcW w:w="280" w:type="dxa"/>
            <w:vAlign w:val="bottom"/>
            <w:tcBorders>
              <w:bottom w:val="single" w:sz="8" w:color="5D6673"/>
            </w:tcBorders>
          </w:tcPr>
          <w:p>
            <w:pPr>
              <w:spacing w:after="0"/>
              <w:rPr>
                <w:sz w:val="9"/>
                <w:szCs w:val="9"/>
                <w:color w:val="auto"/>
              </w:rPr>
            </w:pPr>
          </w:p>
        </w:tc>
        <w:tc>
          <w:tcPr>
            <w:tcW w:w="880" w:type="dxa"/>
            <w:vAlign w:val="bottom"/>
            <w:tcBorders>
              <w:bottom w:val="single" w:sz="8" w:color="5D6673"/>
            </w:tcBorders>
            <w:vMerge w:val="continue"/>
          </w:tcPr>
          <w:p>
            <w:pPr>
              <w:spacing w:after="0"/>
              <w:rPr>
                <w:sz w:val="9"/>
                <w:szCs w:val="9"/>
                <w:color w:val="auto"/>
              </w:rPr>
            </w:pPr>
          </w:p>
        </w:tc>
        <w:tc>
          <w:tcPr>
            <w:tcW w:w="1460" w:type="dxa"/>
            <w:vAlign w:val="bottom"/>
            <w:tcBorders>
              <w:bottom w:val="single" w:sz="8" w:color="5D6673"/>
            </w:tcBorders>
            <w:vMerge w:val="continue"/>
          </w:tcPr>
          <w:p>
            <w:pPr>
              <w:spacing w:after="0"/>
              <w:rPr>
                <w:sz w:val="9"/>
                <w:szCs w:val="9"/>
                <w:color w:val="auto"/>
              </w:rPr>
            </w:pPr>
          </w:p>
        </w:tc>
        <w:tc>
          <w:tcPr>
            <w:tcW w:w="1360" w:type="dxa"/>
            <w:vAlign w:val="bottom"/>
            <w:tcBorders>
              <w:bottom w:val="single" w:sz="8" w:color="5D6673"/>
            </w:tcBorders>
            <w:vMerge w:val="continue"/>
          </w:tcPr>
          <w:p>
            <w:pPr>
              <w:spacing w:after="0"/>
              <w:rPr>
                <w:sz w:val="9"/>
                <w:szCs w:val="9"/>
                <w:color w:val="auto"/>
              </w:rPr>
            </w:pPr>
          </w:p>
        </w:tc>
        <w:tc>
          <w:tcPr>
            <w:tcW w:w="1040" w:type="dxa"/>
            <w:vAlign w:val="bottom"/>
            <w:tcBorders>
              <w:bottom w:val="single" w:sz="8" w:color="5D667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b w:val="1"/>
                <w:bCs w:val="1"/>
                <w:color w:val="0063A6"/>
              </w:rPr>
              <w:t>Donald L. Reeves</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470,000</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rPr>
              <w:t>1,034,987</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487,508</w:t>
            </w:r>
          </w:p>
        </w:tc>
        <w:tc>
          <w:tcPr>
            <w:tcW w:w="1360" w:type="dxa"/>
            <w:vAlign w:val="bottom"/>
          </w:tcPr>
          <w:p>
            <w:pPr>
              <w:ind w:left="520"/>
              <w:spacing w:after="0" w:line="169" w:lineRule="exact"/>
              <w:rPr>
                <w:sz w:val="20"/>
                <w:szCs w:val="20"/>
                <w:color w:val="auto"/>
              </w:rPr>
            </w:pPr>
            <w:r>
              <w:rPr>
                <w:rFonts w:ascii="Arial" w:cs="Arial" w:eastAsia="Arial" w:hAnsi="Arial"/>
                <w:sz w:val="12"/>
                <w:szCs w:val="12"/>
                <w:color w:val="auto"/>
              </w:rPr>
              <w:t>17,427</w:t>
            </w:r>
            <w:r>
              <w:rPr>
                <w:rFonts w:ascii="Arial" w:cs="Arial" w:eastAsia="Arial" w:hAnsi="Arial"/>
                <w:sz w:val="19"/>
                <w:szCs w:val="19"/>
                <w:color w:val="auto"/>
                <w:vertAlign w:val="superscript"/>
              </w:rPr>
              <w:t>(5)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2,009,922</w:t>
            </w:r>
          </w:p>
        </w:tc>
        <w:tc>
          <w:tcPr>
            <w:tcW w:w="0" w:type="dxa"/>
            <w:vAlign w:val="bottom"/>
          </w:tcPr>
          <w:p>
            <w:pPr>
              <w:spacing w:after="0"/>
              <w:rPr>
                <w:sz w:val="1"/>
                <w:szCs w:val="1"/>
                <w:color w:val="auto"/>
              </w:rPr>
            </w:pPr>
          </w:p>
        </w:tc>
      </w:tr>
      <w:tr>
        <w:trPr>
          <w:trHeight w:val="41"/>
        </w:trPr>
        <w:tc>
          <w:tcPr>
            <w:tcW w:w="208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6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28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1460" w:type="dxa"/>
            <w:vAlign w:val="bottom"/>
            <w:tcBorders>
              <w:bottom w:val="single" w:sz="8" w:color="5D6673"/>
            </w:tcBorders>
          </w:tcPr>
          <w:p>
            <w:pPr>
              <w:spacing w:after="0"/>
              <w:rPr>
                <w:sz w:val="3"/>
                <w:szCs w:val="3"/>
                <w:color w:val="auto"/>
              </w:rPr>
            </w:pPr>
          </w:p>
        </w:tc>
        <w:tc>
          <w:tcPr>
            <w:tcW w:w="1360" w:type="dxa"/>
            <w:vAlign w:val="bottom"/>
            <w:tcBorders>
              <w:bottom w:val="single" w:sz="8" w:color="5D6673"/>
            </w:tcBorders>
          </w:tcPr>
          <w:p>
            <w:pPr>
              <w:spacing w:after="0"/>
              <w:rPr>
                <w:sz w:val="3"/>
                <w:szCs w:val="3"/>
                <w:color w:val="auto"/>
              </w:rPr>
            </w:pPr>
          </w:p>
        </w:tc>
        <w:tc>
          <w:tcPr>
            <w:tcW w:w="10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80" w:type="dxa"/>
            <w:vAlign w:val="bottom"/>
            <w:vMerge w:val="continue"/>
          </w:tcPr>
          <w:p>
            <w:pPr>
              <w:spacing w:after="0"/>
              <w:rPr>
                <w:sz w:val="8"/>
                <w:szCs w:val="8"/>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460,000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8"/>
                <w:szCs w:val="8"/>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color w:val="auto"/>
              </w:rPr>
              <w:t>519,342</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458,850</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12,948</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1,451,140</w:t>
            </w:r>
          </w:p>
        </w:tc>
        <w:tc>
          <w:tcPr>
            <w:tcW w:w="0" w:type="dxa"/>
            <w:vAlign w:val="bottom"/>
          </w:tcPr>
          <w:p>
            <w:pPr>
              <w:spacing w:after="0"/>
              <w:rPr>
                <w:sz w:val="1"/>
                <w:szCs w:val="1"/>
                <w:color w:val="auto"/>
              </w:rPr>
            </w:pPr>
          </w:p>
        </w:tc>
      </w:tr>
      <w:tr>
        <w:trPr>
          <w:trHeight w:val="100"/>
        </w:trPr>
        <w:tc>
          <w:tcPr>
            <w:tcW w:w="208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Outcomes</w:t>
            </w:r>
          </w:p>
        </w:tc>
        <w:tc>
          <w:tcPr>
            <w:tcW w:w="660" w:type="dxa"/>
            <w:vAlign w:val="bottom"/>
            <w:tcBorders>
              <w:bottom w:val="single" w:sz="8" w:color="5D6673"/>
            </w:tcBorders>
            <w:vMerge w:val="continue"/>
          </w:tcPr>
          <w:p>
            <w:pPr>
              <w:spacing w:after="0"/>
              <w:rPr>
                <w:sz w:val="8"/>
                <w:szCs w:val="8"/>
                <w:color w:val="auto"/>
              </w:rPr>
            </w:pPr>
          </w:p>
        </w:tc>
        <w:tc>
          <w:tcPr>
            <w:tcW w:w="780" w:type="dxa"/>
            <w:vAlign w:val="bottom"/>
            <w:tcBorders>
              <w:bottom w:val="single" w:sz="8" w:color="5D6673"/>
            </w:tcBorders>
            <w:vMerge w:val="continue"/>
          </w:tcPr>
          <w:p>
            <w:pPr>
              <w:spacing w:after="0"/>
              <w:rPr>
                <w:sz w:val="8"/>
                <w:szCs w:val="8"/>
                <w:color w:val="auto"/>
              </w:rPr>
            </w:pPr>
          </w:p>
        </w:tc>
        <w:tc>
          <w:tcPr>
            <w:tcW w:w="640" w:type="dxa"/>
            <w:vAlign w:val="bottom"/>
            <w:tcBorders>
              <w:bottom w:val="single" w:sz="8" w:color="5D6673"/>
            </w:tcBorders>
            <w:vMerge w:val="continue"/>
          </w:tcPr>
          <w:p>
            <w:pPr>
              <w:spacing w:after="0"/>
              <w:rPr>
                <w:sz w:val="8"/>
                <w:szCs w:val="8"/>
                <w:color w:val="auto"/>
              </w:rPr>
            </w:pPr>
          </w:p>
        </w:tc>
        <w:tc>
          <w:tcPr>
            <w:tcW w:w="280" w:type="dxa"/>
            <w:vAlign w:val="bottom"/>
            <w:tcBorders>
              <w:bottom w:val="single" w:sz="8" w:color="5D6673"/>
            </w:tcBorders>
          </w:tcPr>
          <w:p>
            <w:pPr>
              <w:spacing w:after="0"/>
              <w:rPr>
                <w:sz w:val="8"/>
                <w:szCs w:val="8"/>
                <w:color w:val="auto"/>
              </w:rPr>
            </w:pPr>
          </w:p>
        </w:tc>
        <w:tc>
          <w:tcPr>
            <w:tcW w:w="880" w:type="dxa"/>
            <w:vAlign w:val="bottom"/>
            <w:tcBorders>
              <w:bottom w:val="single" w:sz="8" w:color="5D6673"/>
            </w:tcBorders>
            <w:vMerge w:val="continue"/>
          </w:tcPr>
          <w:p>
            <w:pPr>
              <w:spacing w:after="0"/>
              <w:rPr>
                <w:sz w:val="8"/>
                <w:szCs w:val="8"/>
                <w:color w:val="auto"/>
              </w:rPr>
            </w:pPr>
          </w:p>
        </w:tc>
        <w:tc>
          <w:tcPr>
            <w:tcW w:w="1460" w:type="dxa"/>
            <w:vAlign w:val="bottom"/>
            <w:tcBorders>
              <w:bottom w:val="single" w:sz="8" w:color="5D6673"/>
            </w:tcBorders>
            <w:vMerge w:val="continue"/>
          </w:tcPr>
          <w:p>
            <w:pPr>
              <w:spacing w:after="0"/>
              <w:rPr>
                <w:sz w:val="8"/>
                <w:szCs w:val="8"/>
                <w:color w:val="auto"/>
              </w:rPr>
            </w:pPr>
          </w:p>
        </w:tc>
        <w:tc>
          <w:tcPr>
            <w:tcW w:w="1360" w:type="dxa"/>
            <w:vAlign w:val="bottom"/>
            <w:tcBorders>
              <w:bottom w:val="single" w:sz="8" w:color="5D6673"/>
            </w:tcBorders>
            <w:vMerge w:val="continue"/>
          </w:tcPr>
          <w:p>
            <w:pPr>
              <w:spacing w:after="0"/>
              <w:rPr>
                <w:sz w:val="8"/>
                <w:szCs w:val="8"/>
                <w:color w:val="auto"/>
              </w:rPr>
            </w:pPr>
          </w:p>
        </w:tc>
        <w:tc>
          <w:tcPr>
            <w:tcW w:w="1040" w:type="dxa"/>
            <w:vAlign w:val="bottom"/>
            <w:tcBorders>
              <w:bottom w:val="single" w:sz="8" w:color="5D667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80" w:type="dxa"/>
            <w:vAlign w:val="bottom"/>
            <w:vMerge w:val="continue"/>
          </w:tcPr>
          <w:p>
            <w:pPr>
              <w:spacing w:after="0"/>
              <w:rPr>
                <w:sz w:val="6"/>
                <w:szCs w:val="6"/>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2022</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425,000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6"/>
                <w:szCs w:val="6"/>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color w:val="auto"/>
              </w:rPr>
              <w:t>405,225</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14,828</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845,053</w:t>
            </w:r>
          </w:p>
        </w:tc>
        <w:tc>
          <w:tcPr>
            <w:tcW w:w="0" w:type="dxa"/>
            <w:vAlign w:val="bottom"/>
          </w:tcPr>
          <w:p>
            <w:pPr>
              <w:spacing w:after="0"/>
              <w:rPr>
                <w:sz w:val="1"/>
                <w:szCs w:val="1"/>
                <w:color w:val="auto"/>
              </w:rPr>
            </w:pPr>
          </w:p>
        </w:tc>
      </w:tr>
      <w:tr>
        <w:trPr>
          <w:trHeight w:val="110"/>
        </w:trPr>
        <w:tc>
          <w:tcPr>
            <w:tcW w:w="2080" w:type="dxa"/>
            <w:vAlign w:val="bottom"/>
            <w:tcBorders>
              <w:bottom w:val="single" w:sz="8" w:color="5D6673"/>
            </w:tcBorders>
          </w:tcPr>
          <w:p>
            <w:pPr>
              <w:spacing w:after="0"/>
              <w:rPr>
                <w:sz w:val="9"/>
                <w:szCs w:val="9"/>
                <w:color w:val="auto"/>
              </w:rPr>
            </w:pPr>
          </w:p>
        </w:tc>
        <w:tc>
          <w:tcPr>
            <w:tcW w:w="660" w:type="dxa"/>
            <w:vAlign w:val="bottom"/>
            <w:tcBorders>
              <w:bottom w:val="single" w:sz="8" w:color="5D6673"/>
            </w:tcBorders>
            <w:vMerge w:val="continue"/>
          </w:tcPr>
          <w:p>
            <w:pPr>
              <w:spacing w:after="0"/>
              <w:rPr>
                <w:sz w:val="9"/>
                <w:szCs w:val="9"/>
                <w:color w:val="auto"/>
              </w:rPr>
            </w:pPr>
          </w:p>
        </w:tc>
        <w:tc>
          <w:tcPr>
            <w:tcW w:w="780" w:type="dxa"/>
            <w:vAlign w:val="bottom"/>
            <w:tcBorders>
              <w:bottom w:val="single" w:sz="8" w:color="5D6673"/>
            </w:tcBorders>
            <w:vMerge w:val="continue"/>
          </w:tcPr>
          <w:p>
            <w:pPr>
              <w:spacing w:after="0"/>
              <w:rPr>
                <w:sz w:val="9"/>
                <w:szCs w:val="9"/>
                <w:color w:val="auto"/>
              </w:rPr>
            </w:pPr>
          </w:p>
        </w:tc>
        <w:tc>
          <w:tcPr>
            <w:tcW w:w="640" w:type="dxa"/>
            <w:vAlign w:val="bottom"/>
            <w:tcBorders>
              <w:bottom w:val="single" w:sz="8" w:color="5D6673"/>
            </w:tcBorders>
            <w:vMerge w:val="continue"/>
          </w:tcPr>
          <w:p>
            <w:pPr>
              <w:spacing w:after="0"/>
              <w:rPr>
                <w:sz w:val="9"/>
                <w:szCs w:val="9"/>
                <w:color w:val="auto"/>
              </w:rPr>
            </w:pPr>
          </w:p>
        </w:tc>
        <w:tc>
          <w:tcPr>
            <w:tcW w:w="280" w:type="dxa"/>
            <w:vAlign w:val="bottom"/>
            <w:tcBorders>
              <w:bottom w:val="single" w:sz="8" w:color="5D6673"/>
            </w:tcBorders>
          </w:tcPr>
          <w:p>
            <w:pPr>
              <w:spacing w:after="0"/>
              <w:rPr>
                <w:sz w:val="9"/>
                <w:szCs w:val="9"/>
                <w:color w:val="auto"/>
              </w:rPr>
            </w:pPr>
          </w:p>
        </w:tc>
        <w:tc>
          <w:tcPr>
            <w:tcW w:w="880" w:type="dxa"/>
            <w:vAlign w:val="bottom"/>
            <w:tcBorders>
              <w:bottom w:val="single" w:sz="8" w:color="5D6673"/>
            </w:tcBorders>
            <w:vMerge w:val="continue"/>
          </w:tcPr>
          <w:p>
            <w:pPr>
              <w:spacing w:after="0"/>
              <w:rPr>
                <w:sz w:val="9"/>
                <w:szCs w:val="9"/>
                <w:color w:val="auto"/>
              </w:rPr>
            </w:pPr>
          </w:p>
        </w:tc>
        <w:tc>
          <w:tcPr>
            <w:tcW w:w="1460" w:type="dxa"/>
            <w:vAlign w:val="bottom"/>
            <w:tcBorders>
              <w:bottom w:val="single" w:sz="8" w:color="5D6673"/>
            </w:tcBorders>
            <w:vMerge w:val="continue"/>
          </w:tcPr>
          <w:p>
            <w:pPr>
              <w:spacing w:after="0"/>
              <w:rPr>
                <w:sz w:val="9"/>
                <w:szCs w:val="9"/>
                <w:color w:val="auto"/>
              </w:rPr>
            </w:pPr>
          </w:p>
        </w:tc>
        <w:tc>
          <w:tcPr>
            <w:tcW w:w="1360" w:type="dxa"/>
            <w:vAlign w:val="bottom"/>
            <w:tcBorders>
              <w:bottom w:val="single" w:sz="8" w:color="5D6673"/>
            </w:tcBorders>
            <w:vMerge w:val="continue"/>
          </w:tcPr>
          <w:p>
            <w:pPr>
              <w:spacing w:after="0"/>
              <w:rPr>
                <w:sz w:val="9"/>
                <w:szCs w:val="9"/>
                <w:color w:val="auto"/>
              </w:rPr>
            </w:pPr>
          </w:p>
        </w:tc>
        <w:tc>
          <w:tcPr>
            <w:tcW w:w="1040" w:type="dxa"/>
            <w:vAlign w:val="bottom"/>
            <w:tcBorders>
              <w:bottom w:val="single" w:sz="8" w:color="5D667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b w:val="1"/>
                <w:bCs w:val="1"/>
                <w:color w:val="0063A6"/>
              </w:rPr>
              <w:t>John F. Marcolini</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460,000</w:t>
            </w:r>
          </w:p>
        </w:tc>
        <w:tc>
          <w:tcPr>
            <w:tcW w:w="920" w:type="dxa"/>
            <w:vAlign w:val="bottom"/>
            <w:gridSpan w:val="2"/>
          </w:tcPr>
          <w:p>
            <w:pPr>
              <w:jc w:val="right"/>
              <w:ind w:right="80"/>
              <w:spacing w:after="0" w:line="169" w:lineRule="exact"/>
              <w:rPr>
                <w:sz w:val="20"/>
                <w:szCs w:val="20"/>
                <w:color w:val="auto"/>
              </w:rPr>
            </w:pPr>
            <w:r>
              <w:rPr>
                <w:rFonts w:ascii="Arial" w:cs="Arial" w:eastAsia="Arial" w:hAnsi="Arial"/>
                <w:sz w:val="12"/>
                <w:szCs w:val="12"/>
                <w:color w:val="auto"/>
              </w:rPr>
              <w:t>47,714</w:t>
            </w:r>
            <w:r>
              <w:rPr>
                <w:rFonts w:ascii="Arial" w:cs="Arial" w:eastAsia="Arial" w:hAnsi="Arial"/>
                <w:sz w:val="19"/>
                <w:szCs w:val="19"/>
                <w:color w:val="auto"/>
                <w:vertAlign w:val="superscript"/>
              </w:rPr>
              <w:t>(4)</w:t>
            </w:r>
          </w:p>
        </w:tc>
        <w:tc>
          <w:tcPr>
            <w:tcW w:w="880" w:type="dxa"/>
            <w:vAlign w:val="bottom"/>
          </w:tcPr>
          <w:p>
            <w:pPr>
              <w:ind w:left="120"/>
              <w:spacing w:after="0"/>
              <w:rPr>
                <w:sz w:val="20"/>
                <w:szCs w:val="20"/>
                <w:color w:val="auto"/>
              </w:rPr>
            </w:pPr>
            <w:r>
              <w:rPr>
                <w:rFonts w:ascii="Arial" w:cs="Arial" w:eastAsia="Arial" w:hAnsi="Arial"/>
                <w:sz w:val="14"/>
                <w:szCs w:val="14"/>
                <w:color w:val="auto"/>
              </w:rPr>
              <w:t>1,069,181</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477,135</w:t>
            </w:r>
          </w:p>
        </w:tc>
        <w:tc>
          <w:tcPr>
            <w:tcW w:w="1360" w:type="dxa"/>
            <w:vAlign w:val="bottom"/>
          </w:tcPr>
          <w:p>
            <w:pPr>
              <w:ind w:left="520"/>
              <w:spacing w:after="0" w:line="169" w:lineRule="exact"/>
              <w:rPr>
                <w:sz w:val="20"/>
                <w:szCs w:val="20"/>
                <w:color w:val="auto"/>
              </w:rPr>
            </w:pPr>
            <w:r>
              <w:rPr>
                <w:rFonts w:ascii="Arial" w:cs="Arial" w:eastAsia="Arial" w:hAnsi="Arial"/>
                <w:sz w:val="12"/>
                <w:szCs w:val="12"/>
                <w:color w:val="auto"/>
              </w:rPr>
              <w:t>15,586</w:t>
            </w:r>
            <w:r>
              <w:rPr>
                <w:rFonts w:ascii="Arial" w:cs="Arial" w:eastAsia="Arial" w:hAnsi="Arial"/>
                <w:sz w:val="19"/>
                <w:szCs w:val="19"/>
                <w:color w:val="auto"/>
                <w:vertAlign w:val="superscript"/>
              </w:rPr>
              <w:t>(5)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2,069,615</w:t>
            </w:r>
          </w:p>
        </w:tc>
        <w:tc>
          <w:tcPr>
            <w:tcW w:w="0" w:type="dxa"/>
            <w:vAlign w:val="bottom"/>
          </w:tcPr>
          <w:p>
            <w:pPr>
              <w:spacing w:after="0"/>
              <w:rPr>
                <w:sz w:val="1"/>
                <w:szCs w:val="1"/>
                <w:color w:val="auto"/>
              </w:rPr>
            </w:pPr>
          </w:p>
        </w:tc>
      </w:tr>
      <w:tr>
        <w:trPr>
          <w:trHeight w:val="40"/>
        </w:trPr>
        <w:tc>
          <w:tcPr>
            <w:tcW w:w="208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6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28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1460" w:type="dxa"/>
            <w:vAlign w:val="bottom"/>
            <w:tcBorders>
              <w:bottom w:val="single" w:sz="8" w:color="5D6673"/>
            </w:tcBorders>
          </w:tcPr>
          <w:p>
            <w:pPr>
              <w:spacing w:after="0"/>
              <w:rPr>
                <w:sz w:val="3"/>
                <w:szCs w:val="3"/>
                <w:color w:val="auto"/>
              </w:rPr>
            </w:pPr>
          </w:p>
        </w:tc>
        <w:tc>
          <w:tcPr>
            <w:tcW w:w="1360" w:type="dxa"/>
            <w:vAlign w:val="bottom"/>
            <w:tcBorders>
              <w:bottom w:val="single" w:sz="8" w:color="5D6673"/>
            </w:tcBorders>
          </w:tcPr>
          <w:p>
            <w:pPr>
              <w:spacing w:after="0"/>
              <w:rPr>
                <w:sz w:val="3"/>
                <w:szCs w:val="3"/>
                <w:color w:val="auto"/>
              </w:rPr>
            </w:pPr>
          </w:p>
        </w:tc>
        <w:tc>
          <w:tcPr>
            <w:tcW w:w="10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80" w:type="dxa"/>
            <w:vAlign w:val="bottom"/>
            <w:vMerge w:val="continue"/>
          </w:tcPr>
          <w:p>
            <w:pPr>
              <w:spacing w:after="0"/>
              <w:rPr>
                <w:sz w:val="8"/>
                <w:szCs w:val="8"/>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450,000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47,250</w:t>
            </w:r>
          </w:p>
        </w:tc>
        <w:tc>
          <w:tcPr>
            <w:tcW w:w="280" w:type="dxa"/>
            <w:vAlign w:val="bottom"/>
          </w:tcPr>
          <w:p>
            <w:pPr>
              <w:spacing w:after="0"/>
              <w:rPr>
                <w:sz w:val="8"/>
                <w:szCs w:val="8"/>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color w:val="auto"/>
              </w:rPr>
              <w:t>512,140</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472,500</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14,789</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1,496,679</w:t>
            </w:r>
          </w:p>
        </w:tc>
        <w:tc>
          <w:tcPr>
            <w:tcW w:w="0" w:type="dxa"/>
            <w:vAlign w:val="bottom"/>
          </w:tcPr>
          <w:p>
            <w:pPr>
              <w:spacing w:after="0"/>
              <w:rPr>
                <w:sz w:val="1"/>
                <w:szCs w:val="1"/>
                <w:color w:val="auto"/>
              </w:rPr>
            </w:pPr>
          </w:p>
        </w:tc>
      </w:tr>
      <w:tr>
        <w:trPr>
          <w:trHeight w:val="100"/>
        </w:trPr>
        <w:tc>
          <w:tcPr>
            <w:tcW w:w="208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Networked Solutions</w:t>
            </w:r>
          </w:p>
        </w:tc>
        <w:tc>
          <w:tcPr>
            <w:tcW w:w="660" w:type="dxa"/>
            <w:vAlign w:val="bottom"/>
            <w:tcBorders>
              <w:bottom w:val="single" w:sz="8" w:color="5D6673"/>
            </w:tcBorders>
            <w:vMerge w:val="continue"/>
          </w:tcPr>
          <w:p>
            <w:pPr>
              <w:spacing w:after="0"/>
              <w:rPr>
                <w:sz w:val="8"/>
                <w:szCs w:val="8"/>
                <w:color w:val="auto"/>
              </w:rPr>
            </w:pPr>
          </w:p>
        </w:tc>
        <w:tc>
          <w:tcPr>
            <w:tcW w:w="780" w:type="dxa"/>
            <w:vAlign w:val="bottom"/>
            <w:tcBorders>
              <w:bottom w:val="single" w:sz="8" w:color="5D6673"/>
            </w:tcBorders>
            <w:vMerge w:val="continue"/>
          </w:tcPr>
          <w:p>
            <w:pPr>
              <w:spacing w:after="0"/>
              <w:rPr>
                <w:sz w:val="8"/>
                <w:szCs w:val="8"/>
                <w:color w:val="auto"/>
              </w:rPr>
            </w:pPr>
          </w:p>
        </w:tc>
        <w:tc>
          <w:tcPr>
            <w:tcW w:w="640" w:type="dxa"/>
            <w:vAlign w:val="bottom"/>
            <w:tcBorders>
              <w:bottom w:val="single" w:sz="8" w:color="5D6673"/>
            </w:tcBorders>
            <w:vMerge w:val="continue"/>
          </w:tcPr>
          <w:p>
            <w:pPr>
              <w:spacing w:after="0"/>
              <w:rPr>
                <w:sz w:val="8"/>
                <w:szCs w:val="8"/>
                <w:color w:val="auto"/>
              </w:rPr>
            </w:pPr>
          </w:p>
        </w:tc>
        <w:tc>
          <w:tcPr>
            <w:tcW w:w="280" w:type="dxa"/>
            <w:vAlign w:val="bottom"/>
            <w:tcBorders>
              <w:bottom w:val="single" w:sz="8" w:color="5D6673"/>
            </w:tcBorders>
          </w:tcPr>
          <w:p>
            <w:pPr>
              <w:spacing w:after="0"/>
              <w:rPr>
                <w:sz w:val="8"/>
                <w:szCs w:val="8"/>
                <w:color w:val="auto"/>
              </w:rPr>
            </w:pPr>
          </w:p>
        </w:tc>
        <w:tc>
          <w:tcPr>
            <w:tcW w:w="880" w:type="dxa"/>
            <w:vAlign w:val="bottom"/>
            <w:tcBorders>
              <w:bottom w:val="single" w:sz="8" w:color="5D6673"/>
            </w:tcBorders>
            <w:vMerge w:val="continue"/>
          </w:tcPr>
          <w:p>
            <w:pPr>
              <w:spacing w:after="0"/>
              <w:rPr>
                <w:sz w:val="8"/>
                <w:szCs w:val="8"/>
                <w:color w:val="auto"/>
              </w:rPr>
            </w:pPr>
          </w:p>
        </w:tc>
        <w:tc>
          <w:tcPr>
            <w:tcW w:w="1460" w:type="dxa"/>
            <w:vAlign w:val="bottom"/>
            <w:tcBorders>
              <w:bottom w:val="single" w:sz="8" w:color="5D6673"/>
            </w:tcBorders>
            <w:vMerge w:val="continue"/>
          </w:tcPr>
          <w:p>
            <w:pPr>
              <w:spacing w:after="0"/>
              <w:rPr>
                <w:sz w:val="8"/>
                <w:szCs w:val="8"/>
                <w:color w:val="auto"/>
              </w:rPr>
            </w:pPr>
          </w:p>
        </w:tc>
        <w:tc>
          <w:tcPr>
            <w:tcW w:w="1360" w:type="dxa"/>
            <w:vAlign w:val="bottom"/>
            <w:tcBorders>
              <w:bottom w:val="single" w:sz="8" w:color="5D6673"/>
            </w:tcBorders>
            <w:vMerge w:val="continue"/>
          </w:tcPr>
          <w:p>
            <w:pPr>
              <w:spacing w:after="0"/>
              <w:rPr>
                <w:sz w:val="8"/>
                <w:szCs w:val="8"/>
                <w:color w:val="auto"/>
              </w:rPr>
            </w:pPr>
          </w:p>
        </w:tc>
        <w:tc>
          <w:tcPr>
            <w:tcW w:w="1040" w:type="dxa"/>
            <w:vAlign w:val="bottom"/>
            <w:tcBorders>
              <w:bottom w:val="single" w:sz="8" w:color="5D667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2022</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385,000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6"/>
                <w:szCs w:val="6"/>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color w:val="auto"/>
              </w:rPr>
              <w:t>399,093</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14,937</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799,030</w:t>
            </w:r>
          </w:p>
        </w:tc>
        <w:tc>
          <w:tcPr>
            <w:tcW w:w="0" w:type="dxa"/>
            <w:vAlign w:val="bottom"/>
          </w:tcPr>
          <w:p>
            <w:pPr>
              <w:spacing w:after="0"/>
              <w:rPr>
                <w:sz w:val="1"/>
                <w:szCs w:val="1"/>
                <w:color w:val="auto"/>
              </w:rPr>
            </w:pPr>
          </w:p>
        </w:tc>
      </w:tr>
      <w:tr>
        <w:trPr>
          <w:trHeight w:val="110"/>
        </w:trPr>
        <w:tc>
          <w:tcPr>
            <w:tcW w:w="2080" w:type="dxa"/>
            <w:vAlign w:val="bottom"/>
            <w:tcBorders>
              <w:bottom w:val="single" w:sz="8" w:color="5D6673"/>
            </w:tcBorders>
          </w:tcPr>
          <w:p>
            <w:pPr>
              <w:spacing w:after="0"/>
              <w:rPr>
                <w:sz w:val="9"/>
                <w:szCs w:val="9"/>
                <w:color w:val="auto"/>
              </w:rPr>
            </w:pPr>
          </w:p>
        </w:tc>
        <w:tc>
          <w:tcPr>
            <w:tcW w:w="660" w:type="dxa"/>
            <w:vAlign w:val="bottom"/>
            <w:tcBorders>
              <w:bottom w:val="single" w:sz="8" w:color="5D6673"/>
            </w:tcBorders>
            <w:vMerge w:val="continue"/>
          </w:tcPr>
          <w:p>
            <w:pPr>
              <w:spacing w:after="0"/>
              <w:rPr>
                <w:sz w:val="9"/>
                <w:szCs w:val="9"/>
                <w:color w:val="auto"/>
              </w:rPr>
            </w:pPr>
          </w:p>
        </w:tc>
        <w:tc>
          <w:tcPr>
            <w:tcW w:w="780" w:type="dxa"/>
            <w:vAlign w:val="bottom"/>
            <w:tcBorders>
              <w:bottom w:val="single" w:sz="8" w:color="5D6673"/>
            </w:tcBorders>
            <w:vMerge w:val="continue"/>
          </w:tcPr>
          <w:p>
            <w:pPr>
              <w:spacing w:after="0"/>
              <w:rPr>
                <w:sz w:val="9"/>
                <w:szCs w:val="9"/>
                <w:color w:val="auto"/>
              </w:rPr>
            </w:pPr>
          </w:p>
        </w:tc>
        <w:tc>
          <w:tcPr>
            <w:tcW w:w="640" w:type="dxa"/>
            <w:vAlign w:val="bottom"/>
            <w:tcBorders>
              <w:bottom w:val="single" w:sz="8" w:color="5D6673"/>
            </w:tcBorders>
            <w:vMerge w:val="continue"/>
          </w:tcPr>
          <w:p>
            <w:pPr>
              <w:spacing w:after="0"/>
              <w:rPr>
                <w:sz w:val="9"/>
                <w:szCs w:val="9"/>
                <w:color w:val="auto"/>
              </w:rPr>
            </w:pPr>
          </w:p>
        </w:tc>
        <w:tc>
          <w:tcPr>
            <w:tcW w:w="280" w:type="dxa"/>
            <w:vAlign w:val="bottom"/>
            <w:tcBorders>
              <w:bottom w:val="single" w:sz="8" w:color="5D6673"/>
            </w:tcBorders>
          </w:tcPr>
          <w:p>
            <w:pPr>
              <w:spacing w:after="0"/>
              <w:rPr>
                <w:sz w:val="9"/>
                <w:szCs w:val="9"/>
                <w:color w:val="auto"/>
              </w:rPr>
            </w:pPr>
          </w:p>
        </w:tc>
        <w:tc>
          <w:tcPr>
            <w:tcW w:w="880" w:type="dxa"/>
            <w:vAlign w:val="bottom"/>
            <w:tcBorders>
              <w:bottom w:val="single" w:sz="8" w:color="5D6673"/>
            </w:tcBorders>
            <w:vMerge w:val="continue"/>
          </w:tcPr>
          <w:p>
            <w:pPr>
              <w:spacing w:after="0"/>
              <w:rPr>
                <w:sz w:val="9"/>
                <w:szCs w:val="9"/>
                <w:color w:val="auto"/>
              </w:rPr>
            </w:pPr>
          </w:p>
        </w:tc>
        <w:tc>
          <w:tcPr>
            <w:tcW w:w="1460" w:type="dxa"/>
            <w:vAlign w:val="bottom"/>
            <w:tcBorders>
              <w:bottom w:val="single" w:sz="8" w:color="5D6673"/>
            </w:tcBorders>
            <w:vMerge w:val="continue"/>
          </w:tcPr>
          <w:p>
            <w:pPr>
              <w:spacing w:after="0"/>
              <w:rPr>
                <w:sz w:val="9"/>
                <w:szCs w:val="9"/>
                <w:color w:val="auto"/>
              </w:rPr>
            </w:pPr>
          </w:p>
        </w:tc>
        <w:tc>
          <w:tcPr>
            <w:tcW w:w="1360" w:type="dxa"/>
            <w:vAlign w:val="bottom"/>
            <w:tcBorders>
              <w:bottom w:val="single" w:sz="8" w:color="5D6673"/>
            </w:tcBorders>
            <w:vMerge w:val="continue"/>
          </w:tcPr>
          <w:p>
            <w:pPr>
              <w:spacing w:after="0"/>
              <w:rPr>
                <w:sz w:val="9"/>
                <w:szCs w:val="9"/>
                <w:color w:val="auto"/>
              </w:rPr>
            </w:pPr>
          </w:p>
        </w:tc>
        <w:tc>
          <w:tcPr>
            <w:tcW w:w="1040" w:type="dxa"/>
            <w:vAlign w:val="bottom"/>
            <w:tcBorders>
              <w:bottom w:val="single" w:sz="8" w:color="5D667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b w:val="1"/>
                <w:bCs w:val="1"/>
                <w:color w:val="0063A6"/>
              </w:rPr>
              <w:t>Justin K. Patrick</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415,000</w:t>
            </w:r>
          </w:p>
        </w:tc>
        <w:tc>
          <w:tcPr>
            <w:tcW w:w="920" w:type="dxa"/>
            <w:vAlign w:val="bottom"/>
            <w:gridSpan w:val="2"/>
          </w:tcPr>
          <w:p>
            <w:pPr>
              <w:jc w:val="right"/>
              <w:ind w:right="80"/>
              <w:spacing w:after="0" w:line="169" w:lineRule="exact"/>
              <w:rPr>
                <w:sz w:val="20"/>
                <w:szCs w:val="20"/>
                <w:color w:val="auto"/>
              </w:rPr>
            </w:pPr>
            <w:r>
              <w:rPr>
                <w:rFonts w:ascii="Arial" w:cs="Arial" w:eastAsia="Arial" w:hAnsi="Arial"/>
                <w:sz w:val="12"/>
                <w:szCs w:val="12"/>
                <w:color w:val="auto"/>
              </w:rPr>
              <w:t>43,046</w:t>
            </w:r>
            <w:r>
              <w:rPr>
                <w:rFonts w:ascii="Arial" w:cs="Arial" w:eastAsia="Arial" w:hAnsi="Arial"/>
                <w:sz w:val="19"/>
                <w:szCs w:val="19"/>
                <w:color w:val="auto"/>
                <w:vertAlign w:val="superscript"/>
              </w:rPr>
              <w:t>(4)</w:t>
            </w:r>
          </w:p>
        </w:tc>
        <w:tc>
          <w:tcPr>
            <w:tcW w:w="880" w:type="dxa"/>
            <w:vAlign w:val="bottom"/>
          </w:tcPr>
          <w:p>
            <w:pPr>
              <w:ind w:left="220"/>
              <w:spacing w:after="0"/>
              <w:rPr>
                <w:sz w:val="20"/>
                <w:szCs w:val="20"/>
                <w:color w:val="auto"/>
              </w:rPr>
            </w:pPr>
            <w:r>
              <w:rPr>
                <w:rFonts w:ascii="Arial" w:cs="Arial" w:eastAsia="Arial" w:hAnsi="Arial"/>
                <w:sz w:val="14"/>
                <w:szCs w:val="14"/>
                <w:color w:val="auto"/>
              </w:rPr>
              <w:t>953,103</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430,459</w:t>
            </w:r>
          </w:p>
        </w:tc>
        <w:tc>
          <w:tcPr>
            <w:tcW w:w="1360" w:type="dxa"/>
            <w:vAlign w:val="bottom"/>
          </w:tcPr>
          <w:p>
            <w:pPr>
              <w:ind w:left="520"/>
              <w:spacing w:after="0" w:line="169" w:lineRule="exact"/>
              <w:rPr>
                <w:sz w:val="20"/>
                <w:szCs w:val="20"/>
                <w:color w:val="auto"/>
              </w:rPr>
            </w:pPr>
            <w:r>
              <w:rPr>
                <w:rFonts w:ascii="Arial" w:cs="Arial" w:eastAsia="Arial" w:hAnsi="Arial"/>
                <w:sz w:val="12"/>
                <w:szCs w:val="12"/>
                <w:color w:val="auto"/>
              </w:rPr>
              <w:t>16,892</w:t>
            </w:r>
            <w:r>
              <w:rPr>
                <w:rFonts w:ascii="Arial" w:cs="Arial" w:eastAsia="Arial" w:hAnsi="Arial"/>
                <w:sz w:val="19"/>
                <w:szCs w:val="19"/>
                <w:color w:val="auto"/>
                <w:vertAlign w:val="superscript"/>
              </w:rPr>
              <w:t>(5)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1,858,500</w:t>
            </w:r>
          </w:p>
        </w:tc>
        <w:tc>
          <w:tcPr>
            <w:tcW w:w="0" w:type="dxa"/>
            <w:vAlign w:val="bottom"/>
          </w:tcPr>
          <w:p>
            <w:pPr>
              <w:spacing w:after="0"/>
              <w:rPr>
                <w:sz w:val="1"/>
                <w:szCs w:val="1"/>
                <w:color w:val="auto"/>
              </w:rPr>
            </w:pPr>
          </w:p>
        </w:tc>
      </w:tr>
      <w:tr>
        <w:trPr>
          <w:trHeight w:val="41"/>
        </w:trPr>
        <w:tc>
          <w:tcPr>
            <w:tcW w:w="2080" w:type="dxa"/>
            <w:vAlign w:val="bottom"/>
            <w:vMerge w:val="restart"/>
          </w:tcPr>
          <w:p>
            <w:pPr>
              <w:ind w:left="240"/>
              <w:spacing w:after="0" w:line="153" w:lineRule="exact"/>
              <w:rPr>
                <w:sz w:val="20"/>
                <w:szCs w:val="20"/>
                <w:color w:val="auto"/>
              </w:rPr>
            </w:pPr>
            <w:r>
              <w:rPr>
                <w:rFonts w:ascii="Arial" w:cs="Arial" w:eastAsia="Arial" w:hAnsi="Arial"/>
                <w:sz w:val="14"/>
                <w:szCs w:val="14"/>
                <w:b w:val="1"/>
                <w:bCs w:val="1"/>
                <w:color w:val="0063A6"/>
              </w:rPr>
              <w:t>Senior Vice President,</w:t>
            </w:r>
          </w:p>
        </w:tc>
        <w:tc>
          <w:tcPr>
            <w:tcW w:w="660" w:type="dxa"/>
            <w:vAlign w:val="bottom"/>
            <w:tcBorders>
              <w:bottom w:val="single" w:sz="8" w:color="5D6673"/>
            </w:tcBorders>
          </w:tcPr>
          <w:p>
            <w:pPr>
              <w:spacing w:after="0"/>
              <w:rPr>
                <w:sz w:val="3"/>
                <w:szCs w:val="3"/>
                <w:color w:val="auto"/>
              </w:rPr>
            </w:pPr>
          </w:p>
        </w:tc>
        <w:tc>
          <w:tcPr>
            <w:tcW w:w="7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280" w:type="dxa"/>
            <w:vAlign w:val="bottom"/>
            <w:tcBorders>
              <w:bottom w:val="single" w:sz="8" w:color="5D6673"/>
            </w:tcBorders>
          </w:tcPr>
          <w:p>
            <w:pPr>
              <w:spacing w:after="0"/>
              <w:rPr>
                <w:sz w:val="3"/>
                <w:szCs w:val="3"/>
                <w:color w:val="auto"/>
              </w:rPr>
            </w:pPr>
          </w:p>
        </w:tc>
        <w:tc>
          <w:tcPr>
            <w:tcW w:w="880" w:type="dxa"/>
            <w:vAlign w:val="bottom"/>
            <w:tcBorders>
              <w:bottom w:val="single" w:sz="8" w:color="5D6673"/>
            </w:tcBorders>
          </w:tcPr>
          <w:p>
            <w:pPr>
              <w:spacing w:after="0"/>
              <w:rPr>
                <w:sz w:val="3"/>
                <w:szCs w:val="3"/>
                <w:color w:val="auto"/>
              </w:rPr>
            </w:pPr>
          </w:p>
        </w:tc>
        <w:tc>
          <w:tcPr>
            <w:tcW w:w="1460" w:type="dxa"/>
            <w:vAlign w:val="bottom"/>
            <w:tcBorders>
              <w:bottom w:val="single" w:sz="8" w:color="5D6673"/>
            </w:tcBorders>
          </w:tcPr>
          <w:p>
            <w:pPr>
              <w:spacing w:after="0"/>
              <w:rPr>
                <w:sz w:val="3"/>
                <w:szCs w:val="3"/>
                <w:color w:val="auto"/>
              </w:rPr>
            </w:pPr>
          </w:p>
        </w:tc>
        <w:tc>
          <w:tcPr>
            <w:tcW w:w="1360" w:type="dxa"/>
            <w:vAlign w:val="bottom"/>
            <w:tcBorders>
              <w:bottom w:val="single" w:sz="8" w:color="5D6673"/>
            </w:tcBorders>
          </w:tcPr>
          <w:p>
            <w:pPr>
              <w:spacing w:after="0"/>
              <w:rPr>
                <w:sz w:val="3"/>
                <w:szCs w:val="3"/>
                <w:color w:val="auto"/>
              </w:rPr>
            </w:pPr>
          </w:p>
        </w:tc>
        <w:tc>
          <w:tcPr>
            <w:tcW w:w="104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80" w:type="dxa"/>
            <w:vAlign w:val="bottom"/>
            <w:vMerge w:val="continue"/>
          </w:tcPr>
          <w:p>
            <w:pPr>
              <w:spacing w:after="0"/>
              <w:rPr>
                <w:sz w:val="8"/>
                <w:szCs w:val="8"/>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400,000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42,000</w:t>
            </w:r>
          </w:p>
        </w:tc>
        <w:tc>
          <w:tcPr>
            <w:tcW w:w="280" w:type="dxa"/>
            <w:vAlign w:val="bottom"/>
          </w:tcPr>
          <w:p>
            <w:pPr>
              <w:spacing w:after="0"/>
              <w:rPr>
                <w:sz w:val="8"/>
                <w:szCs w:val="8"/>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color w:val="auto"/>
              </w:rPr>
              <w:t>477,800</w:t>
            </w:r>
          </w:p>
        </w:tc>
        <w:tc>
          <w:tcPr>
            <w:tcW w:w="1460" w:type="dxa"/>
            <w:vAlign w:val="bottom"/>
            <w:vMerge w:val="restart"/>
          </w:tcPr>
          <w:p>
            <w:pPr>
              <w:jc w:val="right"/>
              <w:ind w:right="268"/>
              <w:spacing w:after="0"/>
              <w:rPr>
                <w:sz w:val="20"/>
                <w:szCs w:val="20"/>
                <w:color w:val="auto"/>
              </w:rPr>
            </w:pPr>
            <w:r>
              <w:rPr>
                <w:rFonts w:ascii="Arial" w:cs="Arial" w:eastAsia="Arial" w:hAnsi="Arial"/>
                <w:sz w:val="14"/>
                <w:szCs w:val="14"/>
                <w:color w:val="auto"/>
              </w:rPr>
              <w:t>420,000</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13,483</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1,353,283</w:t>
            </w:r>
          </w:p>
        </w:tc>
        <w:tc>
          <w:tcPr>
            <w:tcW w:w="0" w:type="dxa"/>
            <w:vAlign w:val="bottom"/>
          </w:tcPr>
          <w:p>
            <w:pPr>
              <w:spacing w:after="0"/>
              <w:rPr>
                <w:sz w:val="1"/>
                <w:szCs w:val="1"/>
                <w:color w:val="auto"/>
              </w:rPr>
            </w:pPr>
          </w:p>
        </w:tc>
      </w:tr>
      <w:tr>
        <w:trPr>
          <w:trHeight w:val="96"/>
        </w:trPr>
        <w:tc>
          <w:tcPr>
            <w:tcW w:w="2080" w:type="dxa"/>
            <w:vAlign w:val="bottom"/>
            <w:vMerge w:val="restart"/>
          </w:tcPr>
          <w:p>
            <w:pPr>
              <w:ind w:left="240"/>
              <w:spacing w:after="0"/>
              <w:rPr>
                <w:sz w:val="20"/>
                <w:szCs w:val="20"/>
                <w:color w:val="auto"/>
              </w:rPr>
            </w:pPr>
            <w:r>
              <w:rPr>
                <w:rFonts w:ascii="Arial" w:cs="Arial" w:eastAsia="Arial" w:hAnsi="Arial"/>
                <w:sz w:val="14"/>
                <w:szCs w:val="14"/>
                <w:b w:val="1"/>
                <w:bCs w:val="1"/>
                <w:color w:val="0063A6"/>
              </w:rPr>
              <w:t>Device Solutions</w:t>
            </w:r>
          </w:p>
        </w:tc>
        <w:tc>
          <w:tcPr>
            <w:tcW w:w="6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80" w:type="dxa"/>
            <w:vAlign w:val="bottom"/>
            <w:tcBorders>
              <w:bottom w:val="single" w:sz="8" w:color="0063A6"/>
            </w:tcBorders>
            <w:vMerge w:val="continue"/>
          </w:tcPr>
          <w:p>
            <w:pPr>
              <w:spacing w:after="0"/>
              <w:rPr>
                <w:sz w:val="7"/>
                <w:szCs w:val="7"/>
                <w:color w:val="auto"/>
              </w:rPr>
            </w:pPr>
          </w:p>
        </w:tc>
        <w:tc>
          <w:tcPr>
            <w:tcW w:w="660" w:type="dxa"/>
            <w:vAlign w:val="bottom"/>
            <w:tcBorders>
              <w:bottom w:val="single" w:sz="8" w:color="0063A6"/>
            </w:tcBorders>
          </w:tcPr>
          <w:p>
            <w:pPr>
              <w:spacing w:after="0"/>
              <w:rPr>
                <w:sz w:val="7"/>
                <w:szCs w:val="7"/>
                <w:color w:val="auto"/>
              </w:rPr>
            </w:pPr>
          </w:p>
        </w:tc>
        <w:tc>
          <w:tcPr>
            <w:tcW w:w="780" w:type="dxa"/>
            <w:vAlign w:val="bottom"/>
            <w:tcBorders>
              <w:bottom w:val="single" w:sz="8" w:color="0063A6"/>
            </w:tcBorders>
          </w:tcPr>
          <w:p>
            <w:pPr>
              <w:spacing w:after="0"/>
              <w:rPr>
                <w:sz w:val="7"/>
                <w:szCs w:val="7"/>
                <w:color w:val="auto"/>
              </w:rPr>
            </w:pPr>
          </w:p>
        </w:tc>
        <w:tc>
          <w:tcPr>
            <w:tcW w:w="640" w:type="dxa"/>
            <w:vAlign w:val="bottom"/>
            <w:tcBorders>
              <w:bottom w:val="single" w:sz="8" w:color="0063A6"/>
            </w:tcBorders>
          </w:tcPr>
          <w:p>
            <w:pPr>
              <w:spacing w:after="0"/>
              <w:rPr>
                <w:sz w:val="7"/>
                <w:szCs w:val="7"/>
                <w:color w:val="auto"/>
              </w:rPr>
            </w:pPr>
          </w:p>
        </w:tc>
        <w:tc>
          <w:tcPr>
            <w:tcW w:w="280" w:type="dxa"/>
            <w:vAlign w:val="bottom"/>
            <w:tcBorders>
              <w:bottom w:val="single" w:sz="8" w:color="0063A6"/>
            </w:tcBorders>
          </w:tcPr>
          <w:p>
            <w:pPr>
              <w:spacing w:after="0"/>
              <w:rPr>
                <w:sz w:val="7"/>
                <w:szCs w:val="7"/>
                <w:color w:val="auto"/>
              </w:rPr>
            </w:pPr>
          </w:p>
        </w:tc>
        <w:tc>
          <w:tcPr>
            <w:tcW w:w="880" w:type="dxa"/>
            <w:vAlign w:val="bottom"/>
            <w:tcBorders>
              <w:bottom w:val="single" w:sz="8" w:color="0063A6"/>
            </w:tcBorders>
          </w:tcPr>
          <w:p>
            <w:pPr>
              <w:spacing w:after="0"/>
              <w:rPr>
                <w:sz w:val="7"/>
                <w:szCs w:val="7"/>
                <w:color w:val="auto"/>
              </w:rPr>
            </w:pPr>
          </w:p>
        </w:tc>
        <w:tc>
          <w:tcPr>
            <w:tcW w:w="1460" w:type="dxa"/>
            <w:vAlign w:val="bottom"/>
            <w:tcBorders>
              <w:bottom w:val="single" w:sz="8" w:color="0063A6"/>
            </w:tcBorders>
          </w:tcPr>
          <w:p>
            <w:pPr>
              <w:spacing w:after="0"/>
              <w:rPr>
                <w:sz w:val="7"/>
                <w:szCs w:val="7"/>
                <w:color w:val="auto"/>
              </w:rPr>
            </w:pPr>
          </w:p>
        </w:tc>
        <w:tc>
          <w:tcPr>
            <w:tcW w:w="1360" w:type="dxa"/>
            <w:vAlign w:val="bottom"/>
            <w:tcBorders>
              <w:bottom w:val="single" w:sz="8" w:color="0063A6"/>
            </w:tcBorders>
          </w:tcPr>
          <w:p>
            <w:pPr>
              <w:spacing w:after="0"/>
              <w:rPr>
                <w:sz w:val="7"/>
                <w:szCs w:val="7"/>
                <w:color w:val="auto"/>
              </w:rPr>
            </w:pPr>
          </w:p>
        </w:tc>
        <w:tc>
          <w:tcPr>
            <w:tcW w:w="1040" w:type="dxa"/>
            <w:vAlign w:val="bottom"/>
            <w:tcBorders>
              <w:bottom w:val="single" w:sz="8" w:color="0063A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120" w:hanging="346"/>
        <w:spacing w:after="0" w:line="256" w:lineRule="auto"/>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columns reflect the aggregate grant date fair value of RSU and PRSU awards granted under our Long-Term Incentive Plan (LTIP) and Second A&amp;R 2010 Plan (2010 SIP) determined in accordance with FASB ASC Topic 718. See Note 9 of the consolidated financial statements in our Annual Report on Form 10-K for the year ended December 31, 2024 regarding assumptions underlying the valuation of the equity awards granted in 2024.</w:t>
      </w:r>
    </w:p>
    <w:p>
      <w:pPr>
        <w:spacing w:after="0" w:line="42" w:lineRule="exact"/>
        <w:rPr>
          <w:rFonts w:ascii="Arial" w:cs="Arial" w:eastAsia="Arial" w:hAnsi="Arial"/>
          <w:sz w:val="14"/>
          <w:szCs w:val="14"/>
          <w:color w:val="auto"/>
        </w:rPr>
      </w:pPr>
    </w:p>
    <w:p>
      <w:pPr>
        <w:ind w:left="346" w:hanging="346"/>
        <w:spacing w:after="0" w:line="252" w:lineRule="auto"/>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grant date fair value of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each year. Therefore, the value in the table includes one-third of the target PRSUs for each active three-year performance cycle. For more details on how performance is calculated, refer to “</w:t>
      </w:r>
      <w:r>
        <w:rPr>
          <w:rFonts w:ascii="Arial" w:cs="Arial" w:eastAsia="Arial" w:hAnsi="Arial"/>
          <w:sz w:val="14"/>
          <w:szCs w:val="14"/>
          <w:i w:val="1"/>
          <w:iCs w:val="1"/>
          <w:color w:val="auto"/>
        </w:rPr>
        <w:t>A Closer Look at PRSUs</w:t>
      </w:r>
      <w:r>
        <w:rPr>
          <w:rFonts w:ascii="Arial" w:cs="Arial" w:eastAsia="Arial" w:hAnsi="Arial"/>
          <w:sz w:val="14"/>
          <w:szCs w:val="14"/>
          <w:color w:val="auto"/>
        </w:rPr>
        <w:t>” in this proxy statement.</w:t>
      </w:r>
    </w:p>
    <w:p>
      <w:pPr>
        <w:spacing w:after="0" w:line="32" w:lineRule="exact"/>
        <w:rPr>
          <w:rFonts w:ascii="Arial" w:cs="Arial" w:eastAsia="Arial" w:hAnsi="Arial"/>
          <w:sz w:val="14"/>
          <w:szCs w:val="14"/>
          <w:color w:val="auto"/>
        </w:rPr>
      </w:pPr>
    </w:p>
    <w:p>
      <w:pPr>
        <w:ind w:left="366" w:right="40"/>
        <w:spacing w:after="0" w:line="248" w:lineRule="auto"/>
        <w:rPr>
          <w:rFonts w:ascii="Arial" w:cs="Arial" w:eastAsia="Arial" w:hAnsi="Arial"/>
          <w:sz w:val="14"/>
          <w:szCs w:val="14"/>
          <w:color w:val="auto"/>
        </w:rPr>
      </w:pPr>
      <w:r>
        <w:rPr>
          <w:rFonts w:ascii="Arial" w:cs="Arial" w:eastAsia="Arial" w:hAnsi="Arial"/>
          <w:sz w:val="14"/>
          <w:szCs w:val="14"/>
          <w:color w:val="auto"/>
        </w:rPr>
        <w:t>The grant date fair value of the non-GAAP diluted EPS component is based upon the probable outcome for the award and is consistent with the estimate of aggregate compensation cost to be recognized over the performance period determined as of the grant date under FASB ASC Topic 718. As required under FASB ASC Topic 718, the grant date fair value for the TSR multiplier is recalculated and included in the amounts shown for 2024 for the 2024 portion of the award in each active performance cycle and was determined using a Monte Carlo valuation model on the date the PRSUs were awarded. Grant date fair values assuming maximum performance achievement for the 2024 PRSUs for the full performance cycle (2024-2026) would be: T. Deitrich - $10,444,651; J. Hooper - $2,480,514; D. Reeves - $1,436,108; J. Marcolini - $1,501,261; J. Patrick - $1,305,410.</w:t>
      </w:r>
    </w:p>
    <w:p>
      <w:pPr>
        <w:spacing w:after="0" w:line="36" w:lineRule="exact"/>
        <w:rPr>
          <w:rFonts w:ascii="Arial" w:cs="Arial" w:eastAsia="Arial" w:hAnsi="Arial"/>
          <w:sz w:val="14"/>
          <w:szCs w:val="14"/>
          <w:color w:val="auto"/>
        </w:rPr>
      </w:pPr>
    </w:p>
    <w:p>
      <w:pPr>
        <w:ind w:left="346" w:hanging="346"/>
        <w:spacing w:after="0"/>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82" w:lineRule="exact"/>
        <w:rPr>
          <w:rFonts w:ascii="Arial" w:cs="Arial" w:eastAsia="Arial" w:hAnsi="Arial"/>
          <w:sz w:val="14"/>
          <w:szCs w:val="14"/>
          <w:color w:val="auto"/>
        </w:rPr>
      </w:pPr>
    </w:p>
    <w:p>
      <w:pPr>
        <w:ind w:left="346" w:right="220" w:hanging="346"/>
        <w:spacing w:after="0" w:line="285" w:lineRule="auto"/>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values reflect payouts resulting from the discretionary individual performance factor (IPF) modifier applied to the annual incentive payouts for these executives.</w:t>
      </w:r>
    </w:p>
    <w:p>
      <w:pPr>
        <w:spacing w:after="0" w:line="9" w:lineRule="exact"/>
        <w:rPr>
          <w:rFonts w:ascii="Arial" w:cs="Arial" w:eastAsia="Arial" w:hAnsi="Arial"/>
          <w:sz w:val="14"/>
          <w:szCs w:val="14"/>
          <w:color w:val="auto"/>
        </w:rPr>
      </w:pPr>
    </w:p>
    <w:p>
      <w:pPr>
        <w:ind w:left="346" w:right="260" w:hanging="346"/>
        <w:spacing w:after="0" w:line="256" w:lineRule="auto"/>
        <w:tabs>
          <w:tab w:leader="none" w:pos="3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Company 401(k) matching contributions of $15,525 for Mr. Deitrich, $16,447 for Ms. Hooper, $17,427 for Mr. Reeves, $15,586 for Mr. Marcolini, and $16,892 for Mr. Patrick; and a company match under the Executive Deferred Compensation Plan of $33,214 for Ms.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7"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5" w:name="page46"/>
    <w:bookmarkEnd w:id="4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2024 Grants of Plan-Based Awards Table</w:t>
      </w:r>
    </w:p>
    <w:p>
      <w:pPr>
        <w:spacing w:after="0" w:line="200" w:lineRule="exact"/>
        <w:rPr>
          <w:sz w:val="20"/>
          <w:szCs w:val="20"/>
          <w:color w:val="auto"/>
        </w:rPr>
      </w:pPr>
    </w:p>
    <w:p>
      <w:pPr>
        <w:spacing w:after="0" w:line="314"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1380" w:type="dxa"/>
            <w:vAlign w:val="bottom"/>
          </w:tcPr>
          <w:p>
            <w:pPr>
              <w:spacing w:after="0"/>
              <w:rPr>
                <w:sz w:val="14"/>
                <w:szCs w:val="14"/>
                <w:color w:val="auto"/>
              </w:rPr>
            </w:pPr>
          </w:p>
        </w:tc>
        <w:tc>
          <w:tcPr>
            <w:tcW w:w="80" w:type="dxa"/>
            <w:vAlign w:val="bottom"/>
            <w:tcBorders>
              <w:bottom w:val="single" w:sz="8" w:color="0063A6"/>
            </w:tcBorders>
          </w:tcPr>
          <w:p>
            <w:pPr>
              <w:spacing w:after="0"/>
              <w:rPr>
                <w:sz w:val="14"/>
                <w:szCs w:val="14"/>
                <w:color w:val="auto"/>
              </w:rPr>
            </w:pPr>
          </w:p>
        </w:tc>
        <w:tc>
          <w:tcPr>
            <w:tcW w:w="660" w:type="dxa"/>
            <w:vAlign w:val="bottom"/>
            <w:tcBorders>
              <w:bottom w:val="single" w:sz="8" w:color="0063A6"/>
            </w:tcBorders>
          </w:tcPr>
          <w:p>
            <w:pPr>
              <w:spacing w:after="0"/>
              <w:rPr>
                <w:sz w:val="14"/>
                <w:szCs w:val="14"/>
                <w:color w:val="auto"/>
              </w:rPr>
            </w:pPr>
          </w:p>
        </w:tc>
        <w:tc>
          <w:tcPr>
            <w:tcW w:w="100" w:type="dxa"/>
            <w:vAlign w:val="bottom"/>
            <w:tcBorders>
              <w:bottom w:val="single" w:sz="8" w:color="0063A6"/>
            </w:tcBorders>
          </w:tcPr>
          <w:p>
            <w:pPr>
              <w:spacing w:after="0"/>
              <w:rPr>
                <w:sz w:val="14"/>
                <w:szCs w:val="14"/>
                <w:color w:val="auto"/>
              </w:rPr>
            </w:pPr>
          </w:p>
        </w:tc>
        <w:tc>
          <w:tcPr>
            <w:tcW w:w="840" w:type="dxa"/>
            <w:vAlign w:val="bottom"/>
            <w:tcBorders>
              <w:bottom w:val="single" w:sz="8" w:color="0063A6"/>
            </w:tcBorders>
          </w:tcPr>
          <w:p>
            <w:pPr>
              <w:spacing w:after="0"/>
              <w:rPr>
                <w:sz w:val="14"/>
                <w:szCs w:val="14"/>
                <w:color w:val="auto"/>
              </w:rPr>
            </w:pPr>
          </w:p>
        </w:tc>
        <w:tc>
          <w:tcPr>
            <w:tcW w:w="220" w:type="dxa"/>
            <w:vAlign w:val="bottom"/>
            <w:tcBorders>
              <w:bottom w:val="single" w:sz="8" w:color="0063A6"/>
            </w:tcBorders>
          </w:tcPr>
          <w:p>
            <w:pPr>
              <w:spacing w:after="0"/>
              <w:rPr>
                <w:sz w:val="14"/>
                <w:szCs w:val="14"/>
                <w:color w:val="auto"/>
              </w:rPr>
            </w:pPr>
          </w:p>
        </w:tc>
        <w:tc>
          <w:tcPr>
            <w:tcW w:w="700" w:type="dxa"/>
            <w:vAlign w:val="bottom"/>
            <w:tcBorders>
              <w:bottom w:val="single" w:sz="8" w:color="0063A6"/>
            </w:tcBorders>
          </w:tcPr>
          <w:p>
            <w:pPr>
              <w:spacing w:after="0"/>
              <w:rPr>
                <w:sz w:val="14"/>
                <w:szCs w:val="14"/>
                <w:color w:val="auto"/>
              </w:rPr>
            </w:pPr>
          </w:p>
        </w:tc>
        <w:tc>
          <w:tcPr>
            <w:tcW w:w="180" w:type="dxa"/>
            <w:vAlign w:val="bottom"/>
            <w:tcBorders>
              <w:bottom w:val="single" w:sz="8" w:color="0063A6"/>
            </w:tcBorders>
          </w:tcPr>
          <w:p>
            <w:pPr>
              <w:spacing w:after="0"/>
              <w:rPr>
                <w:sz w:val="14"/>
                <w:szCs w:val="14"/>
                <w:color w:val="auto"/>
              </w:rPr>
            </w:pPr>
          </w:p>
        </w:tc>
        <w:tc>
          <w:tcPr>
            <w:tcW w:w="640" w:type="dxa"/>
            <w:vAlign w:val="bottom"/>
            <w:tcBorders>
              <w:bottom w:val="single" w:sz="8" w:color="0063A6"/>
            </w:tcBorders>
          </w:tcPr>
          <w:p>
            <w:pPr>
              <w:spacing w:after="0"/>
              <w:rPr>
                <w:sz w:val="14"/>
                <w:szCs w:val="14"/>
                <w:color w:val="auto"/>
              </w:rPr>
            </w:pPr>
          </w:p>
        </w:tc>
        <w:tc>
          <w:tcPr>
            <w:tcW w:w="40" w:type="dxa"/>
            <w:vAlign w:val="bottom"/>
            <w:tcBorders>
              <w:bottom w:val="single" w:sz="8" w:color="0063A6"/>
            </w:tcBorders>
          </w:tcPr>
          <w:p>
            <w:pPr>
              <w:spacing w:after="0"/>
              <w:rPr>
                <w:sz w:val="14"/>
                <w:szCs w:val="14"/>
                <w:color w:val="auto"/>
              </w:rPr>
            </w:pPr>
          </w:p>
        </w:tc>
        <w:tc>
          <w:tcPr>
            <w:tcW w:w="920" w:type="dxa"/>
            <w:vAlign w:val="bottom"/>
            <w:tcBorders>
              <w:bottom w:val="single" w:sz="8" w:color="0063A6"/>
            </w:tcBorders>
            <w:gridSpan w:val="2"/>
          </w:tcPr>
          <w:p>
            <w:pPr>
              <w:jc w:val="right"/>
              <w:ind w:right="90"/>
              <w:spacing w:after="0"/>
              <w:rPr>
                <w:sz w:val="20"/>
                <w:szCs w:val="20"/>
                <w:color w:val="auto"/>
              </w:rPr>
            </w:pPr>
            <w:r>
              <w:rPr>
                <w:rFonts w:ascii="Arial" w:cs="Arial" w:eastAsia="Arial" w:hAnsi="Arial"/>
                <w:sz w:val="13"/>
                <w:szCs w:val="13"/>
                <w:b w:val="1"/>
                <w:bCs w:val="1"/>
                <w:color w:val="auto"/>
              </w:rPr>
              <w:t>ITRON, INC.</w:t>
            </w:r>
          </w:p>
        </w:tc>
        <w:tc>
          <w:tcPr>
            <w:tcW w:w="680" w:type="dxa"/>
            <w:vAlign w:val="bottom"/>
            <w:tcBorders>
              <w:bottom w:val="single" w:sz="8" w:color="0063A6"/>
            </w:tcBorders>
          </w:tcPr>
          <w:p>
            <w:pPr>
              <w:spacing w:after="0"/>
              <w:rPr>
                <w:sz w:val="14"/>
                <w:szCs w:val="14"/>
                <w:color w:val="auto"/>
              </w:rPr>
            </w:pPr>
          </w:p>
        </w:tc>
        <w:tc>
          <w:tcPr>
            <w:tcW w:w="740" w:type="dxa"/>
            <w:vAlign w:val="bottom"/>
            <w:tcBorders>
              <w:bottom w:val="single" w:sz="8" w:color="0063A6"/>
            </w:tcBorders>
          </w:tcPr>
          <w:p>
            <w:pPr>
              <w:spacing w:after="0"/>
              <w:rPr>
                <w:sz w:val="14"/>
                <w:szCs w:val="14"/>
                <w:color w:val="auto"/>
              </w:rPr>
            </w:pPr>
          </w:p>
        </w:tc>
        <w:tc>
          <w:tcPr>
            <w:tcW w:w="100" w:type="dxa"/>
            <w:vAlign w:val="bottom"/>
            <w:tcBorders>
              <w:bottom w:val="single" w:sz="8" w:color="0063A6"/>
            </w:tcBorders>
          </w:tcPr>
          <w:p>
            <w:pPr>
              <w:spacing w:after="0"/>
              <w:rPr>
                <w:sz w:val="14"/>
                <w:szCs w:val="14"/>
                <w:color w:val="auto"/>
              </w:rPr>
            </w:pPr>
          </w:p>
        </w:tc>
        <w:tc>
          <w:tcPr>
            <w:tcW w:w="760" w:type="dxa"/>
            <w:vAlign w:val="bottom"/>
            <w:tcBorders>
              <w:bottom w:val="single" w:sz="8" w:color="0063A6"/>
            </w:tcBorders>
          </w:tcPr>
          <w:p>
            <w:pPr>
              <w:spacing w:after="0"/>
              <w:rPr>
                <w:sz w:val="14"/>
                <w:szCs w:val="14"/>
                <w:color w:val="auto"/>
              </w:rPr>
            </w:pPr>
          </w:p>
        </w:tc>
        <w:tc>
          <w:tcPr>
            <w:tcW w:w="220" w:type="dxa"/>
            <w:vAlign w:val="bottom"/>
            <w:tcBorders>
              <w:bottom w:val="single" w:sz="8" w:color="0063A6"/>
            </w:tcBorders>
          </w:tcPr>
          <w:p>
            <w:pPr>
              <w:spacing w:after="0"/>
              <w:rPr>
                <w:sz w:val="14"/>
                <w:szCs w:val="14"/>
                <w:color w:val="auto"/>
              </w:rPr>
            </w:pPr>
          </w:p>
        </w:tc>
        <w:tc>
          <w:tcPr>
            <w:tcW w:w="920" w:type="dxa"/>
            <w:vAlign w:val="bottom"/>
            <w:tcBorders>
              <w:bottom w:val="single" w:sz="8" w:color="0063A6"/>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right"/>
              <w:ind w:right="249"/>
              <w:spacing w:after="0"/>
              <w:rPr>
                <w:sz w:val="20"/>
                <w:szCs w:val="20"/>
                <w:color w:val="auto"/>
              </w:rPr>
            </w:pPr>
            <w:r>
              <w:rPr>
                <w:rFonts w:ascii="Arial" w:cs="Arial" w:eastAsia="Arial" w:hAnsi="Arial"/>
                <w:sz w:val="13"/>
                <w:szCs w:val="13"/>
                <w:b w:val="1"/>
                <w:bCs w:val="1"/>
                <w:color w:val="auto"/>
              </w:rPr>
              <w:t>Grants of Plan-Based Awards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80" w:type="dxa"/>
            <w:vAlign w:val="bottom"/>
            <w:shd w:val="clear" w:color="auto" w:fill="0063A6"/>
          </w:tcPr>
          <w:p>
            <w:pPr>
              <w:spacing w:after="0"/>
              <w:rPr>
                <w:sz w:val="12"/>
                <w:szCs w:val="12"/>
                <w:color w:val="auto"/>
              </w:rPr>
            </w:pPr>
          </w:p>
        </w:tc>
        <w:tc>
          <w:tcPr>
            <w:tcW w:w="66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840" w:type="dxa"/>
            <w:vAlign w:val="bottom"/>
            <w:shd w:val="clear" w:color="auto" w:fill="0063A6"/>
          </w:tcPr>
          <w:p>
            <w:pPr>
              <w:spacing w:after="0"/>
              <w:rPr>
                <w:sz w:val="12"/>
                <w:szCs w:val="12"/>
                <w:color w:val="auto"/>
              </w:rPr>
            </w:pPr>
          </w:p>
        </w:tc>
        <w:tc>
          <w:tcPr>
            <w:tcW w:w="220" w:type="dxa"/>
            <w:vAlign w:val="bottom"/>
            <w:shd w:val="clear" w:color="auto" w:fill="0063A6"/>
          </w:tcPr>
          <w:p>
            <w:pPr>
              <w:spacing w:after="0"/>
              <w:rPr>
                <w:sz w:val="12"/>
                <w:szCs w:val="12"/>
                <w:color w:val="auto"/>
              </w:rPr>
            </w:pPr>
          </w:p>
        </w:tc>
        <w:tc>
          <w:tcPr>
            <w:tcW w:w="700" w:type="dxa"/>
            <w:vAlign w:val="bottom"/>
            <w:shd w:val="clear" w:color="auto" w:fill="0063A6"/>
          </w:tcPr>
          <w:p>
            <w:pPr>
              <w:spacing w:after="0"/>
              <w:rPr>
                <w:sz w:val="12"/>
                <w:szCs w:val="12"/>
                <w:color w:val="auto"/>
              </w:rPr>
            </w:pPr>
          </w:p>
        </w:tc>
        <w:tc>
          <w:tcPr>
            <w:tcW w:w="180" w:type="dxa"/>
            <w:vAlign w:val="bottom"/>
            <w:shd w:val="clear" w:color="auto" w:fill="0063A6"/>
          </w:tcPr>
          <w:p>
            <w:pPr>
              <w:spacing w:after="0"/>
              <w:rPr>
                <w:sz w:val="12"/>
                <w:szCs w:val="12"/>
                <w:color w:val="auto"/>
              </w:rPr>
            </w:pPr>
          </w:p>
        </w:tc>
        <w:tc>
          <w:tcPr>
            <w:tcW w:w="64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860" w:type="dxa"/>
            <w:vAlign w:val="bottom"/>
            <w:shd w:val="clear" w:color="auto" w:fill="0063A6"/>
          </w:tcPr>
          <w:p>
            <w:pPr>
              <w:spacing w:after="0"/>
              <w:rPr>
                <w:sz w:val="12"/>
                <w:szCs w:val="12"/>
                <w:color w:val="auto"/>
              </w:rPr>
            </w:pPr>
          </w:p>
        </w:tc>
        <w:tc>
          <w:tcPr>
            <w:tcW w:w="680" w:type="dxa"/>
            <w:vAlign w:val="bottom"/>
            <w:shd w:val="clear" w:color="auto" w:fill="0063A6"/>
          </w:tcPr>
          <w:p>
            <w:pPr>
              <w:spacing w:after="0"/>
              <w:rPr>
                <w:sz w:val="12"/>
                <w:szCs w:val="12"/>
                <w:color w:val="auto"/>
              </w:rPr>
            </w:pPr>
          </w:p>
        </w:tc>
        <w:tc>
          <w:tcPr>
            <w:tcW w:w="74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760" w:type="dxa"/>
            <w:vAlign w:val="bottom"/>
            <w:shd w:val="clear" w:color="auto" w:fill="0063A6"/>
          </w:tcPr>
          <w:p>
            <w:pPr>
              <w:jc w:val="right"/>
              <w:ind w:right="51"/>
              <w:spacing w:after="0" w:line="144" w:lineRule="exact"/>
              <w:rPr>
                <w:sz w:val="20"/>
                <w:szCs w:val="20"/>
                <w:color w:val="auto"/>
              </w:rPr>
            </w:pPr>
            <w:r>
              <w:rPr>
                <w:rFonts w:ascii="Arial" w:cs="Arial" w:eastAsia="Arial" w:hAnsi="Arial"/>
                <w:sz w:val="13"/>
                <w:szCs w:val="13"/>
                <w:b w:val="1"/>
                <w:bCs w:val="1"/>
                <w:color w:val="FFFFFF"/>
              </w:rPr>
              <w:t>All Other</w:t>
            </w:r>
          </w:p>
        </w:tc>
        <w:tc>
          <w:tcPr>
            <w:tcW w:w="220" w:type="dxa"/>
            <w:vAlign w:val="bottom"/>
            <w:shd w:val="clear" w:color="auto" w:fill="0063A6"/>
          </w:tcPr>
          <w:p>
            <w:pPr>
              <w:spacing w:after="0"/>
              <w:rPr>
                <w:sz w:val="12"/>
                <w:szCs w:val="12"/>
                <w:color w:val="auto"/>
              </w:rPr>
            </w:pPr>
          </w:p>
        </w:tc>
        <w:tc>
          <w:tcPr>
            <w:tcW w:w="9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660" w:type="dxa"/>
            <w:vAlign w:val="bottom"/>
            <w:shd w:val="clear" w:color="auto" w:fill="0063A6"/>
          </w:tcPr>
          <w:p>
            <w:pPr>
              <w:spacing w:after="0"/>
              <w:rPr>
                <w:sz w:val="11"/>
                <w:szCs w:val="11"/>
                <w:color w:val="auto"/>
              </w:rPr>
            </w:pPr>
          </w:p>
        </w:tc>
        <w:tc>
          <w:tcPr>
            <w:tcW w:w="100" w:type="dxa"/>
            <w:vAlign w:val="bottom"/>
            <w:shd w:val="clear" w:color="auto" w:fill="0063A6"/>
          </w:tcPr>
          <w:p>
            <w:pPr>
              <w:spacing w:after="0"/>
              <w:rPr>
                <w:sz w:val="11"/>
                <w:szCs w:val="11"/>
                <w:color w:val="auto"/>
              </w:rPr>
            </w:pPr>
          </w:p>
        </w:tc>
        <w:tc>
          <w:tcPr>
            <w:tcW w:w="2580" w:type="dxa"/>
            <w:vAlign w:val="bottom"/>
            <w:gridSpan w:val="5"/>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Estimated Future Payouts Under</w:t>
            </w:r>
          </w:p>
        </w:tc>
        <w:tc>
          <w:tcPr>
            <w:tcW w:w="40" w:type="dxa"/>
            <w:vAlign w:val="bottom"/>
            <w:shd w:val="clear" w:color="auto" w:fill="0063A6"/>
          </w:tcPr>
          <w:p>
            <w:pPr>
              <w:spacing w:after="0"/>
              <w:rPr>
                <w:sz w:val="11"/>
                <w:szCs w:val="11"/>
                <w:color w:val="auto"/>
              </w:rPr>
            </w:pPr>
          </w:p>
        </w:tc>
        <w:tc>
          <w:tcPr>
            <w:tcW w:w="60" w:type="dxa"/>
            <w:vAlign w:val="bottom"/>
            <w:shd w:val="clear" w:color="auto" w:fill="0063A6"/>
          </w:tcPr>
          <w:p>
            <w:pPr>
              <w:spacing w:after="0"/>
              <w:rPr>
                <w:sz w:val="11"/>
                <w:szCs w:val="11"/>
                <w:color w:val="auto"/>
              </w:rPr>
            </w:pPr>
          </w:p>
        </w:tc>
        <w:tc>
          <w:tcPr>
            <w:tcW w:w="2280" w:type="dxa"/>
            <w:vAlign w:val="bottom"/>
            <w:gridSpan w:val="3"/>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Estimated Future Payouts Under</w:t>
            </w:r>
          </w:p>
        </w:tc>
        <w:tc>
          <w:tcPr>
            <w:tcW w:w="100" w:type="dxa"/>
            <w:vAlign w:val="bottom"/>
            <w:shd w:val="clear" w:color="auto" w:fill="0063A6"/>
          </w:tcPr>
          <w:p>
            <w:pPr>
              <w:spacing w:after="0"/>
              <w:rPr>
                <w:sz w:val="11"/>
                <w:szCs w:val="11"/>
                <w:color w:val="auto"/>
              </w:rPr>
            </w:pPr>
          </w:p>
        </w:tc>
        <w:tc>
          <w:tcPr>
            <w:tcW w:w="760" w:type="dxa"/>
            <w:vAlign w:val="bottom"/>
            <w:shd w:val="clear" w:color="auto" w:fill="0063A6"/>
          </w:tcPr>
          <w:p>
            <w:pPr>
              <w:jc w:val="right"/>
              <w:ind w:right="51"/>
              <w:spacing w:after="0" w:line="135" w:lineRule="exact"/>
              <w:rPr>
                <w:sz w:val="20"/>
                <w:szCs w:val="20"/>
                <w:color w:val="auto"/>
              </w:rPr>
            </w:pPr>
            <w:r>
              <w:rPr>
                <w:rFonts w:ascii="Arial" w:cs="Arial" w:eastAsia="Arial" w:hAnsi="Arial"/>
                <w:sz w:val="13"/>
                <w:szCs w:val="13"/>
                <w:b w:val="1"/>
                <w:bCs w:val="1"/>
                <w:color w:val="FFFFFF"/>
              </w:rPr>
              <w:t>Stock</w:t>
            </w:r>
          </w:p>
        </w:tc>
        <w:tc>
          <w:tcPr>
            <w:tcW w:w="220" w:type="dxa"/>
            <w:vAlign w:val="bottom"/>
            <w:shd w:val="clear" w:color="auto" w:fill="0063A6"/>
          </w:tcPr>
          <w:p>
            <w:pPr>
              <w:spacing w:after="0"/>
              <w:rPr>
                <w:sz w:val="11"/>
                <w:szCs w:val="11"/>
                <w:color w:val="auto"/>
              </w:rPr>
            </w:pPr>
          </w:p>
        </w:tc>
        <w:tc>
          <w:tcPr>
            <w:tcW w:w="920" w:type="dxa"/>
            <w:vAlign w:val="bottom"/>
            <w:vMerge w:val="restart"/>
            <w:shd w:val="clear" w:color="auto" w:fill="0063A6"/>
          </w:tcPr>
          <w:p>
            <w:pPr>
              <w:jc w:val="right"/>
              <w:ind w:right="131"/>
              <w:spacing w:after="0"/>
              <w:rPr>
                <w:sz w:val="20"/>
                <w:szCs w:val="20"/>
                <w:color w:val="auto"/>
              </w:rPr>
            </w:pPr>
            <w:r>
              <w:rPr>
                <w:rFonts w:ascii="Arial" w:cs="Arial" w:eastAsia="Arial" w:hAnsi="Arial"/>
                <w:sz w:val="13"/>
                <w:szCs w:val="13"/>
                <w:b w:val="1"/>
                <w:bCs w:val="1"/>
                <w:color w:val="FFFFFF"/>
              </w:rPr>
              <w:t>Grant</w:t>
            </w:r>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80" w:type="dxa"/>
            <w:vAlign w:val="bottom"/>
            <w:shd w:val="clear" w:color="auto" w:fill="0063A6"/>
          </w:tcPr>
          <w:p>
            <w:pPr>
              <w:spacing w:after="0"/>
              <w:rPr>
                <w:sz w:val="10"/>
                <w:szCs w:val="10"/>
                <w:color w:val="auto"/>
              </w:rPr>
            </w:pPr>
          </w:p>
        </w:tc>
        <w:tc>
          <w:tcPr>
            <w:tcW w:w="660" w:type="dxa"/>
            <w:vAlign w:val="bottom"/>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2580" w:type="dxa"/>
            <w:vAlign w:val="bottom"/>
            <w:gridSpan w:val="5"/>
            <w:vMerge w:val="continue"/>
            <w:shd w:val="clear" w:color="auto" w:fill="0063A6"/>
          </w:tcPr>
          <w:p>
            <w:pPr>
              <w:spacing w:after="0"/>
              <w:rPr>
                <w:sz w:val="10"/>
                <w:szCs w:val="10"/>
                <w:color w:val="auto"/>
              </w:rPr>
            </w:pPr>
          </w:p>
        </w:tc>
        <w:tc>
          <w:tcPr>
            <w:tcW w:w="40" w:type="dxa"/>
            <w:vAlign w:val="bottom"/>
            <w:shd w:val="clear" w:color="auto" w:fill="0063A6"/>
          </w:tcPr>
          <w:p>
            <w:pPr>
              <w:spacing w:after="0"/>
              <w:rPr>
                <w:sz w:val="10"/>
                <w:szCs w:val="10"/>
                <w:color w:val="auto"/>
              </w:rPr>
            </w:pPr>
          </w:p>
        </w:tc>
        <w:tc>
          <w:tcPr>
            <w:tcW w:w="60" w:type="dxa"/>
            <w:vAlign w:val="bottom"/>
            <w:shd w:val="clear" w:color="auto" w:fill="0063A6"/>
          </w:tcPr>
          <w:p>
            <w:pPr>
              <w:spacing w:after="0"/>
              <w:rPr>
                <w:sz w:val="10"/>
                <w:szCs w:val="10"/>
                <w:color w:val="auto"/>
              </w:rPr>
            </w:pPr>
          </w:p>
        </w:tc>
        <w:tc>
          <w:tcPr>
            <w:tcW w:w="2280" w:type="dxa"/>
            <w:vAlign w:val="bottom"/>
            <w:gridSpan w:val="3"/>
            <w:vMerge w:val="continue"/>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760" w:type="dxa"/>
            <w:vAlign w:val="bottom"/>
            <w:shd w:val="clear" w:color="auto" w:fill="0063A6"/>
          </w:tcPr>
          <w:p>
            <w:pPr>
              <w:jc w:val="right"/>
              <w:ind w:right="51"/>
              <w:spacing w:after="0" w:line="126" w:lineRule="exact"/>
              <w:rPr>
                <w:sz w:val="20"/>
                <w:szCs w:val="20"/>
                <w:color w:val="auto"/>
              </w:rPr>
            </w:pPr>
            <w:r>
              <w:rPr>
                <w:rFonts w:ascii="Arial" w:cs="Arial" w:eastAsia="Arial" w:hAnsi="Arial"/>
                <w:sz w:val="13"/>
                <w:szCs w:val="13"/>
                <w:b w:val="1"/>
                <w:bCs w:val="1"/>
                <w:color w:val="FFFFFF"/>
              </w:rPr>
              <w:t>Awards:</w:t>
            </w:r>
          </w:p>
        </w:tc>
        <w:tc>
          <w:tcPr>
            <w:tcW w:w="220" w:type="dxa"/>
            <w:vAlign w:val="bottom"/>
            <w:shd w:val="clear" w:color="auto" w:fill="0063A6"/>
          </w:tcPr>
          <w:p>
            <w:pPr>
              <w:spacing w:after="0"/>
              <w:rPr>
                <w:sz w:val="10"/>
                <w:szCs w:val="10"/>
                <w:color w:val="auto"/>
              </w:rPr>
            </w:pPr>
          </w:p>
        </w:tc>
        <w:tc>
          <w:tcPr>
            <w:tcW w:w="920" w:type="dxa"/>
            <w:vAlign w:val="bottom"/>
            <w:vMerge w:val="continue"/>
            <w:shd w:val="clear" w:color="auto" w:fill="0063A6"/>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80" w:type="dxa"/>
            <w:vAlign w:val="bottom"/>
            <w:shd w:val="clear" w:color="auto" w:fill="0063A6"/>
          </w:tcPr>
          <w:p>
            <w:pPr>
              <w:spacing w:after="0"/>
              <w:rPr>
                <w:sz w:val="13"/>
                <w:szCs w:val="13"/>
                <w:color w:val="auto"/>
              </w:rPr>
            </w:pPr>
          </w:p>
        </w:tc>
        <w:tc>
          <w:tcPr>
            <w:tcW w:w="66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2580" w:type="dxa"/>
            <w:vAlign w:val="bottom"/>
            <w:gridSpan w:val="5"/>
            <w:shd w:val="clear" w:color="auto" w:fill="0063A6"/>
          </w:tcPr>
          <w:p>
            <w:pPr>
              <w:ind w:left="540"/>
              <w:spacing w:after="0"/>
              <w:rPr>
                <w:sz w:val="20"/>
                <w:szCs w:val="20"/>
                <w:color w:val="auto"/>
              </w:rPr>
            </w:pPr>
            <w:r>
              <w:rPr>
                <w:rFonts w:ascii="Arial" w:cs="Arial" w:eastAsia="Arial" w:hAnsi="Arial"/>
                <w:sz w:val="13"/>
                <w:szCs w:val="13"/>
                <w:b w:val="1"/>
                <w:bCs w:val="1"/>
                <w:color w:val="FFFFFF"/>
                <w:w w:val="95"/>
              </w:rPr>
              <w:t>Non-Equity Incentive Plan Awards</w:t>
            </w:r>
          </w:p>
        </w:tc>
        <w:tc>
          <w:tcPr>
            <w:tcW w:w="40" w:type="dxa"/>
            <w:vAlign w:val="bottom"/>
            <w:shd w:val="clear" w:color="auto" w:fill="0063A6"/>
          </w:tcPr>
          <w:p>
            <w:pPr>
              <w:spacing w:after="0"/>
              <w:rPr>
                <w:sz w:val="13"/>
                <w:szCs w:val="13"/>
                <w:color w:val="auto"/>
              </w:rPr>
            </w:pPr>
          </w:p>
        </w:tc>
        <w:tc>
          <w:tcPr>
            <w:tcW w:w="60" w:type="dxa"/>
            <w:vAlign w:val="bottom"/>
            <w:shd w:val="clear" w:color="auto" w:fill="0063A6"/>
          </w:tcPr>
          <w:p>
            <w:pPr>
              <w:spacing w:after="0"/>
              <w:rPr>
                <w:sz w:val="13"/>
                <w:szCs w:val="13"/>
                <w:color w:val="auto"/>
              </w:rPr>
            </w:pPr>
          </w:p>
        </w:tc>
        <w:tc>
          <w:tcPr>
            <w:tcW w:w="2280" w:type="dxa"/>
            <w:vAlign w:val="bottom"/>
            <w:gridSpan w:val="3"/>
            <w:shd w:val="clear" w:color="auto" w:fill="0063A6"/>
          </w:tcPr>
          <w:p>
            <w:pPr>
              <w:jc w:val="right"/>
              <w:spacing w:after="0"/>
              <w:rPr>
                <w:sz w:val="20"/>
                <w:szCs w:val="20"/>
                <w:color w:val="auto"/>
              </w:rPr>
            </w:pPr>
            <w:r>
              <w:rPr>
                <w:rFonts w:ascii="Arial" w:cs="Arial" w:eastAsia="Arial" w:hAnsi="Arial"/>
                <w:sz w:val="13"/>
                <w:szCs w:val="13"/>
                <w:b w:val="1"/>
                <w:bCs w:val="1"/>
                <w:color w:val="FFFFFF"/>
              </w:rPr>
              <w:t>Equity Incentive Plan Awards</w:t>
            </w:r>
          </w:p>
        </w:tc>
        <w:tc>
          <w:tcPr>
            <w:tcW w:w="100" w:type="dxa"/>
            <w:vAlign w:val="bottom"/>
            <w:shd w:val="clear" w:color="auto" w:fill="0063A6"/>
          </w:tcPr>
          <w:p>
            <w:pPr>
              <w:spacing w:after="0"/>
              <w:rPr>
                <w:sz w:val="13"/>
                <w:szCs w:val="13"/>
                <w:color w:val="auto"/>
              </w:rPr>
            </w:pPr>
          </w:p>
        </w:tc>
        <w:tc>
          <w:tcPr>
            <w:tcW w:w="760" w:type="dxa"/>
            <w:vAlign w:val="bottom"/>
            <w:shd w:val="clear" w:color="auto" w:fill="0063A6"/>
          </w:tcPr>
          <w:p>
            <w:pPr>
              <w:jc w:val="right"/>
              <w:ind w:right="51"/>
              <w:spacing w:after="0"/>
              <w:rPr>
                <w:sz w:val="20"/>
                <w:szCs w:val="20"/>
                <w:color w:val="auto"/>
              </w:rPr>
            </w:pPr>
            <w:r>
              <w:rPr>
                <w:rFonts w:ascii="Arial" w:cs="Arial" w:eastAsia="Arial" w:hAnsi="Arial"/>
                <w:sz w:val="13"/>
                <w:szCs w:val="13"/>
                <w:b w:val="1"/>
                <w:bCs w:val="1"/>
                <w:color w:val="FFFFFF"/>
              </w:rPr>
              <w:t>Number</w:t>
            </w:r>
          </w:p>
        </w:tc>
        <w:tc>
          <w:tcPr>
            <w:tcW w:w="220" w:type="dxa"/>
            <w:vAlign w:val="bottom"/>
            <w:shd w:val="clear" w:color="auto" w:fill="0063A6"/>
          </w:tcPr>
          <w:p>
            <w:pPr>
              <w:spacing w:after="0"/>
              <w:rPr>
                <w:sz w:val="13"/>
                <w:szCs w:val="13"/>
                <w:color w:val="auto"/>
              </w:rPr>
            </w:pPr>
          </w:p>
        </w:tc>
        <w:tc>
          <w:tcPr>
            <w:tcW w:w="920" w:type="dxa"/>
            <w:vAlign w:val="bottom"/>
            <w:shd w:val="clear" w:color="auto" w:fill="0063A6"/>
          </w:tcPr>
          <w:p>
            <w:pPr>
              <w:jc w:val="right"/>
              <w:ind w:right="131"/>
              <w:spacing w:after="0"/>
              <w:rPr>
                <w:sz w:val="20"/>
                <w:szCs w:val="20"/>
                <w:color w:val="auto"/>
              </w:rPr>
            </w:pPr>
            <w:r>
              <w:rPr>
                <w:rFonts w:ascii="Arial" w:cs="Arial" w:eastAsia="Arial" w:hAnsi="Arial"/>
                <w:sz w:val="13"/>
                <w:szCs w:val="13"/>
                <w:b w:val="1"/>
                <w:bCs w:val="1"/>
                <w:color w:val="FFFFFF"/>
              </w:rPr>
              <w:t>Date</w:t>
            </w: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80" w:type="dxa"/>
            <w:vAlign w:val="bottom"/>
            <w:shd w:val="clear" w:color="auto" w:fill="0063A6"/>
          </w:tcPr>
          <w:p>
            <w:pPr>
              <w:spacing w:after="0"/>
              <w:rPr>
                <w:sz w:val="13"/>
                <w:szCs w:val="13"/>
                <w:color w:val="auto"/>
              </w:rPr>
            </w:pPr>
          </w:p>
        </w:tc>
        <w:tc>
          <w:tcPr>
            <w:tcW w:w="66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840" w:type="dxa"/>
            <w:vAlign w:val="bottom"/>
            <w:shd w:val="clear" w:color="auto" w:fill="0063A6"/>
          </w:tcPr>
          <w:p>
            <w:pPr>
              <w:spacing w:after="0"/>
              <w:rPr>
                <w:sz w:val="13"/>
                <w:szCs w:val="13"/>
                <w:color w:val="auto"/>
              </w:rPr>
            </w:pPr>
          </w:p>
        </w:tc>
        <w:tc>
          <w:tcPr>
            <w:tcW w:w="220" w:type="dxa"/>
            <w:vAlign w:val="bottom"/>
            <w:shd w:val="clear" w:color="auto" w:fill="0063A6"/>
          </w:tcPr>
          <w:p>
            <w:pPr>
              <w:spacing w:after="0"/>
              <w:rPr>
                <w:sz w:val="13"/>
                <w:szCs w:val="13"/>
                <w:color w:val="auto"/>
              </w:rPr>
            </w:pPr>
          </w:p>
        </w:tc>
        <w:tc>
          <w:tcPr>
            <w:tcW w:w="700" w:type="dxa"/>
            <w:vAlign w:val="bottom"/>
            <w:shd w:val="clear" w:color="auto" w:fill="0063A6"/>
          </w:tcPr>
          <w:p>
            <w:pPr>
              <w:spacing w:after="0"/>
              <w:rPr>
                <w:sz w:val="13"/>
                <w:szCs w:val="13"/>
                <w:color w:val="auto"/>
              </w:rPr>
            </w:pPr>
          </w:p>
        </w:tc>
        <w:tc>
          <w:tcPr>
            <w:tcW w:w="180" w:type="dxa"/>
            <w:vAlign w:val="bottom"/>
            <w:shd w:val="clear" w:color="auto" w:fill="0063A6"/>
          </w:tcPr>
          <w:p>
            <w:pPr>
              <w:spacing w:after="0"/>
              <w:rPr>
                <w:sz w:val="13"/>
                <w:szCs w:val="13"/>
                <w:color w:val="auto"/>
              </w:rPr>
            </w:pPr>
          </w:p>
        </w:tc>
        <w:tc>
          <w:tcPr>
            <w:tcW w:w="640" w:type="dxa"/>
            <w:vAlign w:val="bottom"/>
            <w:shd w:val="clear" w:color="auto" w:fill="0063A6"/>
          </w:tcPr>
          <w:p>
            <w:pPr>
              <w:spacing w:after="0"/>
              <w:rPr>
                <w:sz w:val="13"/>
                <w:szCs w:val="13"/>
                <w:color w:val="auto"/>
              </w:rPr>
            </w:pPr>
          </w:p>
        </w:tc>
        <w:tc>
          <w:tcPr>
            <w:tcW w:w="40" w:type="dxa"/>
            <w:vAlign w:val="bottom"/>
            <w:shd w:val="clear" w:color="auto" w:fill="0063A6"/>
          </w:tcPr>
          <w:p>
            <w:pPr>
              <w:spacing w:after="0"/>
              <w:rPr>
                <w:sz w:val="13"/>
                <w:szCs w:val="13"/>
                <w:color w:val="auto"/>
              </w:rPr>
            </w:pPr>
          </w:p>
        </w:tc>
        <w:tc>
          <w:tcPr>
            <w:tcW w:w="60" w:type="dxa"/>
            <w:vAlign w:val="bottom"/>
            <w:shd w:val="clear" w:color="auto" w:fill="0063A6"/>
          </w:tcPr>
          <w:p>
            <w:pPr>
              <w:spacing w:after="0"/>
              <w:rPr>
                <w:sz w:val="13"/>
                <w:szCs w:val="13"/>
                <w:color w:val="auto"/>
              </w:rPr>
            </w:pPr>
          </w:p>
        </w:tc>
        <w:tc>
          <w:tcPr>
            <w:tcW w:w="860" w:type="dxa"/>
            <w:vAlign w:val="bottom"/>
            <w:shd w:val="clear" w:color="auto" w:fill="0063A6"/>
          </w:tcPr>
          <w:p>
            <w:pPr>
              <w:spacing w:after="0"/>
              <w:rPr>
                <w:sz w:val="13"/>
                <w:szCs w:val="13"/>
                <w:color w:val="auto"/>
              </w:rPr>
            </w:pPr>
          </w:p>
        </w:tc>
        <w:tc>
          <w:tcPr>
            <w:tcW w:w="680" w:type="dxa"/>
            <w:vAlign w:val="bottom"/>
            <w:shd w:val="clear" w:color="auto" w:fill="0063A6"/>
          </w:tcPr>
          <w:p>
            <w:pPr>
              <w:spacing w:after="0"/>
              <w:rPr>
                <w:sz w:val="13"/>
                <w:szCs w:val="13"/>
                <w:color w:val="auto"/>
              </w:rPr>
            </w:pPr>
          </w:p>
        </w:tc>
        <w:tc>
          <w:tcPr>
            <w:tcW w:w="74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760" w:type="dxa"/>
            <w:vAlign w:val="bottom"/>
            <w:shd w:val="clear" w:color="auto" w:fill="0063A6"/>
          </w:tcPr>
          <w:p>
            <w:pPr>
              <w:jc w:val="right"/>
              <w:ind w:right="31"/>
              <w:spacing w:after="0"/>
              <w:rPr>
                <w:sz w:val="20"/>
                <w:szCs w:val="20"/>
                <w:color w:val="auto"/>
              </w:rPr>
            </w:pPr>
            <w:r>
              <w:rPr>
                <w:rFonts w:ascii="Arial" w:cs="Arial" w:eastAsia="Arial" w:hAnsi="Arial"/>
                <w:sz w:val="13"/>
                <w:szCs w:val="13"/>
                <w:b w:val="1"/>
                <w:bCs w:val="1"/>
                <w:color w:val="FFFFFF"/>
              </w:rPr>
              <w:t>of Shares</w:t>
            </w:r>
          </w:p>
        </w:tc>
        <w:tc>
          <w:tcPr>
            <w:tcW w:w="220" w:type="dxa"/>
            <w:vAlign w:val="bottom"/>
            <w:shd w:val="clear" w:color="auto" w:fill="0063A6"/>
          </w:tcPr>
          <w:p>
            <w:pPr>
              <w:spacing w:after="0"/>
              <w:rPr>
                <w:sz w:val="13"/>
                <w:szCs w:val="13"/>
                <w:color w:val="auto"/>
              </w:rPr>
            </w:pPr>
          </w:p>
        </w:tc>
        <w:tc>
          <w:tcPr>
            <w:tcW w:w="920" w:type="dxa"/>
            <w:vAlign w:val="bottom"/>
            <w:shd w:val="clear" w:color="auto" w:fill="0063A6"/>
          </w:tcPr>
          <w:p>
            <w:pPr>
              <w:jc w:val="right"/>
              <w:ind w:right="131"/>
              <w:spacing w:after="0"/>
              <w:rPr>
                <w:sz w:val="20"/>
                <w:szCs w:val="20"/>
                <w:color w:val="auto"/>
              </w:rPr>
            </w:pPr>
            <w:r>
              <w:rPr>
                <w:rFonts w:ascii="Arial" w:cs="Arial" w:eastAsia="Arial" w:hAnsi="Arial"/>
                <w:sz w:val="13"/>
                <w:szCs w:val="13"/>
                <w:b w:val="1"/>
                <w:bCs w:val="1"/>
                <w:color w:val="FFFFFF"/>
              </w:rPr>
              <w:t>Fair</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66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Grant</w:t>
            </w:r>
          </w:p>
        </w:tc>
        <w:tc>
          <w:tcPr>
            <w:tcW w:w="100" w:type="dxa"/>
            <w:vAlign w:val="bottom"/>
            <w:shd w:val="clear" w:color="auto" w:fill="0063A6"/>
          </w:tcPr>
          <w:p>
            <w:pPr>
              <w:spacing w:after="0"/>
              <w:rPr>
                <w:sz w:val="11"/>
                <w:szCs w:val="11"/>
                <w:color w:val="auto"/>
              </w:rPr>
            </w:pPr>
          </w:p>
        </w:tc>
        <w:tc>
          <w:tcPr>
            <w:tcW w:w="840" w:type="dxa"/>
            <w:vAlign w:val="bottom"/>
            <w:vMerge w:val="restart"/>
            <w:shd w:val="clear" w:color="auto" w:fill="0063A6"/>
          </w:tcPr>
          <w:p>
            <w:pPr>
              <w:ind w:left="100"/>
              <w:spacing w:after="0"/>
              <w:rPr>
                <w:sz w:val="20"/>
                <w:szCs w:val="20"/>
                <w:color w:val="auto"/>
              </w:rPr>
            </w:pPr>
            <w:r>
              <w:rPr>
                <w:rFonts w:ascii="Arial" w:cs="Arial" w:eastAsia="Arial" w:hAnsi="Arial"/>
                <w:sz w:val="13"/>
                <w:szCs w:val="13"/>
                <w:b w:val="1"/>
                <w:bCs w:val="1"/>
                <w:color w:val="FFFFFF"/>
              </w:rPr>
              <w:t>Threshold</w:t>
            </w:r>
          </w:p>
        </w:tc>
        <w:tc>
          <w:tcPr>
            <w:tcW w:w="220" w:type="dxa"/>
            <w:vAlign w:val="bottom"/>
            <w:shd w:val="clear" w:color="auto" w:fill="0063A6"/>
          </w:tcPr>
          <w:p>
            <w:pPr>
              <w:spacing w:after="0"/>
              <w:rPr>
                <w:sz w:val="11"/>
                <w:szCs w:val="11"/>
                <w:color w:val="auto"/>
              </w:rPr>
            </w:pPr>
          </w:p>
        </w:tc>
        <w:tc>
          <w:tcPr>
            <w:tcW w:w="700" w:type="dxa"/>
            <w:vAlign w:val="bottom"/>
            <w:vMerge w:val="restart"/>
            <w:shd w:val="clear" w:color="auto" w:fill="0063A6"/>
          </w:tcPr>
          <w:p>
            <w:pPr>
              <w:jc w:val="right"/>
              <w:ind w:right="69"/>
              <w:spacing w:after="0"/>
              <w:rPr>
                <w:sz w:val="20"/>
                <w:szCs w:val="20"/>
                <w:color w:val="auto"/>
              </w:rPr>
            </w:pPr>
            <w:r>
              <w:rPr>
                <w:rFonts w:ascii="Arial" w:cs="Arial" w:eastAsia="Arial" w:hAnsi="Arial"/>
                <w:sz w:val="13"/>
                <w:szCs w:val="13"/>
                <w:b w:val="1"/>
                <w:bCs w:val="1"/>
                <w:color w:val="FFFFFF"/>
              </w:rPr>
              <w:t>Target</w:t>
            </w:r>
          </w:p>
        </w:tc>
        <w:tc>
          <w:tcPr>
            <w:tcW w:w="180" w:type="dxa"/>
            <w:vAlign w:val="bottom"/>
            <w:shd w:val="clear" w:color="auto" w:fill="0063A6"/>
          </w:tcPr>
          <w:p>
            <w:pPr>
              <w:spacing w:after="0"/>
              <w:rPr>
                <w:sz w:val="11"/>
                <w:szCs w:val="11"/>
                <w:color w:val="auto"/>
              </w:rPr>
            </w:pPr>
          </w:p>
        </w:tc>
        <w:tc>
          <w:tcPr>
            <w:tcW w:w="64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w w:val="96"/>
              </w:rPr>
              <w:t>Maximum</w:t>
            </w:r>
          </w:p>
        </w:tc>
        <w:tc>
          <w:tcPr>
            <w:tcW w:w="40" w:type="dxa"/>
            <w:vAlign w:val="bottom"/>
            <w:shd w:val="clear" w:color="auto" w:fill="0063A6"/>
          </w:tcPr>
          <w:p>
            <w:pPr>
              <w:spacing w:after="0"/>
              <w:rPr>
                <w:sz w:val="11"/>
                <w:szCs w:val="11"/>
                <w:color w:val="auto"/>
              </w:rPr>
            </w:pPr>
          </w:p>
        </w:tc>
        <w:tc>
          <w:tcPr>
            <w:tcW w:w="60" w:type="dxa"/>
            <w:vAlign w:val="bottom"/>
            <w:shd w:val="clear" w:color="auto" w:fill="0063A6"/>
          </w:tcPr>
          <w:p>
            <w:pPr>
              <w:spacing w:after="0"/>
              <w:rPr>
                <w:sz w:val="11"/>
                <w:szCs w:val="11"/>
                <w:color w:val="auto"/>
              </w:rPr>
            </w:pPr>
          </w:p>
        </w:tc>
        <w:tc>
          <w:tcPr>
            <w:tcW w:w="860" w:type="dxa"/>
            <w:vAlign w:val="bottom"/>
            <w:vMerge w:val="restart"/>
            <w:shd w:val="clear" w:color="auto" w:fill="0063A6"/>
          </w:tcPr>
          <w:p>
            <w:pPr>
              <w:jc w:val="right"/>
              <w:ind w:right="70"/>
              <w:spacing w:after="0"/>
              <w:rPr>
                <w:sz w:val="20"/>
                <w:szCs w:val="20"/>
                <w:color w:val="auto"/>
              </w:rPr>
            </w:pPr>
            <w:r>
              <w:rPr>
                <w:rFonts w:ascii="Arial" w:cs="Arial" w:eastAsia="Arial" w:hAnsi="Arial"/>
                <w:sz w:val="13"/>
                <w:szCs w:val="13"/>
                <w:b w:val="1"/>
                <w:bCs w:val="1"/>
                <w:color w:val="FFFFFF"/>
              </w:rPr>
              <w:t>Threshold</w:t>
            </w:r>
          </w:p>
        </w:tc>
        <w:tc>
          <w:tcPr>
            <w:tcW w:w="680" w:type="dxa"/>
            <w:vAlign w:val="bottom"/>
            <w:vMerge w:val="restart"/>
            <w:shd w:val="clear" w:color="auto" w:fill="0063A6"/>
          </w:tcPr>
          <w:p>
            <w:pPr>
              <w:jc w:val="right"/>
              <w:ind w:right="69"/>
              <w:spacing w:after="0"/>
              <w:rPr>
                <w:sz w:val="20"/>
                <w:szCs w:val="20"/>
                <w:color w:val="auto"/>
              </w:rPr>
            </w:pPr>
            <w:r>
              <w:rPr>
                <w:rFonts w:ascii="Arial" w:cs="Arial" w:eastAsia="Arial" w:hAnsi="Arial"/>
                <w:sz w:val="13"/>
                <w:szCs w:val="13"/>
                <w:b w:val="1"/>
                <w:bCs w:val="1"/>
                <w:color w:val="FFFFFF"/>
              </w:rPr>
              <w:t>Target</w:t>
            </w:r>
          </w:p>
        </w:tc>
        <w:tc>
          <w:tcPr>
            <w:tcW w:w="74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Maximum</w:t>
            </w:r>
          </w:p>
        </w:tc>
        <w:tc>
          <w:tcPr>
            <w:tcW w:w="100" w:type="dxa"/>
            <w:vAlign w:val="bottom"/>
            <w:shd w:val="clear" w:color="auto" w:fill="0063A6"/>
          </w:tcPr>
          <w:p>
            <w:pPr>
              <w:spacing w:after="0"/>
              <w:rPr>
                <w:sz w:val="11"/>
                <w:szCs w:val="11"/>
                <w:color w:val="auto"/>
              </w:rPr>
            </w:pPr>
          </w:p>
        </w:tc>
        <w:tc>
          <w:tcPr>
            <w:tcW w:w="760" w:type="dxa"/>
            <w:vAlign w:val="bottom"/>
            <w:shd w:val="clear" w:color="auto" w:fill="0063A6"/>
          </w:tcPr>
          <w:p>
            <w:pPr>
              <w:jc w:val="right"/>
              <w:ind w:right="51"/>
              <w:spacing w:after="0" w:line="135" w:lineRule="exact"/>
              <w:rPr>
                <w:sz w:val="20"/>
                <w:szCs w:val="20"/>
                <w:color w:val="auto"/>
              </w:rPr>
            </w:pPr>
            <w:r>
              <w:rPr>
                <w:rFonts w:ascii="Arial" w:cs="Arial" w:eastAsia="Arial" w:hAnsi="Arial"/>
                <w:sz w:val="13"/>
                <w:szCs w:val="13"/>
                <w:b w:val="1"/>
                <w:bCs w:val="1"/>
                <w:color w:val="FFFFFF"/>
              </w:rPr>
              <w:t>of Stock</w:t>
            </w:r>
          </w:p>
        </w:tc>
        <w:tc>
          <w:tcPr>
            <w:tcW w:w="220" w:type="dxa"/>
            <w:vAlign w:val="bottom"/>
            <w:shd w:val="clear" w:color="auto" w:fill="0063A6"/>
          </w:tcPr>
          <w:p>
            <w:pPr>
              <w:spacing w:after="0"/>
              <w:rPr>
                <w:sz w:val="11"/>
                <w:szCs w:val="11"/>
                <w:color w:val="auto"/>
              </w:rPr>
            </w:pPr>
          </w:p>
        </w:tc>
        <w:tc>
          <w:tcPr>
            <w:tcW w:w="920" w:type="dxa"/>
            <w:vAlign w:val="bottom"/>
            <w:shd w:val="clear" w:color="auto" w:fill="0063A6"/>
          </w:tcPr>
          <w:p>
            <w:pPr>
              <w:jc w:val="right"/>
              <w:ind w:right="131"/>
              <w:spacing w:after="0" w:line="135" w:lineRule="exact"/>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21"/>
        </w:trPr>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80" w:type="dxa"/>
            <w:vAlign w:val="bottom"/>
            <w:shd w:val="clear" w:color="auto" w:fill="0063A6"/>
          </w:tcPr>
          <w:p>
            <w:pPr>
              <w:spacing w:after="0"/>
              <w:rPr>
                <w:sz w:val="10"/>
                <w:szCs w:val="10"/>
                <w:color w:val="auto"/>
              </w:rPr>
            </w:pPr>
          </w:p>
        </w:tc>
        <w:tc>
          <w:tcPr>
            <w:tcW w:w="660" w:type="dxa"/>
            <w:vAlign w:val="bottom"/>
            <w:vMerge w:val="continue"/>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840" w:type="dxa"/>
            <w:vAlign w:val="bottom"/>
            <w:vMerge w:val="continue"/>
            <w:shd w:val="clear" w:color="auto" w:fill="0063A6"/>
          </w:tcPr>
          <w:p>
            <w:pPr>
              <w:spacing w:after="0"/>
              <w:rPr>
                <w:sz w:val="10"/>
                <w:szCs w:val="10"/>
                <w:color w:val="auto"/>
              </w:rPr>
            </w:pPr>
          </w:p>
        </w:tc>
        <w:tc>
          <w:tcPr>
            <w:tcW w:w="220" w:type="dxa"/>
            <w:vAlign w:val="bottom"/>
            <w:shd w:val="clear" w:color="auto" w:fill="0063A6"/>
          </w:tcPr>
          <w:p>
            <w:pPr>
              <w:spacing w:after="0"/>
              <w:rPr>
                <w:sz w:val="10"/>
                <w:szCs w:val="10"/>
                <w:color w:val="auto"/>
              </w:rPr>
            </w:pPr>
          </w:p>
        </w:tc>
        <w:tc>
          <w:tcPr>
            <w:tcW w:w="700" w:type="dxa"/>
            <w:vAlign w:val="bottom"/>
            <w:vMerge w:val="continue"/>
            <w:shd w:val="clear" w:color="auto" w:fill="0063A6"/>
          </w:tcPr>
          <w:p>
            <w:pPr>
              <w:spacing w:after="0"/>
              <w:rPr>
                <w:sz w:val="10"/>
                <w:szCs w:val="10"/>
                <w:color w:val="auto"/>
              </w:rPr>
            </w:pPr>
          </w:p>
        </w:tc>
        <w:tc>
          <w:tcPr>
            <w:tcW w:w="180" w:type="dxa"/>
            <w:vAlign w:val="bottom"/>
            <w:shd w:val="clear" w:color="auto" w:fill="0063A6"/>
          </w:tcPr>
          <w:p>
            <w:pPr>
              <w:spacing w:after="0"/>
              <w:rPr>
                <w:sz w:val="10"/>
                <w:szCs w:val="10"/>
                <w:color w:val="auto"/>
              </w:rPr>
            </w:pPr>
          </w:p>
        </w:tc>
        <w:tc>
          <w:tcPr>
            <w:tcW w:w="640" w:type="dxa"/>
            <w:vAlign w:val="bottom"/>
            <w:vMerge w:val="continue"/>
            <w:shd w:val="clear" w:color="auto" w:fill="0063A6"/>
          </w:tcPr>
          <w:p>
            <w:pPr>
              <w:spacing w:after="0"/>
              <w:rPr>
                <w:sz w:val="10"/>
                <w:szCs w:val="10"/>
                <w:color w:val="auto"/>
              </w:rPr>
            </w:pPr>
          </w:p>
        </w:tc>
        <w:tc>
          <w:tcPr>
            <w:tcW w:w="40" w:type="dxa"/>
            <w:vAlign w:val="bottom"/>
            <w:shd w:val="clear" w:color="auto" w:fill="0063A6"/>
          </w:tcPr>
          <w:p>
            <w:pPr>
              <w:spacing w:after="0"/>
              <w:rPr>
                <w:sz w:val="10"/>
                <w:szCs w:val="10"/>
                <w:color w:val="auto"/>
              </w:rPr>
            </w:pPr>
          </w:p>
        </w:tc>
        <w:tc>
          <w:tcPr>
            <w:tcW w:w="60" w:type="dxa"/>
            <w:vAlign w:val="bottom"/>
            <w:shd w:val="clear" w:color="auto" w:fill="0063A6"/>
          </w:tcPr>
          <w:p>
            <w:pPr>
              <w:spacing w:after="0"/>
              <w:rPr>
                <w:sz w:val="10"/>
                <w:szCs w:val="10"/>
                <w:color w:val="auto"/>
              </w:rPr>
            </w:pPr>
          </w:p>
        </w:tc>
        <w:tc>
          <w:tcPr>
            <w:tcW w:w="860" w:type="dxa"/>
            <w:vAlign w:val="bottom"/>
            <w:vMerge w:val="continue"/>
            <w:shd w:val="clear" w:color="auto" w:fill="0063A6"/>
          </w:tcPr>
          <w:p>
            <w:pPr>
              <w:spacing w:after="0"/>
              <w:rPr>
                <w:sz w:val="10"/>
                <w:szCs w:val="10"/>
                <w:color w:val="auto"/>
              </w:rPr>
            </w:pPr>
          </w:p>
        </w:tc>
        <w:tc>
          <w:tcPr>
            <w:tcW w:w="680" w:type="dxa"/>
            <w:vAlign w:val="bottom"/>
            <w:vMerge w:val="continue"/>
            <w:shd w:val="clear" w:color="auto" w:fill="0063A6"/>
          </w:tcPr>
          <w:p>
            <w:pPr>
              <w:spacing w:after="0"/>
              <w:rPr>
                <w:sz w:val="10"/>
                <w:szCs w:val="10"/>
                <w:color w:val="auto"/>
              </w:rPr>
            </w:pPr>
          </w:p>
        </w:tc>
        <w:tc>
          <w:tcPr>
            <w:tcW w:w="740" w:type="dxa"/>
            <w:vAlign w:val="bottom"/>
            <w:vMerge w:val="continue"/>
            <w:shd w:val="clear" w:color="auto" w:fill="0063A6"/>
          </w:tcPr>
          <w:p>
            <w:pPr>
              <w:spacing w:after="0"/>
              <w:rPr>
                <w:sz w:val="10"/>
                <w:szCs w:val="10"/>
                <w:color w:val="auto"/>
              </w:rPr>
            </w:pPr>
          </w:p>
        </w:tc>
        <w:tc>
          <w:tcPr>
            <w:tcW w:w="100" w:type="dxa"/>
            <w:vAlign w:val="bottom"/>
            <w:shd w:val="clear" w:color="auto" w:fill="0063A6"/>
          </w:tcPr>
          <w:p>
            <w:pPr>
              <w:spacing w:after="0"/>
              <w:rPr>
                <w:sz w:val="10"/>
                <w:szCs w:val="10"/>
                <w:color w:val="auto"/>
              </w:rPr>
            </w:pPr>
          </w:p>
        </w:tc>
        <w:tc>
          <w:tcPr>
            <w:tcW w:w="760" w:type="dxa"/>
            <w:vAlign w:val="bottom"/>
            <w:shd w:val="clear" w:color="auto" w:fill="0063A6"/>
          </w:tcPr>
          <w:p>
            <w:pPr>
              <w:jc w:val="right"/>
              <w:ind w:right="51"/>
              <w:spacing w:after="0" w:line="121" w:lineRule="exact"/>
              <w:rPr>
                <w:sz w:val="20"/>
                <w:szCs w:val="20"/>
                <w:color w:val="auto"/>
              </w:rPr>
            </w:pPr>
            <w:r>
              <w:rPr>
                <w:rFonts w:ascii="Arial" w:cs="Arial" w:eastAsia="Arial" w:hAnsi="Arial"/>
                <w:sz w:val="13"/>
                <w:szCs w:val="13"/>
                <w:b w:val="1"/>
                <w:bCs w:val="1"/>
                <w:color w:val="FFFFFF"/>
              </w:rPr>
              <w:t>or Units</w:t>
            </w:r>
          </w:p>
        </w:tc>
        <w:tc>
          <w:tcPr>
            <w:tcW w:w="220" w:type="dxa"/>
            <w:vAlign w:val="bottom"/>
            <w:shd w:val="clear" w:color="auto" w:fill="0063A6"/>
          </w:tcPr>
          <w:p>
            <w:pPr>
              <w:spacing w:after="0"/>
              <w:rPr>
                <w:sz w:val="10"/>
                <w:szCs w:val="10"/>
                <w:color w:val="auto"/>
              </w:rPr>
            </w:pPr>
          </w:p>
        </w:tc>
        <w:tc>
          <w:tcPr>
            <w:tcW w:w="920" w:type="dxa"/>
            <w:vAlign w:val="bottom"/>
            <w:shd w:val="clear" w:color="auto" w:fill="0063A6"/>
          </w:tcPr>
          <w:p>
            <w:pPr>
              <w:jc w:val="right"/>
              <w:ind w:right="131"/>
              <w:spacing w:after="0" w:line="121" w:lineRule="exact"/>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189"/>
        </w:trPr>
        <w:tc>
          <w:tcPr>
            <w:tcW w:w="1380" w:type="dxa"/>
            <w:vAlign w:val="bottom"/>
            <w:tcBorders>
              <w:bottom w:val="single" w:sz="8" w:color="0063A6"/>
            </w:tcBorders>
            <w:vMerge w:val="continue"/>
          </w:tcPr>
          <w:p>
            <w:pPr>
              <w:spacing w:after="0"/>
              <w:rPr>
                <w:sz w:val="16"/>
                <w:szCs w:val="16"/>
                <w:color w:val="auto"/>
              </w:rPr>
            </w:pPr>
          </w:p>
        </w:tc>
        <w:tc>
          <w:tcPr>
            <w:tcW w:w="80" w:type="dxa"/>
            <w:vAlign w:val="bottom"/>
            <w:tcBorders>
              <w:bottom w:val="single" w:sz="8" w:color="0063A6"/>
            </w:tcBorders>
            <w:shd w:val="clear" w:color="auto" w:fill="0063A6"/>
          </w:tcPr>
          <w:p>
            <w:pPr>
              <w:spacing w:after="0"/>
              <w:rPr>
                <w:sz w:val="16"/>
                <w:szCs w:val="16"/>
                <w:color w:val="auto"/>
              </w:rPr>
            </w:pPr>
          </w:p>
        </w:tc>
        <w:tc>
          <w:tcPr>
            <w:tcW w:w="6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Date</w:t>
            </w:r>
          </w:p>
        </w:tc>
        <w:tc>
          <w:tcPr>
            <w:tcW w:w="100" w:type="dxa"/>
            <w:vAlign w:val="bottom"/>
            <w:tcBorders>
              <w:bottom w:val="single" w:sz="8" w:color="0063A6"/>
            </w:tcBorders>
            <w:shd w:val="clear" w:color="auto" w:fill="0063A6"/>
          </w:tcPr>
          <w:p>
            <w:pPr>
              <w:spacing w:after="0"/>
              <w:rPr>
                <w:sz w:val="16"/>
                <w:szCs w:val="16"/>
                <w:color w:val="auto"/>
              </w:rPr>
            </w:pPr>
          </w:p>
        </w:tc>
        <w:tc>
          <w:tcPr>
            <w:tcW w:w="840" w:type="dxa"/>
            <w:vAlign w:val="bottom"/>
            <w:tcBorders>
              <w:bottom w:val="single" w:sz="8" w:color="0063A6"/>
            </w:tcBorders>
            <w:shd w:val="clear" w:color="auto" w:fill="0063A6"/>
          </w:tcPr>
          <w:p>
            <w:pPr>
              <w:ind w:left="460"/>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220" w:type="dxa"/>
            <w:vAlign w:val="bottom"/>
            <w:tcBorders>
              <w:bottom w:val="single" w:sz="8" w:color="0063A6"/>
            </w:tcBorders>
            <w:shd w:val="clear" w:color="auto" w:fill="0063A6"/>
          </w:tcPr>
          <w:p>
            <w:pPr>
              <w:spacing w:after="0"/>
              <w:rPr>
                <w:sz w:val="16"/>
                <w:szCs w:val="16"/>
                <w:color w:val="auto"/>
              </w:rPr>
            </w:pPr>
          </w:p>
        </w:tc>
        <w:tc>
          <w:tcPr>
            <w:tcW w:w="700" w:type="dxa"/>
            <w:vAlign w:val="bottom"/>
            <w:tcBorders>
              <w:bottom w:val="single" w:sz="8" w:color="0063A6"/>
            </w:tcBorders>
            <w:shd w:val="clear" w:color="auto" w:fill="0063A6"/>
          </w:tcPr>
          <w:p>
            <w:pPr>
              <w:jc w:val="right"/>
              <w:ind w:right="29"/>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180" w:type="dxa"/>
            <w:vAlign w:val="bottom"/>
            <w:tcBorders>
              <w:bottom w:val="single" w:sz="8" w:color="0063A6"/>
            </w:tcBorders>
            <w:shd w:val="clear" w:color="auto" w:fill="0063A6"/>
          </w:tcPr>
          <w:p>
            <w:pPr>
              <w:spacing w:after="0"/>
              <w:rPr>
                <w:sz w:val="16"/>
                <w:szCs w:val="16"/>
                <w:color w:val="auto"/>
              </w:rPr>
            </w:pPr>
          </w:p>
        </w:tc>
        <w:tc>
          <w:tcPr>
            <w:tcW w:w="640" w:type="dxa"/>
            <w:vAlign w:val="bottom"/>
            <w:tcBorders>
              <w:bottom w:val="single" w:sz="8" w:color="0063A6"/>
            </w:tcBorders>
            <w:shd w:val="clear" w:color="auto" w:fill="0063A6"/>
          </w:tcPr>
          <w:p>
            <w:pPr>
              <w:jc w:val="right"/>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40" w:type="dxa"/>
            <w:vAlign w:val="bottom"/>
            <w:tcBorders>
              <w:bottom w:val="single" w:sz="8" w:color="0063A6"/>
            </w:tcBorders>
            <w:shd w:val="clear" w:color="auto" w:fill="0063A6"/>
          </w:tcPr>
          <w:p>
            <w:pPr>
              <w:spacing w:after="0"/>
              <w:rPr>
                <w:sz w:val="16"/>
                <w:szCs w:val="16"/>
                <w:color w:val="auto"/>
              </w:rPr>
            </w:pPr>
          </w:p>
        </w:tc>
        <w:tc>
          <w:tcPr>
            <w:tcW w:w="60" w:type="dxa"/>
            <w:vAlign w:val="bottom"/>
            <w:tcBorders>
              <w:bottom w:val="single" w:sz="8" w:color="0063A6"/>
            </w:tcBorders>
            <w:shd w:val="clear" w:color="auto" w:fill="0063A6"/>
          </w:tcPr>
          <w:p>
            <w:pPr>
              <w:spacing w:after="0"/>
              <w:rPr>
                <w:sz w:val="16"/>
                <w:szCs w:val="16"/>
                <w:color w:val="auto"/>
              </w:rPr>
            </w:pPr>
          </w:p>
        </w:tc>
        <w:tc>
          <w:tcPr>
            <w:tcW w:w="860" w:type="dxa"/>
            <w:vAlign w:val="bottom"/>
            <w:tcBorders>
              <w:bottom w:val="single" w:sz="8" w:color="0063A6"/>
            </w:tcBorders>
            <w:shd w:val="clear" w:color="auto" w:fill="0063A6"/>
          </w:tcPr>
          <w:p>
            <w:pPr>
              <w:jc w:val="right"/>
              <w:ind w:right="30"/>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680" w:type="dxa"/>
            <w:vAlign w:val="bottom"/>
            <w:tcBorders>
              <w:bottom w:val="single" w:sz="8" w:color="0063A6"/>
            </w:tcBorders>
            <w:shd w:val="clear" w:color="auto" w:fill="0063A6"/>
          </w:tcPr>
          <w:p>
            <w:pPr>
              <w:jc w:val="right"/>
              <w:ind w:right="29"/>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740" w:type="dxa"/>
            <w:vAlign w:val="bottom"/>
            <w:tcBorders>
              <w:bottom w:val="single" w:sz="8" w:color="0063A6"/>
            </w:tcBorders>
            <w:shd w:val="clear" w:color="auto" w:fill="0063A6"/>
          </w:tcPr>
          <w:p>
            <w:pPr>
              <w:jc w:val="right"/>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100" w:type="dxa"/>
            <w:vAlign w:val="bottom"/>
            <w:tcBorders>
              <w:bottom w:val="single" w:sz="8" w:color="0063A6"/>
            </w:tcBorders>
            <w:shd w:val="clear" w:color="auto" w:fill="0063A6"/>
          </w:tcPr>
          <w:p>
            <w:pPr>
              <w:spacing w:after="0"/>
              <w:rPr>
                <w:sz w:val="16"/>
                <w:szCs w:val="16"/>
                <w:color w:val="auto"/>
              </w:rPr>
            </w:pPr>
          </w:p>
        </w:tc>
        <w:tc>
          <w:tcPr>
            <w:tcW w:w="760" w:type="dxa"/>
            <w:vAlign w:val="bottom"/>
            <w:tcBorders>
              <w:bottom w:val="single" w:sz="8" w:color="0063A6"/>
            </w:tcBorders>
            <w:shd w:val="clear" w:color="auto" w:fill="0063A6"/>
          </w:tcPr>
          <w:p>
            <w:pPr>
              <w:jc w:val="right"/>
              <w:ind w:right="31"/>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(3)</w:t>
            </w:r>
          </w:p>
        </w:tc>
        <w:tc>
          <w:tcPr>
            <w:tcW w:w="220" w:type="dxa"/>
            <w:vAlign w:val="bottom"/>
            <w:tcBorders>
              <w:bottom w:val="single" w:sz="8" w:color="0063A6"/>
            </w:tcBorders>
            <w:shd w:val="clear" w:color="auto" w:fill="0063A6"/>
          </w:tcPr>
          <w:p>
            <w:pPr>
              <w:spacing w:after="0"/>
              <w:rPr>
                <w:sz w:val="16"/>
                <w:szCs w:val="16"/>
                <w:color w:val="auto"/>
              </w:rPr>
            </w:pPr>
          </w:p>
        </w:tc>
        <w:tc>
          <w:tcPr>
            <w:tcW w:w="920" w:type="dxa"/>
            <w:vAlign w:val="bottom"/>
            <w:tcBorders>
              <w:bottom w:val="single" w:sz="8" w:color="0063A6"/>
            </w:tcBorders>
            <w:shd w:val="clear" w:color="auto" w:fill="0063A6"/>
          </w:tcPr>
          <w:p>
            <w:pPr>
              <w:jc w:val="right"/>
              <w:ind w:right="91"/>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60"/>
        </w:trPr>
        <w:tc>
          <w:tcPr>
            <w:tcW w:w="1380" w:type="dxa"/>
            <w:vAlign w:val="bottom"/>
          </w:tcPr>
          <w:p>
            <w:pPr>
              <w:ind w:left="60"/>
              <w:spacing w:after="0" w:line="160" w:lineRule="exact"/>
              <w:rPr>
                <w:sz w:val="20"/>
                <w:szCs w:val="20"/>
                <w:color w:val="auto"/>
              </w:rPr>
            </w:pPr>
            <w:r>
              <w:rPr>
                <w:rFonts w:ascii="Arial" w:cs="Arial" w:eastAsia="Arial" w:hAnsi="Arial"/>
                <w:sz w:val="14"/>
                <w:szCs w:val="14"/>
                <w:b w:val="1"/>
                <w:bCs w:val="1"/>
                <w:color w:val="0063A6"/>
              </w:rPr>
              <w:t>Thomas L.</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840" w:type="dxa"/>
            <w:vAlign w:val="bottom"/>
          </w:tcPr>
          <w:p>
            <w:pPr>
              <w:ind w:left="560"/>
              <w:spacing w:after="0" w:line="160"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100"/>
              <w:spacing w:after="0" w:line="160" w:lineRule="exact"/>
              <w:rPr>
                <w:sz w:val="20"/>
                <w:szCs w:val="20"/>
                <w:color w:val="auto"/>
              </w:rPr>
            </w:pPr>
            <w:r>
              <w:rPr>
                <w:rFonts w:ascii="Arial" w:cs="Arial" w:eastAsia="Arial" w:hAnsi="Arial"/>
                <w:sz w:val="14"/>
                <w:szCs w:val="14"/>
                <w:color w:val="auto"/>
              </w:rPr>
              <w:t>$1,125,000</w:t>
            </w:r>
          </w:p>
        </w:tc>
        <w:tc>
          <w:tcPr>
            <w:tcW w:w="820" w:type="dxa"/>
            <w:vAlign w:val="bottom"/>
            <w:gridSpan w:val="2"/>
          </w:tcPr>
          <w:p>
            <w:pPr>
              <w:ind w:left="100"/>
              <w:spacing w:after="0" w:line="160" w:lineRule="exact"/>
              <w:rPr>
                <w:sz w:val="20"/>
                <w:szCs w:val="20"/>
                <w:color w:val="auto"/>
              </w:rPr>
            </w:pPr>
            <w:r>
              <w:rPr>
                <w:rFonts w:ascii="Arial" w:cs="Arial" w:eastAsia="Arial" w:hAnsi="Arial"/>
                <w:sz w:val="14"/>
                <w:szCs w:val="14"/>
                <w:color w:val="auto"/>
                <w:w w:val="99"/>
              </w:rPr>
              <w:t>$1,575,000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ind w:right="50"/>
              <w:spacing w:after="0" w:line="160"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line="16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tcPr>
          <w:p>
            <w:pPr>
              <w:jc w:val="right"/>
              <w:ind w:right="271"/>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0063A6"/>
              </w:rPr>
              <w:t>Deitrich</w:t>
            </w:r>
          </w:p>
        </w:tc>
        <w:tc>
          <w:tcPr>
            <w:tcW w:w="80" w:type="dxa"/>
            <w:vAlign w:val="bottom"/>
            <w:tcBorders>
              <w:bottom w:val="single" w:sz="8" w:color="5D6673"/>
            </w:tcBorders>
          </w:tcPr>
          <w:p>
            <w:pPr>
              <w:spacing w:after="0"/>
              <w:rPr>
                <w:sz w:val="3"/>
                <w:szCs w:val="3"/>
                <w:color w:val="auto"/>
              </w:rPr>
            </w:pPr>
          </w:p>
        </w:tc>
        <w:tc>
          <w:tcPr>
            <w:tcW w:w="66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840" w:type="dxa"/>
            <w:vAlign w:val="bottom"/>
            <w:tcBorders>
              <w:bottom w:val="single" w:sz="8" w:color="5D6673"/>
            </w:tcBorders>
          </w:tcPr>
          <w:p>
            <w:pPr>
              <w:spacing w:after="0"/>
              <w:rPr>
                <w:sz w:val="3"/>
                <w:szCs w:val="3"/>
                <w:color w:val="auto"/>
              </w:rPr>
            </w:pPr>
          </w:p>
        </w:tc>
        <w:tc>
          <w:tcPr>
            <w:tcW w:w="220" w:type="dxa"/>
            <w:vAlign w:val="bottom"/>
            <w:tcBorders>
              <w:bottom w:val="single" w:sz="8" w:color="5D6673"/>
            </w:tcBorders>
          </w:tcPr>
          <w:p>
            <w:pPr>
              <w:spacing w:after="0"/>
              <w:rPr>
                <w:sz w:val="3"/>
                <w:szCs w:val="3"/>
                <w:color w:val="auto"/>
              </w:rPr>
            </w:pPr>
          </w:p>
        </w:tc>
        <w:tc>
          <w:tcPr>
            <w:tcW w:w="700" w:type="dxa"/>
            <w:vAlign w:val="bottom"/>
            <w:tcBorders>
              <w:bottom w:val="single" w:sz="8" w:color="5D6673"/>
            </w:tcBorders>
          </w:tcPr>
          <w:p>
            <w:pPr>
              <w:spacing w:after="0"/>
              <w:rPr>
                <w:sz w:val="3"/>
                <w:szCs w:val="3"/>
                <w:color w:val="auto"/>
              </w:rPr>
            </w:pPr>
          </w:p>
        </w:tc>
        <w:tc>
          <w:tcPr>
            <w:tcW w:w="180" w:type="dxa"/>
            <w:vAlign w:val="bottom"/>
            <w:tcBorders>
              <w:bottom w:val="single" w:sz="8" w:color="5D6673"/>
            </w:tcBorders>
          </w:tcPr>
          <w:p>
            <w:pPr>
              <w:spacing w:after="0"/>
              <w:rPr>
                <w:sz w:val="3"/>
                <w:szCs w:val="3"/>
                <w:color w:val="auto"/>
              </w:rPr>
            </w:pPr>
          </w:p>
        </w:tc>
        <w:tc>
          <w:tcPr>
            <w:tcW w:w="640" w:type="dxa"/>
            <w:vAlign w:val="bottom"/>
            <w:tcBorders>
              <w:bottom w:val="single" w:sz="8" w:color="5D6673"/>
            </w:tcBorders>
          </w:tcPr>
          <w:p>
            <w:pPr>
              <w:spacing w:after="0"/>
              <w:rPr>
                <w:sz w:val="3"/>
                <w:szCs w:val="3"/>
                <w:color w:val="auto"/>
              </w:rPr>
            </w:pPr>
          </w:p>
        </w:tc>
        <w:tc>
          <w:tcPr>
            <w:tcW w:w="40" w:type="dxa"/>
            <w:vAlign w:val="bottom"/>
            <w:tcBorders>
              <w:bottom w:val="single" w:sz="8" w:color="5D6673"/>
            </w:tcBorders>
          </w:tcPr>
          <w:p>
            <w:pPr>
              <w:spacing w:after="0"/>
              <w:rPr>
                <w:sz w:val="3"/>
                <w:szCs w:val="3"/>
                <w:color w:val="auto"/>
              </w:rPr>
            </w:pPr>
          </w:p>
        </w:tc>
        <w:tc>
          <w:tcPr>
            <w:tcW w:w="60" w:type="dxa"/>
            <w:vAlign w:val="bottom"/>
            <w:tcBorders>
              <w:bottom w:val="single" w:sz="8" w:color="5D6673"/>
            </w:tcBorders>
          </w:tcPr>
          <w:p>
            <w:pPr>
              <w:spacing w:after="0"/>
              <w:rPr>
                <w:sz w:val="3"/>
                <w:szCs w:val="3"/>
                <w:color w:val="auto"/>
              </w:rPr>
            </w:pPr>
          </w:p>
        </w:tc>
        <w:tc>
          <w:tcPr>
            <w:tcW w:w="860" w:type="dxa"/>
            <w:vAlign w:val="bottom"/>
            <w:tcBorders>
              <w:bottom w:val="single" w:sz="8" w:color="5D6673"/>
            </w:tcBorders>
          </w:tcPr>
          <w:p>
            <w:pPr>
              <w:spacing w:after="0"/>
              <w:rPr>
                <w:sz w:val="3"/>
                <w:szCs w:val="3"/>
                <w:color w:val="auto"/>
              </w:rPr>
            </w:pPr>
          </w:p>
        </w:tc>
        <w:tc>
          <w:tcPr>
            <w:tcW w:w="680" w:type="dxa"/>
            <w:vAlign w:val="bottom"/>
            <w:tcBorders>
              <w:bottom w:val="single" w:sz="8" w:color="5D6673"/>
            </w:tcBorders>
          </w:tcPr>
          <w:p>
            <w:pPr>
              <w:spacing w:after="0"/>
              <w:rPr>
                <w:sz w:val="3"/>
                <w:szCs w:val="3"/>
                <w:color w:val="auto"/>
              </w:rPr>
            </w:pPr>
          </w:p>
        </w:tc>
        <w:tc>
          <w:tcPr>
            <w:tcW w:w="74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760" w:type="dxa"/>
            <w:vAlign w:val="bottom"/>
            <w:tcBorders>
              <w:bottom w:val="single" w:sz="8" w:color="5D6673"/>
            </w:tcBorders>
          </w:tcPr>
          <w:p>
            <w:pPr>
              <w:spacing w:after="0"/>
              <w:rPr>
                <w:sz w:val="3"/>
                <w:szCs w:val="3"/>
                <w:color w:val="auto"/>
              </w:rPr>
            </w:pPr>
          </w:p>
        </w:tc>
        <w:tc>
          <w:tcPr>
            <w:tcW w:w="220" w:type="dxa"/>
            <w:vAlign w:val="bottom"/>
            <w:tcBorders>
              <w:bottom w:val="single" w:sz="8" w:color="5D6673"/>
            </w:tcBorders>
          </w:tcPr>
          <w:p>
            <w:pPr>
              <w:spacing w:after="0"/>
              <w:rPr>
                <w:sz w:val="3"/>
                <w:szCs w:val="3"/>
                <w:color w:val="auto"/>
              </w:rPr>
            </w:pPr>
          </w:p>
        </w:tc>
        <w:tc>
          <w:tcPr>
            <w:tcW w:w="92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Pr>
          <w:p>
            <w:pPr>
              <w:spacing w:after="0"/>
              <w:rPr>
                <w:sz w:val="12"/>
                <w:szCs w:val="12"/>
                <w:color w:val="auto"/>
              </w:rPr>
            </w:pPr>
          </w:p>
        </w:tc>
        <w:tc>
          <w:tcPr>
            <w:tcW w:w="84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26,691</w:t>
            </w: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color w:val="auto"/>
              </w:rPr>
              <w:t>$1,999,957</w:t>
            </w:r>
          </w:p>
        </w:tc>
        <w:tc>
          <w:tcPr>
            <w:tcW w:w="0" w:type="dxa"/>
            <w:vAlign w:val="bottom"/>
          </w:tcPr>
          <w:p>
            <w:pPr>
              <w:spacing w:after="0"/>
              <w:rPr>
                <w:sz w:val="1"/>
                <w:szCs w:val="1"/>
                <w:color w:val="auto"/>
              </w:rPr>
            </w:pPr>
          </w:p>
        </w:tc>
      </w:tr>
      <w:tr>
        <w:trPr>
          <w:trHeight w:val="56"/>
        </w:trPr>
        <w:tc>
          <w:tcPr>
            <w:tcW w:w="1380" w:type="dxa"/>
            <w:vAlign w:val="bottom"/>
          </w:tcPr>
          <w:p>
            <w:pPr>
              <w:spacing w:after="0"/>
              <w:rPr>
                <w:sz w:val="4"/>
                <w:szCs w:val="4"/>
                <w:color w:val="auto"/>
              </w:rPr>
            </w:pPr>
          </w:p>
        </w:tc>
        <w:tc>
          <w:tcPr>
            <w:tcW w:w="740" w:type="dxa"/>
            <w:vAlign w:val="bottom"/>
            <w:tcBorders>
              <w:bottom w:val="single" w:sz="8" w:color="5D6673"/>
            </w:tcBorders>
            <w:gridSpan w:val="2"/>
            <w:vMerge w:val="continue"/>
          </w:tcPr>
          <w:p>
            <w:pPr>
              <w:spacing w:after="0"/>
              <w:rPr>
                <w:sz w:val="4"/>
                <w:szCs w:val="4"/>
                <w:color w:val="auto"/>
              </w:rPr>
            </w:pPr>
          </w:p>
        </w:tc>
        <w:tc>
          <w:tcPr>
            <w:tcW w:w="100" w:type="dxa"/>
            <w:vAlign w:val="bottom"/>
            <w:tcBorders>
              <w:bottom w:val="single" w:sz="8" w:color="5D6673"/>
            </w:tcBorders>
          </w:tcPr>
          <w:p>
            <w:pPr>
              <w:spacing w:after="0"/>
              <w:rPr>
                <w:sz w:val="4"/>
                <w:szCs w:val="4"/>
                <w:color w:val="auto"/>
              </w:rPr>
            </w:pPr>
          </w:p>
        </w:tc>
        <w:tc>
          <w:tcPr>
            <w:tcW w:w="840" w:type="dxa"/>
            <w:vAlign w:val="bottom"/>
            <w:tcBorders>
              <w:bottom w:val="single" w:sz="8" w:color="5D6673"/>
            </w:tcBorders>
            <w:vMerge w:val="continue"/>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700" w:type="dxa"/>
            <w:vAlign w:val="bottom"/>
            <w:tcBorders>
              <w:bottom w:val="single" w:sz="8" w:color="5D6673"/>
            </w:tcBorders>
            <w:vMerge w:val="continue"/>
          </w:tcPr>
          <w:p>
            <w:pPr>
              <w:spacing w:after="0"/>
              <w:rPr>
                <w:sz w:val="4"/>
                <w:szCs w:val="4"/>
                <w:color w:val="auto"/>
              </w:rPr>
            </w:pPr>
          </w:p>
        </w:tc>
        <w:tc>
          <w:tcPr>
            <w:tcW w:w="180" w:type="dxa"/>
            <w:vAlign w:val="bottom"/>
            <w:tcBorders>
              <w:bottom w:val="single" w:sz="8" w:color="5D6673"/>
            </w:tcBorders>
          </w:tcPr>
          <w:p>
            <w:pPr>
              <w:spacing w:after="0"/>
              <w:rPr>
                <w:sz w:val="4"/>
                <w:szCs w:val="4"/>
                <w:color w:val="auto"/>
              </w:rPr>
            </w:pPr>
          </w:p>
        </w:tc>
        <w:tc>
          <w:tcPr>
            <w:tcW w:w="680" w:type="dxa"/>
            <w:vAlign w:val="bottom"/>
            <w:tcBorders>
              <w:bottom w:val="single" w:sz="8" w:color="5D6673"/>
            </w:tcBorders>
            <w:gridSpan w:val="2"/>
            <w:vMerge w:val="continue"/>
          </w:tcPr>
          <w:p>
            <w:pPr>
              <w:spacing w:after="0"/>
              <w:rPr>
                <w:sz w:val="4"/>
                <w:szCs w:val="4"/>
                <w:color w:val="auto"/>
              </w:rPr>
            </w:pPr>
          </w:p>
        </w:tc>
        <w:tc>
          <w:tcPr>
            <w:tcW w:w="60" w:type="dxa"/>
            <w:vAlign w:val="bottom"/>
            <w:tcBorders>
              <w:bottom w:val="single" w:sz="8" w:color="5D6673"/>
            </w:tcBorders>
          </w:tcPr>
          <w:p>
            <w:pPr>
              <w:spacing w:after="0"/>
              <w:rPr>
                <w:sz w:val="4"/>
                <w:szCs w:val="4"/>
                <w:color w:val="auto"/>
              </w:rPr>
            </w:pPr>
          </w:p>
        </w:tc>
        <w:tc>
          <w:tcPr>
            <w:tcW w:w="860" w:type="dxa"/>
            <w:vAlign w:val="bottom"/>
            <w:tcBorders>
              <w:bottom w:val="single" w:sz="8" w:color="5D6673"/>
            </w:tcBorders>
            <w:vMerge w:val="continue"/>
          </w:tcPr>
          <w:p>
            <w:pPr>
              <w:spacing w:after="0"/>
              <w:rPr>
                <w:sz w:val="4"/>
                <w:szCs w:val="4"/>
                <w:color w:val="auto"/>
              </w:rPr>
            </w:pPr>
          </w:p>
        </w:tc>
        <w:tc>
          <w:tcPr>
            <w:tcW w:w="680" w:type="dxa"/>
            <w:vAlign w:val="bottom"/>
            <w:tcBorders>
              <w:bottom w:val="single" w:sz="8" w:color="5D6673"/>
            </w:tcBorders>
            <w:vMerge w:val="continue"/>
          </w:tcPr>
          <w:p>
            <w:pPr>
              <w:spacing w:after="0"/>
              <w:rPr>
                <w:sz w:val="4"/>
                <w:szCs w:val="4"/>
                <w:color w:val="auto"/>
              </w:rPr>
            </w:pPr>
          </w:p>
        </w:tc>
        <w:tc>
          <w:tcPr>
            <w:tcW w:w="840" w:type="dxa"/>
            <w:vAlign w:val="bottom"/>
            <w:tcBorders>
              <w:bottom w:val="single" w:sz="8" w:color="5D6673"/>
            </w:tcBorders>
            <w:gridSpan w:val="2"/>
            <w:vMerge w:val="continue"/>
          </w:tcPr>
          <w:p>
            <w:pPr>
              <w:spacing w:after="0"/>
              <w:rPr>
                <w:sz w:val="4"/>
                <w:szCs w:val="4"/>
                <w:color w:val="auto"/>
              </w:rPr>
            </w:pPr>
          </w:p>
        </w:tc>
        <w:tc>
          <w:tcPr>
            <w:tcW w:w="760" w:type="dxa"/>
            <w:vAlign w:val="bottom"/>
            <w:tcBorders>
              <w:bottom w:val="single" w:sz="8" w:color="5D6673"/>
            </w:tcBorders>
            <w:vMerge w:val="continue"/>
          </w:tcPr>
          <w:p>
            <w:pPr>
              <w:spacing w:after="0"/>
              <w:rPr>
                <w:sz w:val="4"/>
                <w:szCs w:val="4"/>
                <w:color w:val="auto"/>
              </w:rPr>
            </w:pPr>
          </w:p>
        </w:tc>
        <w:tc>
          <w:tcPr>
            <w:tcW w:w="1140" w:type="dxa"/>
            <w:vAlign w:val="bottom"/>
            <w:tcBorders>
              <w:bottom w:val="single" w:sz="8" w:color="5D6673"/>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5D6673"/>
            </w:tcBorders>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53,383</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133,458</w:t>
            </w:r>
          </w:p>
        </w:tc>
        <w:tc>
          <w:tcPr>
            <w:tcW w:w="10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5D6673"/>
            </w:tcBorders>
            <w:gridSpan w:val="2"/>
          </w:tcPr>
          <w:p>
            <w:pPr>
              <w:ind w:left="100"/>
              <w:spacing w:after="0" w:line="195" w:lineRule="exact"/>
              <w:rPr>
                <w:sz w:val="20"/>
                <w:szCs w:val="20"/>
                <w:color w:val="auto"/>
              </w:rPr>
            </w:pPr>
            <w:r>
              <w:rPr>
                <w:rFonts w:ascii="Arial" w:cs="Arial" w:eastAsia="Arial" w:hAnsi="Arial"/>
                <w:sz w:val="14"/>
                <w:szCs w:val="14"/>
                <w:color w:val="auto"/>
              </w:rPr>
              <w:t>$1,481,528</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Joan S. Hooper</w:t>
            </w:r>
          </w:p>
        </w:tc>
        <w:tc>
          <w:tcPr>
            <w:tcW w:w="8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412,500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577,500</w:t>
            </w:r>
          </w:p>
        </w:tc>
        <w:tc>
          <w:tcPr>
            <w:tcW w:w="40" w:type="dxa"/>
            <w:vAlign w:val="bottom"/>
            <w:tcBorders>
              <w:bottom w:val="single" w:sz="8" w:color="5D6673"/>
            </w:tcBorders>
          </w:tcPr>
          <w:p>
            <w:pPr>
              <w:spacing w:after="0"/>
              <w:rPr>
                <w:sz w:val="17"/>
                <w:szCs w:val="17"/>
                <w:color w:val="auto"/>
              </w:rPr>
            </w:pP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31"/>
              <w:spacing w:after="0"/>
              <w:rPr>
                <w:sz w:val="20"/>
                <w:szCs w:val="20"/>
                <w:color w:val="auto"/>
              </w:rPr>
            </w:pPr>
            <w:r>
              <w:rPr>
                <w:rFonts w:ascii="Arial" w:cs="Arial" w:eastAsia="Arial" w:hAnsi="Arial"/>
                <w:sz w:val="14"/>
                <w:szCs w:val="14"/>
                <w:color w:val="auto"/>
              </w:rPr>
              <w:t>12,678</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949,963</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5D6673"/>
            </w:tcBorders>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12,678</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31,695</w:t>
            </w:r>
          </w:p>
        </w:tc>
        <w:tc>
          <w:tcPr>
            <w:tcW w:w="10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1"/>
              <w:spacing w:after="0" w:line="195" w:lineRule="exact"/>
              <w:rPr>
                <w:sz w:val="20"/>
                <w:szCs w:val="20"/>
                <w:color w:val="auto"/>
              </w:rPr>
            </w:pPr>
            <w:r>
              <w:rPr>
                <w:rFonts w:ascii="Arial" w:cs="Arial" w:eastAsia="Arial" w:hAnsi="Arial"/>
                <w:sz w:val="14"/>
                <w:szCs w:val="14"/>
                <w:color w:val="auto"/>
              </w:rPr>
              <w:t>351,857</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Donald L. Reeves</w:t>
            </w:r>
          </w:p>
        </w:tc>
        <w:tc>
          <w:tcPr>
            <w:tcW w:w="8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352,500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493,500</w:t>
            </w:r>
          </w:p>
        </w:tc>
        <w:tc>
          <w:tcPr>
            <w:tcW w:w="40" w:type="dxa"/>
            <w:vAlign w:val="bottom"/>
            <w:tcBorders>
              <w:bottom w:val="single" w:sz="8" w:color="5D6673"/>
            </w:tcBorders>
          </w:tcPr>
          <w:p>
            <w:pPr>
              <w:spacing w:after="0"/>
              <w:rPr>
                <w:sz w:val="17"/>
                <w:szCs w:val="17"/>
                <w:color w:val="auto"/>
              </w:rPr>
            </w:pP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7,340</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549,986</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5D6673"/>
            </w:tcBorders>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7,340</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18,350</w:t>
            </w:r>
          </w:p>
        </w:tc>
        <w:tc>
          <w:tcPr>
            <w:tcW w:w="10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1"/>
              <w:spacing w:after="0" w:line="195" w:lineRule="exact"/>
              <w:rPr>
                <w:sz w:val="20"/>
                <w:szCs w:val="20"/>
                <w:color w:val="auto"/>
              </w:rPr>
            </w:pPr>
            <w:r>
              <w:rPr>
                <w:rFonts w:ascii="Arial" w:cs="Arial" w:eastAsia="Arial" w:hAnsi="Arial"/>
                <w:sz w:val="14"/>
                <w:szCs w:val="14"/>
                <w:color w:val="auto"/>
              </w:rPr>
              <w:t>203,654</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John F. Marcolini</w:t>
            </w:r>
          </w:p>
        </w:tc>
        <w:tc>
          <w:tcPr>
            <w:tcW w:w="8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345,000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483,000</w:t>
            </w:r>
          </w:p>
        </w:tc>
        <w:tc>
          <w:tcPr>
            <w:tcW w:w="40" w:type="dxa"/>
            <w:vAlign w:val="bottom"/>
            <w:tcBorders>
              <w:bottom w:val="single" w:sz="8" w:color="5D6673"/>
            </w:tcBorders>
          </w:tcPr>
          <w:p>
            <w:pPr>
              <w:spacing w:after="0"/>
              <w:rPr>
                <w:sz w:val="17"/>
                <w:szCs w:val="17"/>
                <w:color w:val="auto"/>
              </w:rPr>
            </w:pP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7,673</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574,938</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5D6673"/>
            </w:tcBorders>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7,673</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19,183</w:t>
            </w:r>
          </w:p>
        </w:tc>
        <w:tc>
          <w:tcPr>
            <w:tcW w:w="10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131"/>
              <w:spacing w:after="0" w:line="195" w:lineRule="exact"/>
              <w:rPr>
                <w:sz w:val="20"/>
                <w:szCs w:val="20"/>
                <w:color w:val="auto"/>
              </w:rPr>
            </w:pPr>
            <w:r>
              <w:rPr>
                <w:rFonts w:ascii="Arial" w:cs="Arial" w:eastAsia="Arial" w:hAnsi="Arial"/>
                <w:sz w:val="14"/>
                <w:szCs w:val="14"/>
                <w:color w:val="auto"/>
              </w:rPr>
              <w:t>212,896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1380" w:type="dxa"/>
            <w:vAlign w:val="bottom"/>
          </w:tcPr>
          <w:p>
            <w:pPr>
              <w:ind w:left="60"/>
              <w:spacing w:after="0"/>
              <w:rPr>
                <w:sz w:val="20"/>
                <w:szCs w:val="20"/>
                <w:color w:val="auto"/>
              </w:rPr>
            </w:pPr>
            <w:r>
              <w:rPr>
                <w:rFonts w:ascii="Arial" w:cs="Arial" w:eastAsia="Arial" w:hAnsi="Arial"/>
                <w:sz w:val="14"/>
                <w:szCs w:val="14"/>
                <w:b w:val="1"/>
                <w:bCs w:val="1"/>
                <w:color w:val="0063A6"/>
              </w:rPr>
              <w:t>Justin K. Patrick</w:t>
            </w:r>
          </w:p>
        </w:tc>
        <w:tc>
          <w:tcPr>
            <w:tcW w:w="80" w:type="dxa"/>
            <w:vAlign w:val="bottom"/>
            <w:tcBorders>
              <w:bottom w:val="single" w:sz="8" w:color="5D6673"/>
            </w:tcBorders>
          </w:tcPr>
          <w:p>
            <w:pPr>
              <w:spacing w:after="0"/>
              <w:rPr>
                <w:sz w:val="17"/>
                <w:szCs w:val="17"/>
                <w:color w:val="auto"/>
              </w:rPr>
            </w:pPr>
          </w:p>
        </w:tc>
        <w:tc>
          <w:tcPr>
            <w:tcW w:w="76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311,250</w:t>
            </w:r>
          </w:p>
        </w:tc>
        <w:tc>
          <w:tcPr>
            <w:tcW w:w="18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435,750</w:t>
            </w:r>
          </w:p>
        </w:tc>
        <w:tc>
          <w:tcPr>
            <w:tcW w:w="40" w:type="dxa"/>
            <w:vAlign w:val="bottom"/>
            <w:tcBorders>
              <w:bottom w:val="single" w:sz="8" w:color="5D6673"/>
            </w:tcBorders>
          </w:tcPr>
          <w:p>
            <w:pPr>
              <w:spacing w:after="0"/>
              <w:rPr>
                <w:sz w:val="17"/>
                <w:szCs w:val="17"/>
                <w:color w:val="auto"/>
              </w:rPr>
            </w:pP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17"/>
                <w:szCs w:val="17"/>
                <w:color w:val="auto"/>
              </w:rPr>
            </w:pPr>
          </w:p>
        </w:tc>
        <w:tc>
          <w:tcPr>
            <w:tcW w:w="70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5D6673"/>
            </w:tcBorders>
          </w:tcPr>
          <w:p>
            <w:pPr>
              <w:spacing w:after="0"/>
              <w:rPr>
                <w:sz w:val="17"/>
                <w:szCs w:val="17"/>
                <w:color w:val="auto"/>
              </w:rPr>
            </w:pPr>
          </w:p>
        </w:tc>
        <w:tc>
          <w:tcPr>
            <w:tcW w:w="680" w:type="dxa"/>
            <w:vAlign w:val="bottom"/>
            <w:tcBorders>
              <w:bottom w:val="single" w:sz="8" w:color="5D6673"/>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5D6673"/>
            </w:tcBorders>
          </w:tcPr>
          <w:p>
            <w:pPr>
              <w:spacing w:after="0"/>
              <w:rPr>
                <w:sz w:val="17"/>
                <w:szCs w:val="17"/>
                <w:color w:val="auto"/>
              </w:rPr>
            </w:pPr>
          </w:p>
        </w:tc>
        <w:tc>
          <w:tcPr>
            <w:tcW w:w="860" w:type="dxa"/>
            <w:vAlign w:val="bottom"/>
            <w:tcBorders>
              <w:bottom w:val="single" w:sz="8" w:color="5D6673"/>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D6673"/>
            </w:tcBorders>
          </w:tcPr>
          <w:p>
            <w:pPr>
              <w:jc w:val="right"/>
              <w:ind w:right="51"/>
              <w:spacing w:after="0"/>
              <w:rPr>
                <w:sz w:val="20"/>
                <w:szCs w:val="20"/>
                <w:color w:val="auto"/>
              </w:rPr>
            </w:pPr>
            <w:r>
              <w:rPr>
                <w:rFonts w:ascii="Arial" w:cs="Arial" w:eastAsia="Arial" w:hAnsi="Arial"/>
                <w:sz w:val="14"/>
                <w:szCs w:val="14"/>
                <w:color w:val="auto"/>
              </w:rPr>
              <w:t>6,672</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ind w:right="271"/>
              <w:spacing w:after="0"/>
              <w:rPr>
                <w:sz w:val="20"/>
                <w:szCs w:val="20"/>
                <w:color w:val="auto"/>
              </w:rPr>
            </w:pPr>
            <w:r>
              <w:rPr>
                <w:rFonts w:ascii="Arial" w:cs="Arial" w:eastAsia="Arial" w:hAnsi="Arial"/>
                <w:sz w:val="14"/>
                <w:szCs w:val="14"/>
                <w:color w:val="auto"/>
              </w:rPr>
              <w:t>499,933</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63A6"/>
            </w:tcBorders>
          </w:tcPr>
          <w:p>
            <w:pPr>
              <w:spacing w:after="0"/>
              <w:rPr>
                <w:sz w:val="17"/>
                <w:szCs w:val="17"/>
                <w:color w:val="auto"/>
              </w:rPr>
            </w:pPr>
          </w:p>
        </w:tc>
        <w:tc>
          <w:tcPr>
            <w:tcW w:w="740" w:type="dxa"/>
            <w:vAlign w:val="bottom"/>
            <w:tcBorders>
              <w:bottom w:val="single" w:sz="8" w:color="0063A6"/>
            </w:tcBorders>
            <w:gridSpan w:val="2"/>
          </w:tcPr>
          <w:p>
            <w:pPr>
              <w:jc w:val="right"/>
              <w:spacing w:after="0"/>
              <w:rPr>
                <w:sz w:val="20"/>
                <w:szCs w:val="20"/>
                <w:color w:val="auto"/>
              </w:rPr>
            </w:pPr>
            <w:r>
              <w:rPr>
                <w:rFonts w:ascii="Arial" w:cs="Arial" w:eastAsia="Arial" w:hAnsi="Arial"/>
                <w:sz w:val="14"/>
                <w:szCs w:val="14"/>
                <w:color w:val="auto"/>
              </w:rPr>
              <w:t>2/23/2024</w:t>
            </w:r>
          </w:p>
        </w:tc>
        <w:tc>
          <w:tcPr>
            <w:tcW w:w="100" w:type="dxa"/>
            <w:vAlign w:val="bottom"/>
            <w:tcBorders>
              <w:bottom w:val="single" w:sz="8" w:color="0063A6"/>
            </w:tcBorders>
          </w:tcPr>
          <w:p>
            <w:pPr>
              <w:spacing w:after="0"/>
              <w:rPr>
                <w:sz w:val="17"/>
                <w:szCs w:val="17"/>
                <w:color w:val="auto"/>
              </w:rPr>
            </w:pPr>
          </w:p>
        </w:tc>
        <w:tc>
          <w:tcPr>
            <w:tcW w:w="840" w:type="dxa"/>
            <w:vAlign w:val="bottom"/>
            <w:tcBorders>
              <w:bottom w:val="single" w:sz="8" w:color="0063A6"/>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spacing w:after="0"/>
              <w:rPr>
                <w:sz w:val="17"/>
                <w:szCs w:val="17"/>
                <w:color w:val="auto"/>
              </w:rPr>
            </w:pPr>
          </w:p>
        </w:tc>
        <w:tc>
          <w:tcPr>
            <w:tcW w:w="700" w:type="dxa"/>
            <w:vAlign w:val="bottom"/>
            <w:tcBorders>
              <w:bottom w:val="single" w:sz="8" w:color="0063A6"/>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63A6"/>
            </w:tcBorders>
          </w:tcPr>
          <w:p>
            <w:pPr>
              <w:spacing w:after="0"/>
              <w:rPr>
                <w:sz w:val="17"/>
                <w:szCs w:val="17"/>
                <w:color w:val="auto"/>
              </w:rPr>
            </w:pPr>
          </w:p>
        </w:tc>
        <w:tc>
          <w:tcPr>
            <w:tcW w:w="680" w:type="dxa"/>
            <w:vAlign w:val="bottom"/>
            <w:tcBorders>
              <w:bottom w:val="single" w:sz="8" w:color="0063A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0063A6"/>
            </w:tcBorders>
          </w:tcPr>
          <w:p>
            <w:pPr>
              <w:spacing w:after="0"/>
              <w:rPr>
                <w:sz w:val="17"/>
                <w:szCs w:val="17"/>
                <w:color w:val="auto"/>
              </w:rPr>
            </w:pPr>
          </w:p>
        </w:tc>
        <w:tc>
          <w:tcPr>
            <w:tcW w:w="860" w:type="dxa"/>
            <w:vAlign w:val="bottom"/>
            <w:tcBorders>
              <w:bottom w:val="single" w:sz="8" w:color="0063A6"/>
            </w:tcBorders>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63A6"/>
            </w:tcBorders>
          </w:tcPr>
          <w:p>
            <w:pPr>
              <w:jc w:val="right"/>
              <w:ind w:right="49"/>
              <w:spacing w:after="0"/>
              <w:rPr>
                <w:sz w:val="20"/>
                <w:szCs w:val="20"/>
                <w:color w:val="auto"/>
              </w:rPr>
            </w:pPr>
            <w:r>
              <w:rPr>
                <w:rFonts w:ascii="Arial" w:cs="Arial" w:eastAsia="Arial" w:hAnsi="Arial"/>
                <w:sz w:val="14"/>
                <w:szCs w:val="14"/>
                <w:color w:val="auto"/>
              </w:rPr>
              <w:t>6,672</w:t>
            </w:r>
          </w:p>
        </w:tc>
        <w:tc>
          <w:tcPr>
            <w:tcW w:w="7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16,680</w:t>
            </w:r>
          </w:p>
        </w:tc>
        <w:tc>
          <w:tcPr>
            <w:tcW w:w="100" w:type="dxa"/>
            <w:vAlign w:val="bottom"/>
            <w:tcBorders>
              <w:bottom w:val="single" w:sz="8" w:color="0063A6"/>
            </w:tcBorders>
          </w:tcPr>
          <w:p>
            <w:pPr>
              <w:spacing w:after="0"/>
              <w:rPr>
                <w:sz w:val="17"/>
                <w:szCs w:val="17"/>
                <w:color w:val="auto"/>
              </w:rPr>
            </w:pPr>
          </w:p>
        </w:tc>
        <w:tc>
          <w:tcPr>
            <w:tcW w:w="760" w:type="dxa"/>
            <w:vAlign w:val="bottom"/>
            <w:tcBorders>
              <w:bottom w:val="single" w:sz="8" w:color="0063A6"/>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ind w:right="131"/>
              <w:spacing w:after="0" w:line="195" w:lineRule="exact"/>
              <w:rPr>
                <w:sz w:val="20"/>
                <w:szCs w:val="20"/>
                <w:color w:val="auto"/>
              </w:rPr>
            </w:pPr>
            <w:r>
              <w:rPr>
                <w:rFonts w:ascii="Arial" w:cs="Arial" w:eastAsia="Arial" w:hAnsi="Arial"/>
                <w:sz w:val="14"/>
                <w:szCs w:val="14"/>
                <w:color w:val="auto"/>
              </w:rPr>
              <w:t>185,171</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-2459355</wp:posOffset>
            </wp:positionV>
            <wp:extent cx="30861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9" w:lineRule="exact"/>
        <w:rPr>
          <w:sz w:val="20"/>
          <w:szCs w:val="20"/>
          <w:color w:val="auto"/>
        </w:rPr>
      </w:pPr>
    </w:p>
    <w:p>
      <w:pPr>
        <w:ind w:left="346" w:right="500" w:hanging="346"/>
        <w:spacing w:after="0" w:line="285" w:lineRule="auto"/>
        <w:tabs>
          <w:tab w:leader="none" w:pos="346"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2024. Our annual incentive program is discussed under the caption “</w:t>
      </w:r>
      <w:r>
        <w:rPr>
          <w:rFonts w:ascii="Arial" w:cs="Arial" w:eastAsia="Arial" w:hAnsi="Arial"/>
          <w:sz w:val="14"/>
          <w:szCs w:val="14"/>
          <w:i w:val="1"/>
          <w:iCs w:val="1"/>
          <w:color w:val="auto"/>
        </w:rPr>
        <w:t>Annual Cash Incentives - The Itron Incentive Plan (IIP)</w:t>
      </w:r>
      <w:r>
        <w:rPr>
          <w:rFonts w:ascii="Arial" w:cs="Arial" w:eastAsia="Arial" w:hAnsi="Arial"/>
          <w:sz w:val="14"/>
          <w:szCs w:val="14"/>
          <w:color w:val="auto"/>
        </w:rPr>
        <w:t>” in this proxy statement.</w:t>
      </w:r>
    </w:p>
    <w:p>
      <w:pPr>
        <w:spacing w:after="0" w:line="9" w:lineRule="exact"/>
        <w:rPr>
          <w:rFonts w:ascii="Arial" w:cs="Arial" w:eastAsia="Arial" w:hAnsi="Arial"/>
          <w:sz w:val="14"/>
          <w:szCs w:val="14"/>
          <w:color w:val="auto"/>
        </w:rPr>
      </w:pPr>
    </w:p>
    <w:p>
      <w:pPr>
        <w:ind w:left="346" w:right="260" w:hanging="346"/>
        <w:spacing w:after="0" w:line="285" w:lineRule="auto"/>
        <w:tabs>
          <w:tab w:leader="none" w:pos="346"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range of possible PRSU payouts for the three-year performance cycle beginning in 2024; earned PRSU awards are paid in Itron common stock. Our PRSUs are discussed under the caption “</w:t>
      </w:r>
      <w:r>
        <w:rPr>
          <w:rFonts w:ascii="Arial" w:cs="Arial" w:eastAsia="Arial" w:hAnsi="Arial"/>
          <w:sz w:val="14"/>
          <w:szCs w:val="14"/>
          <w:i w:val="1"/>
          <w:iCs w:val="1"/>
          <w:color w:val="auto"/>
        </w:rPr>
        <w:t>A Closer Look at PRSUs</w:t>
      </w:r>
      <w:r>
        <w:rPr>
          <w:rFonts w:ascii="Arial" w:cs="Arial" w:eastAsia="Arial" w:hAnsi="Arial"/>
          <w:sz w:val="14"/>
          <w:szCs w:val="14"/>
          <w:color w:val="auto"/>
        </w:rPr>
        <w:t>” in this proxy statement.</w:t>
      </w:r>
    </w:p>
    <w:p>
      <w:pPr>
        <w:spacing w:after="0" w:line="9" w:lineRule="exact"/>
        <w:rPr>
          <w:rFonts w:ascii="Arial" w:cs="Arial" w:eastAsia="Arial" w:hAnsi="Arial"/>
          <w:sz w:val="14"/>
          <w:szCs w:val="14"/>
          <w:color w:val="auto"/>
        </w:rPr>
      </w:pPr>
    </w:p>
    <w:p>
      <w:pPr>
        <w:ind w:left="346" w:hanging="346"/>
        <w:spacing w:after="0"/>
        <w:tabs>
          <w:tab w:leader="none" w:pos="346"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RSUs granted under our 2010 SIP.</w:t>
      </w:r>
    </w:p>
    <w:p>
      <w:pPr>
        <w:spacing w:after="0" w:line="82" w:lineRule="exact"/>
        <w:rPr>
          <w:rFonts w:ascii="Arial" w:cs="Arial" w:eastAsia="Arial" w:hAnsi="Arial"/>
          <w:sz w:val="14"/>
          <w:szCs w:val="14"/>
          <w:color w:val="auto"/>
        </w:rPr>
      </w:pPr>
    </w:p>
    <w:p>
      <w:pPr>
        <w:ind w:left="346" w:right="80" w:hanging="346"/>
        <w:spacing w:after="0" w:line="256" w:lineRule="auto"/>
        <w:tabs>
          <w:tab w:leader="none" w:pos="346"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Amounts shown are based on target performance achievement for the 2024 portion of the three-year performance cycle of PRSUs. As required under FASB ASC Topic 718, includes the value of the award contingent upon the Company’s financial performance and the grant date fair value for the TSR multiplier for the 2024 portion of the award. See footnote 2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xml:space="preserve"> in this proxy statement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6" w:name="page47"/>
    <w:bookmarkEnd w:id="4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2024 Outstanding Equity Awards at Fiscal Year-End Table</w:t>
      </w:r>
    </w:p>
    <w:p>
      <w:pPr>
        <w:spacing w:after="0" w:line="200" w:lineRule="exact"/>
        <w:rPr>
          <w:sz w:val="20"/>
          <w:szCs w:val="20"/>
          <w:color w:val="auto"/>
        </w:rPr>
      </w:pPr>
    </w:p>
    <w:p>
      <w:pPr>
        <w:spacing w:after="0" w:line="314"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1280" w:type="dxa"/>
            <w:vAlign w:val="bottom"/>
          </w:tcPr>
          <w:p>
            <w:pPr>
              <w:spacing w:after="0"/>
              <w:rPr>
                <w:sz w:val="14"/>
                <w:szCs w:val="14"/>
                <w:color w:val="auto"/>
              </w:rPr>
            </w:pPr>
          </w:p>
        </w:tc>
        <w:tc>
          <w:tcPr>
            <w:tcW w:w="690" w:type="dxa"/>
            <w:vAlign w:val="bottom"/>
            <w:tcBorders>
              <w:bottom w:val="single" w:sz="8" w:color="0063A6"/>
            </w:tcBorders>
          </w:tcPr>
          <w:p>
            <w:pPr>
              <w:spacing w:after="0"/>
              <w:rPr>
                <w:sz w:val="14"/>
                <w:szCs w:val="14"/>
                <w:color w:val="auto"/>
              </w:rPr>
            </w:pPr>
          </w:p>
        </w:tc>
        <w:tc>
          <w:tcPr>
            <w:tcW w:w="890" w:type="dxa"/>
            <w:vAlign w:val="bottom"/>
            <w:tcBorders>
              <w:bottom w:val="single" w:sz="8" w:color="0063A6"/>
            </w:tcBorders>
          </w:tcPr>
          <w:p>
            <w:pPr>
              <w:spacing w:after="0"/>
              <w:rPr>
                <w:sz w:val="14"/>
                <w:szCs w:val="14"/>
                <w:color w:val="auto"/>
              </w:rPr>
            </w:pPr>
          </w:p>
        </w:tc>
        <w:tc>
          <w:tcPr>
            <w:tcW w:w="880" w:type="dxa"/>
            <w:vAlign w:val="bottom"/>
            <w:tcBorders>
              <w:bottom w:val="single" w:sz="8" w:color="0063A6"/>
            </w:tcBorders>
          </w:tcPr>
          <w:p>
            <w:pPr>
              <w:spacing w:after="0"/>
              <w:rPr>
                <w:sz w:val="14"/>
                <w:szCs w:val="14"/>
                <w:color w:val="auto"/>
              </w:rPr>
            </w:pPr>
          </w:p>
        </w:tc>
        <w:tc>
          <w:tcPr>
            <w:tcW w:w="620" w:type="dxa"/>
            <w:vAlign w:val="bottom"/>
            <w:tcBorders>
              <w:bottom w:val="single" w:sz="8" w:color="0063A6"/>
            </w:tcBorders>
          </w:tcPr>
          <w:p>
            <w:pPr>
              <w:spacing w:after="0"/>
              <w:rPr>
                <w:sz w:val="14"/>
                <w:szCs w:val="14"/>
                <w:color w:val="auto"/>
              </w:rPr>
            </w:pPr>
          </w:p>
        </w:tc>
        <w:tc>
          <w:tcPr>
            <w:tcW w:w="1540" w:type="dxa"/>
            <w:vAlign w:val="bottom"/>
            <w:tcBorders>
              <w:bottom w:val="single" w:sz="8" w:color="0063A6"/>
            </w:tcBorders>
            <w:gridSpan w:val="3"/>
          </w:tcPr>
          <w:p>
            <w:pPr>
              <w:jc w:val="right"/>
              <w:ind w:right="257"/>
              <w:spacing w:after="0"/>
              <w:rPr>
                <w:sz w:val="20"/>
                <w:szCs w:val="20"/>
                <w:color w:val="auto"/>
              </w:rPr>
            </w:pPr>
            <w:r>
              <w:rPr>
                <w:rFonts w:ascii="Arial" w:cs="Arial" w:eastAsia="Arial" w:hAnsi="Arial"/>
                <w:sz w:val="13"/>
                <w:szCs w:val="13"/>
                <w:b w:val="1"/>
                <w:bCs w:val="1"/>
                <w:color w:val="auto"/>
              </w:rPr>
              <w:t>ITRON, INC.</w:t>
            </w:r>
          </w:p>
        </w:tc>
        <w:tc>
          <w:tcPr>
            <w:tcW w:w="260" w:type="dxa"/>
            <w:vAlign w:val="bottom"/>
            <w:tcBorders>
              <w:bottom w:val="single" w:sz="8" w:color="0063A6"/>
            </w:tcBorders>
          </w:tcPr>
          <w:p>
            <w:pPr>
              <w:spacing w:after="0"/>
              <w:rPr>
                <w:sz w:val="14"/>
                <w:szCs w:val="14"/>
                <w:color w:val="auto"/>
              </w:rPr>
            </w:pPr>
          </w:p>
        </w:tc>
        <w:tc>
          <w:tcPr>
            <w:tcW w:w="680" w:type="dxa"/>
            <w:vAlign w:val="bottom"/>
            <w:tcBorders>
              <w:bottom w:val="single" w:sz="8" w:color="0063A6"/>
            </w:tcBorders>
          </w:tcPr>
          <w:p>
            <w:pPr>
              <w:spacing w:after="0"/>
              <w:rPr>
                <w:sz w:val="14"/>
                <w:szCs w:val="14"/>
                <w:color w:val="auto"/>
              </w:rPr>
            </w:pPr>
          </w:p>
        </w:tc>
        <w:tc>
          <w:tcPr>
            <w:tcW w:w="1120" w:type="dxa"/>
            <w:vAlign w:val="bottom"/>
            <w:tcBorders>
              <w:bottom w:val="single" w:sz="8" w:color="0063A6"/>
            </w:tcBorders>
          </w:tcPr>
          <w:p>
            <w:pPr>
              <w:spacing w:after="0"/>
              <w:rPr>
                <w:sz w:val="14"/>
                <w:szCs w:val="14"/>
                <w:color w:val="auto"/>
              </w:rPr>
            </w:pPr>
          </w:p>
        </w:tc>
        <w:tc>
          <w:tcPr>
            <w:tcW w:w="1180" w:type="dxa"/>
            <w:vAlign w:val="bottom"/>
            <w:tcBorders>
              <w:bottom w:val="single" w:sz="8" w:color="0063A6"/>
            </w:tcBorders>
          </w:tcPr>
          <w:p>
            <w:pPr>
              <w:spacing w:after="0"/>
              <w:rPr>
                <w:sz w:val="14"/>
                <w:szCs w:val="14"/>
                <w:color w:val="auto"/>
              </w:rPr>
            </w:pPr>
          </w:p>
        </w:tc>
        <w:tc>
          <w:tcPr>
            <w:tcW w:w="40" w:type="dxa"/>
            <w:vAlign w:val="bottom"/>
            <w:tcBorders>
              <w:bottom w:val="single" w:sz="8" w:color="0063A6"/>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00" w:type="dxa"/>
            <w:vAlign w:val="bottom"/>
            <w:gridSpan w:val="6"/>
          </w:tcPr>
          <w:p>
            <w:pPr>
              <w:jc w:val="right"/>
              <w:ind w:right="177"/>
              <w:spacing w:after="0"/>
              <w:rPr>
                <w:sz w:val="20"/>
                <w:szCs w:val="20"/>
                <w:color w:val="auto"/>
              </w:rPr>
            </w:pPr>
            <w:r>
              <w:rPr>
                <w:rFonts w:ascii="Arial" w:cs="Arial" w:eastAsia="Arial" w:hAnsi="Arial"/>
                <w:sz w:val="13"/>
                <w:szCs w:val="13"/>
                <w:b w:val="1"/>
                <w:bCs w:val="1"/>
                <w:color w:val="auto"/>
                <w:w w:val="98"/>
              </w:rPr>
              <w:t>Outstanding Equity Awards At Fiscal Year End</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90" w:type="dxa"/>
            <w:vAlign w:val="bottom"/>
            <w:shd w:val="clear" w:color="auto" w:fill="0063A6"/>
          </w:tcPr>
          <w:p>
            <w:pPr>
              <w:spacing w:after="0"/>
              <w:rPr>
                <w:sz w:val="16"/>
                <w:szCs w:val="16"/>
                <w:color w:val="auto"/>
              </w:rPr>
            </w:pPr>
          </w:p>
        </w:tc>
        <w:tc>
          <w:tcPr>
            <w:tcW w:w="890" w:type="dxa"/>
            <w:vAlign w:val="bottom"/>
            <w:shd w:val="clear" w:color="auto" w:fill="0063A6"/>
          </w:tcPr>
          <w:p>
            <w:pPr>
              <w:spacing w:after="0"/>
              <w:rPr>
                <w:sz w:val="16"/>
                <w:szCs w:val="16"/>
                <w:color w:val="auto"/>
              </w:rPr>
            </w:pPr>
          </w:p>
        </w:tc>
        <w:tc>
          <w:tcPr>
            <w:tcW w:w="1500" w:type="dxa"/>
            <w:vAlign w:val="bottom"/>
            <w:gridSpan w:val="2"/>
            <w:shd w:val="clear" w:color="auto" w:fill="0063A6"/>
          </w:tcPr>
          <w:p>
            <w:pPr>
              <w:jc w:val="right"/>
              <w:ind w:right="317"/>
              <w:spacing w:after="0"/>
              <w:rPr>
                <w:sz w:val="20"/>
                <w:szCs w:val="20"/>
                <w:color w:val="auto"/>
              </w:rPr>
            </w:pPr>
            <w:r>
              <w:rPr>
                <w:rFonts w:ascii="Arial" w:cs="Arial" w:eastAsia="Arial" w:hAnsi="Arial"/>
                <w:sz w:val="13"/>
                <w:szCs w:val="13"/>
                <w:b w:val="1"/>
                <w:bCs w:val="1"/>
                <w:color w:val="FFFFFF"/>
              </w:rPr>
              <w:t>Option Awards</w:t>
            </w:r>
          </w:p>
        </w:tc>
        <w:tc>
          <w:tcPr>
            <w:tcW w:w="680" w:type="dxa"/>
            <w:vAlign w:val="bottom"/>
            <w:shd w:val="clear" w:color="auto" w:fill="0063A6"/>
          </w:tcPr>
          <w:p>
            <w:pPr>
              <w:spacing w:after="0"/>
              <w:rPr>
                <w:sz w:val="16"/>
                <w:szCs w:val="16"/>
                <w:color w:val="auto"/>
              </w:rPr>
            </w:pPr>
          </w:p>
        </w:tc>
        <w:tc>
          <w:tcPr>
            <w:tcW w:w="40" w:type="dxa"/>
            <w:vAlign w:val="bottom"/>
            <w:shd w:val="clear" w:color="auto" w:fill="0063A6"/>
          </w:tcPr>
          <w:p>
            <w:pPr>
              <w:spacing w:after="0"/>
              <w:rPr>
                <w:sz w:val="16"/>
                <w:szCs w:val="16"/>
                <w:color w:val="auto"/>
              </w:rPr>
            </w:pPr>
          </w:p>
        </w:tc>
        <w:tc>
          <w:tcPr>
            <w:tcW w:w="820" w:type="dxa"/>
            <w:vAlign w:val="bottom"/>
            <w:shd w:val="clear" w:color="auto" w:fill="0063A6"/>
          </w:tcPr>
          <w:p>
            <w:pPr>
              <w:spacing w:after="0"/>
              <w:rPr>
                <w:sz w:val="16"/>
                <w:szCs w:val="16"/>
                <w:color w:val="auto"/>
              </w:rPr>
            </w:pPr>
          </w:p>
        </w:tc>
        <w:tc>
          <w:tcPr>
            <w:tcW w:w="260" w:type="dxa"/>
            <w:vAlign w:val="bottom"/>
            <w:shd w:val="clear" w:color="auto" w:fill="0063A6"/>
          </w:tcPr>
          <w:p>
            <w:pPr>
              <w:spacing w:after="0"/>
              <w:rPr>
                <w:sz w:val="16"/>
                <w:szCs w:val="16"/>
                <w:color w:val="auto"/>
              </w:rPr>
            </w:pPr>
          </w:p>
        </w:tc>
        <w:tc>
          <w:tcPr>
            <w:tcW w:w="1800" w:type="dxa"/>
            <w:vAlign w:val="bottom"/>
            <w:gridSpan w:val="2"/>
            <w:shd w:val="clear" w:color="auto" w:fill="0063A6"/>
          </w:tcPr>
          <w:p>
            <w:pPr>
              <w:jc w:val="right"/>
              <w:ind w:right="357"/>
              <w:spacing w:after="0"/>
              <w:rPr>
                <w:sz w:val="20"/>
                <w:szCs w:val="20"/>
                <w:color w:val="auto"/>
              </w:rPr>
            </w:pPr>
            <w:r>
              <w:rPr>
                <w:rFonts w:ascii="Arial" w:cs="Arial" w:eastAsia="Arial" w:hAnsi="Arial"/>
                <w:sz w:val="13"/>
                <w:szCs w:val="13"/>
                <w:b w:val="1"/>
                <w:bCs w:val="1"/>
                <w:color w:val="FFFFFF"/>
              </w:rPr>
              <w:t>Stock Awards</w:t>
            </w:r>
          </w:p>
        </w:tc>
        <w:tc>
          <w:tcPr>
            <w:tcW w:w="118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Equity Incentive</w:t>
            </w:r>
          </w:p>
        </w:tc>
        <w:tc>
          <w:tcPr>
            <w:tcW w:w="4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690" w:type="dxa"/>
            <w:vAlign w:val="bottom"/>
            <w:shd w:val="clear" w:color="auto" w:fill="0063A6"/>
          </w:tcPr>
          <w:p>
            <w:pPr>
              <w:spacing w:after="0"/>
              <w:rPr>
                <w:sz w:val="12"/>
                <w:szCs w:val="12"/>
                <w:color w:val="auto"/>
              </w:rPr>
            </w:pPr>
          </w:p>
        </w:tc>
        <w:tc>
          <w:tcPr>
            <w:tcW w:w="890" w:type="dxa"/>
            <w:vAlign w:val="bottom"/>
            <w:shd w:val="clear" w:color="auto" w:fill="0063A6"/>
          </w:tcPr>
          <w:p>
            <w:pPr>
              <w:spacing w:after="0"/>
              <w:rPr>
                <w:sz w:val="12"/>
                <w:szCs w:val="12"/>
                <w:color w:val="auto"/>
              </w:rPr>
            </w:pPr>
          </w:p>
        </w:tc>
        <w:tc>
          <w:tcPr>
            <w:tcW w:w="880" w:type="dxa"/>
            <w:vAlign w:val="bottom"/>
            <w:shd w:val="clear" w:color="auto" w:fill="0063A6"/>
          </w:tcPr>
          <w:p>
            <w:pPr>
              <w:spacing w:after="0"/>
              <w:rPr>
                <w:sz w:val="12"/>
                <w:szCs w:val="12"/>
                <w:color w:val="auto"/>
              </w:rPr>
            </w:pPr>
          </w:p>
        </w:tc>
        <w:tc>
          <w:tcPr>
            <w:tcW w:w="620" w:type="dxa"/>
            <w:vAlign w:val="bottom"/>
            <w:shd w:val="clear" w:color="auto" w:fill="0063A6"/>
          </w:tcPr>
          <w:p>
            <w:pPr>
              <w:spacing w:after="0"/>
              <w:rPr>
                <w:sz w:val="12"/>
                <w:szCs w:val="12"/>
                <w:color w:val="auto"/>
              </w:rPr>
            </w:pPr>
          </w:p>
        </w:tc>
        <w:tc>
          <w:tcPr>
            <w:tcW w:w="680" w:type="dxa"/>
            <w:vAlign w:val="bottom"/>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820" w:type="dxa"/>
            <w:vAlign w:val="bottom"/>
            <w:shd w:val="clear" w:color="auto" w:fill="0063A6"/>
          </w:tcPr>
          <w:p>
            <w:pPr>
              <w:spacing w:after="0"/>
              <w:rPr>
                <w:sz w:val="12"/>
                <w:szCs w:val="12"/>
                <w:color w:val="auto"/>
              </w:rPr>
            </w:pPr>
          </w:p>
        </w:tc>
        <w:tc>
          <w:tcPr>
            <w:tcW w:w="260" w:type="dxa"/>
            <w:vAlign w:val="bottom"/>
            <w:shd w:val="clear" w:color="auto" w:fill="0063A6"/>
          </w:tcPr>
          <w:p>
            <w:pPr>
              <w:spacing w:after="0"/>
              <w:rPr>
                <w:sz w:val="12"/>
                <w:szCs w:val="12"/>
                <w:color w:val="auto"/>
              </w:rPr>
            </w:pPr>
          </w:p>
        </w:tc>
        <w:tc>
          <w:tcPr>
            <w:tcW w:w="680" w:type="dxa"/>
            <w:vAlign w:val="bottom"/>
            <w:shd w:val="clear" w:color="auto" w:fill="0063A6"/>
          </w:tcPr>
          <w:p>
            <w:pPr>
              <w:spacing w:after="0"/>
              <w:rPr>
                <w:sz w:val="12"/>
                <w:szCs w:val="12"/>
                <w:color w:val="auto"/>
              </w:rPr>
            </w:pPr>
          </w:p>
        </w:tc>
        <w:tc>
          <w:tcPr>
            <w:tcW w:w="1120" w:type="dxa"/>
            <w:vAlign w:val="bottom"/>
            <w:shd w:val="clear" w:color="auto" w:fill="0063A6"/>
          </w:tcPr>
          <w:p>
            <w:pPr>
              <w:jc w:val="right"/>
              <w:ind w:right="17"/>
              <w:spacing w:after="0"/>
              <w:rPr>
                <w:sz w:val="20"/>
                <w:szCs w:val="20"/>
                <w:color w:val="auto"/>
              </w:rPr>
            </w:pPr>
            <w:r>
              <w:rPr>
                <w:rFonts w:ascii="Arial" w:cs="Arial" w:eastAsia="Arial" w:hAnsi="Arial"/>
                <w:sz w:val="13"/>
                <w:szCs w:val="13"/>
                <w:b w:val="1"/>
                <w:bCs w:val="1"/>
                <w:color w:val="FFFFFF"/>
              </w:rPr>
              <w:t>Equity Incentive</w:t>
            </w:r>
          </w:p>
        </w:tc>
        <w:tc>
          <w:tcPr>
            <w:tcW w:w="1180" w:type="dxa"/>
            <w:vAlign w:val="bottom"/>
            <w:vMerge w:val="continue"/>
            <w:shd w:val="clear" w:color="auto" w:fill="0063A6"/>
          </w:tcPr>
          <w:p>
            <w:pPr>
              <w:spacing w:after="0"/>
              <w:rPr>
                <w:sz w:val="12"/>
                <w:szCs w:val="12"/>
                <w:color w:val="auto"/>
              </w:rPr>
            </w:pPr>
          </w:p>
        </w:tc>
        <w:tc>
          <w:tcPr>
            <w:tcW w:w="4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90" w:type="dxa"/>
            <w:vAlign w:val="bottom"/>
            <w:vMerge w:val="restart"/>
            <w:shd w:val="clear" w:color="auto" w:fill="0063A6"/>
          </w:tcPr>
          <w:p>
            <w:pPr>
              <w:jc w:val="right"/>
              <w:ind w:right="37"/>
              <w:spacing w:after="0"/>
              <w:rPr>
                <w:sz w:val="20"/>
                <w:szCs w:val="20"/>
                <w:color w:val="auto"/>
              </w:rPr>
            </w:pPr>
            <w:r>
              <w:rPr>
                <w:rFonts w:ascii="Arial" w:cs="Arial" w:eastAsia="Arial" w:hAnsi="Arial"/>
                <w:sz w:val="13"/>
                <w:szCs w:val="13"/>
                <w:b w:val="1"/>
                <w:bCs w:val="1"/>
                <w:color w:val="FFFFFF"/>
              </w:rPr>
              <w:t>Number of</w:t>
            </w:r>
          </w:p>
        </w:tc>
        <w:tc>
          <w:tcPr>
            <w:tcW w:w="88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Number of</w:t>
            </w:r>
          </w:p>
        </w:tc>
        <w:tc>
          <w:tcPr>
            <w:tcW w:w="620" w:type="dxa"/>
            <w:vAlign w:val="bottom"/>
            <w:shd w:val="clear" w:color="auto" w:fill="0063A6"/>
          </w:tcPr>
          <w:p>
            <w:pPr>
              <w:spacing w:after="0"/>
              <w:rPr>
                <w:sz w:val="11"/>
                <w:szCs w:val="11"/>
                <w:color w:val="auto"/>
              </w:rPr>
            </w:pPr>
          </w:p>
        </w:tc>
        <w:tc>
          <w:tcPr>
            <w:tcW w:w="68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20" w:type="dxa"/>
            <w:vAlign w:val="bottom"/>
            <w:vMerge w:val="restart"/>
            <w:shd w:val="clear" w:color="auto" w:fill="0063A6"/>
          </w:tcPr>
          <w:p>
            <w:pPr>
              <w:jc w:val="right"/>
              <w:ind w:right="17"/>
              <w:spacing w:after="0"/>
              <w:rPr>
                <w:sz w:val="20"/>
                <w:szCs w:val="20"/>
                <w:color w:val="auto"/>
              </w:rPr>
            </w:pPr>
            <w:r>
              <w:rPr>
                <w:rFonts w:ascii="Arial" w:cs="Arial" w:eastAsia="Arial" w:hAnsi="Arial"/>
                <w:sz w:val="13"/>
                <w:szCs w:val="13"/>
                <w:b w:val="1"/>
                <w:bCs w:val="1"/>
                <w:color w:val="FFFFFF"/>
              </w:rPr>
              <w:t>Number of</w:t>
            </w:r>
          </w:p>
        </w:tc>
        <w:tc>
          <w:tcPr>
            <w:tcW w:w="940" w:type="dxa"/>
            <w:vAlign w:val="bottom"/>
            <w:gridSpan w:val="2"/>
            <w:vMerge w:val="restart"/>
            <w:shd w:val="clear" w:color="auto" w:fill="0063A6"/>
          </w:tcPr>
          <w:p>
            <w:pPr>
              <w:jc w:val="right"/>
              <w:ind w:right="77"/>
              <w:spacing w:after="0"/>
              <w:rPr>
                <w:sz w:val="20"/>
                <w:szCs w:val="20"/>
                <w:color w:val="auto"/>
              </w:rPr>
            </w:pPr>
            <w:r>
              <w:rPr>
                <w:rFonts w:ascii="Arial" w:cs="Arial" w:eastAsia="Arial" w:hAnsi="Arial"/>
                <w:sz w:val="13"/>
                <w:szCs w:val="13"/>
                <w:b w:val="1"/>
                <w:bCs w:val="1"/>
                <w:color w:val="FFFFFF"/>
                <w:w w:val="97"/>
              </w:rPr>
              <w:t>Market Value</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Plan Awards:</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Plan Awards:</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90" w:type="dxa"/>
            <w:vAlign w:val="bottom"/>
            <w:vMerge w:val="continue"/>
            <w:shd w:val="clear" w:color="auto" w:fill="0063A6"/>
          </w:tcPr>
          <w:p>
            <w:pPr>
              <w:spacing w:after="0"/>
              <w:rPr>
                <w:sz w:val="11"/>
                <w:szCs w:val="11"/>
                <w:color w:val="auto"/>
              </w:rPr>
            </w:pPr>
          </w:p>
        </w:tc>
        <w:tc>
          <w:tcPr>
            <w:tcW w:w="880" w:type="dxa"/>
            <w:vAlign w:val="bottom"/>
            <w:vMerge w:val="continue"/>
            <w:shd w:val="clear" w:color="auto" w:fill="0063A6"/>
          </w:tcPr>
          <w:p>
            <w:pPr>
              <w:spacing w:after="0"/>
              <w:rPr>
                <w:sz w:val="11"/>
                <w:szCs w:val="11"/>
                <w:color w:val="auto"/>
              </w:rPr>
            </w:pPr>
          </w:p>
        </w:tc>
        <w:tc>
          <w:tcPr>
            <w:tcW w:w="620" w:type="dxa"/>
            <w:vAlign w:val="bottom"/>
            <w:shd w:val="clear" w:color="auto" w:fill="0063A6"/>
          </w:tcPr>
          <w:p>
            <w:pPr>
              <w:spacing w:after="0"/>
              <w:rPr>
                <w:sz w:val="11"/>
                <w:szCs w:val="11"/>
                <w:color w:val="auto"/>
              </w:rPr>
            </w:pPr>
          </w:p>
        </w:tc>
        <w:tc>
          <w:tcPr>
            <w:tcW w:w="68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20" w:type="dxa"/>
            <w:vAlign w:val="bottom"/>
            <w:vMerge w:val="continue"/>
            <w:shd w:val="clear" w:color="auto" w:fill="0063A6"/>
          </w:tcPr>
          <w:p>
            <w:pPr>
              <w:spacing w:after="0"/>
              <w:rPr>
                <w:sz w:val="11"/>
                <w:szCs w:val="11"/>
                <w:color w:val="auto"/>
              </w:rPr>
            </w:pPr>
          </w:p>
        </w:tc>
        <w:tc>
          <w:tcPr>
            <w:tcW w:w="940" w:type="dxa"/>
            <w:vAlign w:val="bottom"/>
            <w:gridSpan w:val="2"/>
            <w:vMerge w:val="continue"/>
            <w:shd w:val="clear" w:color="auto" w:fill="0063A6"/>
          </w:tcPr>
          <w:p>
            <w:pPr>
              <w:spacing w:after="0"/>
              <w:rPr>
                <w:sz w:val="11"/>
                <w:szCs w:val="11"/>
                <w:color w:val="auto"/>
              </w:rPr>
            </w:pP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Number of</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Market or Payout</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90" w:type="dxa"/>
            <w:vAlign w:val="bottom"/>
            <w:shd w:val="clear" w:color="auto" w:fill="0063A6"/>
          </w:tcPr>
          <w:p>
            <w:pPr>
              <w:jc w:val="right"/>
              <w:ind w:right="37"/>
              <w:spacing w:after="0" w:line="135" w:lineRule="exact"/>
              <w:rPr>
                <w:sz w:val="20"/>
                <w:szCs w:val="20"/>
                <w:color w:val="auto"/>
              </w:rPr>
            </w:pPr>
            <w:r>
              <w:rPr>
                <w:rFonts w:ascii="Arial" w:cs="Arial" w:eastAsia="Arial" w:hAnsi="Arial"/>
                <w:sz w:val="13"/>
                <w:szCs w:val="13"/>
                <w:b w:val="1"/>
                <w:bCs w:val="1"/>
                <w:color w:val="FFFFFF"/>
              </w:rPr>
              <w:t>Securities</w:t>
            </w:r>
          </w:p>
        </w:tc>
        <w:tc>
          <w:tcPr>
            <w:tcW w:w="8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Securities</w:t>
            </w:r>
          </w:p>
        </w:tc>
        <w:tc>
          <w:tcPr>
            <w:tcW w:w="62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Option</w:t>
            </w:r>
          </w:p>
        </w:tc>
        <w:tc>
          <w:tcPr>
            <w:tcW w:w="68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Shares or</w:t>
            </w:r>
          </w:p>
        </w:tc>
        <w:tc>
          <w:tcPr>
            <w:tcW w:w="940" w:type="dxa"/>
            <w:vAlign w:val="bottom"/>
            <w:gridSpan w:val="2"/>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rPr>
              <w:t>of Shares or</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Unearned</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w w:val="98"/>
              </w:rPr>
              <w:t>Value of Unearned</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90" w:type="dxa"/>
            <w:vAlign w:val="bottom"/>
            <w:shd w:val="clear" w:color="auto" w:fill="0063A6"/>
          </w:tcPr>
          <w:p>
            <w:pPr>
              <w:jc w:val="right"/>
              <w:ind w:right="37"/>
              <w:spacing w:after="0" w:line="135" w:lineRule="exact"/>
              <w:rPr>
                <w:sz w:val="20"/>
                <w:szCs w:val="20"/>
                <w:color w:val="auto"/>
              </w:rPr>
            </w:pPr>
            <w:r>
              <w:rPr>
                <w:rFonts w:ascii="Arial" w:cs="Arial" w:eastAsia="Arial" w:hAnsi="Arial"/>
                <w:sz w:val="13"/>
                <w:szCs w:val="13"/>
                <w:b w:val="1"/>
                <w:bCs w:val="1"/>
                <w:color w:val="FFFFFF"/>
              </w:rPr>
              <w:t>Underlying</w:t>
            </w:r>
          </w:p>
        </w:tc>
        <w:tc>
          <w:tcPr>
            <w:tcW w:w="8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620" w:type="dxa"/>
            <w:vAlign w:val="bottom"/>
            <w:vMerge w:val="continue"/>
            <w:shd w:val="clear" w:color="auto" w:fill="0063A6"/>
          </w:tcPr>
          <w:p>
            <w:pPr>
              <w:spacing w:after="0"/>
              <w:rPr>
                <w:sz w:val="11"/>
                <w:szCs w:val="11"/>
                <w:color w:val="auto"/>
              </w:rPr>
            </w:pPr>
          </w:p>
        </w:tc>
        <w:tc>
          <w:tcPr>
            <w:tcW w:w="68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rPr>
              <w:t>Option</w:t>
            </w:r>
          </w:p>
        </w:tc>
        <w:tc>
          <w:tcPr>
            <w:tcW w:w="40" w:type="dxa"/>
            <w:vAlign w:val="bottom"/>
            <w:shd w:val="clear" w:color="auto" w:fill="0063A6"/>
          </w:tcPr>
          <w:p>
            <w:pPr>
              <w:spacing w:after="0"/>
              <w:rPr>
                <w:sz w:val="11"/>
                <w:szCs w:val="11"/>
                <w:color w:val="auto"/>
              </w:rPr>
            </w:pPr>
          </w:p>
        </w:tc>
        <w:tc>
          <w:tcPr>
            <w:tcW w:w="8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Units of</w:t>
            </w:r>
          </w:p>
        </w:tc>
        <w:tc>
          <w:tcPr>
            <w:tcW w:w="260" w:type="dxa"/>
            <w:vAlign w:val="bottom"/>
            <w:shd w:val="clear" w:color="auto" w:fill="0063A6"/>
          </w:tcPr>
          <w:p>
            <w:pPr>
              <w:spacing w:after="0"/>
              <w:rPr>
                <w:sz w:val="11"/>
                <w:szCs w:val="11"/>
                <w:color w:val="auto"/>
              </w:rPr>
            </w:pPr>
          </w:p>
        </w:tc>
        <w:tc>
          <w:tcPr>
            <w:tcW w:w="680" w:type="dxa"/>
            <w:vAlign w:val="bottom"/>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rPr>
              <w:t>Units of</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Shares, Units</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Shares, Units</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90" w:type="dxa"/>
            <w:vAlign w:val="bottom"/>
            <w:shd w:val="clear" w:color="auto" w:fill="0063A6"/>
          </w:tcPr>
          <w:p>
            <w:pPr>
              <w:spacing w:after="0"/>
              <w:rPr>
                <w:sz w:val="11"/>
                <w:szCs w:val="11"/>
                <w:color w:val="auto"/>
              </w:rPr>
            </w:pPr>
          </w:p>
        </w:tc>
        <w:tc>
          <w:tcPr>
            <w:tcW w:w="890" w:type="dxa"/>
            <w:vAlign w:val="bottom"/>
            <w:shd w:val="clear" w:color="auto" w:fill="0063A6"/>
          </w:tcPr>
          <w:p>
            <w:pPr>
              <w:jc w:val="right"/>
              <w:ind w:right="37"/>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8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Unexercised</w:t>
            </w:r>
          </w:p>
        </w:tc>
        <w:tc>
          <w:tcPr>
            <w:tcW w:w="62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Exercise</w:t>
            </w:r>
          </w:p>
        </w:tc>
        <w:tc>
          <w:tcPr>
            <w:tcW w:w="680" w:type="dxa"/>
            <w:vAlign w:val="bottom"/>
            <w:vMerge w:val="continue"/>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Stock That</w:t>
            </w:r>
          </w:p>
        </w:tc>
        <w:tc>
          <w:tcPr>
            <w:tcW w:w="940" w:type="dxa"/>
            <w:vAlign w:val="bottom"/>
            <w:gridSpan w:val="2"/>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rPr>
              <w:t>Stock That</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or Other Rights</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or Other Rights</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690" w:type="dxa"/>
            <w:vAlign w:val="bottom"/>
            <w:vMerge w:val="restart"/>
            <w:shd w:val="clear" w:color="auto" w:fill="0063A6"/>
          </w:tcPr>
          <w:p>
            <w:pPr>
              <w:jc w:val="right"/>
              <w:spacing w:after="0"/>
              <w:rPr>
                <w:sz w:val="20"/>
                <w:szCs w:val="20"/>
                <w:color w:val="auto"/>
              </w:rPr>
            </w:pPr>
            <w:r>
              <w:rPr>
                <w:rFonts w:ascii="Arial" w:cs="Arial" w:eastAsia="Arial" w:hAnsi="Arial"/>
                <w:sz w:val="13"/>
                <w:szCs w:val="13"/>
                <w:b w:val="1"/>
                <w:bCs w:val="1"/>
                <w:color w:val="FFFFFF"/>
                <w:w w:val="99"/>
              </w:rPr>
              <w:t>Grant Date</w:t>
            </w:r>
          </w:p>
        </w:tc>
        <w:tc>
          <w:tcPr>
            <w:tcW w:w="890" w:type="dxa"/>
            <w:vAlign w:val="bottom"/>
            <w:shd w:val="clear" w:color="auto" w:fill="0063A6"/>
          </w:tcPr>
          <w:p>
            <w:pPr>
              <w:jc w:val="right"/>
              <w:ind w:right="37"/>
              <w:spacing w:after="0" w:line="135" w:lineRule="exact"/>
              <w:rPr>
                <w:sz w:val="20"/>
                <w:szCs w:val="20"/>
                <w:color w:val="auto"/>
              </w:rPr>
            </w:pPr>
            <w:r>
              <w:rPr>
                <w:rFonts w:ascii="Arial" w:cs="Arial" w:eastAsia="Arial" w:hAnsi="Arial"/>
                <w:sz w:val="13"/>
                <w:szCs w:val="13"/>
                <w:b w:val="1"/>
                <w:bCs w:val="1"/>
                <w:color w:val="FFFFFF"/>
              </w:rPr>
              <w:t>Options (#)</w:t>
            </w:r>
          </w:p>
        </w:tc>
        <w:tc>
          <w:tcPr>
            <w:tcW w:w="8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Options (#)</w:t>
            </w:r>
          </w:p>
        </w:tc>
        <w:tc>
          <w:tcPr>
            <w:tcW w:w="62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Price</w:t>
            </w:r>
          </w:p>
        </w:tc>
        <w:tc>
          <w:tcPr>
            <w:tcW w:w="6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40" w:type="dxa"/>
            <w:vAlign w:val="bottom"/>
            <w:shd w:val="clear" w:color="auto" w:fill="0063A6"/>
          </w:tcPr>
          <w:p>
            <w:pPr>
              <w:spacing w:after="0"/>
              <w:rPr>
                <w:sz w:val="11"/>
                <w:szCs w:val="11"/>
                <w:color w:val="auto"/>
              </w:rPr>
            </w:pPr>
          </w:p>
        </w:tc>
        <w:tc>
          <w:tcPr>
            <w:tcW w:w="8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Have Not</w:t>
            </w:r>
          </w:p>
        </w:tc>
        <w:tc>
          <w:tcPr>
            <w:tcW w:w="260" w:type="dxa"/>
            <w:vAlign w:val="bottom"/>
            <w:shd w:val="clear" w:color="auto" w:fill="0063A6"/>
          </w:tcPr>
          <w:p>
            <w:pPr>
              <w:spacing w:after="0"/>
              <w:rPr>
                <w:sz w:val="11"/>
                <w:szCs w:val="11"/>
                <w:color w:val="auto"/>
              </w:rPr>
            </w:pPr>
          </w:p>
        </w:tc>
        <w:tc>
          <w:tcPr>
            <w:tcW w:w="680" w:type="dxa"/>
            <w:vAlign w:val="bottom"/>
            <w:shd w:val="clear" w:color="auto" w:fill="0063A6"/>
          </w:tcPr>
          <w:p>
            <w:pPr>
              <w:jc w:val="right"/>
              <w:ind w:right="77"/>
              <w:spacing w:after="0" w:line="135" w:lineRule="exact"/>
              <w:rPr>
                <w:sz w:val="20"/>
                <w:szCs w:val="20"/>
                <w:color w:val="auto"/>
              </w:rPr>
            </w:pPr>
            <w:r>
              <w:rPr>
                <w:rFonts w:ascii="Arial" w:cs="Arial" w:eastAsia="Arial" w:hAnsi="Arial"/>
                <w:sz w:val="13"/>
                <w:szCs w:val="13"/>
                <w:b w:val="1"/>
                <w:bCs w:val="1"/>
                <w:color w:val="FFFFFF"/>
                <w:w w:val="92"/>
              </w:rPr>
              <w:t>Have Not</w:t>
            </w:r>
          </w:p>
        </w:tc>
        <w:tc>
          <w:tcPr>
            <w:tcW w:w="1120" w:type="dxa"/>
            <w:vAlign w:val="bottom"/>
            <w:shd w:val="clear" w:color="auto" w:fill="0063A6"/>
          </w:tcPr>
          <w:p>
            <w:pPr>
              <w:jc w:val="right"/>
              <w:ind w:right="17"/>
              <w:spacing w:after="0" w:line="135" w:lineRule="exact"/>
              <w:rPr>
                <w:sz w:val="20"/>
                <w:szCs w:val="20"/>
                <w:color w:val="auto"/>
              </w:rPr>
            </w:pPr>
            <w:r>
              <w:rPr>
                <w:rFonts w:ascii="Arial" w:cs="Arial" w:eastAsia="Arial" w:hAnsi="Arial"/>
                <w:sz w:val="13"/>
                <w:szCs w:val="13"/>
                <w:b w:val="1"/>
                <w:bCs w:val="1"/>
                <w:color w:val="FFFFFF"/>
              </w:rPr>
              <w:t>That Have Not</w:t>
            </w:r>
          </w:p>
        </w:tc>
        <w:tc>
          <w:tcPr>
            <w:tcW w:w="1180" w:type="dxa"/>
            <w:vAlign w:val="bottom"/>
            <w:shd w:val="clear" w:color="auto" w:fill="0063A6"/>
          </w:tcPr>
          <w:p>
            <w:pPr>
              <w:jc w:val="right"/>
              <w:spacing w:after="0" w:line="135" w:lineRule="exact"/>
              <w:rPr>
                <w:sz w:val="20"/>
                <w:szCs w:val="20"/>
                <w:color w:val="auto"/>
              </w:rPr>
            </w:pPr>
            <w:r>
              <w:rPr>
                <w:rFonts w:ascii="Arial" w:cs="Arial" w:eastAsia="Arial" w:hAnsi="Arial"/>
                <w:sz w:val="13"/>
                <w:szCs w:val="13"/>
                <w:b w:val="1"/>
                <w:bCs w:val="1"/>
                <w:color w:val="FFFFFF"/>
              </w:rPr>
              <w:t>That Have Not</w:t>
            </w:r>
          </w:p>
        </w:tc>
        <w:tc>
          <w:tcPr>
            <w:tcW w:w="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80" w:type="dxa"/>
            <w:vAlign w:val="bottom"/>
            <w:tcBorders>
              <w:bottom w:val="single" w:sz="8" w:color="0063A6"/>
            </w:tcBorders>
            <w:vMerge w:val="continue"/>
          </w:tcPr>
          <w:p>
            <w:pPr>
              <w:spacing w:after="0"/>
              <w:rPr>
                <w:sz w:val="15"/>
                <w:szCs w:val="15"/>
                <w:color w:val="auto"/>
              </w:rPr>
            </w:pPr>
          </w:p>
        </w:tc>
        <w:tc>
          <w:tcPr>
            <w:tcW w:w="690" w:type="dxa"/>
            <w:vAlign w:val="bottom"/>
            <w:tcBorders>
              <w:bottom w:val="single" w:sz="8" w:color="0063A6"/>
            </w:tcBorders>
            <w:vMerge w:val="continue"/>
            <w:shd w:val="clear" w:color="auto" w:fill="0063A6"/>
          </w:tcPr>
          <w:p>
            <w:pPr>
              <w:spacing w:after="0"/>
              <w:rPr>
                <w:sz w:val="15"/>
                <w:szCs w:val="15"/>
                <w:color w:val="auto"/>
              </w:rPr>
            </w:pPr>
          </w:p>
        </w:tc>
        <w:tc>
          <w:tcPr>
            <w:tcW w:w="1770" w:type="dxa"/>
            <w:vAlign w:val="bottom"/>
            <w:tcBorders>
              <w:bottom w:val="single" w:sz="8" w:color="0063A6"/>
            </w:tcBorders>
            <w:gridSpan w:val="2"/>
            <w:shd w:val="clear" w:color="auto" w:fill="0063A6"/>
          </w:tcPr>
          <w:p>
            <w:pPr>
              <w:ind w:left="130"/>
              <w:spacing w:after="0"/>
              <w:rPr>
                <w:sz w:val="20"/>
                <w:szCs w:val="20"/>
                <w:color w:val="auto"/>
              </w:rPr>
            </w:pPr>
            <w:r>
              <w:rPr>
                <w:rFonts w:ascii="Arial" w:cs="Arial" w:eastAsia="Arial" w:hAnsi="Arial"/>
                <w:sz w:val="13"/>
                <w:szCs w:val="13"/>
                <w:b w:val="1"/>
                <w:bCs w:val="1"/>
                <w:color w:val="FFFFFF"/>
                <w:w w:val="98"/>
              </w:rPr>
              <w:t>Exercisable Unexercisable</w:t>
            </w:r>
          </w:p>
        </w:tc>
        <w:tc>
          <w:tcPr>
            <w:tcW w:w="6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Date</w:t>
            </w:r>
          </w:p>
        </w:tc>
        <w:tc>
          <w:tcPr>
            <w:tcW w:w="40" w:type="dxa"/>
            <w:vAlign w:val="bottom"/>
            <w:tcBorders>
              <w:bottom w:val="single" w:sz="8" w:color="0063A6"/>
            </w:tcBorders>
            <w:shd w:val="clear" w:color="auto" w:fill="0063A6"/>
          </w:tcPr>
          <w:p>
            <w:pPr>
              <w:spacing w:after="0"/>
              <w:rPr>
                <w:sz w:val="15"/>
                <w:szCs w:val="15"/>
                <w:color w:val="auto"/>
              </w:rPr>
            </w:pPr>
          </w:p>
        </w:tc>
        <w:tc>
          <w:tcPr>
            <w:tcW w:w="820" w:type="dxa"/>
            <w:vAlign w:val="bottom"/>
            <w:tcBorders>
              <w:bottom w:val="single" w:sz="8" w:color="0063A6"/>
            </w:tcBorders>
            <w:shd w:val="clear" w:color="auto" w:fill="0063A6"/>
          </w:tcPr>
          <w:p>
            <w:pPr>
              <w:jc w:val="right"/>
              <w:spacing w:after="0" w:line="176" w:lineRule="exact"/>
              <w:rPr>
                <w:sz w:val="20"/>
                <w:szCs w:val="20"/>
                <w:color w:val="auto"/>
              </w:rPr>
            </w:pPr>
            <w:r>
              <w:rPr>
                <w:rFonts w:ascii="Arial" w:cs="Arial" w:eastAsia="Arial" w:hAnsi="Arial"/>
                <w:sz w:val="13"/>
                <w:szCs w:val="13"/>
                <w:b w:val="1"/>
                <w:bCs w:val="1"/>
                <w:color w:val="FFFFFF"/>
                <w:w w:val="96"/>
              </w:rPr>
              <w:t>Vested (#)</w:t>
            </w:r>
            <w:r>
              <w:rPr>
                <w:rFonts w:ascii="Arial" w:cs="Arial" w:eastAsia="Arial" w:hAnsi="Arial"/>
                <w:sz w:val="20"/>
                <w:szCs w:val="20"/>
                <w:b w:val="1"/>
                <w:bCs w:val="1"/>
                <w:color w:val="FFFFFF"/>
                <w:w w:val="96"/>
                <w:vertAlign w:val="superscript"/>
              </w:rPr>
              <w:t>(1)</w:t>
            </w:r>
          </w:p>
        </w:tc>
        <w:tc>
          <w:tcPr>
            <w:tcW w:w="940" w:type="dxa"/>
            <w:vAlign w:val="bottom"/>
            <w:tcBorders>
              <w:bottom w:val="single" w:sz="8" w:color="0063A6"/>
            </w:tcBorders>
            <w:gridSpan w:val="2"/>
            <w:shd w:val="clear" w:color="auto" w:fill="0063A6"/>
          </w:tcPr>
          <w:p>
            <w:pPr>
              <w:jc w:val="right"/>
              <w:ind w:right="37"/>
              <w:spacing w:after="0" w:line="176" w:lineRule="exact"/>
              <w:rPr>
                <w:sz w:val="20"/>
                <w:szCs w:val="20"/>
                <w:color w:val="auto"/>
              </w:rPr>
            </w:pPr>
            <w:r>
              <w:rPr>
                <w:rFonts w:ascii="Arial" w:cs="Arial" w:eastAsia="Arial" w:hAnsi="Arial"/>
                <w:sz w:val="13"/>
                <w:szCs w:val="13"/>
                <w:b w:val="1"/>
                <w:bCs w:val="1"/>
                <w:color w:val="FFFFFF"/>
              </w:rPr>
              <w:t>Vested ($)</w:t>
            </w:r>
            <w:r>
              <w:rPr>
                <w:rFonts w:ascii="Arial" w:cs="Arial" w:eastAsia="Arial" w:hAnsi="Arial"/>
                <w:sz w:val="20"/>
                <w:szCs w:val="20"/>
                <w:b w:val="1"/>
                <w:bCs w:val="1"/>
                <w:color w:val="FFFFFF"/>
                <w:vertAlign w:val="superscript"/>
              </w:rPr>
              <w:t>(4)</w:t>
            </w:r>
          </w:p>
        </w:tc>
        <w:tc>
          <w:tcPr>
            <w:tcW w:w="11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3"/>
                <w:szCs w:val="13"/>
                <w:b w:val="1"/>
                <w:bCs w:val="1"/>
                <w:color w:val="FFFFFF"/>
              </w:rPr>
              <w:t>Vested (#)</w:t>
            </w:r>
          </w:p>
        </w:tc>
        <w:tc>
          <w:tcPr>
            <w:tcW w:w="1180" w:type="dxa"/>
            <w:vAlign w:val="bottom"/>
            <w:tcBorders>
              <w:bottom w:val="single" w:sz="8" w:color="0063A6"/>
            </w:tcBorders>
            <w:shd w:val="clear" w:color="auto" w:fill="0063A6"/>
          </w:tcPr>
          <w:p>
            <w:pPr>
              <w:ind w:left="460"/>
              <w:spacing w:after="0" w:line="176" w:lineRule="exact"/>
              <w:rPr>
                <w:sz w:val="20"/>
                <w:szCs w:val="20"/>
                <w:color w:val="auto"/>
              </w:rPr>
            </w:pPr>
            <w:r>
              <w:rPr>
                <w:rFonts w:ascii="Arial" w:cs="Arial" w:eastAsia="Arial" w:hAnsi="Arial"/>
                <w:sz w:val="13"/>
                <w:szCs w:val="13"/>
                <w:b w:val="1"/>
                <w:bCs w:val="1"/>
                <w:color w:val="FFFFFF"/>
                <w:w w:val="89"/>
              </w:rPr>
              <w:t>Vested ($)</w:t>
            </w:r>
            <w:r>
              <w:rPr>
                <w:rFonts w:ascii="Arial" w:cs="Arial" w:eastAsia="Arial" w:hAnsi="Arial"/>
                <w:sz w:val="20"/>
                <w:szCs w:val="20"/>
                <w:b w:val="1"/>
                <w:bCs w:val="1"/>
                <w:color w:val="FFFFFF"/>
                <w:w w:val="89"/>
                <w:vertAlign w:val="superscript"/>
              </w:rPr>
              <w:t>(4)</w:t>
            </w:r>
          </w:p>
        </w:tc>
        <w:tc>
          <w:tcPr>
            <w:tcW w:w="40" w:type="dxa"/>
            <w:vAlign w:val="bottom"/>
            <w:tcBorders>
              <w:bottom w:val="single" w:sz="8" w:color="0063A6"/>
            </w:tcBorders>
            <w:shd w:val="clear" w:color="auto" w:fill="0063A6"/>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Thomas L. Deitrich</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w w:val="98"/>
              </w:rPr>
              <w:t>12/10/2015</w:t>
            </w:r>
          </w:p>
        </w:tc>
        <w:tc>
          <w:tcPr>
            <w:tcW w:w="890" w:type="dxa"/>
            <w:vAlign w:val="bottom"/>
            <w:tcBorders>
              <w:bottom w:val="single" w:sz="8" w:color="5D6673"/>
            </w:tcBorders>
          </w:tcPr>
          <w:p>
            <w:pPr>
              <w:ind w:left="410"/>
              <w:spacing w:after="0"/>
              <w:rPr>
                <w:sz w:val="20"/>
                <w:szCs w:val="20"/>
                <w:color w:val="auto"/>
              </w:rPr>
            </w:pPr>
            <w:r>
              <w:rPr>
                <w:rFonts w:ascii="Arial" w:cs="Arial" w:eastAsia="Arial" w:hAnsi="Arial"/>
                <w:sz w:val="13"/>
                <w:szCs w:val="13"/>
                <w:color w:val="auto"/>
              </w:rPr>
              <w:t>37,741</w:t>
            </w:r>
          </w:p>
        </w:tc>
        <w:tc>
          <w:tcPr>
            <w:tcW w:w="880" w:type="dxa"/>
            <w:vAlign w:val="bottom"/>
            <w:tcBorders>
              <w:bottom w:val="single" w:sz="8" w:color="5D6673"/>
            </w:tcBorders>
          </w:tcPr>
          <w:p>
            <w:pPr>
              <w:spacing w:after="0"/>
              <w:rPr>
                <w:sz w:val="13"/>
                <w:szCs w:val="13"/>
                <w:color w:val="auto"/>
              </w:rPr>
            </w:pPr>
          </w:p>
        </w:tc>
        <w:tc>
          <w:tcPr>
            <w:tcW w:w="62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$35.13</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w w:val="98"/>
              </w:rPr>
              <w:t>12/10/2025</w:t>
            </w:r>
          </w:p>
        </w:tc>
        <w:tc>
          <w:tcPr>
            <w:tcW w:w="40" w:type="dxa"/>
            <w:vAlign w:val="bottom"/>
            <w:tcBorders>
              <w:bottom w:val="single" w:sz="8" w:color="5D6673"/>
            </w:tcBorders>
          </w:tcPr>
          <w:p>
            <w:pPr>
              <w:spacing w:after="0"/>
              <w:rPr>
                <w:sz w:val="13"/>
                <w:szCs w:val="13"/>
                <w:color w:val="auto"/>
              </w:rPr>
            </w:pPr>
          </w:p>
        </w:tc>
        <w:tc>
          <w:tcPr>
            <w:tcW w:w="820" w:type="dxa"/>
            <w:vAlign w:val="bottom"/>
            <w:tcBorders>
              <w:bottom w:val="single" w:sz="8" w:color="5D6673"/>
            </w:tcBorders>
          </w:tcPr>
          <w:p>
            <w:pPr>
              <w:spacing w:after="0"/>
              <w:rPr>
                <w:sz w:val="13"/>
                <w:szCs w:val="13"/>
                <w:color w:val="auto"/>
              </w:rPr>
            </w:pPr>
          </w:p>
        </w:tc>
        <w:tc>
          <w:tcPr>
            <w:tcW w:w="260" w:type="dxa"/>
            <w:vAlign w:val="bottom"/>
            <w:tcBorders>
              <w:bottom w:val="single" w:sz="8" w:color="5D6673"/>
            </w:tcBorders>
          </w:tcPr>
          <w:p>
            <w:pPr>
              <w:spacing w:after="0"/>
              <w:rPr>
                <w:sz w:val="13"/>
                <w:szCs w:val="13"/>
                <w:color w:val="auto"/>
              </w:rPr>
            </w:pPr>
          </w:p>
        </w:tc>
        <w:tc>
          <w:tcPr>
            <w:tcW w:w="680" w:type="dxa"/>
            <w:vAlign w:val="bottom"/>
            <w:tcBorders>
              <w:bottom w:val="single" w:sz="8" w:color="5D6673"/>
            </w:tcBorders>
          </w:tcPr>
          <w:p>
            <w:pPr>
              <w:spacing w:after="0"/>
              <w:rPr>
                <w:sz w:val="13"/>
                <w:szCs w:val="13"/>
                <w:color w:val="auto"/>
              </w:rPr>
            </w:pPr>
          </w:p>
        </w:tc>
        <w:tc>
          <w:tcPr>
            <w:tcW w:w="1120" w:type="dxa"/>
            <w:vAlign w:val="bottom"/>
            <w:tcBorders>
              <w:bottom w:val="single" w:sz="8" w:color="5D6673"/>
            </w:tcBorders>
          </w:tcPr>
          <w:p>
            <w:pPr>
              <w:spacing w:after="0"/>
              <w:rPr>
                <w:sz w:val="13"/>
                <w:szCs w:val="13"/>
                <w:color w:val="auto"/>
              </w:rPr>
            </w:pPr>
          </w:p>
        </w:tc>
        <w:tc>
          <w:tcPr>
            <w:tcW w:w="11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2/24/2016</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37,957</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$40.05</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2/24/2026</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2/23/2017</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22,701</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$65.55</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2/23/2027</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2/22/2018</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20,116</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$69.30</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2/22/2028</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9/19/2019</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76,337</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$76.55</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9/19/2029</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2/20/2020</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28,069</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$87.27</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2/20/2030</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2/24/2022</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9,268</w:t>
            </w:r>
          </w:p>
        </w:tc>
        <w:tc>
          <w:tcPr>
            <w:tcW w:w="940" w:type="dxa"/>
            <w:vAlign w:val="bottom"/>
            <w:tcBorders>
              <w:bottom w:val="single" w:sz="8" w:color="5D6673"/>
            </w:tcBorders>
            <w:gridSpan w:val="2"/>
          </w:tcPr>
          <w:p>
            <w:pPr>
              <w:ind w:left="200"/>
              <w:spacing w:after="0" w:line="142" w:lineRule="exact"/>
              <w:rPr>
                <w:sz w:val="20"/>
                <w:szCs w:val="20"/>
                <w:color w:val="auto"/>
              </w:rPr>
            </w:pPr>
            <w:r>
              <w:rPr>
                <w:rFonts w:ascii="Arial" w:cs="Arial" w:eastAsia="Arial" w:hAnsi="Arial"/>
                <w:sz w:val="13"/>
                <w:szCs w:val="13"/>
                <w:color w:val="auto"/>
              </w:rPr>
              <w:t>$1,006,319</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11,279</w:t>
            </w:r>
          </w:p>
        </w:tc>
        <w:tc>
          <w:tcPr>
            <w:tcW w:w="940" w:type="dxa"/>
            <w:vAlign w:val="bottom"/>
            <w:tcBorders>
              <w:bottom w:val="single" w:sz="8" w:color="5D6673"/>
            </w:tcBorders>
            <w:gridSpan w:val="2"/>
          </w:tcPr>
          <w:p>
            <w:pPr>
              <w:ind w:left="200"/>
              <w:spacing w:after="0" w:line="142" w:lineRule="exact"/>
              <w:rPr>
                <w:sz w:val="20"/>
                <w:szCs w:val="20"/>
                <w:color w:val="auto"/>
              </w:rPr>
            </w:pPr>
            <w:r>
              <w:rPr>
                <w:rFonts w:ascii="Arial" w:cs="Arial" w:eastAsia="Arial" w:hAnsi="Arial"/>
                <w:sz w:val="13"/>
                <w:szCs w:val="13"/>
                <w:color w:val="auto"/>
              </w:rPr>
              <w:t>$1,224,674</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5"/>
                <w:szCs w:val="15"/>
                <w:color w:val="auto"/>
              </w:rPr>
            </w:pPr>
          </w:p>
        </w:tc>
        <w:tc>
          <w:tcPr>
            <w:tcW w:w="880" w:type="dxa"/>
            <w:vAlign w:val="bottom"/>
            <w:tcBorders>
              <w:bottom w:val="single" w:sz="8" w:color="5D6673"/>
            </w:tcBorders>
          </w:tcPr>
          <w:p>
            <w:pPr>
              <w:spacing w:after="0"/>
              <w:rPr>
                <w:sz w:val="15"/>
                <w:szCs w:val="15"/>
                <w:color w:val="auto"/>
              </w:rPr>
            </w:pPr>
          </w:p>
        </w:tc>
        <w:tc>
          <w:tcPr>
            <w:tcW w:w="62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40" w:type="dxa"/>
            <w:vAlign w:val="bottom"/>
            <w:tcBorders>
              <w:bottom w:val="single" w:sz="8" w:color="5D6673"/>
            </w:tcBorders>
          </w:tcPr>
          <w:p>
            <w:pPr>
              <w:spacing w:after="0"/>
              <w:rPr>
                <w:sz w:val="15"/>
                <w:szCs w:val="15"/>
                <w:color w:val="auto"/>
              </w:rPr>
            </w:pPr>
          </w:p>
        </w:tc>
        <w:tc>
          <w:tcPr>
            <w:tcW w:w="82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jc w:val="right"/>
              <w:spacing w:after="0" w:line="183" w:lineRule="exact"/>
              <w:rPr>
                <w:sz w:val="20"/>
                <w:szCs w:val="20"/>
                <w:color w:val="auto"/>
              </w:rPr>
            </w:pPr>
            <w:r>
              <w:rPr>
                <w:rFonts w:ascii="Arial" w:cs="Arial" w:eastAsia="Arial" w:hAnsi="Arial"/>
                <w:sz w:val="13"/>
                <w:szCs w:val="13"/>
                <w:color w:val="auto"/>
              </w:rPr>
              <w:t>143,730</w:t>
            </w:r>
            <w:r>
              <w:rPr>
                <w:rFonts w:ascii="Arial" w:cs="Arial" w:eastAsia="Arial" w:hAnsi="Arial"/>
                <w:sz w:val="20"/>
                <w:szCs w:val="20"/>
                <w:color w:val="auto"/>
                <w:vertAlign w:val="superscript"/>
              </w:rPr>
              <w:t>(2)</w:t>
            </w:r>
          </w:p>
        </w:tc>
        <w:tc>
          <w:tcPr>
            <w:tcW w:w="118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w w:val="99"/>
              </w:rPr>
              <w:t>$15,606,203</w:t>
            </w:r>
          </w:p>
        </w:tc>
        <w:tc>
          <w:tcPr>
            <w:tcW w:w="4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2/23/2024</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26,691</w:t>
            </w:r>
          </w:p>
        </w:tc>
        <w:tc>
          <w:tcPr>
            <w:tcW w:w="940" w:type="dxa"/>
            <w:vAlign w:val="bottom"/>
            <w:tcBorders>
              <w:bottom w:val="single" w:sz="8" w:color="5D6673"/>
            </w:tcBorders>
            <w:gridSpan w:val="2"/>
          </w:tcPr>
          <w:p>
            <w:pPr>
              <w:ind w:left="200"/>
              <w:spacing w:after="0" w:line="142" w:lineRule="exact"/>
              <w:rPr>
                <w:sz w:val="20"/>
                <w:szCs w:val="20"/>
                <w:color w:val="auto"/>
              </w:rPr>
            </w:pPr>
            <w:r>
              <w:rPr>
                <w:rFonts w:ascii="Arial" w:cs="Arial" w:eastAsia="Arial" w:hAnsi="Arial"/>
                <w:sz w:val="13"/>
                <w:szCs w:val="13"/>
                <w:color w:val="auto"/>
              </w:rPr>
              <w:t>$2,898,109</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0063A6"/>
            </w:tcBorders>
          </w:tcPr>
          <w:p>
            <w:pPr>
              <w:spacing w:after="0"/>
              <w:rPr>
                <w:sz w:val="15"/>
                <w:szCs w:val="15"/>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2/23/2024</w:t>
            </w:r>
          </w:p>
        </w:tc>
        <w:tc>
          <w:tcPr>
            <w:tcW w:w="890" w:type="dxa"/>
            <w:vAlign w:val="bottom"/>
            <w:tcBorders>
              <w:bottom w:val="single" w:sz="8" w:color="0063A6"/>
            </w:tcBorders>
          </w:tcPr>
          <w:p>
            <w:pPr>
              <w:spacing w:after="0"/>
              <w:rPr>
                <w:sz w:val="15"/>
                <w:szCs w:val="15"/>
                <w:color w:val="auto"/>
              </w:rPr>
            </w:pPr>
          </w:p>
        </w:tc>
        <w:tc>
          <w:tcPr>
            <w:tcW w:w="880" w:type="dxa"/>
            <w:vAlign w:val="bottom"/>
            <w:tcBorders>
              <w:bottom w:val="single" w:sz="8" w:color="0063A6"/>
            </w:tcBorders>
          </w:tcPr>
          <w:p>
            <w:pPr>
              <w:spacing w:after="0"/>
              <w:rPr>
                <w:sz w:val="15"/>
                <w:szCs w:val="15"/>
                <w:color w:val="auto"/>
              </w:rPr>
            </w:pPr>
          </w:p>
        </w:tc>
        <w:tc>
          <w:tcPr>
            <w:tcW w:w="62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40" w:type="dxa"/>
            <w:vAlign w:val="bottom"/>
            <w:tcBorders>
              <w:bottom w:val="single" w:sz="8" w:color="0063A6"/>
            </w:tcBorders>
          </w:tcPr>
          <w:p>
            <w:pPr>
              <w:spacing w:after="0"/>
              <w:rPr>
                <w:sz w:val="15"/>
                <w:szCs w:val="15"/>
                <w:color w:val="auto"/>
              </w:rPr>
            </w:pPr>
          </w:p>
        </w:tc>
        <w:tc>
          <w:tcPr>
            <w:tcW w:w="820" w:type="dxa"/>
            <w:vAlign w:val="bottom"/>
            <w:tcBorders>
              <w:bottom w:val="single" w:sz="8" w:color="0063A6"/>
            </w:tcBorders>
          </w:tcPr>
          <w:p>
            <w:pPr>
              <w:spacing w:after="0"/>
              <w:rPr>
                <w:sz w:val="15"/>
                <w:szCs w:val="15"/>
                <w:color w:val="auto"/>
              </w:rPr>
            </w:pP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jc w:val="right"/>
              <w:spacing w:after="0" w:line="183" w:lineRule="exact"/>
              <w:rPr>
                <w:sz w:val="20"/>
                <w:szCs w:val="20"/>
                <w:color w:val="auto"/>
              </w:rPr>
            </w:pPr>
            <w:r>
              <w:rPr>
                <w:rFonts w:ascii="Arial" w:cs="Arial" w:eastAsia="Arial" w:hAnsi="Arial"/>
                <w:sz w:val="13"/>
                <w:szCs w:val="13"/>
                <w:color w:val="auto"/>
              </w:rPr>
              <w:t>133,458</w:t>
            </w:r>
            <w:r>
              <w:rPr>
                <w:rFonts w:ascii="Arial" w:cs="Arial" w:eastAsia="Arial" w:hAnsi="Arial"/>
                <w:sz w:val="20"/>
                <w:szCs w:val="20"/>
                <w:color w:val="auto"/>
                <w:vertAlign w:val="superscript"/>
              </w:rPr>
              <w:t>(3)</w:t>
            </w:r>
          </w:p>
        </w:tc>
        <w:tc>
          <w:tcPr>
            <w:tcW w:w="118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w w:val="99"/>
              </w:rPr>
              <w:t>$14,490,815</w:t>
            </w:r>
          </w:p>
        </w:tc>
        <w:tc>
          <w:tcPr>
            <w:tcW w:w="4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Joan S. Hooper</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6/20/2017</w:t>
            </w:r>
          </w:p>
        </w:tc>
        <w:tc>
          <w:tcPr>
            <w:tcW w:w="890" w:type="dxa"/>
            <w:vAlign w:val="bottom"/>
            <w:tcBorders>
              <w:bottom w:val="single" w:sz="8" w:color="5D6673"/>
            </w:tcBorders>
          </w:tcPr>
          <w:p>
            <w:pPr>
              <w:ind w:left="410"/>
              <w:spacing w:after="0"/>
              <w:rPr>
                <w:sz w:val="20"/>
                <w:szCs w:val="20"/>
                <w:color w:val="auto"/>
              </w:rPr>
            </w:pPr>
            <w:r>
              <w:rPr>
                <w:rFonts w:ascii="Arial" w:cs="Arial" w:eastAsia="Arial" w:hAnsi="Arial"/>
                <w:sz w:val="13"/>
                <w:szCs w:val="13"/>
                <w:color w:val="auto"/>
              </w:rPr>
              <w:t>11,515</w:t>
            </w:r>
          </w:p>
        </w:tc>
        <w:tc>
          <w:tcPr>
            <w:tcW w:w="880" w:type="dxa"/>
            <w:vAlign w:val="bottom"/>
            <w:tcBorders>
              <w:bottom w:val="single" w:sz="8" w:color="5D6673"/>
            </w:tcBorders>
          </w:tcPr>
          <w:p>
            <w:pPr>
              <w:spacing w:after="0"/>
              <w:rPr>
                <w:sz w:val="13"/>
                <w:szCs w:val="13"/>
                <w:color w:val="auto"/>
              </w:rPr>
            </w:pPr>
          </w:p>
        </w:tc>
        <w:tc>
          <w:tcPr>
            <w:tcW w:w="62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$68.45</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6/20/2027</w:t>
            </w:r>
          </w:p>
        </w:tc>
        <w:tc>
          <w:tcPr>
            <w:tcW w:w="40" w:type="dxa"/>
            <w:vAlign w:val="bottom"/>
            <w:tcBorders>
              <w:bottom w:val="single" w:sz="8" w:color="5D6673"/>
            </w:tcBorders>
          </w:tcPr>
          <w:p>
            <w:pPr>
              <w:spacing w:after="0"/>
              <w:rPr>
                <w:sz w:val="13"/>
                <w:szCs w:val="13"/>
                <w:color w:val="auto"/>
              </w:rPr>
            </w:pPr>
          </w:p>
        </w:tc>
        <w:tc>
          <w:tcPr>
            <w:tcW w:w="820" w:type="dxa"/>
            <w:vAlign w:val="bottom"/>
            <w:tcBorders>
              <w:bottom w:val="single" w:sz="8" w:color="5D6673"/>
            </w:tcBorders>
          </w:tcPr>
          <w:p>
            <w:pPr>
              <w:spacing w:after="0"/>
              <w:rPr>
                <w:sz w:val="13"/>
                <w:szCs w:val="13"/>
                <w:color w:val="auto"/>
              </w:rPr>
            </w:pPr>
          </w:p>
        </w:tc>
        <w:tc>
          <w:tcPr>
            <w:tcW w:w="260" w:type="dxa"/>
            <w:vAlign w:val="bottom"/>
            <w:tcBorders>
              <w:bottom w:val="single" w:sz="8" w:color="5D6673"/>
            </w:tcBorders>
          </w:tcPr>
          <w:p>
            <w:pPr>
              <w:spacing w:after="0"/>
              <w:rPr>
                <w:sz w:val="13"/>
                <w:szCs w:val="13"/>
                <w:color w:val="auto"/>
              </w:rPr>
            </w:pPr>
          </w:p>
        </w:tc>
        <w:tc>
          <w:tcPr>
            <w:tcW w:w="680" w:type="dxa"/>
            <w:vAlign w:val="bottom"/>
            <w:tcBorders>
              <w:bottom w:val="single" w:sz="8" w:color="5D6673"/>
            </w:tcBorders>
          </w:tcPr>
          <w:p>
            <w:pPr>
              <w:spacing w:after="0"/>
              <w:rPr>
                <w:sz w:val="13"/>
                <w:szCs w:val="13"/>
                <w:color w:val="auto"/>
              </w:rPr>
            </w:pPr>
          </w:p>
        </w:tc>
        <w:tc>
          <w:tcPr>
            <w:tcW w:w="1120" w:type="dxa"/>
            <w:vAlign w:val="bottom"/>
            <w:tcBorders>
              <w:bottom w:val="single" w:sz="8" w:color="5D6673"/>
            </w:tcBorders>
          </w:tcPr>
          <w:p>
            <w:pPr>
              <w:spacing w:after="0"/>
              <w:rPr>
                <w:sz w:val="13"/>
                <w:szCs w:val="13"/>
                <w:color w:val="auto"/>
              </w:rPr>
            </w:pPr>
          </w:p>
        </w:tc>
        <w:tc>
          <w:tcPr>
            <w:tcW w:w="11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2/22/2018</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10,058</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$69.30</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2/22/2028</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2/20/2020</w:t>
            </w:r>
          </w:p>
        </w:tc>
        <w:tc>
          <w:tcPr>
            <w:tcW w:w="890" w:type="dxa"/>
            <w:vAlign w:val="bottom"/>
            <w:tcBorders>
              <w:bottom w:val="single" w:sz="8" w:color="5D6673"/>
            </w:tcBorders>
          </w:tcPr>
          <w:p>
            <w:pPr>
              <w:ind w:left="410"/>
              <w:spacing w:after="0" w:line="142" w:lineRule="exact"/>
              <w:rPr>
                <w:sz w:val="20"/>
                <w:szCs w:val="20"/>
                <w:color w:val="auto"/>
              </w:rPr>
            </w:pPr>
            <w:r>
              <w:rPr>
                <w:rFonts w:ascii="Arial" w:cs="Arial" w:eastAsia="Arial" w:hAnsi="Arial"/>
                <w:sz w:val="13"/>
                <w:szCs w:val="13"/>
                <w:color w:val="auto"/>
              </w:rPr>
              <w:t>11,695</w:t>
            </w: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$87.27</w:t>
            </w:r>
          </w:p>
        </w:tc>
        <w:tc>
          <w:tcPr>
            <w:tcW w:w="68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2/20/2030</w:t>
            </w: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spacing w:after="0"/>
              <w:rPr>
                <w:sz w:val="12"/>
                <w:szCs w:val="12"/>
                <w:color w:val="auto"/>
              </w:rPr>
            </w:pPr>
          </w:p>
        </w:tc>
        <w:tc>
          <w:tcPr>
            <w:tcW w:w="26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2/24/2022</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4,634</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503,160</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6,000</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651,480</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5"/>
                <w:szCs w:val="15"/>
                <w:color w:val="auto"/>
              </w:rPr>
            </w:pPr>
          </w:p>
        </w:tc>
        <w:tc>
          <w:tcPr>
            <w:tcW w:w="880" w:type="dxa"/>
            <w:vAlign w:val="bottom"/>
            <w:tcBorders>
              <w:bottom w:val="single" w:sz="8" w:color="5D6673"/>
            </w:tcBorders>
          </w:tcPr>
          <w:p>
            <w:pPr>
              <w:spacing w:after="0"/>
              <w:rPr>
                <w:sz w:val="15"/>
                <w:szCs w:val="15"/>
                <w:color w:val="auto"/>
              </w:rPr>
            </w:pPr>
          </w:p>
        </w:tc>
        <w:tc>
          <w:tcPr>
            <w:tcW w:w="62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40" w:type="dxa"/>
            <w:vAlign w:val="bottom"/>
            <w:tcBorders>
              <w:bottom w:val="single" w:sz="8" w:color="5D6673"/>
            </w:tcBorders>
          </w:tcPr>
          <w:p>
            <w:pPr>
              <w:spacing w:after="0"/>
              <w:rPr>
                <w:sz w:val="15"/>
                <w:szCs w:val="15"/>
                <w:color w:val="auto"/>
              </w:rPr>
            </w:pPr>
          </w:p>
        </w:tc>
        <w:tc>
          <w:tcPr>
            <w:tcW w:w="82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jc w:val="right"/>
              <w:spacing w:after="0" w:line="183" w:lineRule="exact"/>
              <w:rPr>
                <w:sz w:val="20"/>
                <w:szCs w:val="20"/>
                <w:color w:val="auto"/>
              </w:rPr>
            </w:pPr>
            <w:r>
              <w:rPr>
                <w:rFonts w:ascii="Arial" w:cs="Arial" w:eastAsia="Arial" w:hAnsi="Arial"/>
                <w:sz w:val="13"/>
                <w:szCs w:val="13"/>
                <w:color w:val="auto"/>
              </w:rPr>
              <w:t>35,978</w:t>
            </w:r>
            <w:r>
              <w:rPr>
                <w:rFonts w:ascii="Arial" w:cs="Arial" w:eastAsia="Arial" w:hAnsi="Arial"/>
                <w:sz w:val="20"/>
                <w:szCs w:val="20"/>
                <w:color w:val="auto"/>
                <w:vertAlign w:val="superscript"/>
              </w:rPr>
              <w:t>(2)</w:t>
            </w:r>
          </w:p>
        </w:tc>
        <w:tc>
          <w:tcPr>
            <w:tcW w:w="118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$ 3,906,437</w:t>
            </w:r>
          </w:p>
        </w:tc>
        <w:tc>
          <w:tcPr>
            <w:tcW w:w="4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2/23/2024</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12,678</w:t>
            </w:r>
          </w:p>
        </w:tc>
        <w:tc>
          <w:tcPr>
            <w:tcW w:w="940" w:type="dxa"/>
            <w:vAlign w:val="bottom"/>
            <w:tcBorders>
              <w:bottom w:val="single" w:sz="8" w:color="5D6673"/>
            </w:tcBorders>
            <w:gridSpan w:val="2"/>
          </w:tcPr>
          <w:p>
            <w:pPr>
              <w:ind w:left="200"/>
              <w:spacing w:after="0" w:line="142" w:lineRule="exact"/>
              <w:rPr>
                <w:sz w:val="20"/>
                <w:szCs w:val="20"/>
                <w:color w:val="auto"/>
              </w:rPr>
            </w:pPr>
            <w:r>
              <w:rPr>
                <w:rFonts w:ascii="Arial" w:cs="Arial" w:eastAsia="Arial" w:hAnsi="Arial"/>
                <w:sz w:val="13"/>
                <w:szCs w:val="13"/>
                <w:color w:val="auto"/>
              </w:rPr>
              <w:t>$1,376,577</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0063A6"/>
            </w:tcBorders>
          </w:tcPr>
          <w:p>
            <w:pPr>
              <w:spacing w:after="0"/>
              <w:rPr>
                <w:sz w:val="15"/>
                <w:szCs w:val="15"/>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2/23/2024</w:t>
            </w:r>
          </w:p>
        </w:tc>
        <w:tc>
          <w:tcPr>
            <w:tcW w:w="890" w:type="dxa"/>
            <w:vAlign w:val="bottom"/>
            <w:tcBorders>
              <w:bottom w:val="single" w:sz="8" w:color="0063A6"/>
            </w:tcBorders>
          </w:tcPr>
          <w:p>
            <w:pPr>
              <w:spacing w:after="0"/>
              <w:rPr>
                <w:sz w:val="15"/>
                <w:szCs w:val="15"/>
                <w:color w:val="auto"/>
              </w:rPr>
            </w:pPr>
          </w:p>
        </w:tc>
        <w:tc>
          <w:tcPr>
            <w:tcW w:w="880" w:type="dxa"/>
            <w:vAlign w:val="bottom"/>
            <w:tcBorders>
              <w:bottom w:val="single" w:sz="8" w:color="0063A6"/>
            </w:tcBorders>
          </w:tcPr>
          <w:p>
            <w:pPr>
              <w:spacing w:after="0"/>
              <w:rPr>
                <w:sz w:val="15"/>
                <w:szCs w:val="15"/>
                <w:color w:val="auto"/>
              </w:rPr>
            </w:pPr>
          </w:p>
        </w:tc>
        <w:tc>
          <w:tcPr>
            <w:tcW w:w="62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40" w:type="dxa"/>
            <w:vAlign w:val="bottom"/>
            <w:tcBorders>
              <w:bottom w:val="single" w:sz="8" w:color="0063A6"/>
            </w:tcBorders>
          </w:tcPr>
          <w:p>
            <w:pPr>
              <w:spacing w:after="0"/>
              <w:rPr>
                <w:sz w:val="15"/>
                <w:szCs w:val="15"/>
                <w:color w:val="auto"/>
              </w:rPr>
            </w:pPr>
          </w:p>
        </w:tc>
        <w:tc>
          <w:tcPr>
            <w:tcW w:w="820" w:type="dxa"/>
            <w:vAlign w:val="bottom"/>
            <w:tcBorders>
              <w:bottom w:val="single" w:sz="8" w:color="0063A6"/>
            </w:tcBorders>
          </w:tcPr>
          <w:p>
            <w:pPr>
              <w:spacing w:after="0"/>
              <w:rPr>
                <w:sz w:val="15"/>
                <w:szCs w:val="15"/>
                <w:color w:val="auto"/>
              </w:rPr>
            </w:pP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jc w:val="right"/>
              <w:spacing w:after="0" w:line="183" w:lineRule="exact"/>
              <w:rPr>
                <w:sz w:val="20"/>
                <w:szCs w:val="20"/>
                <w:color w:val="auto"/>
              </w:rPr>
            </w:pPr>
            <w:r>
              <w:rPr>
                <w:rFonts w:ascii="Arial" w:cs="Arial" w:eastAsia="Arial" w:hAnsi="Arial"/>
                <w:sz w:val="13"/>
                <w:szCs w:val="13"/>
                <w:color w:val="auto"/>
              </w:rPr>
              <w:t>31,695</w:t>
            </w:r>
            <w:r>
              <w:rPr>
                <w:rFonts w:ascii="Arial" w:cs="Arial" w:eastAsia="Arial" w:hAnsi="Arial"/>
                <w:sz w:val="20"/>
                <w:szCs w:val="20"/>
                <w:color w:val="auto"/>
                <w:vertAlign w:val="superscript"/>
              </w:rPr>
              <w:t>(3)</w:t>
            </w:r>
          </w:p>
        </w:tc>
        <w:tc>
          <w:tcPr>
            <w:tcW w:w="118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$ 3,441,443</w:t>
            </w:r>
          </w:p>
        </w:tc>
        <w:tc>
          <w:tcPr>
            <w:tcW w:w="4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Donald L. Reeves</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2/24/2022</w:t>
            </w:r>
          </w:p>
        </w:tc>
        <w:tc>
          <w:tcPr>
            <w:tcW w:w="890" w:type="dxa"/>
            <w:vAlign w:val="bottom"/>
            <w:tcBorders>
              <w:bottom w:val="single" w:sz="8" w:color="5D6673"/>
            </w:tcBorders>
          </w:tcPr>
          <w:p>
            <w:pPr>
              <w:spacing w:after="0"/>
              <w:rPr>
                <w:sz w:val="13"/>
                <w:szCs w:val="13"/>
                <w:color w:val="auto"/>
              </w:rPr>
            </w:pPr>
          </w:p>
        </w:tc>
        <w:tc>
          <w:tcPr>
            <w:tcW w:w="880" w:type="dxa"/>
            <w:vAlign w:val="bottom"/>
            <w:tcBorders>
              <w:bottom w:val="single" w:sz="8" w:color="5D6673"/>
            </w:tcBorders>
          </w:tcPr>
          <w:p>
            <w:pPr>
              <w:spacing w:after="0"/>
              <w:rPr>
                <w:sz w:val="13"/>
                <w:szCs w:val="13"/>
                <w:color w:val="auto"/>
              </w:rPr>
            </w:pPr>
          </w:p>
        </w:tc>
        <w:tc>
          <w:tcPr>
            <w:tcW w:w="620" w:type="dxa"/>
            <w:vAlign w:val="bottom"/>
            <w:tcBorders>
              <w:bottom w:val="single" w:sz="8" w:color="5D6673"/>
            </w:tcBorders>
          </w:tcPr>
          <w:p>
            <w:pPr>
              <w:spacing w:after="0"/>
              <w:rPr>
                <w:sz w:val="13"/>
                <w:szCs w:val="13"/>
                <w:color w:val="auto"/>
              </w:rPr>
            </w:pPr>
          </w:p>
        </w:tc>
        <w:tc>
          <w:tcPr>
            <w:tcW w:w="6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82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1,391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rPr>
                <w:sz w:val="20"/>
                <w:szCs w:val="20"/>
                <w:color w:val="auto"/>
              </w:rPr>
            </w:pPr>
            <w:r>
              <w:rPr>
                <w:rFonts w:ascii="Arial" w:cs="Arial" w:eastAsia="Arial" w:hAnsi="Arial"/>
                <w:sz w:val="13"/>
                <w:szCs w:val="13"/>
                <w:color w:val="auto"/>
              </w:rPr>
              <w:t>151,035</w:t>
            </w:r>
          </w:p>
        </w:tc>
        <w:tc>
          <w:tcPr>
            <w:tcW w:w="1120" w:type="dxa"/>
            <w:vAlign w:val="bottom"/>
            <w:tcBorders>
              <w:bottom w:val="single" w:sz="8" w:color="5D6673"/>
            </w:tcBorders>
          </w:tcPr>
          <w:p>
            <w:pPr>
              <w:spacing w:after="0"/>
              <w:rPr>
                <w:sz w:val="13"/>
                <w:szCs w:val="13"/>
                <w:color w:val="auto"/>
              </w:rPr>
            </w:pPr>
          </w:p>
        </w:tc>
        <w:tc>
          <w:tcPr>
            <w:tcW w:w="11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2,251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244,414</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5"/>
                <w:szCs w:val="15"/>
                <w:color w:val="auto"/>
              </w:rPr>
            </w:pPr>
          </w:p>
        </w:tc>
        <w:tc>
          <w:tcPr>
            <w:tcW w:w="880" w:type="dxa"/>
            <w:vAlign w:val="bottom"/>
            <w:tcBorders>
              <w:bottom w:val="single" w:sz="8" w:color="5D6673"/>
            </w:tcBorders>
          </w:tcPr>
          <w:p>
            <w:pPr>
              <w:spacing w:after="0"/>
              <w:rPr>
                <w:sz w:val="15"/>
                <w:szCs w:val="15"/>
                <w:color w:val="auto"/>
              </w:rPr>
            </w:pPr>
          </w:p>
        </w:tc>
        <w:tc>
          <w:tcPr>
            <w:tcW w:w="62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40" w:type="dxa"/>
            <w:vAlign w:val="bottom"/>
            <w:tcBorders>
              <w:bottom w:val="single" w:sz="8" w:color="5D6673"/>
            </w:tcBorders>
          </w:tcPr>
          <w:p>
            <w:pPr>
              <w:spacing w:after="0"/>
              <w:rPr>
                <w:sz w:val="15"/>
                <w:szCs w:val="15"/>
                <w:color w:val="auto"/>
              </w:rPr>
            </w:pPr>
          </w:p>
        </w:tc>
        <w:tc>
          <w:tcPr>
            <w:tcW w:w="82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jc w:val="right"/>
              <w:spacing w:after="0" w:line="183" w:lineRule="exact"/>
              <w:rPr>
                <w:sz w:val="20"/>
                <w:szCs w:val="20"/>
                <w:color w:val="auto"/>
              </w:rPr>
            </w:pPr>
            <w:r>
              <w:rPr>
                <w:rFonts w:ascii="Arial" w:cs="Arial" w:eastAsia="Arial" w:hAnsi="Arial"/>
                <w:sz w:val="13"/>
                <w:szCs w:val="13"/>
                <w:color w:val="auto"/>
              </w:rPr>
              <w:t>13,490</w:t>
            </w:r>
            <w:r>
              <w:rPr>
                <w:rFonts w:ascii="Arial" w:cs="Arial" w:eastAsia="Arial" w:hAnsi="Arial"/>
                <w:sz w:val="20"/>
                <w:szCs w:val="20"/>
                <w:color w:val="auto"/>
                <w:vertAlign w:val="superscript"/>
              </w:rPr>
              <w:t>(2)</w:t>
            </w:r>
          </w:p>
        </w:tc>
        <w:tc>
          <w:tcPr>
            <w:tcW w:w="118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$ 1,464,744</w:t>
            </w:r>
          </w:p>
        </w:tc>
        <w:tc>
          <w:tcPr>
            <w:tcW w:w="4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2/23/2024</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7,340</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796,977</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0063A6"/>
            </w:tcBorders>
          </w:tcPr>
          <w:p>
            <w:pPr>
              <w:spacing w:after="0"/>
              <w:rPr>
                <w:sz w:val="15"/>
                <w:szCs w:val="15"/>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2/23/2024</w:t>
            </w:r>
          </w:p>
        </w:tc>
        <w:tc>
          <w:tcPr>
            <w:tcW w:w="890" w:type="dxa"/>
            <w:vAlign w:val="bottom"/>
            <w:tcBorders>
              <w:bottom w:val="single" w:sz="8" w:color="0063A6"/>
            </w:tcBorders>
          </w:tcPr>
          <w:p>
            <w:pPr>
              <w:spacing w:after="0"/>
              <w:rPr>
                <w:sz w:val="15"/>
                <w:szCs w:val="15"/>
                <w:color w:val="auto"/>
              </w:rPr>
            </w:pPr>
          </w:p>
        </w:tc>
        <w:tc>
          <w:tcPr>
            <w:tcW w:w="880" w:type="dxa"/>
            <w:vAlign w:val="bottom"/>
            <w:tcBorders>
              <w:bottom w:val="single" w:sz="8" w:color="0063A6"/>
            </w:tcBorders>
          </w:tcPr>
          <w:p>
            <w:pPr>
              <w:spacing w:after="0"/>
              <w:rPr>
                <w:sz w:val="15"/>
                <w:szCs w:val="15"/>
                <w:color w:val="auto"/>
              </w:rPr>
            </w:pPr>
          </w:p>
        </w:tc>
        <w:tc>
          <w:tcPr>
            <w:tcW w:w="62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40" w:type="dxa"/>
            <w:vAlign w:val="bottom"/>
            <w:tcBorders>
              <w:bottom w:val="single" w:sz="8" w:color="0063A6"/>
            </w:tcBorders>
          </w:tcPr>
          <w:p>
            <w:pPr>
              <w:spacing w:after="0"/>
              <w:rPr>
                <w:sz w:val="15"/>
                <w:szCs w:val="15"/>
                <w:color w:val="auto"/>
              </w:rPr>
            </w:pPr>
          </w:p>
        </w:tc>
        <w:tc>
          <w:tcPr>
            <w:tcW w:w="820" w:type="dxa"/>
            <w:vAlign w:val="bottom"/>
            <w:tcBorders>
              <w:bottom w:val="single" w:sz="8" w:color="0063A6"/>
            </w:tcBorders>
          </w:tcPr>
          <w:p>
            <w:pPr>
              <w:spacing w:after="0"/>
              <w:rPr>
                <w:sz w:val="15"/>
                <w:szCs w:val="15"/>
                <w:color w:val="auto"/>
              </w:rPr>
            </w:pP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jc w:val="right"/>
              <w:spacing w:after="0" w:line="183" w:lineRule="exact"/>
              <w:rPr>
                <w:sz w:val="20"/>
                <w:szCs w:val="20"/>
                <w:color w:val="auto"/>
              </w:rPr>
            </w:pPr>
            <w:r>
              <w:rPr>
                <w:rFonts w:ascii="Arial" w:cs="Arial" w:eastAsia="Arial" w:hAnsi="Arial"/>
                <w:sz w:val="13"/>
                <w:szCs w:val="13"/>
                <w:color w:val="auto"/>
              </w:rPr>
              <w:t>18,350</w:t>
            </w:r>
            <w:r>
              <w:rPr>
                <w:rFonts w:ascii="Arial" w:cs="Arial" w:eastAsia="Arial" w:hAnsi="Arial"/>
                <w:sz w:val="20"/>
                <w:szCs w:val="20"/>
                <w:color w:val="auto"/>
                <w:vertAlign w:val="superscript"/>
              </w:rPr>
              <w:t>(3)</w:t>
            </w:r>
          </w:p>
        </w:tc>
        <w:tc>
          <w:tcPr>
            <w:tcW w:w="118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$ 1,992,443</w:t>
            </w:r>
          </w:p>
        </w:tc>
        <w:tc>
          <w:tcPr>
            <w:tcW w:w="4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John F. Marcolini</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9/10/2020</w:t>
            </w:r>
          </w:p>
        </w:tc>
        <w:tc>
          <w:tcPr>
            <w:tcW w:w="89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rPr>
              <w:t>3,783</w:t>
            </w:r>
          </w:p>
        </w:tc>
        <w:tc>
          <w:tcPr>
            <w:tcW w:w="880" w:type="dxa"/>
            <w:vAlign w:val="bottom"/>
            <w:tcBorders>
              <w:bottom w:val="single" w:sz="8" w:color="5D6673"/>
            </w:tcBorders>
          </w:tcPr>
          <w:p>
            <w:pPr>
              <w:spacing w:after="0"/>
              <w:rPr>
                <w:sz w:val="13"/>
                <w:szCs w:val="13"/>
                <w:color w:val="auto"/>
              </w:rPr>
            </w:pPr>
          </w:p>
        </w:tc>
        <w:tc>
          <w:tcPr>
            <w:tcW w:w="62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$57.68</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9/10/2030</w:t>
            </w:r>
          </w:p>
        </w:tc>
        <w:tc>
          <w:tcPr>
            <w:tcW w:w="40" w:type="dxa"/>
            <w:vAlign w:val="bottom"/>
            <w:tcBorders>
              <w:bottom w:val="single" w:sz="8" w:color="5D6673"/>
            </w:tcBorders>
          </w:tcPr>
          <w:p>
            <w:pPr>
              <w:spacing w:after="0"/>
              <w:rPr>
                <w:sz w:val="13"/>
                <w:szCs w:val="13"/>
                <w:color w:val="auto"/>
              </w:rPr>
            </w:pPr>
          </w:p>
        </w:tc>
        <w:tc>
          <w:tcPr>
            <w:tcW w:w="820" w:type="dxa"/>
            <w:vAlign w:val="bottom"/>
            <w:tcBorders>
              <w:bottom w:val="single" w:sz="8" w:color="5D6673"/>
            </w:tcBorders>
          </w:tcPr>
          <w:p>
            <w:pPr>
              <w:spacing w:after="0"/>
              <w:rPr>
                <w:sz w:val="13"/>
                <w:szCs w:val="13"/>
                <w:color w:val="auto"/>
              </w:rPr>
            </w:pPr>
          </w:p>
        </w:tc>
        <w:tc>
          <w:tcPr>
            <w:tcW w:w="260" w:type="dxa"/>
            <w:vAlign w:val="bottom"/>
            <w:tcBorders>
              <w:bottom w:val="single" w:sz="8" w:color="5D6673"/>
            </w:tcBorders>
          </w:tcPr>
          <w:p>
            <w:pPr>
              <w:spacing w:after="0"/>
              <w:rPr>
                <w:sz w:val="13"/>
                <w:szCs w:val="13"/>
                <w:color w:val="auto"/>
              </w:rPr>
            </w:pPr>
          </w:p>
        </w:tc>
        <w:tc>
          <w:tcPr>
            <w:tcW w:w="680" w:type="dxa"/>
            <w:vAlign w:val="bottom"/>
            <w:tcBorders>
              <w:bottom w:val="single" w:sz="8" w:color="5D6673"/>
            </w:tcBorders>
          </w:tcPr>
          <w:p>
            <w:pPr>
              <w:spacing w:after="0"/>
              <w:rPr>
                <w:sz w:val="13"/>
                <w:szCs w:val="13"/>
                <w:color w:val="auto"/>
              </w:rPr>
            </w:pPr>
          </w:p>
        </w:tc>
        <w:tc>
          <w:tcPr>
            <w:tcW w:w="1120" w:type="dxa"/>
            <w:vAlign w:val="bottom"/>
            <w:tcBorders>
              <w:bottom w:val="single" w:sz="8" w:color="5D6673"/>
            </w:tcBorders>
          </w:tcPr>
          <w:p>
            <w:pPr>
              <w:spacing w:after="0"/>
              <w:rPr>
                <w:sz w:val="13"/>
                <w:szCs w:val="13"/>
                <w:color w:val="auto"/>
              </w:rPr>
            </w:pPr>
          </w:p>
        </w:tc>
        <w:tc>
          <w:tcPr>
            <w:tcW w:w="11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2/24/2022</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1,391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151,035</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2,251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244,414</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5"/>
                <w:szCs w:val="15"/>
                <w:color w:val="auto"/>
              </w:rPr>
            </w:pPr>
          </w:p>
        </w:tc>
        <w:tc>
          <w:tcPr>
            <w:tcW w:w="880" w:type="dxa"/>
            <w:vAlign w:val="bottom"/>
            <w:tcBorders>
              <w:bottom w:val="single" w:sz="8" w:color="5D6673"/>
            </w:tcBorders>
          </w:tcPr>
          <w:p>
            <w:pPr>
              <w:spacing w:after="0"/>
              <w:rPr>
                <w:sz w:val="15"/>
                <w:szCs w:val="15"/>
                <w:color w:val="auto"/>
              </w:rPr>
            </w:pPr>
          </w:p>
        </w:tc>
        <w:tc>
          <w:tcPr>
            <w:tcW w:w="62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40" w:type="dxa"/>
            <w:vAlign w:val="bottom"/>
            <w:tcBorders>
              <w:bottom w:val="single" w:sz="8" w:color="5D6673"/>
            </w:tcBorders>
          </w:tcPr>
          <w:p>
            <w:pPr>
              <w:spacing w:after="0"/>
              <w:rPr>
                <w:sz w:val="15"/>
                <w:szCs w:val="15"/>
                <w:color w:val="auto"/>
              </w:rPr>
            </w:pPr>
          </w:p>
        </w:tc>
        <w:tc>
          <w:tcPr>
            <w:tcW w:w="82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jc w:val="right"/>
              <w:spacing w:after="0" w:line="183" w:lineRule="exact"/>
              <w:rPr>
                <w:sz w:val="20"/>
                <w:szCs w:val="20"/>
                <w:color w:val="auto"/>
              </w:rPr>
            </w:pPr>
            <w:r>
              <w:rPr>
                <w:rFonts w:ascii="Arial" w:cs="Arial" w:eastAsia="Arial" w:hAnsi="Arial"/>
                <w:sz w:val="13"/>
                <w:szCs w:val="13"/>
                <w:color w:val="auto"/>
              </w:rPr>
              <w:t>13,490</w:t>
            </w:r>
            <w:r>
              <w:rPr>
                <w:rFonts w:ascii="Arial" w:cs="Arial" w:eastAsia="Arial" w:hAnsi="Arial"/>
                <w:sz w:val="20"/>
                <w:szCs w:val="20"/>
                <w:color w:val="auto"/>
                <w:vertAlign w:val="superscript"/>
              </w:rPr>
              <w:t>(2)</w:t>
            </w:r>
          </w:p>
        </w:tc>
        <w:tc>
          <w:tcPr>
            <w:tcW w:w="118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$ 1,464,744</w:t>
            </w:r>
          </w:p>
        </w:tc>
        <w:tc>
          <w:tcPr>
            <w:tcW w:w="4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2/23/2024</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7,673</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833,134</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0063A6"/>
            </w:tcBorders>
          </w:tcPr>
          <w:p>
            <w:pPr>
              <w:spacing w:after="0"/>
              <w:rPr>
                <w:sz w:val="15"/>
                <w:szCs w:val="15"/>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2/23/2024</w:t>
            </w:r>
          </w:p>
        </w:tc>
        <w:tc>
          <w:tcPr>
            <w:tcW w:w="890" w:type="dxa"/>
            <w:vAlign w:val="bottom"/>
            <w:tcBorders>
              <w:bottom w:val="single" w:sz="8" w:color="0063A6"/>
            </w:tcBorders>
          </w:tcPr>
          <w:p>
            <w:pPr>
              <w:spacing w:after="0"/>
              <w:rPr>
                <w:sz w:val="15"/>
                <w:szCs w:val="15"/>
                <w:color w:val="auto"/>
              </w:rPr>
            </w:pPr>
          </w:p>
        </w:tc>
        <w:tc>
          <w:tcPr>
            <w:tcW w:w="880" w:type="dxa"/>
            <w:vAlign w:val="bottom"/>
            <w:tcBorders>
              <w:bottom w:val="single" w:sz="8" w:color="0063A6"/>
            </w:tcBorders>
          </w:tcPr>
          <w:p>
            <w:pPr>
              <w:spacing w:after="0"/>
              <w:rPr>
                <w:sz w:val="15"/>
                <w:szCs w:val="15"/>
                <w:color w:val="auto"/>
              </w:rPr>
            </w:pPr>
          </w:p>
        </w:tc>
        <w:tc>
          <w:tcPr>
            <w:tcW w:w="62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40" w:type="dxa"/>
            <w:vAlign w:val="bottom"/>
            <w:tcBorders>
              <w:bottom w:val="single" w:sz="8" w:color="0063A6"/>
            </w:tcBorders>
          </w:tcPr>
          <w:p>
            <w:pPr>
              <w:spacing w:after="0"/>
              <w:rPr>
                <w:sz w:val="15"/>
                <w:szCs w:val="15"/>
                <w:color w:val="auto"/>
              </w:rPr>
            </w:pPr>
          </w:p>
        </w:tc>
        <w:tc>
          <w:tcPr>
            <w:tcW w:w="820" w:type="dxa"/>
            <w:vAlign w:val="bottom"/>
            <w:tcBorders>
              <w:bottom w:val="single" w:sz="8" w:color="0063A6"/>
            </w:tcBorders>
          </w:tcPr>
          <w:p>
            <w:pPr>
              <w:spacing w:after="0"/>
              <w:rPr>
                <w:sz w:val="15"/>
                <w:szCs w:val="15"/>
                <w:color w:val="auto"/>
              </w:rPr>
            </w:pP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jc w:val="right"/>
              <w:spacing w:after="0" w:line="183" w:lineRule="exact"/>
              <w:rPr>
                <w:sz w:val="20"/>
                <w:szCs w:val="20"/>
                <w:color w:val="auto"/>
              </w:rPr>
            </w:pPr>
            <w:r>
              <w:rPr>
                <w:rFonts w:ascii="Arial" w:cs="Arial" w:eastAsia="Arial" w:hAnsi="Arial"/>
                <w:sz w:val="13"/>
                <w:szCs w:val="13"/>
                <w:color w:val="auto"/>
              </w:rPr>
              <w:t>19,183</w:t>
            </w:r>
            <w:r>
              <w:rPr>
                <w:rFonts w:ascii="Arial" w:cs="Arial" w:eastAsia="Arial" w:hAnsi="Arial"/>
                <w:sz w:val="20"/>
                <w:szCs w:val="20"/>
                <w:color w:val="auto"/>
                <w:vertAlign w:val="superscript"/>
              </w:rPr>
              <w:t>(3)</w:t>
            </w:r>
          </w:p>
        </w:tc>
        <w:tc>
          <w:tcPr>
            <w:tcW w:w="118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$ 2,082,836</w:t>
            </w:r>
          </w:p>
        </w:tc>
        <w:tc>
          <w:tcPr>
            <w:tcW w:w="4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80" w:type="dxa"/>
            <w:vAlign w:val="bottom"/>
          </w:tcPr>
          <w:p>
            <w:pPr>
              <w:ind w:left="40"/>
              <w:spacing w:after="0"/>
              <w:rPr>
                <w:sz w:val="20"/>
                <w:szCs w:val="20"/>
                <w:color w:val="auto"/>
              </w:rPr>
            </w:pPr>
            <w:r>
              <w:rPr>
                <w:rFonts w:ascii="Arial" w:cs="Arial" w:eastAsia="Arial" w:hAnsi="Arial"/>
                <w:sz w:val="13"/>
                <w:szCs w:val="13"/>
                <w:b w:val="1"/>
                <w:bCs w:val="1"/>
                <w:color w:val="0063A6"/>
              </w:rPr>
              <w:t>Justin K. Patrick</w:t>
            </w: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2/20/2020</w:t>
            </w:r>
          </w:p>
        </w:tc>
        <w:tc>
          <w:tcPr>
            <w:tcW w:w="89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rPr>
              <w:t>3,274</w:t>
            </w:r>
          </w:p>
        </w:tc>
        <w:tc>
          <w:tcPr>
            <w:tcW w:w="880" w:type="dxa"/>
            <w:vAlign w:val="bottom"/>
            <w:tcBorders>
              <w:bottom w:val="single" w:sz="8" w:color="5D6673"/>
            </w:tcBorders>
          </w:tcPr>
          <w:p>
            <w:pPr>
              <w:spacing w:after="0"/>
              <w:rPr>
                <w:sz w:val="13"/>
                <w:szCs w:val="13"/>
                <w:color w:val="auto"/>
              </w:rPr>
            </w:pPr>
          </w:p>
        </w:tc>
        <w:tc>
          <w:tcPr>
            <w:tcW w:w="620" w:type="dxa"/>
            <w:vAlign w:val="bottom"/>
            <w:tcBorders>
              <w:bottom w:val="single" w:sz="8" w:color="5D6673"/>
            </w:tcBorders>
          </w:tcPr>
          <w:p>
            <w:pPr>
              <w:jc w:val="right"/>
              <w:ind w:right="17"/>
              <w:spacing w:after="0"/>
              <w:rPr>
                <w:sz w:val="20"/>
                <w:szCs w:val="20"/>
                <w:color w:val="auto"/>
              </w:rPr>
            </w:pPr>
            <w:r>
              <w:rPr>
                <w:rFonts w:ascii="Arial" w:cs="Arial" w:eastAsia="Arial" w:hAnsi="Arial"/>
                <w:sz w:val="13"/>
                <w:szCs w:val="13"/>
                <w:color w:val="auto"/>
              </w:rPr>
              <w:t>$87.27</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2/20/2030</w:t>
            </w:r>
          </w:p>
        </w:tc>
        <w:tc>
          <w:tcPr>
            <w:tcW w:w="40" w:type="dxa"/>
            <w:vAlign w:val="bottom"/>
            <w:tcBorders>
              <w:bottom w:val="single" w:sz="8" w:color="5D6673"/>
            </w:tcBorders>
          </w:tcPr>
          <w:p>
            <w:pPr>
              <w:spacing w:after="0"/>
              <w:rPr>
                <w:sz w:val="13"/>
                <w:szCs w:val="13"/>
                <w:color w:val="auto"/>
              </w:rPr>
            </w:pPr>
          </w:p>
        </w:tc>
        <w:tc>
          <w:tcPr>
            <w:tcW w:w="820" w:type="dxa"/>
            <w:vAlign w:val="bottom"/>
            <w:tcBorders>
              <w:bottom w:val="single" w:sz="8" w:color="5D6673"/>
            </w:tcBorders>
          </w:tcPr>
          <w:p>
            <w:pPr>
              <w:spacing w:after="0"/>
              <w:rPr>
                <w:sz w:val="13"/>
                <w:szCs w:val="13"/>
                <w:color w:val="auto"/>
              </w:rPr>
            </w:pPr>
          </w:p>
        </w:tc>
        <w:tc>
          <w:tcPr>
            <w:tcW w:w="260" w:type="dxa"/>
            <w:vAlign w:val="bottom"/>
            <w:tcBorders>
              <w:bottom w:val="single" w:sz="8" w:color="5D6673"/>
            </w:tcBorders>
          </w:tcPr>
          <w:p>
            <w:pPr>
              <w:spacing w:after="0"/>
              <w:rPr>
                <w:sz w:val="13"/>
                <w:szCs w:val="13"/>
                <w:color w:val="auto"/>
              </w:rPr>
            </w:pPr>
          </w:p>
        </w:tc>
        <w:tc>
          <w:tcPr>
            <w:tcW w:w="680" w:type="dxa"/>
            <w:vAlign w:val="bottom"/>
            <w:tcBorders>
              <w:bottom w:val="single" w:sz="8" w:color="5D6673"/>
            </w:tcBorders>
          </w:tcPr>
          <w:p>
            <w:pPr>
              <w:spacing w:after="0"/>
              <w:rPr>
                <w:sz w:val="13"/>
                <w:szCs w:val="13"/>
                <w:color w:val="auto"/>
              </w:rPr>
            </w:pPr>
          </w:p>
        </w:tc>
        <w:tc>
          <w:tcPr>
            <w:tcW w:w="1120" w:type="dxa"/>
            <w:vAlign w:val="bottom"/>
            <w:tcBorders>
              <w:bottom w:val="single" w:sz="8" w:color="5D6673"/>
            </w:tcBorders>
          </w:tcPr>
          <w:p>
            <w:pPr>
              <w:spacing w:after="0"/>
              <w:rPr>
                <w:sz w:val="13"/>
                <w:szCs w:val="13"/>
                <w:color w:val="auto"/>
              </w:rPr>
            </w:pPr>
          </w:p>
        </w:tc>
        <w:tc>
          <w:tcPr>
            <w:tcW w:w="1180" w:type="dxa"/>
            <w:vAlign w:val="bottom"/>
            <w:tcBorders>
              <w:bottom w:val="single" w:sz="8" w:color="5D6673"/>
            </w:tcBorders>
          </w:tcPr>
          <w:p>
            <w:pPr>
              <w:spacing w:after="0"/>
              <w:rPr>
                <w:sz w:val="13"/>
                <w:szCs w:val="13"/>
                <w:color w:val="auto"/>
              </w:rPr>
            </w:pPr>
          </w:p>
        </w:tc>
        <w:tc>
          <w:tcPr>
            <w:tcW w:w="40" w:type="dxa"/>
            <w:vAlign w:val="bottom"/>
            <w:tcBorders>
              <w:bottom w:val="single" w:sz="8" w:color="5D6673"/>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2/24/2022</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1,391</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151,035</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2,062</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223,892</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9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2/23/2023</w:t>
            </w:r>
          </w:p>
        </w:tc>
        <w:tc>
          <w:tcPr>
            <w:tcW w:w="890" w:type="dxa"/>
            <w:vAlign w:val="bottom"/>
            <w:tcBorders>
              <w:bottom w:val="single" w:sz="8" w:color="5D6673"/>
            </w:tcBorders>
          </w:tcPr>
          <w:p>
            <w:pPr>
              <w:spacing w:after="0"/>
              <w:rPr>
                <w:sz w:val="15"/>
                <w:szCs w:val="15"/>
                <w:color w:val="auto"/>
              </w:rPr>
            </w:pPr>
          </w:p>
        </w:tc>
        <w:tc>
          <w:tcPr>
            <w:tcW w:w="880" w:type="dxa"/>
            <w:vAlign w:val="bottom"/>
            <w:tcBorders>
              <w:bottom w:val="single" w:sz="8" w:color="5D6673"/>
            </w:tcBorders>
          </w:tcPr>
          <w:p>
            <w:pPr>
              <w:spacing w:after="0"/>
              <w:rPr>
                <w:sz w:val="15"/>
                <w:szCs w:val="15"/>
                <w:color w:val="auto"/>
              </w:rPr>
            </w:pPr>
          </w:p>
        </w:tc>
        <w:tc>
          <w:tcPr>
            <w:tcW w:w="62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40" w:type="dxa"/>
            <w:vAlign w:val="bottom"/>
            <w:tcBorders>
              <w:bottom w:val="single" w:sz="8" w:color="5D6673"/>
            </w:tcBorders>
          </w:tcPr>
          <w:p>
            <w:pPr>
              <w:spacing w:after="0"/>
              <w:rPr>
                <w:sz w:val="15"/>
                <w:szCs w:val="15"/>
                <w:color w:val="auto"/>
              </w:rPr>
            </w:pPr>
          </w:p>
        </w:tc>
        <w:tc>
          <w:tcPr>
            <w:tcW w:w="820" w:type="dxa"/>
            <w:vAlign w:val="bottom"/>
            <w:tcBorders>
              <w:bottom w:val="single" w:sz="8" w:color="5D6673"/>
            </w:tcBorders>
          </w:tcPr>
          <w:p>
            <w:pPr>
              <w:spacing w:after="0"/>
              <w:rPr>
                <w:sz w:val="15"/>
                <w:szCs w:val="15"/>
                <w:color w:val="auto"/>
              </w:rPr>
            </w:pPr>
          </w:p>
        </w:tc>
        <w:tc>
          <w:tcPr>
            <w:tcW w:w="260" w:type="dxa"/>
            <w:vAlign w:val="bottom"/>
            <w:tcBorders>
              <w:bottom w:val="single" w:sz="8" w:color="5D6673"/>
            </w:tcBorders>
          </w:tcPr>
          <w:p>
            <w:pPr>
              <w:spacing w:after="0"/>
              <w:rPr>
                <w:sz w:val="15"/>
                <w:szCs w:val="15"/>
                <w:color w:val="auto"/>
              </w:rPr>
            </w:pPr>
          </w:p>
        </w:tc>
        <w:tc>
          <w:tcPr>
            <w:tcW w:w="680" w:type="dxa"/>
            <w:vAlign w:val="bottom"/>
            <w:tcBorders>
              <w:bottom w:val="single" w:sz="8" w:color="5D6673"/>
            </w:tcBorders>
          </w:tcPr>
          <w:p>
            <w:pPr>
              <w:spacing w:after="0"/>
              <w:rPr>
                <w:sz w:val="15"/>
                <w:szCs w:val="15"/>
                <w:color w:val="auto"/>
              </w:rPr>
            </w:pPr>
          </w:p>
        </w:tc>
        <w:tc>
          <w:tcPr>
            <w:tcW w:w="1120" w:type="dxa"/>
            <w:vAlign w:val="bottom"/>
            <w:tcBorders>
              <w:bottom w:val="single" w:sz="8" w:color="5D6673"/>
            </w:tcBorders>
          </w:tcPr>
          <w:p>
            <w:pPr>
              <w:jc w:val="right"/>
              <w:spacing w:after="0" w:line="183" w:lineRule="exact"/>
              <w:rPr>
                <w:sz w:val="20"/>
                <w:szCs w:val="20"/>
                <w:color w:val="auto"/>
              </w:rPr>
            </w:pPr>
            <w:r>
              <w:rPr>
                <w:rFonts w:ascii="Arial" w:cs="Arial" w:eastAsia="Arial" w:hAnsi="Arial"/>
                <w:sz w:val="13"/>
                <w:szCs w:val="13"/>
                <w:color w:val="auto"/>
              </w:rPr>
              <w:t>12,365</w:t>
            </w:r>
            <w:r>
              <w:rPr>
                <w:rFonts w:ascii="Arial" w:cs="Arial" w:eastAsia="Arial" w:hAnsi="Arial"/>
                <w:sz w:val="20"/>
                <w:szCs w:val="20"/>
                <w:color w:val="auto"/>
                <w:vertAlign w:val="superscript"/>
              </w:rPr>
              <w:t>(2)</w:t>
            </w:r>
          </w:p>
        </w:tc>
        <w:tc>
          <w:tcPr>
            <w:tcW w:w="1180" w:type="dxa"/>
            <w:vAlign w:val="bottom"/>
            <w:tcBorders>
              <w:bottom w:val="single" w:sz="8" w:color="5D6673"/>
            </w:tcBorders>
          </w:tcPr>
          <w:p>
            <w:pPr>
              <w:ind w:left="440"/>
              <w:spacing w:after="0"/>
              <w:rPr>
                <w:sz w:val="20"/>
                <w:szCs w:val="20"/>
                <w:color w:val="auto"/>
              </w:rPr>
            </w:pPr>
            <w:r>
              <w:rPr>
                <w:rFonts w:ascii="Arial" w:cs="Arial" w:eastAsia="Arial" w:hAnsi="Arial"/>
                <w:sz w:val="13"/>
                <w:szCs w:val="13"/>
                <w:color w:val="auto"/>
              </w:rPr>
              <w:t>$ 1,342,592</w:t>
            </w:r>
          </w:p>
        </w:tc>
        <w:tc>
          <w:tcPr>
            <w:tcW w:w="40" w:type="dxa"/>
            <w:vAlign w:val="bottom"/>
            <w:tcBorders>
              <w:bottom w:val="single" w:sz="8" w:color="5D6673"/>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90" w:type="dxa"/>
            <w:vAlign w:val="bottom"/>
            <w:tcBorders>
              <w:bottom w:val="single" w:sz="8" w:color="5D6673"/>
            </w:tcBorders>
          </w:tcPr>
          <w:p>
            <w:pPr>
              <w:jc w:val="right"/>
              <w:spacing w:after="0" w:line="142" w:lineRule="exact"/>
              <w:rPr>
                <w:sz w:val="20"/>
                <w:szCs w:val="20"/>
                <w:color w:val="auto"/>
              </w:rPr>
            </w:pPr>
            <w:r>
              <w:rPr>
                <w:rFonts w:ascii="Arial" w:cs="Arial" w:eastAsia="Arial" w:hAnsi="Arial"/>
                <w:sz w:val="13"/>
                <w:szCs w:val="13"/>
                <w:color w:val="auto"/>
              </w:rPr>
              <w:t>2/23/2024</w:t>
            </w:r>
          </w:p>
        </w:tc>
        <w:tc>
          <w:tcPr>
            <w:tcW w:w="890" w:type="dxa"/>
            <w:vAlign w:val="bottom"/>
            <w:tcBorders>
              <w:bottom w:val="single" w:sz="8" w:color="5D6673"/>
            </w:tcBorders>
          </w:tcPr>
          <w:p>
            <w:pPr>
              <w:spacing w:after="0"/>
              <w:rPr>
                <w:sz w:val="12"/>
                <w:szCs w:val="12"/>
                <w:color w:val="auto"/>
              </w:rPr>
            </w:pPr>
          </w:p>
        </w:tc>
        <w:tc>
          <w:tcPr>
            <w:tcW w:w="880" w:type="dxa"/>
            <w:vAlign w:val="bottom"/>
            <w:tcBorders>
              <w:bottom w:val="single" w:sz="8" w:color="5D6673"/>
            </w:tcBorders>
          </w:tcPr>
          <w:p>
            <w:pPr>
              <w:spacing w:after="0"/>
              <w:rPr>
                <w:sz w:val="12"/>
                <w:szCs w:val="12"/>
                <w:color w:val="auto"/>
              </w:rPr>
            </w:pPr>
          </w:p>
        </w:tc>
        <w:tc>
          <w:tcPr>
            <w:tcW w:w="620" w:type="dxa"/>
            <w:vAlign w:val="bottom"/>
            <w:tcBorders>
              <w:bottom w:val="single" w:sz="8" w:color="5D6673"/>
            </w:tcBorders>
          </w:tcPr>
          <w:p>
            <w:pPr>
              <w:spacing w:after="0"/>
              <w:rPr>
                <w:sz w:val="12"/>
                <w:szCs w:val="12"/>
                <w:color w:val="auto"/>
              </w:rPr>
            </w:pPr>
          </w:p>
        </w:tc>
        <w:tc>
          <w:tcPr>
            <w:tcW w:w="6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820" w:type="dxa"/>
            <w:vAlign w:val="bottom"/>
            <w:tcBorders>
              <w:bottom w:val="single" w:sz="8" w:color="5D6673"/>
            </w:tcBorders>
          </w:tcPr>
          <w:p>
            <w:pPr>
              <w:jc w:val="right"/>
              <w:ind w:right="17"/>
              <w:spacing w:after="0" w:line="142" w:lineRule="exact"/>
              <w:rPr>
                <w:sz w:val="20"/>
                <w:szCs w:val="20"/>
                <w:color w:val="auto"/>
              </w:rPr>
            </w:pPr>
            <w:r>
              <w:rPr>
                <w:rFonts w:ascii="Arial" w:cs="Arial" w:eastAsia="Arial" w:hAnsi="Arial"/>
                <w:sz w:val="13"/>
                <w:szCs w:val="13"/>
                <w:color w:val="auto"/>
              </w:rPr>
              <w:t>6,672</w:t>
            </w:r>
          </w:p>
        </w:tc>
        <w:tc>
          <w:tcPr>
            <w:tcW w:w="260" w:type="dxa"/>
            <w:vAlign w:val="bottom"/>
            <w:tcBorders>
              <w:bottom w:val="single" w:sz="8" w:color="5D6673"/>
            </w:tcBorders>
          </w:tcPr>
          <w:p>
            <w:pPr>
              <w:ind w:left="20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D6673"/>
            </w:tcBorders>
          </w:tcPr>
          <w:p>
            <w:pPr>
              <w:jc w:val="right"/>
              <w:ind w:right="57"/>
              <w:spacing w:after="0" w:line="142" w:lineRule="exact"/>
              <w:rPr>
                <w:sz w:val="20"/>
                <w:szCs w:val="20"/>
                <w:color w:val="auto"/>
              </w:rPr>
            </w:pPr>
            <w:r>
              <w:rPr>
                <w:rFonts w:ascii="Arial" w:cs="Arial" w:eastAsia="Arial" w:hAnsi="Arial"/>
                <w:sz w:val="13"/>
                <w:szCs w:val="13"/>
                <w:color w:val="auto"/>
              </w:rPr>
              <w:t>724,446</w:t>
            </w:r>
          </w:p>
        </w:tc>
        <w:tc>
          <w:tcPr>
            <w:tcW w:w="1120" w:type="dxa"/>
            <w:vAlign w:val="bottom"/>
            <w:tcBorders>
              <w:bottom w:val="single" w:sz="8" w:color="5D6673"/>
            </w:tcBorders>
          </w:tcPr>
          <w:p>
            <w:pPr>
              <w:spacing w:after="0"/>
              <w:rPr>
                <w:sz w:val="12"/>
                <w:szCs w:val="12"/>
                <w:color w:val="auto"/>
              </w:rPr>
            </w:pPr>
          </w:p>
        </w:tc>
        <w:tc>
          <w:tcPr>
            <w:tcW w:w="1180" w:type="dxa"/>
            <w:vAlign w:val="bottom"/>
            <w:tcBorders>
              <w:bottom w:val="single" w:sz="8" w:color="5D6673"/>
            </w:tcBorders>
          </w:tcPr>
          <w:p>
            <w:pPr>
              <w:spacing w:after="0"/>
              <w:rPr>
                <w:sz w:val="12"/>
                <w:szCs w:val="12"/>
                <w:color w:val="auto"/>
              </w:rPr>
            </w:pPr>
          </w:p>
        </w:tc>
        <w:tc>
          <w:tcPr>
            <w:tcW w:w="40" w:type="dxa"/>
            <w:vAlign w:val="bottom"/>
            <w:tcBorders>
              <w:bottom w:val="single" w:sz="8" w:color="5D667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0063A6"/>
            </w:tcBorders>
          </w:tcPr>
          <w:p>
            <w:pPr>
              <w:spacing w:after="0"/>
              <w:rPr>
                <w:sz w:val="15"/>
                <w:szCs w:val="15"/>
                <w:color w:val="auto"/>
              </w:rPr>
            </w:pPr>
          </w:p>
        </w:tc>
        <w:tc>
          <w:tcPr>
            <w:tcW w:w="69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2/23/2024</w:t>
            </w:r>
          </w:p>
        </w:tc>
        <w:tc>
          <w:tcPr>
            <w:tcW w:w="890" w:type="dxa"/>
            <w:vAlign w:val="bottom"/>
            <w:tcBorders>
              <w:bottom w:val="single" w:sz="8" w:color="0063A6"/>
            </w:tcBorders>
          </w:tcPr>
          <w:p>
            <w:pPr>
              <w:spacing w:after="0"/>
              <w:rPr>
                <w:sz w:val="15"/>
                <w:szCs w:val="15"/>
                <w:color w:val="auto"/>
              </w:rPr>
            </w:pPr>
          </w:p>
        </w:tc>
        <w:tc>
          <w:tcPr>
            <w:tcW w:w="880" w:type="dxa"/>
            <w:vAlign w:val="bottom"/>
            <w:tcBorders>
              <w:bottom w:val="single" w:sz="8" w:color="0063A6"/>
            </w:tcBorders>
          </w:tcPr>
          <w:p>
            <w:pPr>
              <w:spacing w:after="0"/>
              <w:rPr>
                <w:sz w:val="15"/>
                <w:szCs w:val="15"/>
                <w:color w:val="auto"/>
              </w:rPr>
            </w:pPr>
          </w:p>
        </w:tc>
        <w:tc>
          <w:tcPr>
            <w:tcW w:w="62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40" w:type="dxa"/>
            <w:vAlign w:val="bottom"/>
            <w:tcBorders>
              <w:bottom w:val="single" w:sz="8" w:color="0063A6"/>
            </w:tcBorders>
          </w:tcPr>
          <w:p>
            <w:pPr>
              <w:spacing w:after="0"/>
              <w:rPr>
                <w:sz w:val="15"/>
                <w:szCs w:val="15"/>
                <w:color w:val="auto"/>
              </w:rPr>
            </w:pPr>
          </w:p>
        </w:tc>
        <w:tc>
          <w:tcPr>
            <w:tcW w:w="820" w:type="dxa"/>
            <w:vAlign w:val="bottom"/>
            <w:tcBorders>
              <w:bottom w:val="single" w:sz="8" w:color="0063A6"/>
            </w:tcBorders>
          </w:tcPr>
          <w:p>
            <w:pPr>
              <w:spacing w:after="0"/>
              <w:rPr>
                <w:sz w:val="15"/>
                <w:szCs w:val="15"/>
                <w:color w:val="auto"/>
              </w:rPr>
            </w:pPr>
          </w:p>
        </w:tc>
        <w:tc>
          <w:tcPr>
            <w:tcW w:w="260" w:type="dxa"/>
            <w:vAlign w:val="bottom"/>
            <w:tcBorders>
              <w:bottom w:val="single" w:sz="8" w:color="0063A6"/>
            </w:tcBorders>
          </w:tcPr>
          <w:p>
            <w:pPr>
              <w:spacing w:after="0"/>
              <w:rPr>
                <w:sz w:val="15"/>
                <w:szCs w:val="15"/>
                <w:color w:val="auto"/>
              </w:rPr>
            </w:pPr>
          </w:p>
        </w:tc>
        <w:tc>
          <w:tcPr>
            <w:tcW w:w="680" w:type="dxa"/>
            <w:vAlign w:val="bottom"/>
            <w:tcBorders>
              <w:bottom w:val="single" w:sz="8" w:color="0063A6"/>
            </w:tcBorders>
          </w:tcPr>
          <w:p>
            <w:pPr>
              <w:spacing w:after="0"/>
              <w:rPr>
                <w:sz w:val="15"/>
                <w:szCs w:val="15"/>
                <w:color w:val="auto"/>
              </w:rPr>
            </w:pPr>
          </w:p>
        </w:tc>
        <w:tc>
          <w:tcPr>
            <w:tcW w:w="1120" w:type="dxa"/>
            <w:vAlign w:val="bottom"/>
            <w:tcBorders>
              <w:bottom w:val="single" w:sz="8" w:color="0063A6"/>
            </w:tcBorders>
          </w:tcPr>
          <w:p>
            <w:pPr>
              <w:jc w:val="right"/>
              <w:spacing w:after="0" w:line="183" w:lineRule="exact"/>
              <w:rPr>
                <w:sz w:val="20"/>
                <w:szCs w:val="20"/>
                <w:color w:val="auto"/>
              </w:rPr>
            </w:pPr>
            <w:r>
              <w:rPr>
                <w:rFonts w:ascii="Arial" w:cs="Arial" w:eastAsia="Arial" w:hAnsi="Arial"/>
                <w:sz w:val="13"/>
                <w:szCs w:val="13"/>
                <w:color w:val="auto"/>
              </w:rPr>
              <w:t>16,680</w:t>
            </w:r>
            <w:r>
              <w:rPr>
                <w:rFonts w:ascii="Arial" w:cs="Arial" w:eastAsia="Arial" w:hAnsi="Arial"/>
                <w:sz w:val="20"/>
                <w:szCs w:val="20"/>
                <w:color w:val="auto"/>
                <w:vertAlign w:val="superscript"/>
              </w:rPr>
              <w:t>(3)</w:t>
            </w:r>
          </w:p>
        </w:tc>
        <w:tc>
          <w:tcPr>
            <w:tcW w:w="1180" w:type="dxa"/>
            <w:vAlign w:val="bottom"/>
            <w:tcBorders>
              <w:bottom w:val="single" w:sz="8" w:color="0063A6"/>
            </w:tcBorders>
          </w:tcPr>
          <w:p>
            <w:pPr>
              <w:ind w:left="440"/>
              <w:spacing w:after="0"/>
              <w:rPr>
                <w:sz w:val="20"/>
                <w:szCs w:val="20"/>
                <w:color w:val="auto"/>
              </w:rPr>
            </w:pPr>
            <w:r>
              <w:rPr>
                <w:rFonts w:ascii="Arial" w:cs="Arial" w:eastAsia="Arial" w:hAnsi="Arial"/>
                <w:sz w:val="13"/>
                <w:szCs w:val="13"/>
                <w:color w:val="auto"/>
              </w:rPr>
              <w:t>$ 1,811,114</w:t>
            </w:r>
          </w:p>
        </w:tc>
        <w:tc>
          <w:tcPr>
            <w:tcW w:w="40" w:type="dxa"/>
            <w:vAlign w:val="bottom"/>
            <w:tcBorders>
              <w:bottom w:val="single" w:sz="8" w:color="0063A6"/>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-4739640</wp:posOffset>
            </wp:positionV>
            <wp:extent cx="45262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79" w:lineRule="exact"/>
        <w:rPr>
          <w:sz w:val="20"/>
          <w:szCs w:val="20"/>
          <w:color w:val="auto"/>
        </w:rPr>
      </w:pPr>
    </w:p>
    <w:p>
      <w:pPr>
        <w:ind w:left="346" w:right="40" w:hanging="346"/>
        <w:spacing w:after="0" w:line="256" w:lineRule="auto"/>
        <w:tabs>
          <w:tab w:leader="none" w:pos="346"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RSUs granted under the 2010 SIP. One third of the RSUs granted on February 24, 2022 vest on each of February 24, 2023, 2024, and 2025. One third of the RSUs granted on February 23, 2023 vest on February 23, 2024; the balance will vest quarterly thereafter for two years. One third of the RSUs granted on February 23, 2024 vest on February 23, 2025; the balance will vest quarterly thereafter for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8293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7"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7" w:name="page48"/>
    <w:bookmarkEnd w:id="4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7126"/>
        <w:spacing w:after="0"/>
        <w:rPr>
          <w:sz w:val="20"/>
          <w:szCs w:val="20"/>
          <w:color w:val="auto"/>
        </w:rPr>
      </w:pPr>
      <w:r>
        <w:rPr>
          <w:rFonts w:ascii="Arial" w:cs="Arial" w:eastAsia="Arial" w:hAnsi="Arial"/>
          <w:sz w:val="14"/>
          <w:szCs w:val="14"/>
          <w:color w:val="0063A6"/>
        </w:rPr>
        <w:t>Executive Compensation Tables</w:t>
      </w:r>
    </w:p>
    <w:p>
      <w:pPr>
        <w:spacing w:after="0" w:line="82" w:lineRule="exact"/>
        <w:rPr>
          <w:sz w:val="20"/>
          <w:szCs w:val="20"/>
          <w:color w:val="auto"/>
        </w:rPr>
      </w:pPr>
    </w:p>
    <w:p>
      <w:pPr>
        <w:ind w:left="366"/>
        <w:spacing w:after="0"/>
        <w:rPr>
          <w:sz w:val="20"/>
          <w:szCs w:val="20"/>
          <w:color w:val="auto"/>
        </w:rPr>
      </w:pPr>
      <w:r>
        <w:rPr>
          <w:rFonts w:ascii="Arial" w:cs="Arial" w:eastAsia="Arial" w:hAnsi="Arial"/>
          <w:sz w:val="14"/>
          <w:szCs w:val="14"/>
          <w:color w:val="auto"/>
        </w:rPr>
        <w:t>Vesting information for each RSU award for the NEOs that is unvested as of December 31, 2024 is described in the table below.</w:t>
      </w:r>
    </w:p>
    <w:p>
      <w:pPr>
        <w:spacing w:after="0" w:line="132" w:lineRule="exact"/>
        <w:rPr>
          <w:sz w:val="20"/>
          <w:szCs w:val="20"/>
          <w:color w:val="auto"/>
        </w:rPr>
      </w:pPr>
    </w:p>
    <w:tbl>
      <w:tblPr>
        <w:tblLayout w:type="fixed"/>
        <w:tblInd w:w="366" w:type="dxa"/>
        <w:tblCellMar>
          <w:top w:w="0" w:type="dxa"/>
          <w:left w:w="0" w:type="dxa"/>
          <w:bottom w:w="0" w:type="dxa"/>
          <w:right w:w="0" w:type="dxa"/>
        </w:tblCellMar>
      </w:tblPr>
      <w:tr>
        <w:trPr>
          <w:trHeight w:val="220"/>
        </w:trPr>
        <w:tc>
          <w:tcPr>
            <w:tcW w:w="2380" w:type="dxa"/>
            <w:vAlign w:val="bottom"/>
          </w:tcPr>
          <w:p>
            <w:pPr>
              <w:spacing w:after="0"/>
              <w:rPr>
                <w:sz w:val="19"/>
                <w:szCs w:val="19"/>
                <w:color w:val="auto"/>
              </w:rPr>
            </w:pPr>
          </w:p>
        </w:tc>
        <w:tc>
          <w:tcPr>
            <w:tcW w:w="1500" w:type="dxa"/>
            <w:vAlign w:val="bottom"/>
            <w:shd w:val="clear" w:color="auto" w:fill="0063A6"/>
          </w:tcPr>
          <w:p>
            <w:pPr>
              <w:jc w:val="right"/>
              <w:ind w:right="308"/>
              <w:spacing w:after="0"/>
              <w:rPr>
                <w:sz w:val="20"/>
                <w:szCs w:val="20"/>
                <w:color w:val="auto"/>
              </w:rPr>
            </w:pPr>
            <w:r>
              <w:rPr>
                <w:rFonts w:ascii="Arial" w:cs="Arial" w:eastAsia="Arial" w:hAnsi="Arial"/>
                <w:sz w:val="14"/>
                <w:szCs w:val="14"/>
                <w:b w:val="1"/>
                <w:bCs w:val="1"/>
                <w:color w:val="FFFFFF"/>
              </w:rPr>
              <w:t>Thomas L.</w:t>
            </w:r>
          </w:p>
        </w:tc>
        <w:tc>
          <w:tcPr>
            <w:tcW w:w="1140" w:type="dxa"/>
            <w:vAlign w:val="bottom"/>
            <w:shd w:val="clear" w:color="auto" w:fill="0063A6"/>
          </w:tcPr>
          <w:p>
            <w:pPr>
              <w:jc w:val="right"/>
              <w:ind w:right="228"/>
              <w:spacing w:after="0"/>
              <w:rPr>
                <w:sz w:val="20"/>
                <w:szCs w:val="20"/>
                <w:color w:val="auto"/>
              </w:rPr>
            </w:pPr>
            <w:r>
              <w:rPr>
                <w:rFonts w:ascii="Arial" w:cs="Arial" w:eastAsia="Arial" w:hAnsi="Arial"/>
                <w:sz w:val="14"/>
                <w:szCs w:val="14"/>
                <w:b w:val="1"/>
                <w:bCs w:val="1"/>
                <w:color w:val="FFFFFF"/>
              </w:rPr>
              <w:t>Joan S.</w:t>
            </w:r>
          </w:p>
        </w:tc>
        <w:tc>
          <w:tcPr>
            <w:tcW w:w="1240" w:type="dxa"/>
            <w:vAlign w:val="bottom"/>
            <w:shd w:val="clear" w:color="auto" w:fill="0063A6"/>
          </w:tcPr>
          <w:p>
            <w:pPr>
              <w:ind w:left="260"/>
              <w:spacing w:after="0"/>
              <w:rPr>
                <w:sz w:val="20"/>
                <w:szCs w:val="20"/>
                <w:color w:val="auto"/>
              </w:rPr>
            </w:pPr>
            <w:r>
              <w:rPr>
                <w:rFonts w:ascii="Arial" w:cs="Arial" w:eastAsia="Arial" w:hAnsi="Arial"/>
                <w:sz w:val="14"/>
                <w:szCs w:val="14"/>
                <w:b w:val="1"/>
                <w:bCs w:val="1"/>
                <w:color w:val="FFFFFF"/>
              </w:rPr>
              <w:t>Donald L.</w:t>
            </w:r>
          </w:p>
        </w:tc>
        <w:tc>
          <w:tcPr>
            <w:tcW w:w="1220" w:type="dxa"/>
            <w:vAlign w:val="bottom"/>
            <w:shd w:val="clear" w:color="auto" w:fill="0063A6"/>
          </w:tcPr>
          <w:p>
            <w:pPr>
              <w:jc w:val="right"/>
              <w:ind w:right="268"/>
              <w:spacing w:after="0"/>
              <w:rPr>
                <w:sz w:val="20"/>
                <w:szCs w:val="20"/>
                <w:color w:val="auto"/>
              </w:rPr>
            </w:pPr>
            <w:r>
              <w:rPr>
                <w:rFonts w:ascii="Arial" w:cs="Arial" w:eastAsia="Arial" w:hAnsi="Arial"/>
                <w:sz w:val="14"/>
                <w:szCs w:val="14"/>
                <w:b w:val="1"/>
                <w:bCs w:val="1"/>
                <w:color w:val="FFFFFF"/>
              </w:rPr>
              <w:t>John F.</w:t>
            </w:r>
          </w:p>
        </w:tc>
        <w:tc>
          <w:tcPr>
            <w:tcW w:w="96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Justin K.</w:t>
            </w:r>
          </w:p>
        </w:tc>
      </w:tr>
      <w:tr>
        <w:trPr>
          <w:trHeight w:val="185"/>
        </w:trPr>
        <w:tc>
          <w:tcPr>
            <w:tcW w:w="2380" w:type="dxa"/>
            <w:vAlign w:val="bottom"/>
            <w:tcBorders>
              <w:bottom w:val="single" w:sz="8" w:color="0063A6"/>
            </w:tcBorders>
          </w:tcPr>
          <w:p>
            <w:pPr>
              <w:ind w:left="40"/>
              <w:spacing w:after="0"/>
              <w:rPr>
                <w:sz w:val="20"/>
                <w:szCs w:val="20"/>
                <w:color w:val="auto"/>
              </w:rPr>
            </w:pPr>
            <w:r>
              <w:rPr>
                <w:rFonts w:ascii="Arial" w:cs="Arial" w:eastAsia="Arial" w:hAnsi="Arial"/>
                <w:sz w:val="14"/>
                <w:szCs w:val="14"/>
                <w:b w:val="1"/>
                <w:bCs w:val="1"/>
                <w:color w:val="auto"/>
              </w:rPr>
              <w:t>Vesting Date</w:t>
            </w:r>
          </w:p>
        </w:tc>
        <w:tc>
          <w:tcPr>
            <w:tcW w:w="1500" w:type="dxa"/>
            <w:vAlign w:val="bottom"/>
            <w:tcBorders>
              <w:bottom w:val="single" w:sz="8" w:color="0063A6"/>
            </w:tcBorders>
            <w:shd w:val="clear" w:color="auto" w:fill="0063A6"/>
          </w:tcPr>
          <w:p>
            <w:pPr>
              <w:jc w:val="right"/>
              <w:ind w:right="268"/>
              <w:spacing w:after="0"/>
              <w:rPr>
                <w:sz w:val="20"/>
                <w:szCs w:val="20"/>
                <w:color w:val="auto"/>
              </w:rPr>
            </w:pPr>
            <w:r>
              <w:rPr>
                <w:rFonts w:ascii="Arial" w:cs="Arial" w:eastAsia="Arial" w:hAnsi="Arial"/>
                <w:sz w:val="14"/>
                <w:szCs w:val="14"/>
                <w:b w:val="1"/>
                <w:bCs w:val="1"/>
                <w:color w:val="FFFFFF"/>
              </w:rPr>
              <w:t>Deitrich</w:t>
            </w:r>
          </w:p>
        </w:tc>
        <w:tc>
          <w:tcPr>
            <w:tcW w:w="1140" w:type="dxa"/>
            <w:vAlign w:val="bottom"/>
            <w:tcBorders>
              <w:bottom w:val="single" w:sz="8" w:color="0063A6"/>
            </w:tcBorders>
            <w:shd w:val="clear" w:color="auto" w:fill="0063A6"/>
          </w:tcPr>
          <w:p>
            <w:pPr>
              <w:jc w:val="right"/>
              <w:ind w:right="188"/>
              <w:spacing w:after="0"/>
              <w:rPr>
                <w:sz w:val="20"/>
                <w:szCs w:val="20"/>
                <w:color w:val="auto"/>
              </w:rPr>
            </w:pPr>
            <w:r>
              <w:rPr>
                <w:rFonts w:ascii="Arial" w:cs="Arial" w:eastAsia="Arial" w:hAnsi="Arial"/>
                <w:sz w:val="14"/>
                <w:szCs w:val="14"/>
                <w:b w:val="1"/>
                <w:bCs w:val="1"/>
                <w:color w:val="FFFFFF"/>
              </w:rPr>
              <w:t>Hooper</w:t>
            </w:r>
          </w:p>
        </w:tc>
        <w:tc>
          <w:tcPr>
            <w:tcW w:w="1240" w:type="dxa"/>
            <w:vAlign w:val="bottom"/>
            <w:tcBorders>
              <w:bottom w:val="single" w:sz="8" w:color="0063A6"/>
            </w:tcBorders>
            <w:shd w:val="clear" w:color="auto" w:fill="0063A6"/>
          </w:tcPr>
          <w:p>
            <w:pPr>
              <w:jc w:val="right"/>
              <w:ind w:right="208"/>
              <w:spacing w:after="0"/>
              <w:rPr>
                <w:sz w:val="20"/>
                <w:szCs w:val="20"/>
                <w:color w:val="auto"/>
              </w:rPr>
            </w:pPr>
            <w:r>
              <w:rPr>
                <w:rFonts w:ascii="Arial" w:cs="Arial" w:eastAsia="Arial" w:hAnsi="Arial"/>
                <w:sz w:val="14"/>
                <w:szCs w:val="14"/>
                <w:b w:val="1"/>
                <w:bCs w:val="1"/>
                <w:color w:val="FFFFFF"/>
              </w:rPr>
              <w:t>Reeves</w:t>
            </w:r>
          </w:p>
        </w:tc>
        <w:tc>
          <w:tcPr>
            <w:tcW w:w="1220" w:type="dxa"/>
            <w:vAlign w:val="bottom"/>
            <w:tcBorders>
              <w:bottom w:val="single" w:sz="8" w:color="0063A6"/>
            </w:tcBorders>
            <w:shd w:val="clear" w:color="auto" w:fill="0063A6"/>
          </w:tcPr>
          <w:p>
            <w:pPr>
              <w:jc w:val="right"/>
              <w:ind w:right="228"/>
              <w:spacing w:after="0"/>
              <w:rPr>
                <w:sz w:val="20"/>
                <w:szCs w:val="20"/>
                <w:color w:val="auto"/>
              </w:rPr>
            </w:pPr>
            <w:r>
              <w:rPr>
                <w:rFonts w:ascii="Arial" w:cs="Arial" w:eastAsia="Arial" w:hAnsi="Arial"/>
                <w:sz w:val="14"/>
                <w:szCs w:val="14"/>
                <w:b w:val="1"/>
                <w:bCs w:val="1"/>
                <w:color w:val="FFFFFF"/>
              </w:rPr>
              <w:t>Marcolini</w:t>
            </w:r>
          </w:p>
        </w:tc>
        <w:tc>
          <w:tcPr>
            <w:tcW w:w="9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Patrick</w:t>
            </w:r>
          </w:p>
        </w:tc>
      </w:tr>
      <w:tr>
        <w:trPr>
          <w:trHeight w:val="156"/>
        </w:trPr>
        <w:tc>
          <w:tcPr>
            <w:tcW w:w="2380" w:type="dxa"/>
            <w:vAlign w:val="bottom"/>
            <w:tcBorders>
              <w:bottom w:val="single" w:sz="8" w:color="5D6673"/>
            </w:tcBorders>
          </w:tcPr>
          <w:p>
            <w:pPr>
              <w:ind w:left="40"/>
              <w:spacing w:after="0" w:line="155" w:lineRule="exact"/>
              <w:rPr>
                <w:sz w:val="20"/>
                <w:szCs w:val="20"/>
                <w:color w:val="auto"/>
              </w:rPr>
            </w:pPr>
            <w:r>
              <w:rPr>
                <w:rFonts w:ascii="Arial" w:cs="Arial" w:eastAsia="Arial" w:hAnsi="Arial"/>
                <w:sz w:val="14"/>
                <w:szCs w:val="14"/>
                <w:b w:val="1"/>
                <w:bCs w:val="1"/>
                <w:color w:val="auto"/>
              </w:rPr>
              <w:t>2025</w:t>
            </w:r>
          </w:p>
        </w:tc>
        <w:tc>
          <w:tcPr>
            <w:tcW w:w="1500" w:type="dxa"/>
            <w:vAlign w:val="bottom"/>
            <w:tcBorders>
              <w:bottom w:val="single" w:sz="8" w:color="5D6673"/>
            </w:tcBorders>
          </w:tcPr>
          <w:p>
            <w:pPr>
              <w:spacing w:after="0"/>
              <w:rPr>
                <w:sz w:val="13"/>
                <w:szCs w:val="13"/>
                <w:color w:val="auto"/>
              </w:rPr>
            </w:pPr>
          </w:p>
        </w:tc>
        <w:tc>
          <w:tcPr>
            <w:tcW w:w="1140" w:type="dxa"/>
            <w:vAlign w:val="bottom"/>
            <w:tcBorders>
              <w:bottom w:val="single" w:sz="8" w:color="5D6673"/>
            </w:tcBorders>
          </w:tcPr>
          <w:p>
            <w:pPr>
              <w:spacing w:after="0"/>
              <w:rPr>
                <w:sz w:val="13"/>
                <w:szCs w:val="13"/>
                <w:color w:val="auto"/>
              </w:rPr>
            </w:pPr>
          </w:p>
        </w:tc>
        <w:tc>
          <w:tcPr>
            <w:tcW w:w="1240" w:type="dxa"/>
            <w:vAlign w:val="bottom"/>
            <w:tcBorders>
              <w:bottom w:val="single" w:sz="8" w:color="5D6673"/>
            </w:tcBorders>
          </w:tcPr>
          <w:p>
            <w:pPr>
              <w:spacing w:after="0"/>
              <w:rPr>
                <w:sz w:val="13"/>
                <w:szCs w:val="13"/>
                <w:color w:val="auto"/>
              </w:rPr>
            </w:pPr>
          </w:p>
        </w:tc>
        <w:tc>
          <w:tcPr>
            <w:tcW w:w="1220" w:type="dxa"/>
            <w:vAlign w:val="bottom"/>
            <w:tcBorders>
              <w:bottom w:val="single" w:sz="8" w:color="5D6673"/>
            </w:tcBorders>
          </w:tcPr>
          <w:p>
            <w:pPr>
              <w:spacing w:after="0"/>
              <w:rPr>
                <w:sz w:val="13"/>
                <w:szCs w:val="13"/>
                <w:color w:val="auto"/>
              </w:rPr>
            </w:pPr>
          </w:p>
        </w:tc>
        <w:tc>
          <w:tcPr>
            <w:tcW w:w="960" w:type="dxa"/>
            <w:vAlign w:val="bottom"/>
            <w:tcBorders>
              <w:bottom w:val="single" w:sz="8" w:color="5D6673"/>
            </w:tcBorders>
          </w:tcPr>
          <w:p>
            <w:pPr>
              <w:spacing w:after="0"/>
              <w:rPr>
                <w:sz w:val="13"/>
                <w:szCs w:val="13"/>
                <w:color w:val="auto"/>
              </w:rPr>
            </w:pP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2/23/2025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2,255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1,200</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450</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450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412</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2/23/2025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8,888</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4,221</w:t>
            </w:r>
          </w:p>
        </w:tc>
        <w:tc>
          <w:tcPr>
            <w:tcW w:w="1240" w:type="dxa"/>
            <w:vAlign w:val="bottom"/>
            <w:tcBorders>
              <w:bottom w:val="single" w:sz="8" w:color="5D6673"/>
            </w:tcBorders>
          </w:tcPr>
          <w:p>
            <w:pPr>
              <w:jc w:val="right"/>
              <w:ind w:right="208"/>
              <w:spacing w:after="0" w:line="155" w:lineRule="exact"/>
              <w:rPr>
                <w:sz w:val="20"/>
                <w:szCs w:val="20"/>
                <w:color w:val="auto"/>
              </w:rPr>
            </w:pPr>
            <w:r>
              <w:rPr>
                <w:rFonts w:ascii="Arial" w:cs="Arial" w:eastAsia="Arial" w:hAnsi="Arial"/>
                <w:sz w:val="14"/>
                <w:szCs w:val="14"/>
                <w:color w:val="auto"/>
              </w:rPr>
              <w:t>2,444</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2,555</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2,221</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2/24/2025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9,268</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4,634</w:t>
            </w:r>
          </w:p>
        </w:tc>
        <w:tc>
          <w:tcPr>
            <w:tcW w:w="1240" w:type="dxa"/>
            <w:vAlign w:val="bottom"/>
            <w:tcBorders>
              <w:bottom w:val="single" w:sz="8" w:color="5D6673"/>
            </w:tcBorders>
          </w:tcPr>
          <w:p>
            <w:pPr>
              <w:jc w:val="right"/>
              <w:ind w:right="208"/>
              <w:spacing w:after="0" w:line="155" w:lineRule="exact"/>
              <w:rPr>
                <w:sz w:val="20"/>
                <w:szCs w:val="20"/>
                <w:color w:val="auto"/>
              </w:rPr>
            </w:pPr>
            <w:r>
              <w:rPr>
                <w:rFonts w:ascii="Arial" w:cs="Arial" w:eastAsia="Arial" w:hAnsi="Arial"/>
                <w:sz w:val="14"/>
                <w:szCs w:val="14"/>
                <w:color w:val="auto"/>
              </w:rPr>
              <w:t>1,391</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1,391</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1,391</w:t>
            </w: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5/23/2025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2,256</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1,200</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450</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450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412</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5/23/2025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611</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639</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8/23/2025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2,256</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1,200</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450</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450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413</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8/23/2025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640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11/23/2025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2,255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1,199</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450</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450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412</w:t>
            </w: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11/23/2025</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2,226</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640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6"/>
        </w:trPr>
        <w:tc>
          <w:tcPr>
            <w:tcW w:w="2380" w:type="dxa"/>
            <w:vAlign w:val="bottom"/>
            <w:tcBorders>
              <w:bottom w:val="single" w:sz="8" w:color="5D6673"/>
            </w:tcBorders>
          </w:tcPr>
          <w:p>
            <w:pPr>
              <w:ind w:left="40"/>
              <w:spacing w:after="0" w:line="155" w:lineRule="exact"/>
              <w:rPr>
                <w:sz w:val="20"/>
                <w:szCs w:val="20"/>
                <w:color w:val="auto"/>
              </w:rPr>
            </w:pPr>
            <w:r>
              <w:rPr>
                <w:rFonts w:ascii="Arial" w:cs="Arial" w:eastAsia="Arial" w:hAnsi="Arial"/>
                <w:sz w:val="14"/>
                <w:szCs w:val="14"/>
                <w:b w:val="1"/>
                <w:bCs w:val="1"/>
                <w:color w:val="auto"/>
              </w:rPr>
              <w:t>2026</w:t>
            </w:r>
          </w:p>
        </w:tc>
        <w:tc>
          <w:tcPr>
            <w:tcW w:w="1500" w:type="dxa"/>
            <w:vAlign w:val="bottom"/>
            <w:tcBorders>
              <w:bottom w:val="single" w:sz="8" w:color="5D6673"/>
            </w:tcBorders>
          </w:tcPr>
          <w:p>
            <w:pPr>
              <w:spacing w:after="0"/>
              <w:rPr>
                <w:sz w:val="13"/>
                <w:szCs w:val="13"/>
                <w:color w:val="auto"/>
              </w:rPr>
            </w:pPr>
          </w:p>
        </w:tc>
        <w:tc>
          <w:tcPr>
            <w:tcW w:w="1140" w:type="dxa"/>
            <w:vAlign w:val="bottom"/>
            <w:tcBorders>
              <w:bottom w:val="single" w:sz="8" w:color="5D6673"/>
            </w:tcBorders>
          </w:tcPr>
          <w:p>
            <w:pPr>
              <w:spacing w:after="0"/>
              <w:rPr>
                <w:sz w:val="13"/>
                <w:szCs w:val="13"/>
                <w:color w:val="auto"/>
              </w:rPr>
            </w:pPr>
          </w:p>
        </w:tc>
        <w:tc>
          <w:tcPr>
            <w:tcW w:w="1240" w:type="dxa"/>
            <w:vAlign w:val="bottom"/>
            <w:tcBorders>
              <w:bottom w:val="single" w:sz="8" w:color="5D6673"/>
            </w:tcBorders>
          </w:tcPr>
          <w:p>
            <w:pPr>
              <w:spacing w:after="0"/>
              <w:rPr>
                <w:sz w:val="13"/>
                <w:szCs w:val="13"/>
                <w:color w:val="auto"/>
              </w:rPr>
            </w:pPr>
          </w:p>
        </w:tc>
        <w:tc>
          <w:tcPr>
            <w:tcW w:w="1220" w:type="dxa"/>
            <w:vAlign w:val="bottom"/>
            <w:tcBorders>
              <w:bottom w:val="single" w:sz="8" w:color="5D6673"/>
            </w:tcBorders>
          </w:tcPr>
          <w:p>
            <w:pPr>
              <w:spacing w:after="0"/>
              <w:rPr>
                <w:sz w:val="13"/>
                <w:szCs w:val="13"/>
                <w:color w:val="auto"/>
              </w:rPr>
            </w:pPr>
          </w:p>
        </w:tc>
        <w:tc>
          <w:tcPr>
            <w:tcW w:w="960" w:type="dxa"/>
            <w:vAlign w:val="bottom"/>
            <w:tcBorders>
              <w:bottom w:val="single" w:sz="8" w:color="5D6673"/>
            </w:tcBorders>
          </w:tcPr>
          <w:p>
            <w:pPr>
              <w:spacing w:after="0"/>
              <w:rPr>
                <w:sz w:val="13"/>
                <w:szCs w:val="13"/>
                <w:color w:val="auto"/>
              </w:rPr>
            </w:pP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2/23/2026</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2,257</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1,201</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451</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451</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413</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2/23/2026</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639</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557</w:t>
            </w:r>
          </w:p>
        </w:tc>
      </w:tr>
      <w:tr>
        <w:trPr>
          <w:trHeight w:val="155"/>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5/23/2026</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640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8/23/2026</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2,226</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640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6"/>
        </w:trPr>
        <w:tc>
          <w:tcPr>
            <w:tcW w:w="2380" w:type="dxa"/>
            <w:vAlign w:val="bottom"/>
            <w:tcBorders>
              <w:bottom w:val="single" w:sz="8" w:color="5D6673"/>
            </w:tcBorders>
          </w:tcPr>
          <w:p>
            <w:pPr>
              <w:jc w:val="right"/>
              <w:ind w:right="1148"/>
              <w:spacing w:after="0" w:line="155" w:lineRule="exact"/>
              <w:rPr>
                <w:sz w:val="20"/>
                <w:szCs w:val="20"/>
                <w:color w:val="auto"/>
              </w:rPr>
            </w:pPr>
            <w:r>
              <w:rPr>
                <w:rFonts w:ascii="Arial" w:cs="Arial" w:eastAsia="Arial" w:hAnsi="Arial"/>
                <w:sz w:val="14"/>
                <w:szCs w:val="14"/>
                <w:color w:val="auto"/>
              </w:rPr>
              <w:t>11/23/2026</w:t>
            </w:r>
          </w:p>
        </w:tc>
        <w:tc>
          <w:tcPr>
            <w:tcW w:w="1500" w:type="dxa"/>
            <w:vAlign w:val="bottom"/>
            <w:tcBorders>
              <w:bottom w:val="single" w:sz="8" w:color="5D6673"/>
            </w:tcBorders>
          </w:tcPr>
          <w:p>
            <w:pPr>
              <w:jc w:val="right"/>
              <w:ind w:right="268"/>
              <w:spacing w:after="0" w:line="155" w:lineRule="exact"/>
              <w:rPr>
                <w:sz w:val="20"/>
                <w:szCs w:val="20"/>
                <w:color w:val="auto"/>
              </w:rPr>
            </w:pPr>
            <w:r>
              <w:rPr>
                <w:rFonts w:ascii="Arial" w:cs="Arial" w:eastAsia="Arial" w:hAnsi="Arial"/>
                <w:sz w:val="14"/>
                <w:szCs w:val="14"/>
                <w:color w:val="auto"/>
              </w:rPr>
              <w:t>2,225</w:t>
            </w:r>
          </w:p>
        </w:tc>
        <w:tc>
          <w:tcPr>
            <w:tcW w:w="1140" w:type="dxa"/>
            <w:vAlign w:val="bottom"/>
            <w:tcBorders>
              <w:bottom w:val="single" w:sz="8" w:color="5D6673"/>
            </w:tcBorders>
          </w:tcPr>
          <w:p>
            <w:pPr>
              <w:jc w:val="right"/>
              <w:ind w:right="188"/>
              <w:spacing w:after="0" w:line="155" w:lineRule="exact"/>
              <w:rPr>
                <w:sz w:val="20"/>
                <w:szCs w:val="20"/>
                <w:color w:val="auto"/>
              </w:rPr>
            </w:pPr>
            <w:r>
              <w:rPr>
                <w:rFonts w:ascii="Arial" w:cs="Arial" w:eastAsia="Arial" w:hAnsi="Arial"/>
                <w:sz w:val="14"/>
                <w:szCs w:val="14"/>
                <w:color w:val="auto"/>
              </w:rPr>
              <w:t>1,057</w:t>
            </w:r>
          </w:p>
        </w:tc>
        <w:tc>
          <w:tcPr>
            <w:tcW w:w="1240" w:type="dxa"/>
            <w:vAlign w:val="bottom"/>
            <w:tcBorders>
              <w:bottom w:val="single" w:sz="8" w:color="5D6673"/>
            </w:tcBorders>
          </w:tcPr>
          <w:p>
            <w:pPr>
              <w:ind w:left="700"/>
              <w:spacing w:after="0" w:line="155" w:lineRule="exact"/>
              <w:rPr>
                <w:sz w:val="20"/>
                <w:szCs w:val="20"/>
                <w:color w:val="auto"/>
              </w:rPr>
            </w:pPr>
            <w:r>
              <w:rPr>
                <w:rFonts w:ascii="Arial" w:cs="Arial" w:eastAsia="Arial" w:hAnsi="Arial"/>
                <w:sz w:val="14"/>
                <w:szCs w:val="14"/>
                <w:color w:val="auto"/>
              </w:rPr>
              <w:t>612</w:t>
            </w:r>
          </w:p>
        </w:tc>
        <w:tc>
          <w:tcPr>
            <w:tcW w:w="1220" w:type="dxa"/>
            <w:vAlign w:val="bottom"/>
            <w:tcBorders>
              <w:bottom w:val="single" w:sz="8" w:color="5D6673"/>
            </w:tcBorders>
          </w:tcPr>
          <w:p>
            <w:pPr>
              <w:jc w:val="right"/>
              <w:ind w:right="228"/>
              <w:spacing w:after="0" w:line="155" w:lineRule="exact"/>
              <w:rPr>
                <w:sz w:val="20"/>
                <w:szCs w:val="20"/>
                <w:color w:val="auto"/>
              </w:rPr>
            </w:pPr>
            <w:r>
              <w:rPr>
                <w:rFonts w:ascii="Arial" w:cs="Arial" w:eastAsia="Arial" w:hAnsi="Arial"/>
                <w:sz w:val="14"/>
                <w:szCs w:val="14"/>
                <w:color w:val="auto"/>
              </w:rPr>
              <w:t>640</w:t>
            </w:r>
          </w:p>
        </w:tc>
        <w:tc>
          <w:tcPr>
            <w:tcW w:w="960" w:type="dxa"/>
            <w:vAlign w:val="bottom"/>
            <w:tcBorders>
              <w:bottom w:val="single" w:sz="8" w:color="5D6673"/>
            </w:tcBorders>
          </w:tcPr>
          <w:p>
            <w:pPr>
              <w:jc w:val="right"/>
              <w:spacing w:after="0" w:line="155" w:lineRule="exact"/>
              <w:rPr>
                <w:sz w:val="20"/>
                <w:szCs w:val="20"/>
                <w:color w:val="auto"/>
              </w:rPr>
            </w:pPr>
            <w:r>
              <w:rPr>
                <w:rFonts w:ascii="Arial" w:cs="Arial" w:eastAsia="Arial" w:hAnsi="Arial"/>
                <w:sz w:val="14"/>
                <w:szCs w:val="14"/>
                <w:color w:val="auto"/>
              </w:rPr>
              <w:t>556</w:t>
            </w:r>
          </w:p>
        </w:tc>
      </w:tr>
      <w:tr>
        <w:trPr>
          <w:trHeight w:val="155"/>
        </w:trPr>
        <w:tc>
          <w:tcPr>
            <w:tcW w:w="2380" w:type="dxa"/>
            <w:vAlign w:val="bottom"/>
            <w:tcBorders>
              <w:bottom w:val="single" w:sz="8" w:color="5D6673"/>
            </w:tcBorders>
          </w:tcPr>
          <w:p>
            <w:pPr>
              <w:ind w:left="40"/>
              <w:spacing w:after="0" w:line="155" w:lineRule="exact"/>
              <w:rPr>
                <w:sz w:val="20"/>
                <w:szCs w:val="20"/>
                <w:color w:val="auto"/>
              </w:rPr>
            </w:pPr>
            <w:r>
              <w:rPr>
                <w:rFonts w:ascii="Arial" w:cs="Arial" w:eastAsia="Arial" w:hAnsi="Arial"/>
                <w:sz w:val="14"/>
                <w:szCs w:val="14"/>
                <w:b w:val="1"/>
                <w:bCs w:val="1"/>
                <w:color w:val="auto"/>
              </w:rPr>
              <w:t>2027</w:t>
            </w:r>
          </w:p>
        </w:tc>
        <w:tc>
          <w:tcPr>
            <w:tcW w:w="1500" w:type="dxa"/>
            <w:vAlign w:val="bottom"/>
            <w:tcBorders>
              <w:bottom w:val="single" w:sz="8" w:color="5D6673"/>
            </w:tcBorders>
          </w:tcPr>
          <w:p>
            <w:pPr>
              <w:spacing w:after="0"/>
              <w:rPr>
                <w:sz w:val="13"/>
                <w:szCs w:val="13"/>
                <w:color w:val="auto"/>
              </w:rPr>
            </w:pPr>
          </w:p>
        </w:tc>
        <w:tc>
          <w:tcPr>
            <w:tcW w:w="1140" w:type="dxa"/>
            <w:vAlign w:val="bottom"/>
            <w:tcBorders>
              <w:bottom w:val="single" w:sz="8" w:color="5D6673"/>
            </w:tcBorders>
          </w:tcPr>
          <w:p>
            <w:pPr>
              <w:spacing w:after="0"/>
              <w:rPr>
                <w:sz w:val="13"/>
                <w:szCs w:val="13"/>
                <w:color w:val="auto"/>
              </w:rPr>
            </w:pPr>
          </w:p>
        </w:tc>
        <w:tc>
          <w:tcPr>
            <w:tcW w:w="1240" w:type="dxa"/>
            <w:vAlign w:val="bottom"/>
            <w:tcBorders>
              <w:bottom w:val="single" w:sz="8" w:color="5D6673"/>
            </w:tcBorders>
          </w:tcPr>
          <w:p>
            <w:pPr>
              <w:spacing w:after="0"/>
              <w:rPr>
                <w:sz w:val="13"/>
                <w:szCs w:val="13"/>
                <w:color w:val="auto"/>
              </w:rPr>
            </w:pPr>
          </w:p>
        </w:tc>
        <w:tc>
          <w:tcPr>
            <w:tcW w:w="1220" w:type="dxa"/>
            <w:vAlign w:val="bottom"/>
            <w:tcBorders>
              <w:bottom w:val="single" w:sz="8" w:color="5D6673"/>
            </w:tcBorders>
          </w:tcPr>
          <w:p>
            <w:pPr>
              <w:spacing w:after="0"/>
              <w:rPr>
                <w:sz w:val="13"/>
                <w:szCs w:val="13"/>
                <w:color w:val="auto"/>
              </w:rPr>
            </w:pPr>
          </w:p>
        </w:tc>
        <w:tc>
          <w:tcPr>
            <w:tcW w:w="960" w:type="dxa"/>
            <w:vAlign w:val="bottom"/>
            <w:tcBorders>
              <w:bottom w:val="single" w:sz="8" w:color="5D6673"/>
            </w:tcBorders>
          </w:tcPr>
          <w:p>
            <w:pPr>
              <w:spacing w:after="0"/>
              <w:rPr>
                <w:sz w:val="13"/>
                <w:szCs w:val="13"/>
                <w:color w:val="auto"/>
              </w:rPr>
            </w:pPr>
          </w:p>
        </w:tc>
      </w:tr>
      <w:tr>
        <w:trPr>
          <w:trHeight w:val="169"/>
        </w:trPr>
        <w:tc>
          <w:tcPr>
            <w:tcW w:w="2380" w:type="dxa"/>
            <w:vAlign w:val="bottom"/>
            <w:tcBorders>
              <w:bottom w:val="single" w:sz="8" w:color="0063A6"/>
            </w:tcBorders>
          </w:tcPr>
          <w:p>
            <w:pPr>
              <w:jc w:val="right"/>
              <w:ind w:right="1148"/>
              <w:spacing w:after="0"/>
              <w:rPr>
                <w:sz w:val="20"/>
                <w:szCs w:val="20"/>
                <w:color w:val="auto"/>
              </w:rPr>
            </w:pPr>
            <w:r>
              <w:rPr>
                <w:rFonts w:ascii="Arial" w:cs="Arial" w:eastAsia="Arial" w:hAnsi="Arial"/>
                <w:sz w:val="14"/>
                <w:szCs w:val="14"/>
                <w:color w:val="auto"/>
              </w:rPr>
              <w:t>2/23/2027</w:t>
            </w:r>
          </w:p>
        </w:tc>
        <w:tc>
          <w:tcPr>
            <w:tcW w:w="1500" w:type="dxa"/>
            <w:vAlign w:val="bottom"/>
            <w:tcBorders>
              <w:bottom w:val="single" w:sz="8" w:color="0063A6"/>
            </w:tcBorders>
          </w:tcPr>
          <w:p>
            <w:pPr>
              <w:jc w:val="right"/>
              <w:ind w:right="268"/>
              <w:spacing w:after="0"/>
              <w:rPr>
                <w:sz w:val="20"/>
                <w:szCs w:val="20"/>
                <w:color w:val="auto"/>
              </w:rPr>
            </w:pPr>
            <w:r>
              <w:rPr>
                <w:rFonts w:ascii="Arial" w:cs="Arial" w:eastAsia="Arial" w:hAnsi="Arial"/>
                <w:sz w:val="14"/>
                <w:szCs w:val="14"/>
                <w:color w:val="auto"/>
              </w:rPr>
              <w:t>2,226</w:t>
            </w:r>
          </w:p>
        </w:tc>
        <w:tc>
          <w:tcPr>
            <w:tcW w:w="1140" w:type="dxa"/>
            <w:vAlign w:val="bottom"/>
            <w:tcBorders>
              <w:bottom w:val="single" w:sz="8" w:color="0063A6"/>
            </w:tcBorders>
          </w:tcPr>
          <w:p>
            <w:pPr>
              <w:jc w:val="right"/>
              <w:ind w:right="188"/>
              <w:spacing w:after="0"/>
              <w:rPr>
                <w:sz w:val="20"/>
                <w:szCs w:val="20"/>
                <w:color w:val="auto"/>
              </w:rPr>
            </w:pPr>
            <w:r>
              <w:rPr>
                <w:rFonts w:ascii="Arial" w:cs="Arial" w:eastAsia="Arial" w:hAnsi="Arial"/>
                <w:sz w:val="14"/>
                <w:szCs w:val="14"/>
                <w:color w:val="auto"/>
              </w:rPr>
              <w:t>1,058</w:t>
            </w:r>
          </w:p>
        </w:tc>
        <w:tc>
          <w:tcPr>
            <w:tcW w:w="1240" w:type="dxa"/>
            <w:vAlign w:val="bottom"/>
            <w:tcBorders>
              <w:bottom w:val="single" w:sz="8" w:color="0063A6"/>
            </w:tcBorders>
          </w:tcPr>
          <w:p>
            <w:pPr>
              <w:ind w:left="700"/>
              <w:spacing w:after="0"/>
              <w:rPr>
                <w:sz w:val="20"/>
                <w:szCs w:val="20"/>
                <w:color w:val="auto"/>
              </w:rPr>
            </w:pPr>
            <w:r>
              <w:rPr>
                <w:rFonts w:ascii="Arial" w:cs="Arial" w:eastAsia="Arial" w:hAnsi="Arial"/>
                <w:sz w:val="14"/>
                <w:szCs w:val="14"/>
                <w:color w:val="auto"/>
              </w:rPr>
              <w:t>613</w:t>
            </w:r>
          </w:p>
        </w:tc>
        <w:tc>
          <w:tcPr>
            <w:tcW w:w="1220" w:type="dxa"/>
            <w:vAlign w:val="bottom"/>
            <w:tcBorders>
              <w:bottom w:val="single" w:sz="8" w:color="0063A6"/>
            </w:tcBorders>
          </w:tcPr>
          <w:p>
            <w:pPr>
              <w:jc w:val="right"/>
              <w:ind w:right="228"/>
              <w:spacing w:after="0"/>
              <w:rPr>
                <w:sz w:val="20"/>
                <w:szCs w:val="20"/>
                <w:color w:val="auto"/>
              </w:rPr>
            </w:pPr>
            <w:r>
              <w:rPr>
                <w:rFonts w:ascii="Arial" w:cs="Arial" w:eastAsia="Arial" w:hAnsi="Arial"/>
                <w:sz w:val="14"/>
                <w:szCs w:val="14"/>
                <w:color w:val="auto"/>
              </w:rPr>
              <w:t>640</w:t>
            </w:r>
          </w:p>
        </w:tc>
        <w:tc>
          <w:tcPr>
            <w:tcW w:w="96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558</w:t>
            </w:r>
          </w:p>
        </w:tc>
      </w:tr>
    </w:tbl>
    <w:p>
      <w:pPr>
        <w:spacing w:after="0" w:line="99" w:lineRule="exact"/>
        <w:rPr>
          <w:sz w:val="20"/>
          <w:szCs w:val="20"/>
          <w:color w:val="auto"/>
        </w:rPr>
      </w:pPr>
    </w:p>
    <w:p>
      <w:pPr>
        <w:ind w:left="346" w:right="620" w:hanging="346"/>
        <w:spacing w:after="0" w:line="285" w:lineRule="auto"/>
        <w:tabs>
          <w:tab w:leader="none" w:pos="346"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2023 assuming achievement at maximum levels of performance (250% of target).</w:t>
      </w:r>
    </w:p>
    <w:p>
      <w:pPr>
        <w:spacing w:after="0" w:line="22" w:lineRule="exact"/>
        <w:rPr>
          <w:rFonts w:ascii="Arial" w:cs="Arial" w:eastAsia="Arial" w:hAnsi="Arial"/>
          <w:sz w:val="14"/>
          <w:szCs w:val="14"/>
          <w:color w:val="auto"/>
        </w:rPr>
      </w:pPr>
    </w:p>
    <w:p>
      <w:pPr>
        <w:ind w:left="346" w:right="620" w:hanging="346"/>
        <w:spacing w:after="0" w:line="285" w:lineRule="auto"/>
        <w:tabs>
          <w:tab w:leader="none" w:pos="346"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2024 assuming achievement at maximum levels of performance (250% of target).</w:t>
      </w:r>
    </w:p>
    <w:p>
      <w:pPr>
        <w:spacing w:after="0" w:line="9" w:lineRule="exact"/>
        <w:rPr>
          <w:rFonts w:ascii="Arial" w:cs="Arial" w:eastAsia="Arial" w:hAnsi="Arial"/>
          <w:sz w:val="14"/>
          <w:szCs w:val="14"/>
          <w:color w:val="auto"/>
        </w:rPr>
      </w:pPr>
    </w:p>
    <w:p>
      <w:pPr>
        <w:ind w:left="346" w:hanging="346"/>
        <w:spacing w:after="0"/>
        <w:tabs>
          <w:tab w:leader="none" w:pos="346"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2024 ($108.58).</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2024 Option Exercises and Stock Vested Table</w:t>
      </w:r>
    </w:p>
    <w:p>
      <w:pPr>
        <w:spacing w:after="0" w:line="200" w:lineRule="exact"/>
        <w:rPr>
          <w:sz w:val="20"/>
          <w:szCs w:val="20"/>
          <w:color w:val="auto"/>
        </w:rPr>
      </w:pPr>
    </w:p>
    <w:p>
      <w:pPr>
        <w:spacing w:after="0" w:line="309"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3320" w:type="dxa"/>
            <w:vAlign w:val="bottom"/>
          </w:tcPr>
          <w:p>
            <w:pPr>
              <w:spacing w:after="0"/>
              <w:rPr>
                <w:sz w:val="17"/>
                <w:szCs w:val="17"/>
                <w:color w:val="auto"/>
              </w:rPr>
            </w:pPr>
          </w:p>
        </w:tc>
        <w:tc>
          <w:tcPr>
            <w:tcW w:w="1660" w:type="dxa"/>
            <w:vAlign w:val="bottom"/>
            <w:tcBorders>
              <w:bottom w:val="single" w:sz="8" w:color="0063A6"/>
            </w:tcBorders>
          </w:tcPr>
          <w:p>
            <w:pPr>
              <w:spacing w:after="0"/>
              <w:rPr>
                <w:sz w:val="17"/>
                <w:szCs w:val="17"/>
                <w:color w:val="auto"/>
              </w:rPr>
            </w:pPr>
          </w:p>
        </w:tc>
        <w:tc>
          <w:tcPr>
            <w:tcW w:w="3020" w:type="dxa"/>
            <w:vAlign w:val="bottom"/>
            <w:tcBorders>
              <w:bottom w:val="single" w:sz="8" w:color="0063A6"/>
            </w:tcBorders>
            <w:gridSpan w:val="2"/>
          </w:tcPr>
          <w:p>
            <w:pPr>
              <w:jc w:val="right"/>
              <w:ind w:right="1262"/>
              <w:spacing w:after="0"/>
              <w:rPr>
                <w:sz w:val="20"/>
                <w:szCs w:val="20"/>
                <w:color w:val="auto"/>
              </w:rPr>
            </w:pPr>
            <w:r>
              <w:rPr>
                <w:rFonts w:ascii="Arial" w:cs="Arial" w:eastAsia="Arial" w:hAnsi="Arial"/>
                <w:sz w:val="14"/>
                <w:szCs w:val="14"/>
                <w:b w:val="1"/>
                <w:bCs w:val="1"/>
                <w:color w:val="auto"/>
              </w:rPr>
              <w:t>ITRON, INC.</w:t>
            </w:r>
          </w:p>
        </w:tc>
        <w:tc>
          <w:tcPr>
            <w:tcW w:w="1180" w:type="dxa"/>
            <w:vAlign w:val="bottom"/>
            <w:tcBorders>
              <w:bottom w:val="single" w:sz="8" w:color="0063A6"/>
            </w:tcBorders>
          </w:tcPr>
          <w:p>
            <w:pPr>
              <w:spacing w:after="0"/>
              <w:rPr>
                <w:sz w:val="17"/>
                <w:szCs w:val="17"/>
                <w:color w:val="auto"/>
              </w:rPr>
            </w:pPr>
          </w:p>
        </w:tc>
      </w:tr>
      <w:tr>
        <w:trPr>
          <w:trHeight w:val="235"/>
        </w:trPr>
        <w:tc>
          <w:tcPr>
            <w:tcW w:w="3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20" w:type="dxa"/>
            <w:vAlign w:val="bottom"/>
            <w:gridSpan w:val="2"/>
          </w:tcPr>
          <w:p>
            <w:pPr>
              <w:jc w:val="right"/>
              <w:ind w:right="462"/>
              <w:spacing w:after="0"/>
              <w:rPr>
                <w:sz w:val="20"/>
                <w:szCs w:val="20"/>
                <w:color w:val="auto"/>
              </w:rPr>
            </w:pPr>
            <w:r>
              <w:rPr>
                <w:rFonts w:ascii="Arial" w:cs="Arial" w:eastAsia="Arial" w:hAnsi="Arial"/>
                <w:sz w:val="14"/>
                <w:szCs w:val="14"/>
                <w:b w:val="1"/>
                <w:bCs w:val="1"/>
                <w:color w:val="auto"/>
              </w:rPr>
              <w:t>Option Exercises and Stock Vested</w:t>
            </w:r>
          </w:p>
        </w:tc>
        <w:tc>
          <w:tcPr>
            <w:tcW w:w="1180" w:type="dxa"/>
            <w:vAlign w:val="bottom"/>
          </w:tcPr>
          <w:p>
            <w:pPr>
              <w:spacing w:after="0"/>
              <w:rPr>
                <w:sz w:val="20"/>
                <w:szCs w:val="20"/>
                <w:color w:val="auto"/>
              </w:rPr>
            </w:pPr>
          </w:p>
        </w:tc>
      </w:tr>
      <w:tr>
        <w:trPr>
          <w:trHeight w:val="249"/>
        </w:trPr>
        <w:tc>
          <w:tcPr>
            <w:tcW w:w="3320" w:type="dxa"/>
            <w:vAlign w:val="bottom"/>
          </w:tcPr>
          <w:p>
            <w:pPr>
              <w:spacing w:after="0"/>
              <w:rPr>
                <w:sz w:val="21"/>
                <w:szCs w:val="21"/>
                <w:color w:val="auto"/>
              </w:rPr>
            </w:pPr>
          </w:p>
        </w:tc>
        <w:tc>
          <w:tcPr>
            <w:tcW w:w="1660" w:type="dxa"/>
            <w:vAlign w:val="bottom"/>
            <w:shd w:val="clear" w:color="auto" w:fill="0063A6"/>
          </w:tcPr>
          <w:p>
            <w:pPr>
              <w:spacing w:after="0"/>
              <w:rPr>
                <w:sz w:val="21"/>
                <w:szCs w:val="21"/>
                <w:color w:val="auto"/>
              </w:rPr>
            </w:pP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Option Awards</w:t>
            </w:r>
          </w:p>
        </w:tc>
        <w:tc>
          <w:tcPr>
            <w:tcW w:w="1780" w:type="dxa"/>
            <w:vAlign w:val="bottom"/>
            <w:shd w:val="clear" w:color="auto" w:fill="0063A6"/>
          </w:tcPr>
          <w:p>
            <w:pPr>
              <w:spacing w:after="0"/>
              <w:rPr>
                <w:sz w:val="21"/>
                <w:szCs w:val="21"/>
                <w:color w:val="auto"/>
              </w:rPr>
            </w:pPr>
          </w:p>
        </w:tc>
        <w:tc>
          <w:tcPr>
            <w:tcW w:w="11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Stock Awards</w:t>
            </w:r>
          </w:p>
        </w:tc>
      </w:tr>
      <w:tr>
        <w:trPr>
          <w:trHeight w:val="204"/>
        </w:trPr>
        <w:tc>
          <w:tcPr>
            <w:tcW w:w="3320" w:type="dxa"/>
            <w:vAlign w:val="bottom"/>
          </w:tcPr>
          <w:p>
            <w:pPr>
              <w:spacing w:after="0"/>
              <w:rPr>
                <w:sz w:val="17"/>
                <w:szCs w:val="17"/>
                <w:color w:val="auto"/>
              </w:rPr>
            </w:pPr>
          </w:p>
        </w:tc>
        <w:tc>
          <w:tcPr>
            <w:tcW w:w="16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Value Realized</w:t>
            </w:r>
          </w:p>
        </w:tc>
        <w:tc>
          <w:tcPr>
            <w:tcW w:w="1780" w:type="dxa"/>
            <w:vAlign w:val="bottom"/>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Number of Shares</w:t>
            </w:r>
          </w:p>
        </w:tc>
        <w:tc>
          <w:tcPr>
            <w:tcW w:w="11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Value Realized</w:t>
            </w:r>
          </w:p>
        </w:tc>
      </w:tr>
      <w:tr>
        <w:trPr>
          <w:trHeight w:val="162"/>
        </w:trPr>
        <w:tc>
          <w:tcPr>
            <w:tcW w:w="3320" w:type="dxa"/>
            <w:vAlign w:val="bottom"/>
          </w:tcPr>
          <w:p>
            <w:pPr>
              <w:spacing w:after="0"/>
              <w:rPr>
                <w:sz w:val="14"/>
                <w:szCs w:val="14"/>
                <w:color w:val="auto"/>
              </w:rPr>
            </w:pPr>
          </w:p>
        </w:tc>
        <w:tc>
          <w:tcPr>
            <w:tcW w:w="16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Acquired on Exercise</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Upon Exercise</w:t>
            </w:r>
          </w:p>
        </w:tc>
        <w:tc>
          <w:tcPr>
            <w:tcW w:w="1780" w:type="dxa"/>
            <w:vAlign w:val="bottom"/>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Acquired on Vesting</w:t>
            </w:r>
          </w:p>
        </w:tc>
        <w:tc>
          <w:tcPr>
            <w:tcW w:w="11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on Vesting</w:t>
            </w:r>
          </w:p>
        </w:tc>
      </w:tr>
      <w:tr>
        <w:trPr>
          <w:trHeight w:val="230"/>
        </w:trPr>
        <w:tc>
          <w:tcPr>
            <w:tcW w:w="33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63A6"/>
            </w:tcBorders>
            <w:shd w:val="clear" w:color="auto" w:fill="0063A6"/>
          </w:tcPr>
          <w:p>
            <w:pPr>
              <w:jc w:val="right"/>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780" w:type="dxa"/>
            <w:vAlign w:val="bottom"/>
            <w:tcBorders>
              <w:bottom w:val="single" w:sz="8" w:color="0063A6"/>
            </w:tcBorders>
            <w:shd w:val="clear" w:color="auto" w:fill="0063A6"/>
          </w:tcPr>
          <w:p>
            <w:pPr>
              <w:jc w:val="right"/>
              <w:ind w:right="62"/>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1180" w:type="dxa"/>
            <w:vAlign w:val="bottom"/>
            <w:tcBorders>
              <w:bottom w:val="single" w:sz="8" w:color="0063A6"/>
            </w:tcBorders>
            <w:shd w:val="clear" w:color="auto" w:fill="0063A6"/>
          </w:tcPr>
          <w:p>
            <w:pPr>
              <w:jc w:val="right"/>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(3)</w:t>
            </w: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Thomas L. Deitrich</w:t>
            </w: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46,038</w:t>
            </w:r>
          </w:p>
        </w:tc>
        <w:tc>
          <w:tcPr>
            <w:tcW w:w="1240" w:type="dxa"/>
            <w:vAlign w:val="bottom"/>
          </w:tcPr>
          <w:p>
            <w:pPr>
              <w:jc w:val="right"/>
              <w:spacing w:after="0"/>
              <w:rPr>
                <w:sz w:val="20"/>
                <w:szCs w:val="20"/>
                <w:color w:val="auto"/>
              </w:rPr>
            </w:pPr>
            <w:r>
              <w:rPr>
                <w:rFonts w:ascii="Arial" w:cs="Arial" w:eastAsia="Arial" w:hAnsi="Arial"/>
                <w:sz w:val="16"/>
                <w:szCs w:val="16"/>
                <w:color w:val="auto"/>
              </w:rPr>
              <w:t>3,081,040</w:t>
            </w:r>
          </w:p>
        </w:tc>
        <w:tc>
          <w:tcPr>
            <w:tcW w:w="1780" w:type="dxa"/>
            <w:vAlign w:val="bottom"/>
          </w:tcPr>
          <w:p>
            <w:pPr>
              <w:jc w:val="right"/>
              <w:ind w:right="62"/>
              <w:spacing w:after="0"/>
              <w:rPr>
                <w:sz w:val="20"/>
                <w:szCs w:val="20"/>
                <w:color w:val="auto"/>
              </w:rPr>
            </w:pPr>
            <w:r>
              <w:rPr>
                <w:rFonts w:ascii="Arial" w:cs="Arial" w:eastAsia="Arial" w:hAnsi="Arial"/>
                <w:sz w:val="16"/>
                <w:szCs w:val="16"/>
                <w:color w:val="auto"/>
              </w:rPr>
              <w:t>102,009</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10,306,243</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Joan S. Hooper</w:t>
            </w:r>
          </w:p>
        </w:tc>
        <w:tc>
          <w:tcPr>
            <w:tcW w:w="1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80" w:type="dxa"/>
            <w:vAlign w:val="bottom"/>
          </w:tcPr>
          <w:p>
            <w:pPr>
              <w:ind w:left="1120"/>
              <w:spacing w:after="0"/>
              <w:rPr>
                <w:sz w:val="20"/>
                <w:szCs w:val="20"/>
                <w:color w:val="auto"/>
              </w:rPr>
            </w:pPr>
            <w:r>
              <w:rPr>
                <w:rFonts w:ascii="Arial" w:cs="Arial" w:eastAsia="Arial" w:hAnsi="Arial"/>
                <w:sz w:val="16"/>
                <w:szCs w:val="16"/>
                <w:color w:val="auto"/>
              </w:rPr>
              <w:t>38,108</w:t>
            </w:r>
          </w:p>
        </w:tc>
        <w:tc>
          <w:tcPr>
            <w:tcW w:w="1180" w:type="dxa"/>
            <w:vAlign w:val="bottom"/>
          </w:tcPr>
          <w:p>
            <w:pPr>
              <w:ind w:left="380"/>
              <w:spacing w:after="0"/>
              <w:rPr>
                <w:sz w:val="20"/>
                <w:szCs w:val="20"/>
                <w:color w:val="auto"/>
              </w:rPr>
            </w:pPr>
            <w:r>
              <w:rPr>
                <w:rFonts w:ascii="Arial" w:cs="Arial" w:eastAsia="Arial" w:hAnsi="Arial"/>
                <w:sz w:val="16"/>
                <w:szCs w:val="16"/>
                <w:color w:val="auto"/>
              </w:rPr>
              <w:t>3,711,292</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Donald L. Reeves</w:t>
            </w: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7,510</w:t>
            </w:r>
          </w:p>
        </w:tc>
        <w:tc>
          <w:tcPr>
            <w:tcW w:w="1240" w:type="dxa"/>
            <w:vAlign w:val="bottom"/>
          </w:tcPr>
          <w:p>
            <w:pPr>
              <w:jc w:val="right"/>
              <w:spacing w:after="0"/>
              <w:rPr>
                <w:sz w:val="20"/>
                <w:szCs w:val="20"/>
                <w:color w:val="auto"/>
              </w:rPr>
            </w:pPr>
            <w:r>
              <w:rPr>
                <w:rFonts w:ascii="Arial" w:cs="Arial" w:eastAsia="Arial" w:hAnsi="Arial"/>
                <w:sz w:val="16"/>
                <w:szCs w:val="16"/>
                <w:color w:val="auto"/>
              </w:rPr>
              <w:t>155,813</w:t>
            </w:r>
          </w:p>
        </w:tc>
        <w:tc>
          <w:tcPr>
            <w:tcW w:w="1780" w:type="dxa"/>
            <w:vAlign w:val="bottom"/>
          </w:tcPr>
          <w:p>
            <w:pPr>
              <w:ind w:left="1120"/>
              <w:spacing w:after="0"/>
              <w:rPr>
                <w:sz w:val="20"/>
                <w:szCs w:val="20"/>
                <w:color w:val="auto"/>
              </w:rPr>
            </w:pPr>
            <w:r>
              <w:rPr>
                <w:rFonts w:ascii="Arial" w:cs="Arial" w:eastAsia="Arial" w:hAnsi="Arial"/>
                <w:sz w:val="16"/>
                <w:szCs w:val="16"/>
                <w:color w:val="auto"/>
              </w:rPr>
              <w:t>11,926</w:t>
            </w:r>
          </w:p>
        </w:tc>
        <w:tc>
          <w:tcPr>
            <w:tcW w:w="1180" w:type="dxa"/>
            <w:vAlign w:val="bottom"/>
          </w:tcPr>
          <w:p>
            <w:pPr>
              <w:ind w:left="380"/>
              <w:spacing w:after="0"/>
              <w:rPr>
                <w:sz w:val="20"/>
                <w:szCs w:val="20"/>
                <w:color w:val="auto"/>
              </w:rPr>
            </w:pPr>
            <w:r>
              <w:rPr>
                <w:rFonts w:ascii="Arial" w:cs="Arial" w:eastAsia="Arial" w:hAnsi="Arial"/>
                <w:sz w:val="16"/>
                <w:szCs w:val="16"/>
                <w:color w:val="auto"/>
              </w:rPr>
              <w:t>1,159,409</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43"/>
        </w:trPr>
        <w:tc>
          <w:tcPr>
            <w:tcW w:w="3320" w:type="dxa"/>
            <w:vAlign w:val="bottom"/>
          </w:tcPr>
          <w:p>
            <w:pPr>
              <w:ind w:left="60"/>
              <w:spacing w:after="0"/>
              <w:rPr>
                <w:sz w:val="20"/>
                <w:szCs w:val="20"/>
                <w:color w:val="auto"/>
              </w:rPr>
            </w:pPr>
            <w:r>
              <w:rPr>
                <w:rFonts w:ascii="Arial" w:cs="Arial" w:eastAsia="Arial" w:hAnsi="Arial"/>
                <w:sz w:val="16"/>
                <w:szCs w:val="16"/>
                <w:b w:val="1"/>
                <w:bCs w:val="1"/>
                <w:color w:val="0063A6"/>
              </w:rPr>
              <w:t>John F. Marcolini</w:t>
            </w:r>
          </w:p>
        </w:tc>
        <w:tc>
          <w:tcPr>
            <w:tcW w:w="1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80" w:type="dxa"/>
            <w:vAlign w:val="bottom"/>
          </w:tcPr>
          <w:p>
            <w:pPr>
              <w:ind w:left="1120"/>
              <w:spacing w:after="0"/>
              <w:rPr>
                <w:sz w:val="20"/>
                <w:szCs w:val="20"/>
                <w:color w:val="auto"/>
              </w:rPr>
            </w:pPr>
            <w:r>
              <w:rPr>
                <w:rFonts w:ascii="Arial" w:cs="Arial" w:eastAsia="Arial" w:hAnsi="Arial"/>
                <w:sz w:val="16"/>
                <w:szCs w:val="16"/>
                <w:color w:val="auto"/>
              </w:rPr>
              <w:t>11,927</w:t>
            </w:r>
          </w:p>
        </w:tc>
        <w:tc>
          <w:tcPr>
            <w:tcW w:w="1180" w:type="dxa"/>
            <w:vAlign w:val="bottom"/>
          </w:tcPr>
          <w:p>
            <w:pPr>
              <w:ind w:left="380"/>
              <w:spacing w:after="0"/>
              <w:rPr>
                <w:sz w:val="20"/>
                <w:szCs w:val="20"/>
                <w:color w:val="auto"/>
              </w:rPr>
            </w:pPr>
            <w:r>
              <w:rPr>
                <w:rFonts w:ascii="Arial" w:cs="Arial" w:eastAsia="Arial" w:hAnsi="Arial"/>
                <w:sz w:val="16"/>
                <w:szCs w:val="16"/>
                <w:color w:val="auto"/>
              </w:rPr>
              <w:t>1,159,486</w:t>
            </w:r>
          </w:p>
        </w:tc>
      </w:tr>
      <w:tr>
        <w:trPr>
          <w:trHeight w:val="21"/>
        </w:trPr>
        <w:tc>
          <w:tcPr>
            <w:tcW w:w="3320" w:type="dxa"/>
            <w:vAlign w:val="bottom"/>
            <w:tcBorders>
              <w:bottom w:val="single" w:sz="8" w:color="5D6673"/>
            </w:tcBorders>
          </w:tcPr>
          <w:p>
            <w:pPr>
              <w:spacing w:after="0" w:line="20" w:lineRule="exact"/>
              <w:rPr>
                <w:sz w:val="1"/>
                <w:szCs w:val="1"/>
                <w:color w:val="auto"/>
              </w:rPr>
            </w:pPr>
          </w:p>
        </w:tc>
        <w:tc>
          <w:tcPr>
            <w:tcW w:w="166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c>
          <w:tcPr>
            <w:tcW w:w="1780" w:type="dxa"/>
            <w:vAlign w:val="bottom"/>
            <w:tcBorders>
              <w:bottom w:val="single" w:sz="8" w:color="5D6673"/>
            </w:tcBorders>
          </w:tcPr>
          <w:p>
            <w:pPr>
              <w:spacing w:after="0" w:line="20" w:lineRule="exact"/>
              <w:rPr>
                <w:sz w:val="1"/>
                <w:szCs w:val="1"/>
                <w:color w:val="auto"/>
              </w:rPr>
            </w:pPr>
          </w:p>
        </w:tc>
        <w:tc>
          <w:tcPr>
            <w:tcW w:w="1180" w:type="dxa"/>
            <w:vAlign w:val="bottom"/>
            <w:tcBorders>
              <w:bottom w:val="single" w:sz="8" w:color="5D6673"/>
            </w:tcBorders>
          </w:tcPr>
          <w:p>
            <w:pPr>
              <w:spacing w:after="0" w:line="20" w:lineRule="exact"/>
              <w:rPr>
                <w:sz w:val="1"/>
                <w:szCs w:val="1"/>
                <w:color w:val="auto"/>
              </w:rPr>
            </w:pPr>
          </w:p>
        </w:tc>
      </w:tr>
      <w:tr>
        <w:trPr>
          <w:trHeight w:val="237"/>
        </w:trPr>
        <w:tc>
          <w:tcPr>
            <w:tcW w:w="332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0063A6"/>
              </w:rPr>
              <w:t>Justin K. Patrick</w:t>
            </w:r>
          </w:p>
        </w:tc>
        <w:tc>
          <w:tcPr>
            <w:tcW w:w="1660" w:type="dxa"/>
            <w:vAlign w:val="bottom"/>
            <w:tcBorders>
              <w:bottom w:val="single" w:sz="8" w:color="0063A6"/>
            </w:tcBorders>
          </w:tcPr>
          <w:p>
            <w:pPr>
              <w:spacing w:after="0"/>
              <w:rPr>
                <w:sz w:val="20"/>
                <w:szCs w:val="20"/>
                <w:color w:val="auto"/>
              </w:rPr>
            </w:pPr>
          </w:p>
        </w:tc>
        <w:tc>
          <w:tcPr>
            <w:tcW w:w="1240" w:type="dxa"/>
            <w:vAlign w:val="bottom"/>
            <w:tcBorders>
              <w:bottom w:val="single" w:sz="8" w:color="0063A6"/>
            </w:tcBorders>
          </w:tcPr>
          <w:p>
            <w:pPr>
              <w:spacing w:after="0"/>
              <w:rPr>
                <w:sz w:val="20"/>
                <w:szCs w:val="20"/>
                <w:color w:val="auto"/>
              </w:rPr>
            </w:pPr>
          </w:p>
        </w:tc>
        <w:tc>
          <w:tcPr>
            <w:tcW w:w="1780" w:type="dxa"/>
            <w:vAlign w:val="bottom"/>
            <w:tcBorders>
              <w:bottom w:val="single" w:sz="8" w:color="0063A6"/>
            </w:tcBorders>
          </w:tcPr>
          <w:p>
            <w:pPr>
              <w:ind w:left="1120"/>
              <w:spacing w:after="0"/>
              <w:rPr>
                <w:sz w:val="20"/>
                <w:szCs w:val="20"/>
                <w:color w:val="auto"/>
              </w:rPr>
            </w:pPr>
            <w:r>
              <w:rPr>
                <w:rFonts w:ascii="Arial" w:cs="Arial" w:eastAsia="Arial" w:hAnsi="Arial"/>
                <w:sz w:val="16"/>
                <w:szCs w:val="16"/>
                <w:color w:val="auto"/>
              </w:rPr>
              <w:t>11,666</w:t>
            </w:r>
          </w:p>
        </w:tc>
        <w:tc>
          <w:tcPr>
            <w:tcW w:w="1180" w:type="dxa"/>
            <w:vAlign w:val="bottom"/>
            <w:tcBorders>
              <w:bottom w:val="single" w:sz="8" w:color="0063A6"/>
            </w:tcBorders>
          </w:tcPr>
          <w:p>
            <w:pPr>
              <w:ind w:left="380"/>
              <w:spacing w:after="0"/>
              <w:rPr>
                <w:sz w:val="20"/>
                <w:szCs w:val="20"/>
                <w:color w:val="auto"/>
              </w:rPr>
            </w:pPr>
            <w:r>
              <w:rPr>
                <w:rFonts w:ascii="Arial" w:cs="Arial" w:eastAsia="Arial" w:hAnsi="Arial"/>
                <w:sz w:val="16"/>
                <w:szCs w:val="16"/>
                <w:color w:val="auto"/>
              </w:rPr>
              <w:t>1,136,083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-1268095</wp:posOffset>
            </wp:positionV>
            <wp:extent cx="36347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9" w:lineRule="exact"/>
        <w:rPr>
          <w:sz w:val="20"/>
          <w:szCs w:val="20"/>
          <w:color w:val="auto"/>
        </w:rPr>
      </w:pPr>
    </w:p>
    <w:p>
      <w:pPr>
        <w:ind w:left="346" w:hanging="346"/>
        <w:spacing w:after="0"/>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difference between the exercise price and the fair market value of our common stock on the date of exercise.</w:t>
      </w:r>
    </w:p>
    <w:p>
      <w:pPr>
        <w:spacing w:after="0" w:line="82" w:lineRule="exact"/>
        <w:rPr>
          <w:rFonts w:ascii="Arial" w:cs="Arial" w:eastAsia="Arial" w:hAnsi="Arial"/>
          <w:sz w:val="14"/>
          <w:szCs w:val="14"/>
          <w:color w:val="auto"/>
        </w:rPr>
      </w:pPr>
    </w:p>
    <w:p>
      <w:pPr>
        <w:ind w:left="346" w:right="220" w:hanging="346"/>
        <w:spacing w:after="0" w:line="285" w:lineRule="auto"/>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PRSUs earned based on financial results for the three-year performance cycle beginning in 2022 and vested on December 31, 2024.</w:t>
      </w:r>
    </w:p>
    <w:p>
      <w:pPr>
        <w:spacing w:after="0" w:line="36" w:lineRule="exact"/>
        <w:rPr>
          <w:rFonts w:ascii="Arial" w:cs="Arial" w:eastAsia="Arial" w:hAnsi="Arial"/>
          <w:sz w:val="14"/>
          <w:szCs w:val="14"/>
          <w:color w:val="auto"/>
        </w:rPr>
      </w:pPr>
    </w:p>
    <w:p>
      <w:pPr>
        <w:ind w:left="366"/>
        <w:spacing w:after="0"/>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Long-Term Incentives – A Closer Look at PRSUs</w:t>
      </w:r>
      <w:r>
        <w:rPr>
          <w:rFonts w:ascii="Arial" w:cs="Arial" w:eastAsia="Arial" w:hAnsi="Arial"/>
          <w:sz w:val="14"/>
          <w:szCs w:val="14"/>
          <w:color w:val="auto"/>
        </w:rPr>
        <w:t>” in this proxy statement for more detail.</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the fair market value of our common stock on the vest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27"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8" w:name="page49"/>
    <w:bookmarkEnd w:id="4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2024 Nonqualified Deferred Compensation Table</w:t>
      </w:r>
    </w:p>
    <w:p>
      <w:pPr>
        <w:spacing w:after="0" w:line="200" w:lineRule="exact"/>
        <w:rPr>
          <w:sz w:val="20"/>
          <w:szCs w:val="20"/>
          <w:color w:val="auto"/>
        </w:rPr>
      </w:pPr>
    </w:p>
    <w:p>
      <w:pPr>
        <w:spacing w:after="0" w:line="309"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1320" w:type="dxa"/>
            <w:vAlign w:val="bottom"/>
            <w:tcBorders>
              <w:bottom w:val="single" w:sz="8" w:color="0063A6"/>
            </w:tcBorders>
          </w:tcPr>
          <w:p>
            <w:pPr>
              <w:spacing w:after="0"/>
              <w:rPr>
                <w:sz w:val="17"/>
                <w:szCs w:val="17"/>
                <w:color w:val="auto"/>
              </w:rPr>
            </w:pPr>
          </w:p>
        </w:tc>
        <w:tc>
          <w:tcPr>
            <w:tcW w:w="1340" w:type="dxa"/>
            <w:vAlign w:val="bottom"/>
            <w:tcBorders>
              <w:bottom w:val="single" w:sz="8" w:color="0063A6"/>
            </w:tcBorders>
          </w:tcPr>
          <w:p>
            <w:pPr>
              <w:spacing w:after="0"/>
              <w:rPr>
                <w:sz w:val="17"/>
                <w:szCs w:val="17"/>
                <w:color w:val="auto"/>
              </w:rPr>
            </w:pPr>
          </w:p>
        </w:tc>
        <w:tc>
          <w:tcPr>
            <w:tcW w:w="1400" w:type="dxa"/>
            <w:vAlign w:val="bottom"/>
            <w:tcBorders>
              <w:bottom w:val="single" w:sz="8" w:color="0063A6"/>
            </w:tcBorders>
          </w:tcPr>
          <w:p>
            <w:pPr>
              <w:jc w:val="right"/>
              <w:ind w:right="324"/>
              <w:spacing w:after="0"/>
              <w:rPr>
                <w:sz w:val="20"/>
                <w:szCs w:val="20"/>
                <w:color w:val="auto"/>
              </w:rPr>
            </w:pPr>
            <w:r>
              <w:rPr>
                <w:rFonts w:ascii="Arial" w:cs="Arial" w:eastAsia="Arial" w:hAnsi="Arial"/>
                <w:sz w:val="14"/>
                <w:szCs w:val="14"/>
                <w:b w:val="1"/>
                <w:bCs w:val="1"/>
                <w:color w:val="auto"/>
              </w:rPr>
              <w:t>ITRON, INC.</w:t>
            </w:r>
          </w:p>
        </w:tc>
        <w:tc>
          <w:tcPr>
            <w:tcW w:w="1220" w:type="dxa"/>
            <w:vAlign w:val="bottom"/>
            <w:tcBorders>
              <w:bottom w:val="single" w:sz="8" w:color="0063A6"/>
            </w:tcBorders>
          </w:tcPr>
          <w:p>
            <w:pPr>
              <w:spacing w:after="0"/>
              <w:rPr>
                <w:sz w:val="17"/>
                <w:szCs w:val="17"/>
                <w:color w:val="auto"/>
              </w:rPr>
            </w:pPr>
          </w:p>
        </w:tc>
        <w:tc>
          <w:tcPr>
            <w:tcW w:w="1240" w:type="dxa"/>
            <w:vAlign w:val="bottom"/>
            <w:tcBorders>
              <w:bottom w:val="single" w:sz="8" w:color="0063A6"/>
            </w:tcBorders>
          </w:tcPr>
          <w:p>
            <w:pPr>
              <w:spacing w:after="0"/>
              <w:rPr>
                <w:sz w:val="17"/>
                <w:szCs w:val="17"/>
                <w:color w:val="auto"/>
              </w:rPr>
            </w:pPr>
          </w:p>
        </w:tc>
      </w:tr>
      <w:tr>
        <w:trPr>
          <w:trHeight w:val="235"/>
        </w:trPr>
        <w:tc>
          <w:tcPr>
            <w:tcW w:w="2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gridSpan w:val="3"/>
          </w:tcPr>
          <w:p>
            <w:pPr>
              <w:jc w:val="right"/>
              <w:ind w:right="683"/>
              <w:spacing w:after="0"/>
              <w:rPr>
                <w:sz w:val="20"/>
                <w:szCs w:val="20"/>
                <w:color w:val="auto"/>
              </w:rPr>
            </w:pPr>
            <w:r>
              <w:rPr>
                <w:rFonts w:ascii="Arial" w:cs="Arial" w:eastAsia="Arial" w:hAnsi="Arial"/>
                <w:sz w:val="14"/>
                <w:szCs w:val="14"/>
                <w:b w:val="1"/>
                <w:bCs w:val="1"/>
                <w:color w:val="auto"/>
              </w:rPr>
              <w:t>Nonqualified Deferred Compensation</w:t>
            </w:r>
          </w:p>
        </w:tc>
        <w:tc>
          <w:tcPr>
            <w:tcW w:w="1240" w:type="dxa"/>
            <w:vAlign w:val="bottom"/>
          </w:tcPr>
          <w:p>
            <w:pPr>
              <w:spacing w:after="0"/>
              <w:rPr>
                <w:sz w:val="20"/>
                <w:szCs w:val="20"/>
                <w:color w:val="auto"/>
              </w:rPr>
            </w:pPr>
          </w:p>
        </w:tc>
      </w:tr>
      <w:tr>
        <w:trPr>
          <w:trHeight w:val="224"/>
        </w:trPr>
        <w:tc>
          <w:tcPr>
            <w:tcW w:w="2660" w:type="dxa"/>
            <w:vAlign w:val="bottom"/>
          </w:tcPr>
          <w:p>
            <w:pPr>
              <w:spacing w:after="0"/>
              <w:rPr>
                <w:sz w:val="19"/>
                <w:szCs w:val="19"/>
                <w:color w:val="auto"/>
              </w:rPr>
            </w:pPr>
          </w:p>
        </w:tc>
        <w:tc>
          <w:tcPr>
            <w:tcW w:w="1320" w:type="dxa"/>
            <w:vAlign w:val="bottom"/>
            <w:shd w:val="clear" w:color="auto" w:fill="0063A6"/>
          </w:tcPr>
          <w:p>
            <w:pPr>
              <w:jc w:val="right"/>
              <w:ind w:right="3"/>
              <w:spacing w:after="0"/>
              <w:rPr>
                <w:sz w:val="20"/>
                <w:szCs w:val="20"/>
                <w:color w:val="auto"/>
              </w:rPr>
            </w:pPr>
            <w:r>
              <w:rPr>
                <w:rFonts w:ascii="Arial" w:cs="Arial" w:eastAsia="Arial" w:hAnsi="Arial"/>
                <w:sz w:val="14"/>
                <w:szCs w:val="14"/>
                <w:b w:val="1"/>
                <w:bCs w:val="1"/>
                <w:color w:val="FFFFFF"/>
              </w:rPr>
              <w:t>Executive</w:t>
            </w:r>
          </w:p>
        </w:tc>
        <w:tc>
          <w:tcPr>
            <w:tcW w:w="134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Registrant</w:t>
            </w:r>
          </w:p>
        </w:tc>
        <w:tc>
          <w:tcPr>
            <w:tcW w:w="140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Aggregate</w:t>
            </w:r>
          </w:p>
        </w:tc>
        <w:tc>
          <w:tcPr>
            <w:tcW w:w="12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Aggregate</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2660" w:type="dxa"/>
            <w:vAlign w:val="bottom"/>
          </w:tcPr>
          <w:p>
            <w:pPr>
              <w:spacing w:after="0"/>
              <w:rPr>
                <w:sz w:val="14"/>
                <w:szCs w:val="14"/>
                <w:color w:val="auto"/>
              </w:rPr>
            </w:pPr>
          </w:p>
        </w:tc>
        <w:tc>
          <w:tcPr>
            <w:tcW w:w="13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Contributions in</w:t>
            </w:r>
          </w:p>
        </w:tc>
        <w:tc>
          <w:tcPr>
            <w:tcW w:w="1340" w:type="dxa"/>
            <w:vAlign w:val="bottom"/>
            <w:shd w:val="clear" w:color="auto" w:fill="0063A6"/>
          </w:tcPr>
          <w:p>
            <w:pPr>
              <w:jc w:val="right"/>
              <w:ind w:right="64"/>
              <w:spacing w:after="0"/>
              <w:rPr>
                <w:sz w:val="20"/>
                <w:szCs w:val="20"/>
                <w:color w:val="auto"/>
              </w:rPr>
            </w:pPr>
            <w:r>
              <w:rPr>
                <w:rFonts w:ascii="Arial" w:cs="Arial" w:eastAsia="Arial" w:hAnsi="Arial"/>
                <w:sz w:val="14"/>
                <w:szCs w:val="14"/>
                <w:b w:val="1"/>
                <w:bCs w:val="1"/>
                <w:color w:val="FFFFFF"/>
              </w:rPr>
              <w:t>Contributions in</w:t>
            </w:r>
          </w:p>
        </w:tc>
        <w:tc>
          <w:tcPr>
            <w:tcW w:w="1400" w:type="dxa"/>
            <w:vAlign w:val="bottom"/>
            <w:shd w:val="clear" w:color="auto" w:fill="0063A6"/>
          </w:tcPr>
          <w:p>
            <w:pPr>
              <w:jc w:val="right"/>
              <w:ind w:right="164"/>
              <w:spacing w:after="0"/>
              <w:rPr>
                <w:sz w:val="20"/>
                <w:szCs w:val="20"/>
                <w:color w:val="auto"/>
              </w:rPr>
            </w:pPr>
            <w:r>
              <w:rPr>
                <w:rFonts w:ascii="Arial" w:cs="Arial" w:eastAsia="Arial" w:hAnsi="Arial"/>
                <w:sz w:val="14"/>
                <w:szCs w:val="14"/>
                <w:b w:val="1"/>
                <w:bCs w:val="1"/>
                <w:color w:val="FFFFFF"/>
              </w:rPr>
              <w:t>Earnings in</w:t>
            </w:r>
          </w:p>
        </w:tc>
        <w:tc>
          <w:tcPr>
            <w:tcW w:w="12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Withdrawals /</w:t>
            </w:r>
          </w:p>
        </w:tc>
        <w:tc>
          <w:tcPr>
            <w:tcW w:w="1240" w:type="dxa"/>
            <w:vAlign w:val="bottom"/>
            <w:shd w:val="clear" w:color="auto" w:fill="0063A6"/>
          </w:tcPr>
          <w:p>
            <w:pPr>
              <w:jc w:val="right"/>
              <w:ind w:right="23"/>
              <w:spacing w:after="0"/>
              <w:rPr>
                <w:sz w:val="20"/>
                <w:szCs w:val="20"/>
                <w:color w:val="auto"/>
              </w:rPr>
            </w:pPr>
            <w:r>
              <w:rPr>
                <w:rFonts w:ascii="Arial" w:cs="Arial" w:eastAsia="Arial" w:hAnsi="Arial"/>
                <w:sz w:val="14"/>
                <w:szCs w:val="14"/>
                <w:b w:val="1"/>
                <w:bCs w:val="1"/>
                <w:color w:val="FFFFFF"/>
              </w:rPr>
              <w:t>Balance at</w:t>
            </w:r>
          </w:p>
        </w:tc>
      </w:tr>
      <w:tr>
        <w:trPr>
          <w:trHeight w:val="162"/>
        </w:trPr>
        <w:tc>
          <w:tcPr>
            <w:tcW w:w="2660" w:type="dxa"/>
            <w:vAlign w:val="bottom"/>
          </w:tcPr>
          <w:p>
            <w:pPr>
              <w:spacing w:after="0"/>
              <w:rPr>
                <w:sz w:val="14"/>
                <w:szCs w:val="14"/>
                <w:color w:val="auto"/>
              </w:rPr>
            </w:pPr>
          </w:p>
        </w:tc>
        <w:tc>
          <w:tcPr>
            <w:tcW w:w="1320" w:type="dxa"/>
            <w:vAlign w:val="bottom"/>
            <w:shd w:val="clear" w:color="auto" w:fill="0063A6"/>
          </w:tcPr>
          <w:p>
            <w:pPr>
              <w:jc w:val="right"/>
              <w:ind w:right="3"/>
              <w:spacing w:after="0"/>
              <w:rPr>
                <w:sz w:val="20"/>
                <w:szCs w:val="20"/>
                <w:color w:val="auto"/>
              </w:rPr>
            </w:pPr>
            <w:r>
              <w:rPr>
                <w:rFonts w:ascii="Arial" w:cs="Arial" w:eastAsia="Arial" w:hAnsi="Arial"/>
                <w:sz w:val="14"/>
                <w:szCs w:val="14"/>
                <w:b w:val="1"/>
                <w:bCs w:val="1"/>
                <w:color w:val="FFFFFF"/>
              </w:rPr>
              <w:t>Last Fiscal Year</w:t>
            </w:r>
          </w:p>
        </w:tc>
        <w:tc>
          <w:tcPr>
            <w:tcW w:w="1340" w:type="dxa"/>
            <w:vAlign w:val="bottom"/>
            <w:shd w:val="clear" w:color="auto" w:fill="0063A6"/>
          </w:tcPr>
          <w:p>
            <w:pPr>
              <w:jc w:val="right"/>
              <w:ind w:right="24"/>
              <w:spacing w:after="0"/>
              <w:rPr>
                <w:sz w:val="20"/>
                <w:szCs w:val="20"/>
                <w:color w:val="auto"/>
              </w:rPr>
            </w:pPr>
            <w:r>
              <w:rPr>
                <w:rFonts w:ascii="Arial" w:cs="Arial" w:eastAsia="Arial" w:hAnsi="Arial"/>
                <w:sz w:val="14"/>
                <w:szCs w:val="14"/>
                <w:b w:val="1"/>
                <w:bCs w:val="1"/>
                <w:color w:val="FFFFFF"/>
              </w:rPr>
              <w:t>Last Fiscal Year</w:t>
            </w:r>
          </w:p>
        </w:tc>
        <w:tc>
          <w:tcPr>
            <w:tcW w:w="1400" w:type="dxa"/>
            <w:vAlign w:val="bottom"/>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Last Fiscal Year</w:t>
            </w:r>
          </w:p>
        </w:tc>
        <w:tc>
          <w:tcPr>
            <w:tcW w:w="1220" w:type="dxa"/>
            <w:vAlign w:val="bottom"/>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Distributions</w:t>
            </w:r>
          </w:p>
        </w:tc>
        <w:tc>
          <w:tcPr>
            <w:tcW w:w="12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Fiscal Year End</w:t>
            </w:r>
          </w:p>
        </w:tc>
      </w:tr>
      <w:tr>
        <w:trPr>
          <w:trHeight w:val="229"/>
        </w:trPr>
        <w:tc>
          <w:tcPr>
            <w:tcW w:w="266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1320" w:type="dxa"/>
            <w:vAlign w:val="bottom"/>
            <w:tcBorders>
              <w:bottom w:val="single" w:sz="8" w:color="0063A6"/>
            </w:tcBorders>
            <w:shd w:val="clear" w:color="auto" w:fill="0063A6"/>
          </w:tcPr>
          <w:p>
            <w:pPr>
              <w:jc w:val="right"/>
              <w:ind w:right="3"/>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340" w:type="dxa"/>
            <w:vAlign w:val="bottom"/>
            <w:tcBorders>
              <w:bottom w:val="single" w:sz="8" w:color="0063A6"/>
            </w:tcBorders>
            <w:shd w:val="clear" w:color="auto" w:fill="0063A6"/>
          </w:tcPr>
          <w:p>
            <w:pPr>
              <w:jc w:val="right"/>
              <w:ind w:right="24"/>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1400" w:type="dxa"/>
            <w:vAlign w:val="bottom"/>
            <w:tcBorders>
              <w:bottom w:val="single" w:sz="8" w:color="0063A6"/>
            </w:tcBorders>
            <w:shd w:val="clear" w:color="auto" w:fill="0063A6"/>
          </w:tcPr>
          <w:p>
            <w:pPr>
              <w:jc w:val="right"/>
              <w:ind w:right="124"/>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063A6"/>
            </w:tcBorders>
            <w:shd w:val="clear" w:color="auto" w:fill="0063A6"/>
          </w:tcPr>
          <w:p>
            <w:pPr>
              <w:jc w:val="right"/>
              <w:ind w:right="43"/>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r>
      <w:tr>
        <w:trPr>
          <w:trHeight w:val="243"/>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Thomas L. Deitrich</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43"/>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Joan S. Hooper</w:t>
            </w: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82,096</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33,214</w:t>
            </w: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182,109</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1,500,524</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43"/>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Donald L. Reeves</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42"/>
        </w:trPr>
        <w:tc>
          <w:tcPr>
            <w:tcW w:w="2660" w:type="dxa"/>
            <w:vAlign w:val="bottom"/>
          </w:tcPr>
          <w:p>
            <w:pPr>
              <w:ind w:left="60"/>
              <w:spacing w:after="0"/>
              <w:rPr>
                <w:sz w:val="20"/>
                <w:szCs w:val="20"/>
                <w:color w:val="auto"/>
              </w:rPr>
            </w:pPr>
            <w:r>
              <w:rPr>
                <w:rFonts w:ascii="Arial" w:cs="Arial" w:eastAsia="Arial" w:hAnsi="Arial"/>
                <w:sz w:val="16"/>
                <w:szCs w:val="16"/>
                <w:b w:val="1"/>
                <w:bCs w:val="1"/>
                <w:color w:val="0063A6"/>
              </w:rPr>
              <w:t>John F. Marcolini</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660" w:type="dxa"/>
            <w:vAlign w:val="bottom"/>
            <w:tcBorders>
              <w:bottom w:val="single" w:sz="8" w:color="5D6673"/>
            </w:tcBorders>
          </w:tcPr>
          <w:p>
            <w:pPr>
              <w:spacing w:after="0" w:line="20" w:lineRule="exact"/>
              <w:rPr>
                <w:sz w:val="1"/>
                <w:szCs w:val="1"/>
                <w:color w:val="auto"/>
              </w:rPr>
            </w:pPr>
          </w:p>
        </w:tc>
        <w:tc>
          <w:tcPr>
            <w:tcW w:w="1320" w:type="dxa"/>
            <w:vAlign w:val="bottom"/>
            <w:tcBorders>
              <w:bottom w:val="single" w:sz="8" w:color="5D6673"/>
            </w:tcBorders>
          </w:tcPr>
          <w:p>
            <w:pPr>
              <w:spacing w:after="0" w:line="20" w:lineRule="exact"/>
              <w:rPr>
                <w:sz w:val="1"/>
                <w:szCs w:val="1"/>
                <w:color w:val="auto"/>
              </w:rPr>
            </w:pPr>
          </w:p>
        </w:tc>
        <w:tc>
          <w:tcPr>
            <w:tcW w:w="1340" w:type="dxa"/>
            <w:vAlign w:val="bottom"/>
            <w:tcBorders>
              <w:bottom w:val="single" w:sz="8" w:color="5D6673"/>
            </w:tcBorders>
          </w:tcPr>
          <w:p>
            <w:pPr>
              <w:spacing w:after="0" w:line="20" w:lineRule="exact"/>
              <w:rPr>
                <w:sz w:val="1"/>
                <w:szCs w:val="1"/>
                <w:color w:val="auto"/>
              </w:rPr>
            </w:pPr>
          </w:p>
        </w:tc>
        <w:tc>
          <w:tcPr>
            <w:tcW w:w="1400" w:type="dxa"/>
            <w:vAlign w:val="bottom"/>
            <w:tcBorders>
              <w:bottom w:val="single" w:sz="8" w:color="5D6673"/>
            </w:tcBorders>
          </w:tcPr>
          <w:p>
            <w:pPr>
              <w:spacing w:after="0" w:line="20" w:lineRule="exact"/>
              <w:rPr>
                <w:sz w:val="1"/>
                <w:szCs w:val="1"/>
                <w:color w:val="auto"/>
              </w:rPr>
            </w:pPr>
          </w:p>
        </w:tc>
        <w:tc>
          <w:tcPr>
            <w:tcW w:w="1220" w:type="dxa"/>
            <w:vAlign w:val="bottom"/>
            <w:tcBorders>
              <w:bottom w:val="single" w:sz="8" w:color="5D6673"/>
            </w:tcBorders>
          </w:tcPr>
          <w:p>
            <w:pPr>
              <w:spacing w:after="0" w:line="20" w:lineRule="exact"/>
              <w:rPr>
                <w:sz w:val="1"/>
                <w:szCs w:val="1"/>
                <w:color w:val="auto"/>
              </w:rPr>
            </w:pPr>
          </w:p>
        </w:tc>
        <w:tc>
          <w:tcPr>
            <w:tcW w:w="1240" w:type="dxa"/>
            <w:vAlign w:val="bottom"/>
            <w:tcBorders>
              <w:bottom w:val="single" w:sz="8" w:color="5D6673"/>
            </w:tcBorders>
          </w:tcPr>
          <w:p>
            <w:pPr>
              <w:spacing w:after="0" w:line="20" w:lineRule="exact"/>
              <w:rPr>
                <w:sz w:val="1"/>
                <w:szCs w:val="1"/>
                <w:color w:val="auto"/>
              </w:rPr>
            </w:pPr>
          </w:p>
        </w:tc>
      </w:tr>
      <w:tr>
        <w:trPr>
          <w:trHeight w:val="236"/>
        </w:trPr>
        <w:tc>
          <w:tcPr>
            <w:tcW w:w="2660" w:type="dxa"/>
            <w:vAlign w:val="bottom"/>
            <w:tcBorders>
              <w:bottom w:val="single" w:sz="8" w:color="0063A6"/>
            </w:tcBorders>
          </w:tcPr>
          <w:p>
            <w:pPr>
              <w:ind w:left="60"/>
              <w:spacing w:after="0"/>
              <w:rPr>
                <w:sz w:val="20"/>
                <w:szCs w:val="20"/>
                <w:color w:val="auto"/>
              </w:rPr>
            </w:pPr>
            <w:r>
              <w:rPr>
                <w:rFonts w:ascii="Arial" w:cs="Arial" w:eastAsia="Arial" w:hAnsi="Arial"/>
                <w:sz w:val="16"/>
                <w:szCs w:val="16"/>
                <w:b w:val="1"/>
                <w:bCs w:val="1"/>
                <w:color w:val="0063A6"/>
              </w:rPr>
              <w:t>Justin K. Patrick</w:t>
            </w:r>
          </w:p>
        </w:tc>
        <w:tc>
          <w:tcPr>
            <w:tcW w:w="1320" w:type="dxa"/>
            <w:vAlign w:val="bottom"/>
            <w:tcBorders>
              <w:bottom w:val="single" w:sz="8" w:color="0063A6"/>
            </w:tcBorders>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063A6"/>
            </w:tcBorders>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0063A6"/>
            </w:tcBorders>
          </w:tcPr>
          <w:p>
            <w:pPr>
              <w:jc w:val="right"/>
              <w:ind w:right="14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63A6"/>
            </w:tcBorders>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r>
    </w:tbl>
    <w:p>
      <w:pPr>
        <w:spacing w:after="0" w:line="99" w:lineRule="exact"/>
        <w:rPr>
          <w:sz w:val="20"/>
          <w:szCs w:val="20"/>
          <w:color w:val="auto"/>
        </w:rPr>
      </w:pPr>
    </w:p>
    <w:p>
      <w:pPr>
        <w:ind w:left="346" w:hanging="346"/>
        <w:spacing w:after="0"/>
        <w:tabs>
          <w:tab w:leader="none" w:pos="3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This deferred compensation represents amounts that are reported as compensation earned in 2024 in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This amount has been included in the “All Other Compensation” column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Potential Payments upon Termination</w:t>
      </w:r>
    </w:p>
    <w:p>
      <w:pPr>
        <w:spacing w:after="0" w:line="85" w:lineRule="exact"/>
        <w:rPr>
          <w:sz w:val="20"/>
          <w:szCs w:val="20"/>
          <w:color w:val="auto"/>
        </w:rPr>
      </w:pPr>
    </w:p>
    <w:p>
      <w:pPr>
        <w:ind w:left="6" w:right="240"/>
        <w:spacing w:after="0" w:line="286" w:lineRule="auto"/>
        <w:rPr>
          <w:sz w:val="20"/>
          <w:szCs w:val="20"/>
          <w:color w:val="auto"/>
        </w:rPr>
      </w:pPr>
      <w:r>
        <w:rPr>
          <w:rFonts w:ascii="Arial" w:cs="Arial" w:eastAsia="Arial" w:hAnsi="Arial"/>
          <w:sz w:val="16"/>
          <w:szCs w:val="16"/>
          <w:color w:val="auto"/>
        </w:rPr>
        <w:t>The following describes certain actions and payments upon termination in accordance with Company policies, the IIP and the provisions of our Third A&amp;R 2010 Plan (2010 SIP), pursuant to which all of our equity awards are granted.</w:t>
      </w:r>
    </w:p>
    <w:p>
      <w:pPr>
        <w:spacing w:after="0" w:line="115" w:lineRule="exact"/>
        <w:rPr>
          <w:sz w:val="20"/>
          <w:szCs w:val="20"/>
          <w:color w:val="auto"/>
        </w:rPr>
      </w:pPr>
    </w:p>
    <w:p>
      <w:pPr>
        <w:ind w:left="6" w:right="100"/>
        <w:spacing w:after="0" w:line="286" w:lineRule="auto"/>
        <w:rPr>
          <w:sz w:val="20"/>
          <w:szCs w:val="20"/>
          <w:color w:val="auto"/>
        </w:rPr>
      </w:pPr>
      <w:r>
        <w:rPr>
          <w:rFonts w:ascii="Arial" w:cs="Arial" w:eastAsia="Arial" w:hAnsi="Arial"/>
          <w:sz w:val="16"/>
          <w:szCs w:val="16"/>
          <w:color w:val="auto"/>
        </w:rPr>
        <w:t>Upon any termination of employment, our NEOs are entitled to receive any accrued and unpaid base salary through the date of termination.</w:t>
      </w:r>
    </w:p>
    <w:p>
      <w:pPr>
        <w:spacing w:after="0" w:line="22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Termination for Cause</w:t>
      </w:r>
    </w:p>
    <w:p>
      <w:pPr>
        <w:spacing w:after="0" w:line="90" w:lineRule="exact"/>
        <w:rPr>
          <w:sz w:val="20"/>
          <w:szCs w:val="20"/>
          <w:color w:val="auto"/>
        </w:rPr>
      </w:pPr>
    </w:p>
    <w:p>
      <w:pPr>
        <w:ind w:left="6" w:right="380"/>
        <w:spacing w:after="0" w:line="266" w:lineRule="auto"/>
        <w:rPr>
          <w:sz w:val="20"/>
          <w:szCs w:val="20"/>
          <w:color w:val="auto"/>
        </w:rPr>
      </w:pPr>
      <w:r>
        <w:rPr>
          <w:rFonts w:ascii="Arial" w:cs="Arial" w:eastAsia="Arial" w:hAnsi="Arial"/>
          <w:sz w:val="16"/>
          <w:szCs w:val="16"/>
          <w:color w:val="auto"/>
        </w:rPr>
        <w:t>The executive is entitled to receive any accrued and unpaid base salary through the date of termination. All options granted automatically expire when terminated for cause and all unvested RSUs, unvested awards under the LTIP and the IIP are forfeited in the event of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8293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6"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9" w:name="page50"/>
    <w:bookmarkEnd w:id="4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580" w:type="dxa"/>
            <w:vAlign w:val="bottom"/>
          </w:tcPr>
          <w:p>
            <w:pPr>
              <w:jc w:val="right"/>
              <w:spacing w:after="0"/>
              <w:rPr>
                <w:sz w:val="20"/>
                <w:szCs w:val="20"/>
                <w:color w:val="auto"/>
              </w:rPr>
            </w:pPr>
            <w:r>
              <w:rPr>
                <w:rFonts w:ascii="Arial" w:cs="Arial" w:eastAsia="Arial" w:hAnsi="Arial"/>
                <w:sz w:val="14"/>
                <w:szCs w:val="14"/>
                <w:color w:val="0063A6"/>
              </w:rPr>
              <w:t>Executive Compensation Tables</w:t>
            </w:r>
          </w:p>
        </w:tc>
        <w:tc>
          <w:tcPr>
            <w:tcW w:w="0" w:type="dxa"/>
            <w:vAlign w:val="bottom"/>
          </w:tcPr>
          <w:p>
            <w:pPr>
              <w:spacing w:after="0"/>
              <w:rPr>
                <w:sz w:val="1"/>
                <w:szCs w:val="1"/>
                <w:color w:val="auto"/>
              </w:rPr>
            </w:pPr>
          </w:p>
        </w:tc>
      </w:tr>
      <w:tr>
        <w:trPr>
          <w:trHeight w:val="366"/>
        </w:trPr>
        <w:tc>
          <w:tcPr>
            <w:tcW w:w="5600" w:type="dxa"/>
            <w:vAlign w:val="bottom"/>
            <w:gridSpan w:val="3"/>
          </w:tcPr>
          <w:p>
            <w:pPr>
              <w:spacing w:after="0"/>
              <w:rPr>
                <w:sz w:val="20"/>
                <w:szCs w:val="20"/>
                <w:color w:val="auto"/>
              </w:rPr>
            </w:pPr>
            <w:r>
              <w:rPr>
                <w:rFonts w:ascii="Arial" w:cs="Arial" w:eastAsia="Arial" w:hAnsi="Arial"/>
                <w:sz w:val="20"/>
                <w:szCs w:val="20"/>
                <w:b w:val="1"/>
                <w:bCs w:val="1"/>
                <w:color w:val="auto"/>
              </w:rPr>
              <w:t>Termination Due to Death, Disability, or Retirement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600" w:type="dxa"/>
            <w:vAlign w:val="bottom"/>
            <w:gridSpan w:val="3"/>
          </w:tcPr>
          <w:p>
            <w:pPr>
              <w:spacing w:after="0"/>
              <w:rPr>
                <w:sz w:val="20"/>
                <w:szCs w:val="20"/>
                <w:color w:val="auto"/>
              </w:rPr>
            </w:pPr>
            <w:r>
              <w:rPr>
                <w:rFonts w:ascii="Arial" w:cs="Arial" w:eastAsia="Arial" w:hAnsi="Arial"/>
                <w:sz w:val="16"/>
                <w:szCs w:val="16"/>
                <w:color w:val="auto"/>
              </w:rPr>
              <w:t>What happens if termination is due to:</w:t>
            </w: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40" w:type="dxa"/>
            <w:vAlign w:val="bottom"/>
            <w:shd w:val="clear" w:color="auto" w:fill="0063A6"/>
          </w:tcPr>
          <w:p>
            <w:pPr>
              <w:spacing w:after="0"/>
              <w:rPr>
                <w:sz w:val="24"/>
                <w:szCs w:val="24"/>
                <w:color w:val="auto"/>
              </w:rPr>
            </w:pPr>
          </w:p>
        </w:tc>
        <w:tc>
          <w:tcPr>
            <w:tcW w:w="2160" w:type="dxa"/>
            <w:vAlign w:val="bottom"/>
            <w:shd w:val="clear" w:color="auto" w:fill="0063A6"/>
          </w:tcPr>
          <w:p>
            <w:pPr>
              <w:ind w:left="40"/>
              <w:spacing w:after="0"/>
              <w:rPr>
                <w:sz w:val="20"/>
                <w:szCs w:val="20"/>
                <w:color w:val="auto"/>
              </w:rPr>
            </w:pPr>
            <w:r>
              <w:rPr>
                <w:rFonts w:ascii="Arial" w:cs="Arial" w:eastAsia="Arial" w:hAnsi="Arial"/>
                <w:sz w:val="16"/>
                <w:szCs w:val="16"/>
                <w:b w:val="1"/>
                <w:bCs w:val="1"/>
                <w:color w:val="FFFFFF"/>
              </w:rPr>
              <w:t>Compensation Element</w:t>
            </w:r>
          </w:p>
        </w:tc>
        <w:tc>
          <w:tcPr>
            <w:tcW w:w="3400" w:type="dxa"/>
            <w:vAlign w:val="bottom"/>
            <w:shd w:val="clear" w:color="auto" w:fill="0063A6"/>
          </w:tcPr>
          <w:p>
            <w:pPr>
              <w:ind w:left="120"/>
              <w:spacing w:after="0"/>
              <w:rPr>
                <w:sz w:val="20"/>
                <w:szCs w:val="20"/>
                <w:color w:val="auto"/>
              </w:rPr>
            </w:pPr>
            <w:r>
              <w:rPr>
                <w:rFonts w:ascii="Arial" w:cs="Arial" w:eastAsia="Arial" w:hAnsi="Arial"/>
                <w:sz w:val="16"/>
                <w:szCs w:val="16"/>
                <w:b w:val="1"/>
                <w:bCs w:val="1"/>
                <w:color w:val="FFFFFF"/>
              </w:rPr>
              <w:t>Death or Disability</w:t>
            </w:r>
          </w:p>
        </w:tc>
        <w:tc>
          <w:tcPr>
            <w:tcW w:w="3580" w:type="dxa"/>
            <w:vAlign w:val="bottom"/>
            <w:shd w:val="clear" w:color="auto" w:fill="0063A6"/>
          </w:tcPr>
          <w:p>
            <w:pPr>
              <w:ind w:left="180"/>
              <w:spacing w:after="0"/>
              <w:rPr>
                <w:sz w:val="20"/>
                <w:szCs w:val="20"/>
                <w:color w:val="auto"/>
              </w:rPr>
            </w:pPr>
            <w:r>
              <w:rPr>
                <w:rFonts w:ascii="Arial" w:cs="Arial" w:eastAsia="Arial" w:hAnsi="Arial"/>
                <w:sz w:val="16"/>
                <w:szCs w:val="16"/>
                <w:b w:val="1"/>
                <w:bCs w:val="1"/>
                <w:color w:val="FFFFFF"/>
              </w:rPr>
              <w:t>Retirement</w:t>
            </w:r>
            <w:r>
              <w:rPr>
                <w:rFonts w:ascii="Arial" w:cs="Arial" w:eastAsia="Arial" w:hAnsi="Arial"/>
                <w:sz w:val="26"/>
                <w:szCs w:val="26"/>
                <w:b w:val="1"/>
                <w:bCs w:val="1"/>
                <w:color w:val="FFFFFF"/>
                <w:vertAlign w:val="superscript"/>
              </w:rPr>
              <w:t>(1)</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Prorated (assuming an award is earned)</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based on the number of calendar days</w:t>
            </w:r>
          </w:p>
        </w:tc>
        <w:tc>
          <w:tcPr>
            <w:tcW w:w="3580" w:type="dxa"/>
            <w:vAlign w:val="bottom"/>
          </w:tcPr>
          <w:p>
            <w:pPr>
              <w:ind w:left="180"/>
              <w:spacing w:after="0"/>
              <w:rPr>
                <w:sz w:val="20"/>
                <w:szCs w:val="20"/>
                <w:color w:val="auto"/>
              </w:rPr>
            </w:pPr>
            <w:r>
              <w:rPr>
                <w:rFonts w:ascii="Arial" w:cs="Arial" w:eastAsia="Arial" w:hAnsi="Arial"/>
                <w:sz w:val="16"/>
                <w:szCs w:val="16"/>
                <w:color w:val="auto"/>
              </w:rPr>
              <w:t>Forfeited in its entirety if not employed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16"/>
                <w:szCs w:val="16"/>
                <w:b w:val="1"/>
                <w:bCs w:val="1"/>
                <w:color w:val="auto"/>
              </w:rPr>
              <w:t>Annual Incentive Plan</w:t>
            </w:r>
          </w:p>
        </w:tc>
        <w:tc>
          <w:tcPr>
            <w:tcW w:w="3400" w:type="dxa"/>
            <w:vAlign w:val="bottom"/>
          </w:tcPr>
          <w:p>
            <w:pPr>
              <w:ind w:left="120"/>
              <w:spacing w:after="0"/>
              <w:rPr>
                <w:sz w:val="20"/>
                <w:szCs w:val="20"/>
                <w:color w:val="auto"/>
              </w:rPr>
            </w:pPr>
            <w:r>
              <w:rPr>
                <w:rFonts w:ascii="Arial" w:cs="Arial" w:eastAsia="Arial" w:hAnsi="Arial"/>
                <w:sz w:val="16"/>
                <w:szCs w:val="16"/>
                <w:color w:val="auto"/>
              </w:rPr>
              <w:t>employed during the performance period</w:t>
            </w:r>
          </w:p>
        </w:tc>
        <w:tc>
          <w:tcPr>
            <w:tcW w:w="3580" w:type="dxa"/>
            <w:vAlign w:val="bottom"/>
          </w:tcPr>
          <w:p>
            <w:pPr>
              <w:ind w:left="180"/>
              <w:spacing w:after="0"/>
              <w:rPr>
                <w:sz w:val="20"/>
                <w:szCs w:val="20"/>
                <w:color w:val="auto"/>
              </w:rPr>
            </w:pPr>
            <w:r>
              <w:rPr>
                <w:rFonts w:ascii="Arial" w:cs="Arial" w:eastAsia="Arial" w:hAnsi="Arial"/>
                <w:sz w:val="16"/>
                <w:szCs w:val="16"/>
                <w:color w:val="auto"/>
              </w:rPr>
              <w:t>by the Company through the completion of</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and such payout, if any, will be made at the</w:t>
            </w:r>
          </w:p>
        </w:tc>
        <w:tc>
          <w:tcPr>
            <w:tcW w:w="3580" w:type="dxa"/>
            <w:vAlign w:val="bottom"/>
          </w:tcPr>
          <w:p>
            <w:pPr>
              <w:ind w:left="180"/>
              <w:spacing w:after="0"/>
              <w:rPr>
                <w:sz w:val="20"/>
                <w:szCs w:val="20"/>
                <w:color w:val="auto"/>
              </w:rPr>
            </w:pPr>
            <w:r>
              <w:rPr>
                <w:rFonts w:ascii="Arial" w:cs="Arial" w:eastAsia="Arial" w:hAnsi="Arial"/>
                <w:sz w:val="16"/>
                <w:szCs w:val="16"/>
                <w:color w:val="auto"/>
              </w:rPr>
              <w:t>the performance period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same time as the other participants</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 w:type="dxa"/>
            <w:vAlign w:val="bottom"/>
            <w:tcBorders>
              <w:bottom w:val="single" w:sz="8" w:color="5D6673"/>
            </w:tcBorders>
          </w:tcPr>
          <w:p>
            <w:pPr>
              <w:spacing w:after="0"/>
              <w:rPr>
                <w:sz w:val="2"/>
                <w:szCs w:val="2"/>
                <w:color w:val="auto"/>
              </w:rPr>
            </w:pPr>
          </w:p>
        </w:tc>
        <w:tc>
          <w:tcPr>
            <w:tcW w:w="2160" w:type="dxa"/>
            <w:vAlign w:val="bottom"/>
            <w:tcBorders>
              <w:bottom w:val="single" w:sz="8" w:color="5D6673"/>
            </w:tcBorders>
          </w:tcPr>
          <w:p>
            <w:pPr>
              <w:spacing w:after="0"/>
              <w:rPr>
                <w:sz w:val="2"/>
                <w:szCs w:val="2"/>
                <w:color w:val="auto"/>
              </w:rPr>
            </w:pPr>
          </w:p>
        </w:tc>
        <w:tc>
          <w:tcPr>
            <w:tcW w:w="3400" w:type="dxa"/>
            <w:vAlign w:val="bottom"/>
            <w:tcBorders>
              <w:bottom w:val="single" w:sz="8" w:color="5D6673"/>
            </w:tcBorders>
          </w:tcPr>
          <w:p>
            <w:pPr>
              <w:spacing w:after="0"/>
              <w:rPr>
                <w:sz w:val="2"/>
                <w:szCs w:val="2"/>
                <w:color w:val="auto"/>
              </w:rPr>
            </w:pPr>
          </w:p>
        </w:tc>
        <w:tc>
          <w:tcPr>
            <w:tcW w:w="3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6"/>
                <w:szCs w:val="16"/>
                <w:color w:val="auto"/>
              </w:rPr>
              <w:t>If retirement occurs after 12 months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580" w:type="dxa"/>
            <w:vAlign w:val="bottom"/>
          </w:tcPr>
          <w:p>
            <w:pPr>
              <w:ind w:left="180"/>
              <w:spacing w:after="0"/>
              <w:rPr>
                <w:sz w:val="20"/>
                <w:szCs w:val="20"/>
                <w:color w:val="auto"/>
              </w:rPr>
            </w:pPr>
            <w:r>
              <w:rPr>
                <w:rFonts w:ascii="Arial" w:cs="Arial" w:eastAsia="Arial" w:hAnsi="Arial"/>
                <w:sz w:val="16"/>
                <w:szCs w:val="16"/>
                <w:color w:val="auto"/>
              </w:rPr>
              <w:t>following grant date,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RSUs</w:t>
            </w:r>
            <w:r>
              <w:rPr>
                <w:rFonts w:ascii="Arial" w:cs="Arial" w:eastAsia="Arial" w:hAnsi="Arial"/>
                <w:sz w:val="26"/>
                <w:szCs w:val="26"/>
                <w:b w:val="1"/>
                <w:bCs w:val="1"/>
                <w:color w:val="auto"/>
                <w:vertAlign w:val="superscript"/>
              </w:rPr>
              <w:t>(2)</w:t>
            </w:r>
          </w:p>
        </w:tc>
        <w:tc>
          <w:tcPr>
            <w:tcW w:w="3400" w:type="dxa"/>
            <w:vAlign w:val="bottom"/>
          </w:tcPr>
          <w:p>
            <w:pPr>
              <w:spacing w:after="0"/>
              <w:rPr>
                <w:sz w:val="16"/>
                <w:szCs w:val="16"/>
                <w:color w:val="auto"/>
              </w:rPr>
            </w:pPr>
          </w:p>
        </w:tc>
        <w:tc>
          <w:tcPr>
            <w:tcW w:w="3580" w:type="dxa"/>
            <w:vAlign w:val="bottom"/>
          </w:tcPr>
          <w:p>
            <w:pPr>
              <w:ind w:left="180"/>
              <w:spacing w:after="0"/>
              <w:rPr>
                <w:sz w:val="20"/>
                <w:szCs w:val="20"/>
                <w:color w:val="auto"/>
              </w:rPr>
            </w:pPr>
            <w:r>
              <w:rPr>
                <w:rFonts w:ascii="Arial" w:cs="Arial" w:eastAsia="Arial" w:hAnsi="Arial"/>
                <w:sz w:val="16"/>
                <w:szCs w:val="16"/>
                <w:color w:val="auto"/>
              </w:rPr>
              <w:t>continued vesting subject</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Fully accelerated</w:t>
            </w:r>
          </w:p>
        </w:tc>
        <w:tc>
          <w:tcPr>
            <w:tcW w:w="3580" w:type="dxa"/>
            <w:vAlign w:val="bottom"/>
          </w:tcPr>
          <w:p>
            <w:pPr>
              <w:ind w:left="180"/>
              <w:spacing w:after="0"/>
              <w:rPr>
                <w:sz w:val="20"/>
                <w:szCs w:val="20"/>
                <w:color w:val="auto"/>
              </w:rPr>
            </w:pPr>
            <w:r>
              <w:rPr>
                <w:rFonts w:ascii="Arial" w:cs="Arial" w:eastAsia="Arial" w:hAnsi="Arial"/>
                <w:sz w:val="16"/>
                <w:szCs w:val="16"/>
                <w:color w:val="auto"/>
              </w:rPr>
              <w:t>to completion of new</w:t>
            </w:r>
          </w:p>
        </w:tc>
        <w:tc>
          <w:tcPr>
            <w:tcW w:w="0" w:type="dxa"/>
            <w:vAlign w:val="bottom"/>
          </w:tcPr>
          <w:p>
            <w:pPr>
              <w:spacing w:after="0"/>
              <w:rPr>
                <w:sz w:val="1"/>
                <w:szCs w:val="1"/>
                <w:color w:val="auto"/>
              </w:rPr>
            </w:pPr>
          </w:p>
        </w:tc>
      </w:tr>
    </w:tbl>
    <w:p>
      <w:pPr>
        <w:ind w:left="5786"/>
        <w:spacing w:after="0"/>
        <w:rPr>
          <w:sz w:val="20"/>
          <w:szCs w:val="20"/>
          <w:color w:val="auto"/>
        </w:rPr>
      </w:pPr>
      <w:r>
        <w:rPr>
          <w:rFonts w:ascii="Arial" w:cs="Arial" w:eastAsia="Arial" w:hAnsi="Arial"/>
          <w:sz w:val="16"/>
          <w:szCs w:val="16"/>
          <w:color w:val="auto"/>
        </w:rPr>
        <w:t>non-compete/non-solicit</w:t>
      </w:r>
    </w:p>
    <w:p>
      <w:pPr>
        <w:spacing w:after="0" w:line="5"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agreement and</w:t>
      </w:r>
    </w:p>
    <w:p>
      <w:pPr>
        <w:spacing w:after="0" w:line="5"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reasonable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58293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p>
      <w:pPr>
        <w:spacing w:after="0" w:line="84"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Shares awarded and</w:t>
      </w:r>
    </w:p>
    <w:p>
      <w:pPr>
        <w:spacing w:after="0" w:line="21"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settled based on</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actual attainment of</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performance results as</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measured at the end</w:t>
      </w:r>
    </w:p>
    <w:p>
      <w:pPr>
        <w:ind w:left="2326"/>
        <w:spacing w:after="0" w:line="214" w:lineRule="auto"/>
        <w:rPr>
          <w:sz w:val="20"/>
          <w:szCs w:val="20"/>
          <w:color w:val="auto"/>
        </w:rPr>
      </w:pPr>
      <w:r>
        <w:rPr>
          <w:rFonts w:ascii="Arial" w:cs="Arial" w:eastAsia="Arial" w:hAnsi="Arial"/>
          <w:sz w:val="16"/>
          <w:szCs w:val="16"/>
          <w:color w:val="auto"/>
        </w:rPr>
        <w:t>of the performance</w:t>
      </w:r>
    </w:p>
    <w:p>
      <w:pPr>
        <w:ind w:left="86"/>
        <w:spacing w:after="0"/>
        <w:tabs>
          <w:tab w:leader="none" w:pos="2306" w:val="left"/>
        </w:tabs>
        <w:rPr>
          <w:sz w:val="20"/>
          <w:szCs w:val="20"/>
          <w:color w:val="auto"/>
        </w:rPr>
      </w:pPr>
      <w:r>
        <w:rPr>
          <w:rFonts w:ascii="Arial" w:cs="Arial" w:eastAsia="Arial" w:hAnsi="Arial"/>
          <w:sz w:val="16"/>
          <w:szCs w:val="16"/>
          <w:b w:val="1"/>
          <w:bCs w:val="1"/>
          <w:color w:val="auto"/>
        </w:rPr>
        <w:t>PRSUs</w:t>
      </w:r>
      <w:r>
        <w:rPr>
          <w:rFonts w:ascii="Arial" w:cs="Arial" w:eastAsia="Arial" w:hAnsi="Arial"/>
          <w:sz w:val="25"/>
          <w:szCs w:val="25"/>
          <w:b w:val="1"/>
          <w:bCs w:val="1"/>
          <w:color w:val="auto"/>
          <w:vertAlign w:val="superscript"/>
        </w:rPr>
        <w:t>(3)</w:t>
      </w:r>
      <w:r>
        <w:rPr>
          <w:sz w:val="20"/>
          <w:szCs w:val="20"/>
          <w:color w:val="auto"/>
        </w:rPr>
        <w:tab/>
      </w:r>
      <w:r>
        <w:rPr>
          <w:rFonts w:ascii="Arial" w:cs="Arial" w:eastAsia="Arial" w:hAnsi="Arial"/>
          <w:sz w:val="16"/>
          <w:szCs w:val="16"/>
          <w:color w:val="auto"/>
        </w:rPr>
        <w:t>period ending in the</w:t>
      </w:r>
    </w:p>
    <w:p>
      <w:pPr>
        <w:spacing w:after="0" w:line="1"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year of death or</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disability. Number of</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shares awarded is not</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pro-rated for partial</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employment during the</w:t>
      </w:r>
    </w:p>
    <w:p>
      <w:pPr>
        <w:spacing w:after="0" w:line="5" w:lineRule="exact"/>
        <w:rPr>
          <w:sz w:val="20"/>
          <w:szCs w:val="20"/>
          <w:color w:val="auto"/>
        </w:rPr>
      </w:pPr>
    </w:p>
    <w:p>
      <w:pPr>
        <w:ind w:left="2326"/>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8293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If retirement occurs after 12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following grant date, shares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awarded at the end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 based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 actual attainment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performance results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measured at the end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the performance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period. Number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shares awarded is not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pro-rated for partial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employment during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w:t>
      </w:r>
    </w:p>
    <w:p>
      <w:pPr>
        <w:spacing w:after="0" w:line="129" w:lineRule="exact"/>
        <w:rPr>
          <w:sz w:val="20"/>
          <w:szCs w:val="20"/>
          <w:color w:val="auto"/>
        </w:rPr>
      </w:pPr>
    </w:p>
    <w:p>
      <w:pPr>
        <w:sectPr>
          <w:pgSz w:w="11900" w:h="16838" w:orient="portrait"/>
          <w:cols w:equalWidth="0" w:num="2">
            <w:col w:w="5066" w:space="720"/>
            <w:col w:w="3400"/>
          </w:cols>
          <w:pgMar w:left="1354" w:top="114" w:right="1359" w:bottom="1440" w:gutter="0" w:footer="0" w:header="0"/>
          <w:type w:val="continuous"/>
        </w:sectPr>
      </w:pPr>
    </w:p>
    <w:p>
      <w:pPr>
        <w:ind w:left="346" w:right="20" w:hanging="346"/>
        <w:spacing w:after="0" w:line="252"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Definition of Retirement: </w:t>
      </w:r>
      <w:r>
        <w:rPr>
          <w:rFonts w:ascii="Arial" w:cs="Arial" w:eastAsia="Arial" w:hAnsi="Arial"/>
          <w:sz w:val="14"/>
          <w:szCs w:val="14"/>
          <w:color w:val="auto"/>
        </w:rPr>
        <w:t>For purposes of all outstanding awards granted under the IIP to NEOs located in the U.S., “retirement” means the</w:t>
      </w:r>
      <w:r>
        <w:rPr>
          <w:rFonts w:ascii="Arial" w:cs="Arial" w:eastAsia="Arial" w:hAnsi="Arial"/>
          <w:sz w:val="14"/>
          <w:szCs w:val="14"/>
          <w:i w:val="1"/>
          <w:iCs w:val="1"/>
          <w:color w:val="auto"/>
        </w:rPr>
        <w:t xml:space="preserve"> </w:t>
      </w:r>
      <w:r>
        <w:rPr>
          <w:rFonts w:ascii="Arial" w:cs="Arial" w:eastAsia="Arial" w:hAnsi="Arial"/>
          <w:sz w:val="14"/>
          <w:szCs w:val="14"/>
          <w:color w:val="auto"/>
        </w:rPr>
        <w:t>earlier of the age 65, or the age 55 with at least 10 years of service with Itron. For purposes of all outstanding awards granted under the 2010 SIP to NEOs located in the U.S., “retirement” means voluntary termination of employment after the date on which the award recipient has reached (i) the age of 55 and has a total of at least 10 years of continuous employment with Itron or (ii) the age of 60 and has a total of at least five (5) years of continuous employment with Itron.</w:t>
      </w:r>
    </w:p>
    <w:p>
      <w:pPr>
        <w:spacing w:after="0" w:line="32" w:lineRule="exact"/>
        <w:rPr>
          <w:rFonts w:ascii="Arial" w:cs="Arial" w:eastAsia="Arial" w:hAnsi="Arial"/>
          <w:sz w:val="14"/>
          <w:szCs w:val="14"/>
          <w:color w:val="auto"/>
        </w:rPr>
      </w:pPr>
    </w:p>
    <w:p>
      <w:pPr>
        <w:ind w:left="346" w:right="220" w:hanging="346"/>
        <w:spacing w:after="0" w:line="263"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RSUs: </w:t>
      </w:r>
      <w:r>
        <w:rPr>
          <w:rFonts w:ascii="Arial" w:cs="Arial" w:eastAsia="Arial" w:hAnsi="Arial"/>
          <w:sz w:val="14"/>
          <w:szCs w:val="14"/>
          <w:color w:val="auto"/>
        </w:rPr>
        <w:t>If a retirement occurs after 12 months following the grant date, RSUs will continue to vest subject to non-compete/non-solicit and</w:t>
      </w:r>
      <w:r>
        <w:rPr>
          <w:rFonts w:ascii="Arial" w:cs="Arial" w:eastAsia="Arial" w:hAnsi="Arial"/>
          <w:sz w:val="14"/>
          <w:szCs w:val="14"/>
          <w:i w:val="1"/>
          <w:iCs w:val="1"/>
          <w:color w:val="auto"/>
        </w:rPr>
        <w:t xml:space="preserve"> </w:t>
      </w:r>
      <w:r>
        <w:rPr>
          <w:rFonts w:ascii="Arial" w:cs="Arial" w:eastAsia="Arial" w:hAnsi="Arial"/>
          <w:sz w:val="14"/>
          <w:szCs w:val="14"/>
          <w:color w:val="auto"/>
        </w:rPr>
        <w:t>reasonable notice restrictions. If termination is due to death or disability (as defined in the 2010 SIP), any unvested RSUs will vest immediately.</w:t>
      </w:r>
    </w:p>
    <w:p>
      <w:pPr>
        <w:spacing w:after="0" w:line="37" w:lineRule="exact"/>
        <w:rPr>
          <w:rFonts w:ascii="Arial" w:cs="Arial" w:eastAsia="Arial" w:hAnsi="Arial"/>
          <w:sz w:val="14"/>
          <w:szCs w:val="14"/>
          <w:color w:val="auto"/>
        </w:rPr>
      </w:pPr>
    </w:p>
    <w:p>
      <w:pPr>
        <w:ind w:left="346" w:right="120" w:hanging="346"/>
        <w:spacing w:after="0" w:line="250" w:lineRule="auto"/>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PRSUs: </w:t>
      </w:r>
      <w:r>
        <w:rPr>
          <w:rFonts w:ascii="Arial" w:cs="Arial" w:eastAsia="Arial" w:hAnsi="Arial"/>
          <w:sz w:val="14"/>
          <w:szCs w:val="14"/>
          <w:color w:val="auto"/>
        </w:rPr>
        <w:t>If termination occurs due to death or disability during the performance period, shares will be awarded and settled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period and results ending in the year of death or disability and will not be pro-rated for partial employment during the performance period. If a retirement occurs after 12 months following the grant date, awards will vest in full based on actual performance and the applied TSR multiplier calculated at the end of the performance period, subject to non-compete/non-solicit and reasonable notice restrictions. Vested units generally will be settled at the original vesting date set forth in the award agreement, and in accordance with the provisions of Section 409A of the Code.</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Voluntary Termination or Termination without Cause</w:t>
      </w:r>
    </w:p>
    <w:p>
      <w:pPr>
        <w:spacing w:after="0" w:line="104" w:lineRule="exact"/>
        <w:rPr>
          <w:sz w:val="20"/>
          <w:szCs w:val="20"/>
          <w:color w:val="auto"/>
        </w:rPr>
      </w:pPr>
    </w:p>
    <w:p>
      <w:pPr>
        <w:ind w:left="566" w:hanging="206"/>
        <w:spacing w:after="0"/>
        <w:tabs>
          <w:tab w:leader="none" w:pos="56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All unvested RSUs are forfeited upon voluntary termination or termination without cause.</w:t>
      </w:r>
    </w:p>
    <w:p>
      <w:pPr>
        <w:spacing w:after="0" w:line="113" w:lineRule="exact"/>
        <w:rPr>
          <w:rFonts w:ascii="Arial" w:cs="Arial" w:eastAsia="Arial" w:hAnsi="Arial"/>
          <w:sz w:val="16"/>
          <w:szCs w:val="16"/>
          <w:color w:val="auto"/>
        </w:rPr>
      </w:pPr>
    </w:p>
    <w:p>
      <w:pPr>
        <w:ind w:left="566" w:right="120" w:hanging="206"/>
        <w:spacing w:after="0" w:line="286" w:lineRule="auto"/>
        <w:tabs>
          <w:tab w:leader="none" w:pos="56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PRSUs: </w:t>
      </w:r>
      <w:r>
        <w:rPr>
          <w:rFonts w:ascii="Arial" w:cs="Arial" w:eastAsia="Arial" w:hAnsi="Arial"/>
          <w:sz w:val="16"/>
          <w:szCs w:val="16"/>
          <w:color w:val="auto"/>
        </w:rPr>
        <w:t>All unvested PRSUs are forfeited upon voluntary termination or termination without cause. Vested units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settled in accordance with the provisions of Section 409A of the Code.</w:t>
      </w:r>
    </w:p>
    <w:p>
      <w:pPr>
        <w:spacing w:after="0" w:line="47" w:lineRule="exact"/>
        <w:rPr>
          <w:rFonts w:ascii="Arial" w:cs="Arial" w:eastAsia="Arial" w:hAnsi="Arial"/>
          <w:sz w:val="16"/>
          <w:szCs w:val="16"/>
          <w:color w:val="auto"/>
        </w:rPr>
      </w:pPr>
    </w:p>
    <w:p>
      <w:pPr>
        <w:ind w:left="566" w:right="480" w:hanging="206"/>
        <w:spacing w:after="0" w:line="286" w:lineRule="auto"/>
        <w:tabs>
          <w:tab w:leader="none" w:pos="56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The bonus under the IIP would be forfeited in its entirety if the NEO is not employed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through the completion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293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1"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Potential Payments upon Change-in-Control</w:t>
      </w:r>
    </w:p>
    <w:p>
      <w:pPr>
        <w:spacing w:after="0" w:line="7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describes the material provisions of the change-in-control agreements that we have entered into with our NEOs. The change-in-control agreements provide for the following benefits if there is a change-in-control and the NEO’s employment is terminated within 24 months by the Company without cause or by the NEO for “good reason”:</w:t>
      </w:r>
    </w:p>
    <w:p>
      <w:pPr>
        <w:spacing w:after="0" w:line="50" w:lineRule="exact"/>
        <w:rPr>
          <w:sz w:val="20"/>
          <w:szCs w:val="20"/>
          <w:color w:val="auto"/>
        </w:rPr>
      </w:pPr>
    </w:p>
    <w:p>
      <w:pPr>
        <w:ind w:left="560" w:right="140" w:hanging="206"/>
        <w:spacing w:after="0" w:line="25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Severance Benefit: </w:t>
      </w:r>
      <w:r>
        <w:rPr>
          <w:rFonts w:ascii="Arial" w:cs="Arial" w:eastAsia="Arial" w:hAnsi="Arial"/>
          <w:sz w:val="16"/>
          <w:szCs w:val="16"/>
          <w:color w:val="auto"/>
        </w:rPr>
        <w:t>The change-in-control agreements provide Mr. Deitrich with a severance benefit equal to 2.5 times</w:t>
      </w:r>
      <w:r>
        <w:rPr>
          <w:rFonts w:ascii="Arial" w:cs="Arial" w:eastAsia="Arial" w:hAnsi="Arial"/>
          <w:sz w:val="16"/>
          <w:szCs w:val="16"/>
          <w:i w:val="1"/>
          <w:iCs w:val="1"/>
          <w:color w:val="auto"/>
        </w:rPr>
        <w:t xml:space="preserve"> </w:t>
      </w:r>
      <w:r>
        <w:rPr>
          <w:rFonts w:ascii="Arial" w:cs="Arial" w:eastAsia="Arial" w:hAnsi="Arial"/>
          <w:sz w:val="16"/>
          <w:szCs w:val="16"/>
          <w:color w:val="auto"/>
        </w:rPr>
        <w:t>the sum of base salary and target annual incentive opportunity. For Ms. Hooper, Mr. Reeves, Mr. Marcolini, and</w:t>
      </w:r>
    </w:p>
    <w:p>
      <w:pPr>
        <w:spacing w:after="0" w:line="1" w:lineRule="exact"/>
        <w:rPr>
          <w:rFonts w:ascii="Arial" w:cs="Arial" w:eastAsia="Arial" w:hAnsi="Arial"/>
          <w:sz w:val="16"/>
          <w:szCs w:val="16"/>
          <w:color w:val="auto"/>
        </w:rPr>
      </w:pPr>
    </w:p>
    <w:p>
      <w:pPr>
        <w:ind w:left="560" w:right="140"/>
        <w:spacing w:after="0" w:line="265" w:lineRule="auto"/>
        <w:rPr>
          <w:rFonts w:ascii="Arial" w:cs="Arial" w:eastAsia="Arial" w:hAnsi="Arial"/>
          <w:sz w:val="16"/>
          <w:szCs w:val="16"/>
          <w:color w:val="auto"/>
        </w:rPr>
      </w:pPr>
      <w:r>
        <w:rPr>
          <w:rFonts w:ascii="Arial" w:cs="Arial" w:eastAsia="Arial" w:hAnsi="Arial"/>
          <w:sz w:val="16"/>
          <w:szCs w:val="16"/>
          <w:color w:val="auto"/>
        </w:rPr>
        <w:t>Mr. Patrick, the benefit is equal to two (2) times the sum of base salary and target annual incentive opportunity. For all, the benefit is paid in cash in one lump sum.</w:t>
      </w:r>
    </w:p>
    <w:p>
      <w:pPr>
        <w:spacing w:after="0" w:line="63" w:lineRule="exact"/>
        <w:rPr>
          <w:rFonts w:ascii="Arial" w:cs="Arial" w:eastAsia="Arial" w:hAnsi="Arial"/>
          <w:sz w:val="16"/>
          <w:szCs w:val="16"/>
          <w:color w:val="auto"/>
        </w:rPr>
      </w:pPr>
    </w:p>
    <w:p>
      <w:pPr>
        <w:ind w:left="560" w:right="140" w:hanging="206"/>
        <w:spacing w:after="0" w:line="26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Pro-Rata Annual Incentive for Year of Termination: </w:t>
      </w:r>
      <w:r>
        <w:rPr>
          <w:rFonts w:ascii="Arial" w:cs="Arial" w:eastAsia="Arial" w:hAnsi="Arial"/>
          <w:sz w:val="16"/>
          <w:szCs w:val="16"/>
          <w:color w:val="auto"/>
        </w:rPr>
        <w:t>The change-in-control agreements provide for a payment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greater of target opportunity or actual performance (as determined by the Board), prorated for the time worked during the year of termination.</w:t>
      </w:r>
    </w:p>
    <w:p>
      <w:pPr>
        <w:spacing w:after="0" w:line="63" w:lineRule="exact"/>
        <w:rPr>
          <w:rFonts w:ascii="Arial" w:cs="Arial" w:eastAsia="Arial" w:hAnsi="Arial"/>
          <w:sz w:val="16"/>
          <w:szCs w:val="16"/>
          <w:color w:val="auto"/>
        </w:rPr>
      </w:pPr>
    </w:p>
    <w:p>
      <w:pPr>
        <w:ind w:left="560" w:right="20" w:hanging="206"/>
        <w:spacing w:after="0" w:line="259"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Welfare Benefit Continuation: </w:t>
      </w:r>
      <w:r>
        <w:rPr>
          <w:rFonts w:ascii="Arial" w:cs="Arial" w:eastAsia="Arial" w:hAnsi="Arial"/>
          <w:sz w:val="16"/>
          <w:szCs w:val="16"/>
          <w:color w:val="auto"/>
        </w:rPr>
        <w:t>The change-in-control agreements provide Mr. Deitrich with 2.5 years of life, disability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health insurance coverage (with no tax gross-up). For Ms. Hooper, Mr. Reeves, Mr. Marcolini, and Mr. Patrick, this benefit is equal to two (2) years of life, disability and health insurance coverage (with no tax gross-up). The agreements also provide our NEOs and their dependents with the same respective years of health care coverage.</w:t>
      </w:r>
    </w:p>
    <w:p>
      <w:pPr>
        <w:spacing w:after="0" w:line="69" w:lineRule="exact"/>
        <w:rPr>
          <w:rFonts w:ascii="Arial" w:cs="Arial" w:eastAsia="Arial" w:hAnsi="Arial"/>
          <w:sz w:val="16"/>
          <w:szCs w:val="16"/>
          <w:color w:val="auto"/>
        </w:rPr>
      </w:pPr>
    </w:p>
    <w:p>
      <w:pPr>
        <w:ind w:left="560" w:right="100" w:hanging="206"/>
        <w:spacing w:after="0" w:line="259"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Equity Award Vesting and Acceleration (Double Trigger): </w:t>
      </w:r>
      <w:r>
        <w:rPr>
          <w:rFonts w:ascii="Arial" w:cs="Arial" w:eastAsia="Arial" w:hAnsi="Arial"/>
          <w:sz w:val="16"/>
          <w:szCs w:val="16"/>
          <w:color w:val="auto"/>
        </w:rPr>
        <w:t>The change-in-control agreements provide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acceleration for equity awards is “double trigger” and thus will occur only upon a change-in-control and a qualifying termination (a termination without cause or for good reason). All vesting acceleration is subject to consummation of the change-in-control transaction.</w:t>
      </w:r>
    </w:p>
    <w:p>
      <w:pPr>
        <w:spacing w:after="0" w:line="69" w:lineRule="exact"/>
        <w:rPr>
          <w:rFonts w:ascii="Arial" w:cs="Arial" w:eastAsia="Arial" w:hAnsi="Arial"/>
          <w:sz w:val="16"/>
          <w:szCs w:val="16"/>
          <w:color w:val="auto"/>
        </w:rPr>
      </w:pPr>
    </w:p>
    <w:p>
      <w:pPr>
        <w:ind w:left="560" w:hanging="206"/>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Excise Tax Gross-Up: </w:t>
      </w:r>
      <w:r>
        <w:rPr>
          <w:rFonts w:ascii="Arial" w:cs="Arial" w:eastAsia="Arial" w:hAnsi="Arial"/>
          <w:sz w:val="16"/>
          <w:szCs w:val="16"/>
          <w:color w:val="auto"/>
        </w:rPr>
        <w:t>There are no effective provisions for an excise tax gross-up.</w:t>
      </w:r>
    </w:p>
    <w:p>
      <w:pPr>
        <w:spacing w:after="0" w:line="113" w:lineRule="exact"/>
        <w:rPr>
          <w:rFonts w:ascii="Arial" w:cs="Arial" w:eastAsia="Arial" w:hAnsi="Arial"/>
          <w:sz w:val="16"/>
          <w:szCs w:val="16"/>
          <w:color w:val="auto"/>
        </w:rPr>
      </w:pPr>
    </w:p>
    <w:p>
      <w:pPr>
        <w:ind w:left="560" w:right="480" w:hanging="206"/>
        <w:spacing w:after="0" w:line="28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Legal Fees: </w:t>
      </w:r>
      <w:r>
        <w:rPr>
          <w:rFonts w:ascii="Arial" w:cs="Arial" w:eastAsia="Arial" w:hAnsi="Arial"/>
          <w:sz w:val="16"/>
          <w:szCs w:val="16"/>
          <w:color w:val="auto"/>
        </w:rPr>
        <w:t>The change-in-control agreements provide that NEOs will be reimbursed for legal fees and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in seeking to enforce the change-in-control agreement.</w:t>
      </w:r>
    </w:p>
    <w:p>
      <w:pPr>
        <w:spacing w:after="0" w:line="47" w:lineRule="exact"/>
        <w:rPr>
          <w:rFonts w:ascii="Arial" w:cs="Arial" w:eastAsia="Arial" w:hAnsi="Arial"/>
          <w:sz w:val="16"/>
          <w:szCs w:val="16"/>
          <w:color w:val="auto"/>
        </w:rPr>
      </w:pPr>
    </w:p>
    <w:p>
      <w:pPr>
        <w:ind w:left="560" w:right="60" w:hanging="206"/>
        <w:spacing w:after="0" w:line="26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Restrictive Covenants: </w:t>
      </w:r>
      <w:r>
        <w:rPr>
          <w:rFonts w:ascii="Arial" w:cs="Arial" w:eastAsia="Arial" w:hAnsi="Arial"/>
          <w:sz w:val="16"/>
          <w:szCs w:val="16"/>
          <w:color w:val="auto"/>
        </w:rPr>
        <w:t>The change-in-control agreements include restrictive covenants relating to non-solicitation (one-year), non-disparagement, and non-competition (one-year, where enforceable), and require a release of all claims against the Company.</w:t>
      </w:r>
    </w:p>
    <w:p>
      <w:pPr>
        <w:spacing w:after="0" w:line="63" w:lineRule="exact"/>
        <w:rPr>
          <w:rFonts w:ascii="Arial" w:cs="Arial" w:eastAsia="Arial" w:hAnsi="Arial"/>
          <w:sz w:val="16"/>
          <w:szCs w:val="16"/>
          <w:color w:val="auto"/>
        </w:rPr>
      </w:pPr>
    </w:p>
    <w:p>
      <w:pPr>
        <w:ind w:left="560" w:right="380" w:hanging="206"/>
        <w:spacing w:after="0" w:line="28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Change-in-Control: </w:t>
      </w:r>
      <w:r>
        <w:rPr>
          <w:rFonts w:ascii="Arial" w:cs="Arial" w:eastAsia="Arial" w:hAnsi="Arial"/>
          <w:sz w:val="16"/>
          <w:szCs w:val="16"/>
          <w:color w:val="auto"/>
        </w:rPr>
        <w:t>For purposes of the change-in-control agreements, a “change-in-control”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any of the following:</w:t>
      </w:r>
    </w:p>
    <w:p>
      <w:pPr>
        <w:spacing w:after="0" w:line="20" w:lineRule="exact"/>
        <w:rPr>
          <w:rFonts w:ascii="Arial" w:cs="Arial" w:eastAsia="Arial" w:hAnsi="Arial"/>
          <w:sz w:val="16"/>
          <w:szCs w:val="16"/>
          <w:color w:val="auto"/>
        </w:rPr>
      </w:pPr>
    </w:p>
    <w:p>
      <w:pPr>
        <w:ind w:left="940" w:hanging="226"/>
        <w:spacing w:after="0"/>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 acquisition of 25 percent or more of our voting securities;</w:t>
      </w:r>
    </w:p>
    <w:p>
      <w:pPr>
        <w:spacing w:after="0" w:line="113" w:lineRule="exact"/>
        <w:rPr>
          <w:rFonts w:ascii="Arial" w:cs="Arial" w:eastAsia="Arial" w:hAnsi="Arial"/>
          <w:sz w:val="16"/>
          <w:szCs w:val="16"/>
          <w:color w:val="auto"/>
        </w:rPr>
      </w:pPr>
    </w:p>
    <w:p>
      <w:pPr>
        <w:ind w:left="940" w:hanging="226"/>
        <w:spacing w:after="0"/>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Our current Board of Directors (and their approved successors) ceasing to constitute a majority of the Board;</w:t>
      </w:r>
    </w:p>
    <w:p>
      <w:pPr>
        <w:spacing w:after="0" w:line="113" w:lineRule="exact"/>
        <w:rPr>
          <w:rFonts w:ascii="Arial" w:cs="Arial" w:eastAsia="Arial" w:hAnsi="Arial"/>
          <w:sz w:val="16"/>
          <w:szCs w:val="16"/>
          <w:color w:val="auto"/>
        </w:rPr>
      </w:pPr>
    </w:p>
    <w:p>
      <w:pPr>
        <w:ind w:left="940" w:right="240" w:hanging="226"/>
        <w:spacing w:after="0" w:line="266"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63" w:lineRule="exact"/>
        <w:rPr>
          <w:rFonts w:ascii="Arial" w:cs="Arial" w:eastAsia="Arial" w:hAnsi="Arial"/>
          <w:sz w:val="16"/>
          <w:szCs w:val="16"/>
          <w:color w:val="auto"/>
        </w:rPr>
      </w:pPr>
    </w:p>
    <w:p>
      <w:pPr>
        <w:ind w:left="940" w:right="960" w:hanging="226"/>
        <w:spacing w:after="0" w:line="286"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Consummation of any sale or disposition of all or substantially all of our assets, or the approval by our shareholders of a plan of complete liquidation or dissolution of the Company.</w:t>
      </w:r>
    </w:p>
    <w:p>
      <w:pPr>
        <w:spacing w:after="0" w:line="47" w:lineRule="exact"/>
        <w:rPr>
          <w:rFonts w:ascii="Arial" w:cs="Arial" w:eastAsia="Arial" w:hAnsi="Arial"/>
          <w:sz w:val="16"/>
          <w:szCs w:val="16"/>
          <w:color w:val="auto"/>
        </w:rPr>
      </w:pPr>
    </w:p>
    <w:p>
      <w:pPr>
        <w:ind w:left="560" w:right="240" w:hanging="206"/>
        <w:spacing w:after="0" w:line="266"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Good Reason: </w:t>
      </w:r>
      <w:r>
        <w:rPr>
          <w:rFonts w:ascii="Arial" w:cs="Arial" w:eastAsia="Arial" w:hAnsi="Arial"/>
          <w:sz w:val="16"/>
          <w:szCs w:val="16"/>
          <w:color w:val="auto"/>
        </w:rPr>
        <w:t>For purposes of the change-in-control agreements, “good reason” for termination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NEO of his or her employment generally means any one of the following acts by the Company following a change-in-control:</w:t>
      </w:r>
    </w:p>
    <w:p>
      <w:pPr>
        <w:spacing w:after="0" w:line="63" w:lineRule="exact"/>
        <w:rPr>
          <w:rFonts w:ascii="Arial" w:cs="Arial" w:eastAsia="Arial" w:hAnsi="Arial"/>
          <w:sz w:val="16"/>
          <w:szCs w:val="16"/>
          <w:color w:val="auto"/>
        </w:rPr>
      </w:pPr>
    </w:p>
    <w:p>
      <w:pPr>
        <w:ind w:left="940" w:hanging="226"/>
        <w:spacing w:after="0"/>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 adverse change in the NEO’s duties, status or position as an executive officer;</w:t>
      </w:r>
    </w:p>
    <w:p>
      <w:pPr>
        <w:spacing w:after="0" w:line="113" w:lineRule="exact"/>
        <w:rPr>
          <w:rFonts w:ascii="Arial" w:cs="Arial" w:eastAsia="Arial" w:hAnsi="Arial"/>
          <w:sz w:val="16"/>
          <w:szCs w:val="16"/>
          <w:color w:val="auto"/>
        </w:rPr>
      </w:pPr>
    </w:p>
    <w:p>
      <w:pPr>
        <w:ind w:left="940" w:hanging="226"/>
        <w:spacing w:after="0"/>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reduction in the NEO’s base salary;</w:t>
      </w:r>
    </w:p>
    <w:p>
      <w:pPr>
        <w:spacing w:after="0" w:line="113" w:lineRule="exact"/>
        <w:rPr>
          <w:rFonts w:ascii="Arial" w:cs="Arial" w:eastAsia="Arial" w:hAnsi="Arial"/>
          <w:sz w:val="16"/>
          <w:szCs w:val="16"/>
          <w:color w:val="auto"/>
        </w:rPr>
      </w:pPr>
    </w:p>
    <w:p>
      <w:pPr>
        <w:ind w:left="940" w:hanging="226"/>
        <w:spacing w:after="0"/>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reduction in the NEO’s annual bonus or long-term incentive opportunity;</w:t>
      </w:r>
    </w:p>
    <w:p>
      <w:pPr>
        <w:spacing w:after="0" w:line="113" w:lineRule="exact"/>
        <w:rPr>
          <w:rFonts w:ascii="Arial" w:cs="Arial" w:eastAsia="Arial" w:hAnsi="Arial"/>
          <w:sz w:val="16"/>
          <w:szCs w:val="16"/>
          <w:color w:val="auto"/>
        </w:rPr>
      </w:pPr>
    </w:p>
    <w:p>
      <w:pPr>
        <w:ind w:left="940" w:right="860" w:hanging="226"/>
        <w:spacing w:after="0" w:line="286"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failure to continue to provide welfare, medical, and other fringe benefits which in the aggregate are substantially similar to those provided immediately prior to the change-in-control;</w:t>
      </w:r>
    </w:p>
    <w:p>
      <w:pPr>
        <w:spacing w:after="0" w:line="47" w:lineRule="exact"/>
        <w:rPr>
          <w:rFonts w:ascii="Arial" w:cs="Arial" w:eastAsia="Arial" w:hAnsi="Arial"/>
          <w:sz w:val="16"/>
          <w:szCs w:val="16"/>
          <w:color w:val="auto"/>
        </w:rPr>
      </w:pPr>
    </w:p>
    <w:p>
      <w:pPr>
        <w:ind w:left="940" w:right="600" w:hanging="226"/>
        <w:spacing w:after="0" w:line="286"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requirement for the NEO to be based at an office more than 50 miles from the NEO’s office prior to the change-in-control; or</w:t>
      </w:r>
    </w:p>
    <w:p>
      <w:pPr>
        <w:spacing w:after="0" w:line="47" w:lineRule="exact"/>
        <w:rPr>
          <w:rFonts w:ascii="Arial" w:cs="Arial" w:eastAsia="Arial" w:hAnsi="Arial"/>
          <w:sz w:val="16"/>
          <w:szCs w:val="16"/>
          <w:color w:val="auto"/>
        </w:rPr>
      </w:pPr>
    </w:p>
    <w:p>
      <w:pPr>
        <w:ind w:left="940" w:right="40" w:hanging="226"/>
        <w:spacing w:after="0" w:line="286" w:lineRule="auto"/>
        <w:tabs>
          <w:tab w:leader="none" w:pos="9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failure by the Company or successor company to assume or agree to perform the provisions of the change-in-control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also “Termination Payment Tables for NEOs”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58293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4"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46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A&amp;R 2010 Plan (2010 SIP) Change-in-Control Provisions</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2010 SIP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PRSUs Change-in-Control Provisions</w:t>
      </w:r>
    </w:p>
    <w:p>
      <w:pPr>
        <w:spacing w:after="0" w:line="85"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If a change-in-control occurs during the following performance periods; (2022-2024) under the 2022 grant, (2023-2025) under the 2023 grant, or (2024-2026) under the 2024 grant, the PRSU awards will be vested at the greater of target or actual performance for the year, and pro-rated based on the number of calendar days between 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 Severance Pay Policy</w:t>
      </w:r>
    </w:p>
    <w:p>
      <w:pPr>
        <w:spacing w:after="0" w:line="8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the executive (1) releases all claims that he or she may have against the Company, (2) enters into a one year non-compete agreement (where enforceable), (3) agrees not to solicit employees for a period of one year, and (4) agrees not to disparage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8293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6"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2" w:name="page53"/>
    <w:bookmarkEnd w:id="5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Termination Payment Tables for NEOs</w:t>
      </w:r>
    </w:p>
    <w:p>
      <w:pPr>
        <w:spacing w:after="0" w:line="72" w:lineRule="exact"/>
        <w:rPr>
          <w:sz w:val="20"/>
          <w:szCs w:val="20"/>
          <w:color w:val="auto"/>
        </w:rPr>
      </w:pPr>
    </w:p>
    <w:p>
      <w:pPr>
        <w:ind w:left="6" w:right="140"/>
        <w:spacing w:after="0" w:line="256" w:lineRule="auto"/>
        <w:rPr>
          <w:sz w:val="20"/>
          <w:szCs w:val="20"/>
          <w:color w:val="auto"/>
        </w:rPr>
      </w:pPr>
      <w:r>
        <w:rPr>
          <w:rFonts w:ascii="Arial" w:cs="Arial" w:eastAsia="Arial" w:hAnsi="Arial"/>
          <w:sz w:val="16"/>
          <w:szCs w:val="16"/>
          <w:color w:val="auto"/>
        </w:rPr>
        <w:t>The tables below reflect the estimated amount of compensation payable to each of our NEOs in the event of termination of employment or change-in-control. The tables do not include benefits generally available to all employees on a non-discriminatory basis. The amounts shown assume that such termination or change-in-control was effective as of December 31, 2024. The actual amounts to be paid out can only be determined at the time of such executive’s termination or upon a change-in-control, as applicable.</w:t>
      </w:r>
    </w:p>
    <w:p>
      <w:pPr>
        <w:spacing w:after="0" w:line="77"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1660" w:type="dxa"/>
            <w:vAlign w:val="bottom"/>
          </w:tcPr>
          <w:p>
            <w:pPr>
              <w:spacing w:after="0"/>
              <w:rPr>
                <w:sz w:val="17"/>
                <w:szCs w:val="17"/>
                <w:color w:val="auto"/>
              </w:rPr>
            </w:pPr>
          </w:p>
        </w:tc>
        <w:tc>
          <w:tcPr>
            <w:tcW w:w="920" w:type="dxa"/>
            <w:vAlign w:val="bottom"/>
            <w:tcBorders>
              <w:bottom w:val="single" w:sz="8" w:color="0063A6"/>
            </w:tcBorders>
          </w:tcPr>
          <w:p>
            <w:pPr>
              <w:spacing w:after="0"/>
              <w:rPr>
                <w:sz w:val="17"/>
                <w:szCs w:val="17"/>
                <w:color w:val="auto"/>
              </w:rPr>
            </w:pPr>
          </w:p>
        </w:tc>
        <w:tc>
          <w:tcPr>
            <w:tcW w:w="900" w:type="dxa"/>
            <w:vAlign w:val="bottom"/>
            <w:tcBorders>
              <w:bottom w:val="single" w:sz="8" w:color="0063A6"/>
            </w:tcBorders>
          </w:tcPr>
          <w:p>
            <w:pPr>
              <w:spacing w:after="0"/>
              <w:rPr>
                <w:sz w:val="17"/>
                <w:szCs w:val="17"/>
                <w:color w:val="auto"/>
              </w:rPr>
            </w:pPr>
          </w:p>
        </w:tc>
        <w:tc>
          <w:tcPr>
            <w:tcW w:w="160" w:type="dxa"/>
            <w:vAlign w:val="bottom"/>
            <w:tcBorders>
              <w:bottom w:val="single" w:sz="8" w:color="0063A6"/>
            </w:tcBorders>
          </w:tcPr>
          <w:p>
            <w:pPr>
              <w:spacing w:after="0"/>
              <w:rPr>
                <w:sz w:val="17"/>
                <w:szCs w:val="17"/>
                <w:color w:val="auto"/>
              </w:rPr>
            </w:pPr>
          </w:p>
        </w:tc>
        <w:tc>
          <w:tcPr>
            <w:tcW w:w="720" w:type="dxa"/>
            <w:vAlign w:val="bottom"/>
            <w:tcBorders>
              <w:bottom w:val="single" w:sz="8" w:color="0063A6"/>
            </w:tcBorders>
          </w:tcPr>
          <w:p>
            <w:pPr>
              <w:spacing w:after="0"/>
              <w:rPr>
                <w:sz w:val="17"/>
                <w:szCs w:val="17"/>
                <w:color w:val="auto"/>
              </w:rPr>
            </w:pPr>
          </w:p>
        </w:tc>
        <w:tc>
          <w:tcPr>
            <w:tcW w:w="160" w:type="dxa"/>
            <w:vAlign w:val="bottom"/>
            <w:tcBorders>
              <w:bottom w:val="single" w:sz="8" w:color="0063A6"/>
            </w:tcBorders>
          </w:tcPr>
          <w:p>
            <w:pPr>
              <w:spacing w:after="0"/>
              <w:rPr>
                <w:sz w:val="17"/>
                <w:szCs w:val="17"/>
                <w:color w:val="auto"/>
              </w:rPr>
            </w:pPr>
          </w:p>
        </w:tc>
        <w:tc>
          <w:tcPr>
            <w:tcW w:w="1640" w:type="dxa"/>
            <w:vAlign w:val="bottom"/>
            <w:tcBorders>
              <w:bottom w:val="single" w:sz="8" w:color="0063A6"/>
            </w:tcBorders>
            <w:gridSpan w:val="3"/>
          </w:tcPr>
          <w:p>
            <w:pPr>
              <w:jc w:val="center"/>
              <w:ind w:left="68"/>
              <w:spacing w:after="0"/>
              <w:rPr>
                <w:sz w:val="20"/>
                <w:szCs w:val="20"/>
                <w:color w:val="auto"/>
              </w:rPr>
            </w:pPr>
            <w:r>
              <w:rPr>
                <w:rFonts w:ascii="Arial" w:cs="Arial" w:eastAsia="Arial" w:hAnsi="Arial"/>
                <w:sz w:val="14"/>
                <w:szCs w:val="14"/>
                <w:b w:val="1"/>
                <w:bCs w:val="1"/>
                <w:color w:val="auto"/>
              </w:rPr>
              <w:t>ITRON, INC.</w:t>
            </w:r>
          </w:p>
        </w:tc>
        <w:tc>
          <w:tcPr>
            <w:tcW w:w="360" w:type="dxa"/>
            <w:vAlign w:val="bottom"/>
            <w:tcBorders>
              <w:bottom w:val="single" w:sz="8" w:color="0063A6"/>
            </w:tcBorders>
          </w:tcPr>
          <w:p>
            <w:pPr>
              <w:spacing w:after="0"/>
              <w:rPr>
                <w:sz w:val="17"/>
                <w:szCs w:val="17"/>
                <w:color w:val="auto"/>
              </w:rPr>
            </w:pPr>
          </w:p>
        </w:tc>
        <w:tc>
          <w:tcPr>
            <w:tcW w:w="600" w:type="dxa"/>
            <w:vAlign w:val="bottom"/>
            <w:tcBorders>
              <w:bottom w:val="single" w:sz="8" w:color="0063A6"/>
            </w:tcBorders>
          </w:tcPr>
          <w:p>
            <w:pPr>
              <w:spacing w:after="0"/>
              <w:rPr>
                <w:sz w:val="17"/>
                <w:szCs w:val="17"/>
                <w:color w:val="auto"/>
              </w:rPr>
            </w:pPr>
          </w:p>
        </w:tc>
        <w:tc>
          <w:tcPr>
            <w:tcW w:w="220" w:type="dxa"/>
            <w:vAlign w:val="bottom"/>
            <w:tcBorders>
              <w:bottom w:val="single" w:sz="8" w:color="0063A6"/>
            </w:tcBorders>
          </w:tcPr>
          <w:p>
            <w:pPr>
              <w:spacing w:after="0"/>
              <w:rPr>
                <w:sz w:val="17"/>
                <w:szCs w:val="17"/>
                <w:color w:val="auto"/>
              </w:rPr>
            </w:pPr>
          </w:p>
        </w:tc>
        <w:tc>
          <w:tcPr>
            <w:tcW w:w="620" w:type="dxa"/>
            <w:vAlign w:val="bottom"/>
            <w:tcBorders>
              <w:bottom w:val="single" w:sz="8" w:color="0063A6"/>
            </w:tcBorders>
          </w:tcPr>
          <w:p>
            <w:pPr>
              <w:spacing w:after="0"/>
              <w:rPr>
                <w:sz w:val="17"/>
                <w:szCs w:val="17"/>
                <w:color w:val="auto"/>
              </w:rPr>
            </w:pPr>
          </w:p>
        </w:tc>
        <w:tc>
          <w:tcPr>
            <w:tcW w:w="440" w:type="dxa"/>
            <w:vAlign w:val="bottom"/>
            <w:tcBorders>
              <w:bottom w:val="single" w:sz="8" w:color="0063A6"/>
            </w:tcBorders>
          </w:tcPr>
          <w:p>
            <w:pPr>
              <w:spacing w:after="0"/>
              <w:rPr>
                <w:sz w:val="17"/>
                <w:szCs w:val="17"/>
                <w:color w:val="auto"/>
              </w:rPr>
            </w:pPr>
          </w:p>
        </w:tc>
        <w:tc>
          <w:tcPr>
            <w:tcW w:w="780" w:type="dxa"/>
            <w:vAlign w:val="bottom"/>
            <w:tcBorders>
              <w:bottom w:val="single" w:sz="8" w:color="0063A6"/>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920" w:type="dxa"/>
            <w:vAlign w:val="bottom"/>
            <w:tcBorders>
              <w:bottom w:val="single" w:sz="8" w:color="0063A6"/>
            </w:tcBorders>
          </w:tcPr>
          <w:p>
            <w:pPr>
              <w:spacing w:after="0"/>
              <w:rPr>
                <w:sz w:val="20"/>
                <w:szCs w:val="20"/>
                <w:color w:val="auto"/>
              </w:rPr>
            </w:pPr>
          </w:p>
        </w:tc>
        <w:tc>
          <w:tcPr>
            <w:tcW w:w="900" w:type="dxa"/>
            <w:vAlign w:val="bottom"/>
            <w:tcBorders>
              <w:bottom w:val="single" w:sz="8" w:color="0063A6"/>
            </w:tcBorders>
          </w:tcPr>
          <w:p>
            <w:pPr>
              <w:spacing w:after="0"/>
              <w:rPr>
                <w:sz w:val="20"/>
                <w:szCs w:val="20"/>
                <w:color w:val="auto"/>
              </w:rPr>
            </w:pPr>
          </w:p>
        </w:tc>
        <w:tc>
          <w:tcPr>
            <w:tcW w:w="160" w:type="dxa"/>
            <w:vAlign w:val="bottom"/>
            <w:tcBorders>
              <w:bottom w:val="single" w:sz="8" w:color="0063A6"/>
            </w:tcBorders>
          </w:tcPr>
          <w:p>
            <w:pPr>
              <w:spacing w:after="0"/>
              <w:rPr>
                <w:sz w:val="20"/>
                <w:szCs w:val="20"/>
                <w:color w:val="auto"/>
              </w:rPr>
            </w:pPr>
          </w:p>
        </w:tc>
        <w:tc>
          <w:tcPr>
            <w:tcW w:w="3480" w:type="dxa"/>
            <w:vAlign w:val="bottom"/>
            <w:tcBorders>
              <w:bottom w:val="single" w:sz="8" w:color="0063A6"/>
            </w:tcBorders>
            <w:gridSpan w:val="7"/>
          </w:tcPr>
          <w:p>
            <w:pPr>
              <w:jc w:val="center"/>
              <w:spacing w:after="0"/>
              <w:rPr>
                <w:sz w:val="20"/>
                <w:szCs w:val="20"/>
                <w:color w:val="auto"/>
              </w:rPr>
            </w:pPr>
            <w:r>
              <w:rPr>
                <w:rFonts w:ascii="Arial" w:cs="Arial" w:eastAsia="Arial" w:hAnsi="Arial"/>
                <w:sz w:val="14"/>
                <w:szCs w:val="14"/>
                <w:b w:val="1"/>
                <w:bCs w:val="1"/>
                <w:color w:val="auto"/>
              </w:rPr>
              <w:t>Summary of Termination Payments</w:t>
            </w:r>
          </w:p>
        </w:tc>
        <w:tc>
          <w:tcPr>
            <w:tcW w:w="220" w:type="dxa"/>
            <w:vAlign w:val="bottom"/>
            <w:tcBorders>
              <w:bottom w:val="single" w:sz="8" w:color="0063A6"/>
            </w:tcBorders>
          </w:tcPr>
          <w:p>
            <w:pPr>
              <w:spacing w:after="0"/>
              <w:rPr>
                <w:sz w:val="20"/>
                <w:szCs w:val="20"/>
                <w:color w:val="auto"/>
              </w:rPr>
            </w:pPr>
          </w:p>
        </w:tc>
        <w:tc>
          <w:tcPr>
            <w:tcW w:w="620" w:type="dxa"/>
            <w:vAlign w:val="bottom"/>
            <w:tcBorders>
              <w:bottom w:val="single" w:sz="8" w:color="0063A6"/>
            </w:tcBorders>
          </w:tcPr>
          <w:p>
            <w:pPr>
              <w:spacing w:after="0"/>
              <w:rPr>
                <w:sz w:val="20"/>
                <w:szCs w:val="20"/>
                <w:color w:val="auto"/>
              </w:rPr>
            </w:pPr>
          </w:p>
        </w:tc>
        <w:tc>
          <w:tcPr>
            <w:tcW w:w="440" w:type="dxa"/>
            <w:vAlign w:val="bottom"/>
            <w:tcBorders>
              <w:bottom w:val="single" w:sz="8" w:color="0063A6"/>
            </w:tcBorders>
          </w:tcPr>
          <w:p>
            <w:pPr>
              <w:spacing w:after="0"/>
              <w:rPr>
                <w:sz w:val="20"/>
                <w:szCs w:val="20"/>
                <w:color w:val="auto"/>
              </w:rPr>
            </w:pPr>
          </w:p>
        </w:tc>
        <w:tc>
          <w:tcPr>
            <w:tcW w:w="78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rPr>
              <w:t>Thomas Deitrich</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900" w:type="dxa"/>
            <w:vAlign w:val="bottom"/>
            <w:shd w:val="clear" w:color="auto" w:fill="0063A6"/>
          </w:tcPr>
          <w:p>
            <w:pPr>
              <w:spacing w:after="0"/>
              <w:rPr>
                <w:sz w:val="18"/>
                <w:szCs w:val="18"/>
                <w:color w:val="auto"/>
              </w:rPr>
            </w:pPr>
          </w:p>
        </w:tc>
        <w:tc>
          <w:tcPr>
            <w:tcW w:w="160" w:type="dxa"/>
            <w:vAlign w:val="bottom"/>
            <w:shd w:val="clear" w:color="auto" w:fill="0063A6"/>
          </w:tcPr>
          <w:p>
            <w:pPr>
              <w:spacing w:after="0"/>
              <w:rPr>
                <w:sz w:val="18"/>
                <w:szCs w:val="18"/>
                <w:color w:val="auto"/>
              </w:rPr>
            </w:pPr>
          </w:p>
        </w:tc>
        <w:tc>
          <w:tcPr>
            <w:tcW w:w="720" w:type="dxa"/>
            <w:vAlign w:val="bottom"/>
            <w:shd w:val="clear" w:color="auto" w:fill="0063A6"/>
          </w:tcPr>
          <w:p>
            <w:pPr>
              <w:spacing w:after="0"/>
              <w:rPr>
                <w:sz w:val="18"/>
                <w:szCs w:val="18"/>
                <w:color w:val="auto"/>
              </w:rPr>
            </w:pPr>
          </w:p>
        </w:tc>
        <w:tc>
          <w:tcPr>
            <w:tcW w:w="160" w:type="dxa"/>
            <w:vAlign w:val="bottom"/>
            <w:shd w:val="clear" w:color="auto" w:fill="0063A6"/>
          </w:tcPr>
          <w:p>
            <w:pPr>
              <w:spacing w:after="0"/>
              <w:rPr>
                <w:sz w:val="18"/>
                <w:szCs w:val="18"/>
                <w:color w:val="auto"/>
              </w:rPr>
            </w:pPr>
          </w:p>
        </w:tc>
        <w:tc>
          <w:tcPr>
            <w:tcW w:w="740" w:type="dxa"/>
            <w:vAlign w:val="bottom"/>
            <w:shd w:val="clear" w:color="auto" w:fill="0063A6"/>
          </w:tcPr>
          <w:p>
            <w:pPr>
              <w:spacing w:after="0"/>
              <w:rPr>
                <w:sz w:val="18"/>
                <w:szCs w:val="18"/>
                <w:color w:val="auto"/>
              </w:rPr>
            </w:pPr>
          </w:p>
        </w:tc>
        <w:tc>
          <w:tcPr>
            <w:tcW w:w="160" w:type="dxa"/>
            <w:vAlign w:val="bottom"/>
            <w:shd w:val="clear" w:color="auto" w:fill="0063A6"/>
          </w:tcPr>
          <w:p>
            <w:pPr>
              <w:spacing w:after="0"/>
              <w:rPr>
                <w:sz w:val="18"/>
                <w:szCs w:val="18"/>
                <w:color w:val="auto"/>
              </w:rPr>
            </w:pPr>
          </w:p>
        </w:tc>
        <w:tc>
          <w:tcPr>
            <w:tcW w:w="740" w:type="dxa"/>
            <w:vAlign w:val="bottom"/>
            <w:shd w:val="clear" w:color="auto" w:fill="0063A6"/>
          </w:tcPr>
          <w:p>
            <w:pPr>
              <w:spacing w:after="0"/>
              <w:rPr>
                <w:sz w:val="18"/>
                <w:szCs w:val="18"/>
                <w:color w:val="auto"/>
              </w:rPr>
            </w:pPr>
          </w:p>
        </w:tc>
        <w:tc>
          <w:tcPr>
            <w:tcW w:w="360" w:type="dxa"/>
            <w:vAlign w:val="bottom"/>
            <w:shd w:val="clear" w:color="auto" w:fill="0063A6"/>
          </w:tcPr>
          <w:p>
            <w:pPr>
              <w:spacing w:after="0"/>
              <w:rPr>
                <w:sz w:val="18"/>
                <w:szCs w:val="18"/>
                <w:color w:val="auto"/>
              </w:rPr>
            </w:pPr>
          </w:p>
        </w:tc>
        <w:tc>
          <w:tcPr>
            <w:tcW w:w="60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62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44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for Good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440" w:type="dxa"/>
            <w:vAlign w:val="bottom"/>
            <w:shd w:val="clear" w:color="auto" w:fill="0063A6"/>
          </w:tcPr>
          <w:p>
            <w:pPr>
              <w:spacing w:after="0"/>
              <w:rPr>
                <w:sz w:val="14"/>
                <w:szCs w:val="14"/>
                <w:color w:val="auto"/>
              </w:rPr>
            </w:pPr>
          </w:p>
        </w:tc>
        <w:tc>
          <w:tcPr>
            <w:tcW w:w="780" w:type="dxa"/>
            <w:vAlign w:val="bottom"/>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960" w:type="dxa"/>
            <w:vAlign w:val="bottom"/>
            <w:gridSpan w:val="2"/>
            <w:shd w:val="clear" w:color="auto" w:fill="0063A6"/>
          </w:tcPr>
          <w:p>
            <w:pPr>
              <w:ind w:left="40"/>
              <w:spacing w:after="0"/>
              <w:rPr>
                <w:sz w:val="20"/>
                <w:szCs w:val="20"/>
                <w:color w:val="auto"/>
              </w:rPr>
            </w:pPr>
            <w:r>
              <w:rPr>
                <w:rFonts w:ascii="Arial" w:cs="Arial" w:eastAsia="Arial" w:hAnsi="Arial"/>
                <w:sz w:val="14"/>
                <w:szCs w:val="14"/>
                <w:b w:val="1"/>
                <w:bCs w:val="1"/>
                <w:color w:val="FFFFFF"/>
              </w:rPr>
              <w:t>Termination</w:t>
            </w:r>
          </w:p>
        </w:tc>
        <w:tc>
          <w:tcPr>
            <w:tcW w:w="22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4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92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90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Voluntary</w:t>
            </w:r>
          </w:p>
        </w:tc>
        <w:tc>
          <w:tcPr>
            <w:tcW w:w="160" w:type="dxa"/>
            <w:vAlign w:val="bottom"/>
            <w:shd w:val="clear" w:color="auto" w:fill="0063A6"/>
          </w:tcPr>
          <w:p>
            <w:pPr>
              <w:spacing w:after="0"/>
              <w:rPr>
                <w:sz w:val="14"/>
                <w:szCs w:val="14"/>
                <w:color w:val="auto"/>
              </w:rPr>
            </w:pPr>
          </w:p>
        </w:tc>
        <w:tc>
          <w:tcPr>
            <w:tcW w:w="72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740" w:type="dxa"/>
            <w:vAlign w:val="bottom"/>
            <w:shd w:val="clear" w:color="auto" w:fill="0063A6"/>
          </w:tcPr>
          <w:p>
            <w:pPr>
              <w:spacing w:after="0"/>
              <w:rPr>
                <w:sz w:val="14"/>
                <w:szCs w:val="14"/>
                <w:color w:val="auto"/>
              </w:rPr>
            </w:pPr>
          </w:p>
        </w:tc>
        <w:tc>
          <w:tcPr>
            <w:tcW w:w="1800" w:type="dxa"/>
            <w:vAlign w:val="bottom"/>
            <w:gridSpan w:val="4"/>
            <w:shd w:val="clear" w:color="auto" w:fill="0063A6"/>
          </w:tcPr>
          <w:p>
            <w:pPr>
              <w:jc w:val="right"/>
              <w:spacing w:after="0"/>
              <w:rPr>
                <w:sz w:val="20"/>
                <w:szCs w:val="20"/>
                <w:color w:val="auto"/>
              </w:rPr>
            </w:pPr>
            <w:r>
              <w:rPr>
                <w:rFonts w:ascii="Arial" w:cs="Arial" w:eastAsia="Arial" w:hAnsi="Arial"/>
                <w:sz w:val="14"/>
                <w:szCs w:val="14"/>
                <w:b w:val="1"/>
                <w:bCs w:val="1"/>
                <w:color w:val="FFFFFF"/>
              </w:rPr>
              <w:t>Without  Change-in-</w:t>
            </w:r>
          </w:p>
        </w:tc>
        <w:tc>
          <w:tcPr>
            <w:tcW w:w="1220" w:type="dxa"/>
            <w:vAlign w:val="bottom"/>
            <w:gridSpan w:val="2"/>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660" w:type="dxa"/>
            <w:vAlign w:val="bottom"/>
            <w:tcBorders>
              <w:bottom w:val="single" w:sz="8" w:color="0063A6"/>
            </w:tcBorders>
            <w:vMerge w:val="continue"/>
          </w:tcPr>
          <w:p>
            <w:pPr>
              <w:spacing w:after="0"/>
              <w:rPr>
                <w:sz w:val="18"/>
                <w:szCs w:val="18"/>
                <w:color w:val="auto"/>
              </w:rPr>
            </w:pPr>
          </w:p>
        </w:tc>
        <w:tc>
          <w:tcPr>
            <w:tcW w:w="9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for Cause</w:t>
            </w:r>
          </w:p>
        </w:tc>
        <w:tc>
          <w:tcPr>
            <w:tcW w:w="9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16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Death</w:t>
            </w:r>
          </w:p>
        </w:tc>
        <w:tc>
          <w:tcPr>
            <w:tcW w:w="160" w:type="dxa"/>
            <w:vAlign w:val="bottom"/>
            <w:tcBorders>
              <w:bottom w:val="single" w:sz="8" w:color="0063A6"/>
            </w:tcBorders>
            <w:shd w:val="clear" w:color="auto" w:fill="0063A6"/>
          </w:tcPr>
          <w:p>
            <w:pPr>
              <w:spacing w:after="0"/>
              <w:rPr>
                <w:sz w:val="18"/>
                <w:szCs w:val="18"/>
                <w:color w:val="auto"/>
              </w:rPr>
            </w:pPr>
          </w:p>
        </w:tc>
        <w:tc>
          <w:tcPr>
            <w:tcW w:w="7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Disability</w:t>
            </w:r>
          </w:p>
        </w:tc>
        <w:tc>
          <w:tcPr>
            <w:tcW w:w="900" w:type="dxa"/>
            <w:vAlign w:val="bottom"/>
            <w:tcBorders>
              <w:bottom w:val="single" w:sz="8" w:color="0063A6"/>
            </w:tcBorders>
            <w:gridSpan w:val="2"/>
            <w:shd w:val="clear" w:color="auto" w:fill="0063A6"/>
          </w:tcPr>
          <w:p>
            <w:pPr>
              <w:ind w:left="100"/>
              <w:spacing w:after="0"/>
              <w:rPr>
                <w:sz w:val="20"/>
                <w:szCs w:val="20"/>
                <w:color w:val="auto"/>
              </w:rPr>
            </w:pPr>
            <w:r>
              <w:rPr>
                <w:rFonts w:ascii="Arial" w:cs="Arial" w:eastAsia="Arial" w:hAnsi="Arial"/>
                <w:sz w:val="14"/>
                <w:szCs w:val="14"/>
                <w:b w:val="1"/>
                <w:bCs w:val="1"/>
                <w:color w:val="FFFFFF"/>
              </w:rPr>
              <w:t>Retirement</w:t>
            </w:r>
          </w:p>
        </w:tc>
        <w:tc>
          <w:tcPr>
            <w:tcW w:w="360" w:type="dxa"/>
            <w:vAlign w:val="bottom"/>
            <w:tcBorders>
              <w:bottom w:val="single" w:sz="8" w:color="0063A6"/>
            </w:tcBorders>
            <w:shd w:val="clear" w:color="auto" w:fill="0063A6"/>
          </w:tcPr>
          <w:p>
            <w:pPr>
              <w:spacing w:after="0"/>
              <w:rPr>
                <w:sz w:val="18"/>
                <w:szCs w:val="18"/>
                <w:color w:val="auto"/>
              </w:rPr>
            </w:pPr>
          </w:p>
        </w:tc>
        <w:tc>
          <w:tcPr>
            <w:tcW w:w="6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Cause</w:t>
            </w:r>
          </w:p>
        </w:tc>
        <w:tc>
          <w:tcPr>
            <w:tcW w:w="220" w:type="dxa"/>
            <w:vAlign w:val="bottom"/>
            <w:tcBorders>
              <w:bottom w:val="single" w:sz="8" w:color="0063A6"/>
            </w:tcBorders>
            <w:shd w:val="clear" w:color="auto" w:fill="0063A6"/>
          </w:tcPr>
          <w:p>
            <w:pPr>
              <w:spacing w:after="0"/>
              <w:rPr>
                <w:sz w:val="18"/>
                <w:szCs w:val="18"/>
                <w:color w:val="auto"/>
              </w:rPr>
            </w:pPr>
          </w:p>
        </w:tc>
        <w:tc>
          <w:tcPr>
            <w:tcW w:w="6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440" w:type="dxa"/>
            <w:vAlign w:val="bottom"/>
            <w:tcBorders>
              <w:bottom w:val="single" w:sz="8" w:color="0063A6"/>
            </w:tcBorders>
            <w:shd w:val="clear" w:color="auto" w:fill="0063A6"/>
          </w:tcPr>
          <w:p>
            <w:pPr>
              <w:spacing w:after="0"/>
              <w:rPr>
                <w:sz w:val="18"/>
                <w:szCs w:val="18"/>
                <w:color w:val="auto"/>
              </w:rPr>
            </w:pPr>
          </w:p>
        </w:tc>
        <w:tc>
          <w:tcPr>
            <w:tcW w:w="780" w:type="dxa"/>
            <w:vAlign w:val="bottom"/>
            <w:tcBorders>
              <w:bottom w:val="single" w:sz="8" w:color="0063A6"/>
            </w:tcBorders>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3"/>
        </w:trPr>
        <w:tc>
          <w:tcPr>
            <w:tcW w:w="1660" w:type="dxa"/>
            <w:vAlign w:val="bottom"/>
            <w:tcBorders>
              <w:bottom w:val="single" w:sz="8" w:color="5D6673"/>
            </w:tcBorders>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$1,944,844</w:t>
            </w:r>
          </w:p>
        </w:tc>
        <w:tc>
          <w:tcPr>
            <w:tcW w:w="44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1,944,844​</w:t>
            </w:r>
          </w:p>
        </w:tc>
        <w:tc>
          <w:tcPr>
            <w:tcW w:w="0" w:type="dxa"/>
            <w:vAlign w:val="bottom"/>
          </w:tcPr>
          <w:p>
            <w:pPr>
              <w:spacing w:after="0"/>
              <w:rPr>
                <w:sz w:val="1"/>
                <w:szCs w:val="1"/>
                <w:color w:val="auto"/>
              </w:rPr>
            </w:pPr>
          </w:p>
        </w:tc>
      </w:tr>
      <w:tr>
        <w:trPr>
          <w:trHeight w:val="263"/>
        </w:trPr>
        <w:tc>
          <w:tcPr>
            <w:tcW w:w="1660" w:type="dxa"/>
            <w:vAlign w:val="bottom"/>
            <w:tcBorders>
              <w:bottom w:val="single" w:sz="8" w:color="5D6673"/>
            </w:tcBorders>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5D6673"/>
            </w:tcBorders>
            <w:gridSpan w:val="2"/>
          </w:tcPr>
          <w:p>
            <w:pPr>
              <w:ind w:left="260"/>
              <w:spacing w:after="0"/>
              <w:rPr>
                <w:sz w:val="20"/>
                <w:szCs w:val="20"/>
                <w:color w:val="auto"/>
              </w:rPr>
            </w:pPr>
            <w:r>
              <w:rPr>
                <w:rFonts w:ascii="Arial" w:cs="Arial" w:eastAsia="Arial" w:hAnsi="Arial"/>
                <w:sz w:val="14"/>
                <w:szCs w:val="14"/>
                <w:color w:val="auto"/>
              </w:rPr>
              <w:t>$900,000</w:t>
            </w:r>
          </w:p>
        </w:tc>
        <w:tc>
          <w:tcPr>
            <w:tcW w:w="22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5,062,500</w:t>
            </w:r>
          </w:p>
        </w:tc>
        <w:tc>
          <w:tcPr>
            <w:tcW w:w="0" w:type="dxa"/>
            <w:vAlign w:val="bottom"/>
          </w:tcPr>
          <w:p>
            <w:pPr>
              <w:spacing w:after="0"/>
              <w:rPr>
                <w:sz w:val="1"/>
                <w:szCs w:val="1"/>
                <w:color w:val="auto"/>
              </w:rPr>
            </w:pPr>
          </w:p>
        </w:tc>
      </w:tr>
      <w:tr>
        <w:trPr>
          <w:trHeight w:val="264"/>
        </w:trPr>
        <w:tc>
          <w:tcPr>
            <w:tcW w:w="1660" w:type="dxa"/>
            <w:vAlign w:val="bottom"/>
            <w:tcBorders>
              <w:bottom w:val="single" w:sz="8" w:color="5D6673"/>
            </w:tcBorders>
          </w:tcPr>
          <w:p>
            <w:pPr>
              <w:ind w:left="8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5D6673"/>
            </w:tcBorders>
          </w:tcPr>
          <w:p>
            <w:pPr>
              <w:ind w:left="2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46,938</w:t>
            </w:r>
          </w:p>
        </w:tc>
        <w:tc>
          <w:tcPr>
            <w:tcW w:w="22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94,846</w:t>
            </w:r>
          </w:p>
        </w:tc>
        <w:tc>
          <w:tcPr>
            <w:tcW w:w="0" w:type="dxa"/>
            <w:vAlign w:val="bottom"/>
          </w:tcPr>
          <w:p>
            <w:pPr>
              <w:spacing w:after="0"/>
              <w:rPr>
                <w:sz w:val="1"/>
                <w:szCs w:val="1"/>
                <w:color w:val="auto"/>
              </w:rPr>
            </w:pPr>
          </w:p>
        </w:tc>
      </w:tr>
      <w:tr>
        <w:trPr>
          <w:trHeight w:val="263"/>
        </w:trPr>
        <w:tc>
          <w:tcPr>
            <w:tcW w:w="1660" w:type="dxa"/>
            <w:vAlign w:val="bottom"/>
            <w:tcBorders>
              <w:bottom w:val="single" w:sz="8" w:color="5D6673"/>
            </w:tcBorders>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5,129,102</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5,129,102</w:t>
            </w:r>
          </w:p>
        </w:tc>
        <w:tc>
          <w:tcPr>
            <w:tcW w:w="16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2,230,993</w:t>
            </w:r>
          </w:p>
        </w:tc>
        <w:tc>
          <w:tcPr>
            <w:tcW w:w="360" w:type="dxa"/>
            <w:vAlign w:val="bottom"/>
            <w:tcBorders>
              <w:bottom w:val="single" w:sz="8" w:color="5D6673"/>
            </w:tcBorders>
          </w:tcPr>
          <w:p>
            <w:pPr>
              <w:ind w:left="2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5D6673"/>
            </w:tcBorders>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5,129,102</w:t>
            </w:r>
          </w:p>
        </w:tc>
        <w:tc>
          <w:tcPr>
            <w:tcW w:w="0" w:type="dxa"/>
            <w:vAlign w:val="bottom"/>
          </w:tcPr>
          <w:p>
            <w:pPr>
              <w:spacing w:after="0"/>
              <w:rPr>
                <w:sz w:val="1"/>
                <w:szCs w:val="1"/>
                <w:color w:val="auto"/>
              </w:rPr>
            </w:pPr>
          </w:p>
        </w:tc>
      </w:tr>
      <w:tr>
        <w:trPr>
          <w:trHeight w:val="236"/>
        </w:trPr>
        <w:tc>
          <w:tcPr>
            <w:tcW w:w="1660" w:type="dxa"/>
            <w:vAlign w:val="bottom"/>
            <w:tcBorders>
              <w:bottom w:val="single" w:sz="8" w:color="0063A6"/>
            </w:tcBorders>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92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63A6"/>
            </w:tcBorders>
            <w:gridSpan w:val="2"/>
          </w:tcPr>
          <w:p>
            <w:pPr>
              <w:ind w:left="40"/>
              <w:spacing w:after="0"/>
              <w:rPr>
                <w:sz w:val="20"/>
                <w:szCs w:val="20"/>
                <w:color w:val="auto"/>
              </w:rPr>
            </w:pPr>
            <w:r>
              <w:rPr>
                <w:rFonts w:ascii="Arial" w:cs="Arial" w:eastAsia="Arial" w:hAnsi="Arial"/>
                <w:sz w:val="14"/>
                <w:szCs w:val="14"/>
                <w:color w:val="auto"/>
              </w:rPr>
              <w:t>$25,948,050</w:t>
            </w:r>
          </w:p>
        </w:tc>
        <w:tc>
          <w:tcPr>
            <w:tcW w:w="900" w:type="dxa"/>
            <w:vAlign w:val="bottom"/>
            <w:tcBorders>
              <w:bottom w:val="single" w:sz="8" w:color="0063A6"/>
            </w:tcBorders>
            <w:gridSpan w:val="2"/>
          </w:tcPr>
          <w:p>
            <w:pPr>
              <w:ind w:left="40"/>
              <w:spacing w:after="0"/>
              <w:rPr>
                <w:sz w:val="20"/>
                <w:szCs w:val="20"/>
                <w:color w:val="auto"/>
              </w:rPr>
            </w:pPr>
            <w:r>
              <w:rPr>
                <w:rFonts w:ascii="Arial" w:cs="Arial" w:eastAsia="Arial" w:hAnsi="Arial"/>
                <w:sz w:val="14"/>
                <w:szCs w:val="14"/>
                <w:color w:val="auto"/>
              </w:rPr>
              <w:t>$25,948,050</w:t>
            </w:r>
          </w:p>
        </w:tc>
        <w:tc>
          <w:tcPr>
            <w:tcW w:w="900" w:type="dxa"/>
            <w:vAlign w:val="bottom"/>
            <w:tcBorders>
              <w:bottom w:val="single" w:sz="8" w:color="0063A6"/>
            </w:tcBorders>
            <w:gridSpan w:val="2"/>
          </w:tcPr>
          <w:p>
            <w:pPr>
              <w:ind w:left="40"/>
              <w:spacing w:after="0"/>
              <w:rPr>
                <w:sz w:val="20"/>
                <w:szCs w:val="20"/>
                <w:color w:val="auto"/>
              </w:rPr>
            </w:pPr>
            <w:r>
              <w:rPr>
                <w:rFonts w:ascii="Arial" w:cs="Arial" w:eastAsia="Arial" w:hAnsi="Arial"/>
                <w:sz w:val="14"/>
                <w:szCs w:val="14"/>
                <w:color w:val="auto"/>
              </w:rPr>
              <w:t>$14,057,961</w:t>
            </w:r>
          </w:p>
        </w:tc>
        <w:tc>
          <w:tcPr>
            <w:tcW w:w="360" w:type="dxa"/>
            <w:vAlign w:val="bottom"/>
            <w:tcBorders>
              <w:bottom w:val="single" w:sz="8" w:color="0063A6"/>
            </w:tcBorders>
          </w:tcPr>
          <w:p>
            <w:pPr>
              <w:ind w:left="2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63A6"/>
            </w:tcBorders>
          </w:tcPr>
          <w:p>
            <w:pPr>
              <w:ind w:left="4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63A6"/>
            </w:tcBorders>
            <w:gridSpan w:val="2"/>
          </w:tcPr>
          <w:p>
            <w:pPr>
              <w:ind w:left="320"/>
              <w:spacing w:after="0"/>
              <w:rPr>
                <w:sz w:val="20"/>
                <w:szCs w:val="20"/>
                <w:color w:val="auto"/>
              </w:rPr>
            </w:pPr>
            <w:r>
              <w:rPr>
                <w:rFonts w:ascii="Arial" w:cs="Arial" w:eastAsia="Arial" w:hAnsi="Arial"/>
                <w:sz w:val="14"/>
                <w:szCs w:val="14"/>
                <w:color w:val="auto"/>
              </w:rPr>
              <w:t>$17,335,580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80" w:hanging="346"/>
        <w:spacing w:after="0" w:line="248" w:lineRule="auto"/>
        <w:tabs>
          <w:tab w:leader="none" w:pos="3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346" w:right="60" w:hanging="346"/>
        <w:spacing w:after="0" w:line="263" w:lineRule="auto"/>
        <w:tabs>
          <w:tab w:leader="none" w:pos="3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2024, the annual incentive plan payout was greater than target, so the actual payout is shown.</w:t>
      </w:r>
    </w:p>
    <w:p>
      <w:pPr>
        <w:spacing w:after="0" w:line="24" w:lineRule="exact"/>
        <w:rPr>
          <w:rFonts w:ascii="Arial" w:cs="Arial" w:eastAsia="Arial" w:hAnsi="Arial"/>
          <w:sz w:val="14"/>
          <w:szCs w:val="14"/>
          <w:color w:val="auto"/>
        </w:rPr>
      </w:pPr>
    </w:p>
    <w:p>
      <w:pPr>
        <w:jc w:val="both"/>
        <w:ind w:left="346" w:right="20" w:hanging="346"/>
        <w:spacing w:after="0" w:line="263" w:lineRule="auto"/>
        <w:tabs>
          <w:tab w:leader="none" w:pos="3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2.5 times the sum of base salary and target annual bonus, plus 2.5 years of continued benefits.</w:t>
      </w:r>
    </w:p>
    <w:p>
      <w:pPr>
        <w:spacing w:after="0" w:line="37" w:lineRule="exact"/>
        <w:rPr>
          <w:rFonts w:ascii="Arial" w:cs="Arial" w:eastAsia="Arial" w:hAnsi="Arial"/>
          <w:sz w:val="14"/>
          <w:szCs w:val="14"/>
          <w:color w:val="auto"/>
        </w:rPr>
      </w:pPr>
    </w:p>
    <w:p>
      <w:pPr>
        <w:ind w:left="346" w:right="60" w:hanging="346"/>
        <w:spacing w:after="0" w:line="252" w:lineRule="auto"/>
        <w:tabs>
          <w:tab w:leader="none" w:pos="3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31, 2024 ($108.58). Upon a termination due to retirement after the first anniversary of the grant date, RSUs will continue to vest subject to non-compete/non-solicit and reasonable notice restrictions. 2024 awards are assumed forfeited, as retirement at December 31, 2024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346" w:right="40" w:hanging="346"/>
        <w:spacing w:after="0" w:line="244" w:lineRule="auto"/>
        <w:tabs>
          <w:tab w:leader="none" w:pos="3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2023 and 2024 values assume above target performance will be achieved. Upon a termination due to retirement after the first anniversary of the grant date, awards will vest in full based on actual performance at the end of the performance period (no pro-rated payout). 2024 awards are assumed forfeited, as retirement at December 31, 2024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elapsed. As of December 31, 2024, two three-year performance cycles (2023-2025 and 2024-2026) are not yet complete and the awards are tracking above target, so pro-rated actual values are included in this table. For the 2022-2024 performance cycle, actual payouts were above target, and the value shown in the table represents the actual payout. Values are based on the closing price of our common stock on December 31, 2024 ($108.58).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8293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3"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48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3" w:name="page54"/>
    <w:bookmarkEnd w:id="53"/>
    <w:tbl>
      <w:tblPr>
        <w:tblLayout w:type="fixed"/>
        <w:tblInd w:w="6"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color w:val="0063A6"/>
              </w:rPr>
              <w:t>Executive Compensation Tables</w:t>
            </w: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0063A6"/>
            </w:tcBorders>
          </w:tcPr>
          <w:p>
            <w:pPr>
              <w:spacing w:after="0"/>
              <w:rPr>
                <w:sz w:val="24"/>
                <w:szCs w:val="24"/>
                <w:color w:val="auto"/>
              </w:rPr>
            </w:pPr>
          </w:p>
        </w:tc>
        <w:tc>
          <w:tcPr>
            <w:tcW w:w="92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140" w:type="dxa"/>
            <w:vAlign w:val="bottom"/>
            <w:tcBorders>
              <w:bottom w:val="single" w:sz="8" w:color="0063A6"/>
            </w:tcBorders>
          </w:tcPr>
          <w:p>
            <w:pPr>
              <w:spacing w:after="0"/>
              <w:rPr>
                <w:sz w:val="24"/>
                <w:szCs w:val="24"/>
                <w:color w:val="auto"/>
              </w:rPr>
            </w:pPr>
          </w:p>
        </w:tc>
        <w:tc>
          <w:tcPr>
            <w:tcW w:w="1360" w:type="dxa"/>
            <w:vAlign w:val="bottom"/>
            <w:tcBorders>
              <w:bottom w:val="single" w:sz="8" w:color="0063A6"/>
            </w:tcBorders>
            <w:gridSpan w:val="2"/>
          </w:tcPr>
          <w:p>
            <w:pPr>
              <w:ind w:left="500"/>
              <w:spacing w:after="0"/>
              <w:rPr>
                <w:sz w:val="20"/>
                <w:szCs w:val="20"/>
                <w:color w:val="auto"/>
              </w:rPr>
            </w:pPr>
            <w:r>
              <w:rPr>
                <w:rFonts w:ascii="Arial" w:cs="Arial" w:eastAsia="Arial" w:hAnsi="Arial"/>
                <w:sz w:val="14"/>
                <w:szCs w:val="14"/>
                <w:b w:val="1"/>
                <w:bCs w:val="1"/>
                <w:color w:val="auto"/>
              </w:rPr>
              <w:t>ITRON, INC.</w:t>
            </w:r>
          </w:p>
        </w:tc>
        <w:tc>
          <w:tcPr>
            <w:tcW w:w="220" w:type="dxa"/>
            <w:vAlign w:val="bottom"/>
            <w:tcBorders>
              <w:bottom w:val="single" w:sz="8" w:color="0063A6"/>
            </w:tcBorders>
          </w:tcPr>
          <w:p>
            <w:pPr>
              <w:spacing w:after="0"/>
              <w:rPr>
                <w:sz w:val="24"/>
                <w:szCs w:val="24"/>
                <w:color w:val="auto"/>
              </w:rPr>
            </w:pPr>
          </w:p>
        </w:tc>
        <w:tc>
          <w:tcPr>
            <w:tcW w:w="380" w:type="dxa"/>
            <w:vAlign w:val="bottom"/>
            <w:tcBorders>
              <w:bottom w:val="single" w:sz="8" w:color="0063A6"/>
            </w:tcBorders>
          </w:tcPr>
          <w:p>
            <w:pPr>
              <w:spacing w:after="0"/>
              <w:rPr>
                <w:sz w:val="24"/>
                <w:szCs w:val="24"/>
                <w:color w:val="auto"/>
              </w:rPr>
            </w:pPr>
          </w:p>
        </w:tc>
        <w:tc>
          <w:tcPr>
            <w:tcW w:w="600" w:type="dxa"/>
            <w:vAlign w:val="bottom"/>
            <w:tcBorders>
              <w:bottom w:val="single" w:sz="8" w:color="0063A6"/>
            </w:tcBorders>
          </w:tcPr>
          <w:p>
            <w:pPr>
              <w:spacing w:after="0"/>
              <w:rPr>
                <w:sz w:val="24"/>
                <w:szCs w:val="24"/>
                <w:color w:val="auto"/>
              </w:rPr>
            </w:pPr>
          </w:p>
        </w:tc>
        <w:tc>
          <w:tcPr>
            <w:tcW w:w="30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50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0063A6"/>
            </w:tcBorders>
          </w:tcPr>
          <w:p>
            <w:pPr>
              <w:spacing w:after="0"/>
              <w:rPr>
                <w:sz w:val="20"/>
                <w:szCs w:val="20"/>
                <w:color w:val="auto"/>
              </w:rPr>
            </w:pPr>
          </w:p>
        </w:tc>
        <w:tc>
          <w:tcPr>
            <w:tcW w:w="92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3280" w:type="dxa"/>
            <w:vAlign w:val="bottom"/>
            <w:tcBorders>
              <w:bottom w:val="single" w:sz="8" w:color="0063A6"/>
            </w:tcBorders>
            <w:gridSpan w:val="7"/>
          </w:tcPr>
          <w:p>
            <w:pPr>
              <w:jc w:val="right"/>
              <w:ind w:right="388"/>
              <w:spacing w:after="0"/>
              <w:rPr>
                <w:sz w:val="20"/>
                <w:szCs w:val="20"/>
                <w:color w:val="auto"/>
              </w:rPr>
            </w:pPr>
            <w:r>
              <w:rPr>
                <w:rFonts w:ascii="Arial" w:cs="Arial" w:eastAsia="Arial" w:hAnsi="Arial"/>
                <w:sz w:val="14"/>
                <w:szCs w:val="14"/>
                <w:b w:val="1"/>
                <w:bCs w:val="1"/>
                <w:color w:val="auto"/>
              </w:rPr>
              <w:t>Summary of Termination Payments</w:t>
            </w:r>
          </w:p>
        </w:tc>
        <w:tc>
          <w:tcPr>
            <w:tcW w:w="300" w:type="dxa"/>
            <w:vAlign w:val="bottom"/>
            <w:tcBorders>
              <w:bottom w:val="single" w:sz="8" w:color="0063A6"/>
            </w:tcBorders>
          </w:tcPr>
          <w:p>
            <w:pPr>
              <w:spacing w:after="0"/>
              <w:rPr>
                <w:sz w:val="20"/>
                <w:szCs w:val="20"/>
                <w:color w:val="auto"/>
              </w:rPr>
            </w:pPr>
          </w:p>
        </w:tc>
        <w:tc>
          <w:tcPr>
            <w:tcW w:w="580" w:type="dxa"/>
            <w:vAlign w:val="bottom"/>
            <w:tcBorders>
              <w:bottom w:val="single" w:sz="8" w:color="0063A6"/>
            </w:tcBorders>
          </w:tcPr>
          <w:p>
            <w:pPr>
              <w:spacing w:after="0"/>
              <w:rPr>
                <w:sz w:val="20"/>
                <w:szCs w:val="20"/>
                <w:color w:val="auto"/>
              </w:rPr>
            </w:pPr>
          </w:p>
        </w:tc>
        <w:tc>
          <w:tcPr>
            <w:tcW w:w="50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Joan Hooper</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shd w:val="clear" w:color="auto" w:fill="0063A6"/>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40" w:type="dxa"/>
            <w:vAlign w:val="bottom"/>
            <w:shd w:val="clear" w:color="auto" w:fill="0063A6"/>
          </w:tcPr>
          <w:p>
            <w:pPr>
              <w:spacing w:after="0"/>
              <w:rPr>
                <w:sz w:val="18"/>
                <w:szCs w:val="18"/>
                <w:color w:val="auto"/>
              </w:rPr>
            </w:pPr>
          </w:p>
        </w:tc>
        <w:tc>
          <w:tcPr>
            <w:tcW w:w="700" w:type="dxa"/>
            <w:vAlign w:val="bottom"/>
            <w:shd w:val="clear" w:color="auto" w:fill="0063A6"/>
          </w:tcPr>
          <w:p>
            <w:pPr>
              <w:spacing w:after="0"/>
              <w:rPr>
                <w:sz w:val="18"/>
                <w:szCs w:val="18"/>
                <w:color w:val="auto"/>
              </w:rPr>
            </w:pPr>
          </w:p>
        </w:tc>
        <w:tc>
          <w:tcPr>
            <w:tcW w:w="66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380" w:type="dxa"/>
            <w:vAlign w:val="bottom"/>
            <w:shd w:val="clear" w:color="auto" w:fill="0063A6"/>
          </w:tcPr>
          <w:p>
            <w:pPr>
              <w:spacing w:after="0"/>
              <w:rPr>
                <w:sz w:val="18"/>
                <w:szCs w:val="18"/>
                <w:color w:val="auto"/>
              </w:rPr>
            </w:pPr>
          </w:p>
        </w:tc>
        <w:tc>
          <w:tcPr>
            <w:tcW w:w="600" w:type="dxa"/>
            <w:vAlign w:val="bottom"/>
            <w:shd w:val="clear" w:color="auto" w:fill="0063A6"/>
          </w:tcPr>
          <w:p>
            <w:pPr>
              <w:spacing w:after="0"/>
              <w:rPr>
                <w:sz w:val="18"/>
                <w:szCs w:val="18"/>
                <w:color w:val="auto"/>
              </w:rPr>
            </w:pPr>
          </w:p>
        </w:tc>
        <w:tc>
          <w:tcPr>
            <w:tcW w:w="30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for Good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98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9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92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98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w:t>
            </w:r>
          </w:p>
        </w:tc>
        <w:tc>
          <w:tcPr>
            <w:tcW w:w="88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122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0063A6"/>
            </w:tcBorders>
            <w:gridSpan w:val="2"/>
            <w:vMerge w:val="continue"/>
          </w:tcPr>
          <w:p>
            <w:pPr>
              <w:spacing w:after="0"/>
              <w:rPr>
                <w:sz w:val="18"/>
                <w:szCs w:val="18"/>
                <w:color w:val="auto"/>
              </w:rPr>
            </w:pPr>
          </w:p>
        </w:tc>
        <w:tc>
          <w:tcPr>
            <w:tcW w:w="9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for Cause</w:t>
            </w:r>
          </w:p>
        </w:tc>
        <w:tc>
          <w:tcPr>
            <w:tcW w:w="9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ind w:left="120"/>
              <w:spacing w:after="0"/>
              <w:rPr>
                <w:sz w:val="20"/>
                <w:szCs w:val="20"/>
                <w:color w:val="auto"/>
              </w:rPr>
            </w:pPr>
            <w:r>
              <w:rPr>
                <w:rFonts w:ascii="Arial" w:cs="Arial" w:eastAsia="Arial" w:hAnsi="Arial"/>
                <w:sz w:val="14"/>
                <w:szCs w:val="14"/>
                <w:b w:val="1"/>
                <w:bCs w:val="1"/>
                <w:color w:val="FFFFFF"/>
              </w:rPr>
              <w:t>Death</w:t>
            </w:r>
          </w:p>
        </w:tc>
        <w:tc>
          <w:tcPr>
            <w:tcW w:w="140" w:type="dxa"/>
            <w:vAlign w:val="bottom"/>
            <w:tcBorders>
              <w:bottom w:val="single" w:sz="8" w:color="0063A6"/>
            </w:tcBorders>
            <w:shd w:val="clear" w:color="auto" w:fill="0063A6"/>
          </w:tcPr>
          <w:p>
            <w:pPr>
              <w:spacing w:after="0"/>
              <w:rPr>
                <w:sz w:val="18"/>
                <w:szCs w:val="18"/>
                <w:color w:val="auto"/>
              </w:rPr>
            </w:pPr>
          </w:p>
        </w:tc>
        <w:tc>
          <w:tcPr>
            <w:tcW w:w="7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Disability</w:t>
            </w:r>
          </w:p>
        </w:tc>
        <w:tc>
          <w:tcPr>
            <w:tcW w:w="880" w:type="dxa"/>
            <w:vAlign w:val="bottom"/>
            <w:tcBorders>
              <w:bottom w:val="single" w:sz="8" w:color="0063A6"/>
            </w:tcBorders>
            <w:gridSpan w:val="2"/>
            <w:shd w:val="clear" w:color="auto" w:fill="0063A6"/>
          </w:tcPr>
          <w:p>
            <w:pPr>
              <w:ind w:left="80"/>
              <w:spacing w:after="0"/>
              <w:rPr>
                <w:sz w:val="20"/>
                <w:szCs w:val="20"/>
                <w:color w:val="auto"/>
              </w:rPr>
            </w:pPr>
            <w:r>
              <w:rPr>
                <w:rFonts w:ascii="Arial" w:cs="Arial" w:eastAsia="Arial" w:hAnsi="Arial"/>
                <w:sz w:val="14"/>
                <w:szCs w:val="14"/>
                <w:b w:val="1"/>
                <w:bCs w:val="1"/>
                <w:color w:val="FFFFFF"/>
              </w:rPr>
              <w:t>Retirement</w:t>
            </w:r>
          </w:p>
        </w:tc>
        <w:tc>
          <w:tcPr>
            <w:tcW w:w="380" w:type="dxa"/>
            <w:vAlign w:val="bottom"/>
            <w:tcBorders>
              <w:bottom w:val="single" w:sz="8" w:color="0063A6"/>
            </w:tcBorders>
            <w:shd w:val="clear" w:color="auto" w:fill="0063A6"/>
          </w:tcPr>
          <w:p>
            <w:pPr>
              <w:spacing w:after="0"/>
              <w:rPr>
                <w:sz w:val="18"/>
                <w:szCs w:val="18"/>
                <w:color w:val="auto"/>
              </w:rPr>
            </w:pPr>
          </w:p>
        </w:tc>
        <w:tc>
          <w:tcPr>
            <w:tcW w:w="6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Cause</w:t>
            </w:r>
          </w:p>
        </w:tc>
        <w:tc>
          <w:tcPr>
            <w:tcW w:w="30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50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5D6673"/>
            </w:tcBorders>
            <w:gridSpan w:val="2"/>
          </w:tcPr>
          <w:p>
            <w:pPr>
              <w:ind w:left="220"/>
              <w:spacing w:after="0"/>
              <w:rPr>
                <w:sz w:val="20"/>
                <w:szCs w:val="20"/>
                <w:color w:val="auto"/>
              </w:rPr>
            </w:pPr>
            <w:r>
              <w:rPr>
                <w:rFonts w:ascii="Arial" w:cs="Arial" w:eastAsia="Arial" w:hAnsi="Arial"/>
                <w:sz w:val="14"/>
                <w:szCs w:val="14"/>
                <w:color w:val="auto"/>
              </w:rPr>
              <w:t>$570,488</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570,488</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5D6673"/>
            </w:tcBorders>
            <w:gridSpan w:val="2"/>
          </w:tcPr>
          <w:p>
            <w:pPr>
              <w:ind w:left="280"/>
              <w:spacing w:after="0"/>
              <w:rPr>
                <w:sz w:val="20"/>
                <w:szCs w:val="20"/>
                <w:color w:val="auto"/>
              </w:rPr>
            </w:pPr>
            <w:r>
              <w:rPr>
                <w:rFonts w:ascii="Arial" w:cs="Arial" w:eastAsia="Arial" w:hAnsi="Arial"/>
                <w:sz w:val="14"/>
                <w:szCs w:val="14"/>
                <w:color w:val="auto"/>
              </w:rPr>
              <w:t>$550,000</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$1,925,000</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36,589</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55,177</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$2,531,217</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$2,531,217</w:t>
            </w:r>
          </w:p>
        </w:tc>
        <w:tc>
          <w:tcPr>
            <w:tcW w:w="880" w:type="dxa"/>
            <w:vAlign w:val="bottom"/>
            <w:tcBorders>
              <w:bottom w:val="single" w:sz="8" w:color="5D6673"/>
            </w:tcBorders>
            <w:gridSpan w:val="2"/>
          </w:tcPr>
          <w:p>
            <w:pPr>
              <w:ind w:left="100"/>
              <w:spacing w:after="0"/>
              <w:rPr>
                <w:sz w:val="20"/>
                <w:szCs w:val="20"/>
                <w:color w:val="auto"/>
              </w:rPr>
            </w:pPr>
            <w:r>
              <w:rPr>
                <w:rFonts w:ascii="Arial" w:cs="Arial" w:eastAsia="Arial" w:hAnsi="Arial"/>
                <w:sz w:val="14"/>
                <w:szCs w:val="14"/>
                <w:color w:val="auto"/>
              </w:rPr>
              <w:t>$1,154,640</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$2,531,217</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9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$6,784,187</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$6,784,187</w:t>
            </w:r>
          </w:p>
        </w:tc>
        <w:tc>
          <w:tcPr>
            <w:tcW w:w="880" w:type="dxa"/>
            <w:vAlign w:val="bottom"/>
            <w:tcBorders>
              <w:bottom w:val="single" w:sz="8" w:color="0063A6"/>
            </w:tcBorders>
            <w:gridSpan w:val="2"/>
          </w:tcPr>
          <w:p>
            <w:pPr>
              <w:ind w:left="100"/>
              <w:spacing w:after="0"/>
              <w:rPr>
                <w:sz w:val="20"/>
                <w:szCs w:val="20"/>
                <w:color w:val="auto"/>
              </w:rPr>
            </w:pPr>
            <w:r>
              <w:rPr>
                <w:rFonts w:ascii="Arial" w:cs="Arial" w:eastAsia="Arial" w:hAnsi="Arial"/>
                <w:sz w:val="14"/>
                <w:szCs w:val="14"/>
                <w:color w:val="auto"/>
              </w:rPr>
              <w:t>$3,907,034</w:t>
            </w:r>
          </w:p>
        </w:tc>
        <w:tc>
          <w:tcPr>
            <w:tcW w:w="380" w:type="dxa"/>
            <w:vAlign w:val="bottom"/>
            <w:tcBorders>
              <w:bottom w:val="single" w:sz="8" w:color="0063A6"/>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63A6"/>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0063A6"/>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$4,694,374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80" w:hanging="346"/>
        <w:spacing w:after="0" w:line="248"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346" w:right="60" w:hanging="346"/>
        <w:spacing w:after="0" w:line="263"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2024, the annual incentive plan payout was greater than target, so the actual payout is shown.</w:t>
      </w:r>
    </w:p>
    <w:p>
      <w:pPr>
        <w:spacing w:after="0" w:line="37" w:lineRule="exact"/>
        <w:rPr>
          <w:rFonts w:ascii="Arial" w:cs="Arial" w:eastAsia="Arial" w:hAnsi="Arial"/>
          <w:sz w:val="14"/>
          <w:szCs w:val="14"/>
          <w:color w:val="auto"/>
        </w:rPr>
      </w:pPr>
    </w:p>
    <w:p>
      <w:pPr>
        <w:ind w:left="346" w:right="20" w:hanging="346"/>
        <w:spacing w:after="0" w:line="263"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346" w:right="60" w:hanging="346"/>
        <w:spacing w:after="0" w:line="252"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31, 2024 ($108.58). Upon a termination due to retirement after the first anniversary of the grant date, RSUs will continue to vest subject to non-compete/non-solicit and reasonable notice restrictions. 2024 awards are assumed forfeited, as retirement at December 31, 2024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346" w:right="40" w:hanging="346"/>
        <w:spacing w:after="0" w:line="244" w:lineRule="auto"/>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2023 and 2024 values assume above target performance will be achieved. Upon a termination due to retirement after the first anniversary of the grant date, awards will vest in full based on actual performance at the end of the performance period (no pro-rated payout). 2024 awards are assumed forfeited, as retirement at December 31, 2024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elapsed. As of December 31, 2024, two three-year performance cycles (2023-2025 and 2024-2026) are not yet complete and the awards are tracking above target, so pro-rated actual values are included in this table. For the 2022-2024 performance cycle, actual payouts were above target, and the value shown in the table represents the actual payout. Values are based on the closing price of our common stock on December 31, 2024 ($108.58).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8293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3"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4" w:name="page55"/>
    <w:bookmarkEnd w:id="54"/>
    <w:tbl>
      <w:tblPr>
        <w:tblLayout w:type="fixed"/>
        <w:tblInd w:w="6"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620" w:type="dxa"/>
            <w:vAlign w:val="bottom"/>
            <w:gridSpan w:val="3"/>
          </w:tcPr>
          <w:p>
            <w:pPr>
              <w:spacing w:after="0"/>
              <w:rPr>
                <w:sz w:val="20"/>
                <w:szCs w:val="20"/>
                <w:color w:val="auto"/>
              </w:rPr>
            </w:pPr>
            <w:r>
              <w:rPr>
                <w:rFonts w:ascii="Arial" w:cs="Arial" w:eastAsia="Arial" w:hAnsi="Arial"/>
                <w:sz w:val="14"/>
                <w:szCs w:val="14"/>
                <w:color w:val="5D6673"/>
              </w:rPr>
              <w:t>EXECUTIVE COMPENSATION</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20" w:type="dxa"/>
            <w:vAlign w:val="bottom"/>
            <w:gridSpan w:val="3"/>
          </w:tcPr>
          <w:p>
            <w:pPr>
              <w:spacing w:after="0"/>
              <w:rPr>
                <w:sz w:val="20"/>
                <w:szCs w:val="20"/>
                <w:color w:val="auto"/>
              </w:rPr>
            </w:pPr>
            <w:r>
              <w:rPr>
                <w:rFonts w:ascii="Arial" w:cs="Arial" w:eastAsia="Arial" w:hAnsi="Arial"/>
                <w:sz w:val="14"/>
                <w:szCs w:val="14"/>
                <w:color w:val="0063A6"/>
              </w:rPr>
              <w:t>Executive Compensation Tables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0063A6"/>
            </w:tcBorders>
          </w:tcPr>
          <w:p>
            <w:pPr>
              <w:spacing w:after="0"/>
              <w:rPr>
                <w:sz w:val="24"/>
                <w:szCs w:val="24"/>
                <w:color w:val="auto"/>
              </w:rPr>
            </w:pPr>
          </w:p>
        </w:tc>
        <w:tc>
          <w:tcPr>
            <w:tcW w:w="92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140" w:type="dxa"/>
            <w:vAlign w:val="bottom"/>
            <w:tcBorders>
              <w:bottom w:val="single" w:sz="8" w:color="0063A6"/>
            </w:tcBorders>
          </w:tcPr>
          <w:p>
            <w:pPr>
              <w:spacing w:after="0"/>
              <w:rPr>
                <w:sz w:val="24"/>
                <w:szCs w:val="24"/>
                <w:color w:val="auto"/>
              </w:rPr>
            </w:pPr>
          </w:p>
        </w:tc>
        <w:tc>
          <w:tcPr>
            <w:tcW w:w="1580" w:type="dxa"/>
            <w:vAlign w:val="bottom"/>
            <w:tcBorders>
              <w:bottom w:val="single" w:sz="8" w:color="0063A6"/>
            </w:tcBorders>
            <w:gridSpan w:val="3"/>
          </w:tcPr>
          <w:p>
            <w:pPr>
              <w:ind w:left="500"/>
              <w:spacing w:after="0"/>
              <w:rPr>
                <w:sz w:val="20"/>
                <w:szCs w:val="20"/>
                <w:color w:val="auto"/>
              </w:rPr>
            </w:pPr>
            <w:r>
              <w:rPr>
                <w:rFonts w:ascii="Arial" w:cs="Arial" w:eastAsia="Arial" w:hAnsi="Arial"/>
                <w:sz w:val="14"/>
                <w:szCs w:val="14"/>
                <w:b w:val="1"/>
                <w:bCs w:val="1"/>
                <w:color w:val="auto"/>
              </w:rPr>
              <w:t>ITRON, INC.</w:t>
            </w:r>
          </w:p>
        </w:tc>
        <w:tc>
          <w:tcPr>
            <w:tcW w:w="380" w:type="dxa"/>
            <w:vAlign w:val="bottom"/>
            <w:tcBorders>
              <w:bottom w:val="single" w:sz="8" w:color="0063A6"/>
            </w:tcBorders>
          </w:tcPr>
          <w:p>
            <w:pPr>
              <w:spacing w:after="0"/>
              <w:rPr>
                <w:sz w:val="24"/>
                <w:szCs w:val="24"/>
                <w:color w:val="auto"/>
              </w:rPr>
            </w:pPr>
          </w:p>
        </w:tc>
        <w:tc>
          <w:tcPr>
            <w:tcW w:w="680" w:type="dxa"/>
            <w:vAlign w:val="bottom"/>
            <w:tcBorders>
              <w:bottom w:val="single" w:sz="8" w:color="0063A6"/>
            </w:tcBorders>
          </w:tcPr>
          <w:p>
            <w:pPr>
              <w:spacing w:after="0"/>
              <w:rPr>
                <w:sz w:val="24"/>
                <w:szCs w:val="24"/>
                <w:color w:val="auto"/>
              </w:rPr>
            </w:pPr>
          </w:p>
        </w:tc>
        <w:tc>
          <w:tcPr>
            <w:tcW w:w="22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50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0063A6"/>
            </w:tcBorders>
          </w:tcPr>
          <w:p>
            <w:pPr>
              <w:spacing w:after="0"/>
              <w:rPr>
                <w:sz w:val="20"/>
                <w:szCs w:val="20"/>
                <w:color w:val="auto"/>
              </w:rPr>
            </w:pPr>
          </w:p>
        </w:tc>
        <w:tc>
          <w:tcPr>
            <w:tcW w:w="92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3360" w:type="dxa"/>
            <w:vAlign w:val="bottom"/>
            <w:tcBorders>
              <w:bottom w:val="single" w:sz="8" w:color="0063A6"/>
            </w:tcBorders>
            <w:gridSpan w:val="7"/>
          </w:tcPr>
          <w:p>
            <w:pPr>
              <w:jc w:val="center"/>
              <w:ind w:right="48"/>
              <w:spacing w:after="0"/>
              <w:rPr>
                <w:sz w:val="20"/>
                <w:szCs w:val="20"/>
                <w:color w:val="auto"/>
              </w:rPr>
            </w:pPr>
            <w:r>
              <w:rPr>
                <w:rFonts w:ascii="Arial" w:cs="Arial" w:eastAsia="Arial" w:hAnsi="Arial"/>
                <w:sz w:val="14"/>
                <w:szCs w:val="14"/>
                <w:b w:val="1"/>
                <w:bCs w:val="1"/>
                <w:color w:val="auto"/>
              </w:rPr>
              <w:t>Summary of Termination Payments</w:t>
            </w:r>
          </w:p>
        </w:tc>
        <w:tc>
          <w:tcPr>
            <w:tcW w:w="220" w:type="dxa"/>
            <w:vAlign w:val="bottom"/>
            <w:tcBorders>
              <w:bottom w:val="single" w:sz="8" w:color="0063A6"/>
            </w:tcBorders>
          </w:tcPr>
          <w:p>
            <w:pPr>
              <w:spacing w:after="0"/>
              <w:rPr>
                <w:sz w:val="20"/>
                <w:szCs w:val="20"/>
                <w:color w:val="auto"/>
              </w:rPr>
            </w:pPr>
          </w:p>
        </w:tc>
        <w:tc>
          <w:tcPr>
            <w:tcW w:w="580" w:type="dxa"/>
            <w:vAlign w:val="bottom"/>
            <w:tcBorders>
              <w:bottom w:val="single" w:sz="8" w:color="0063A6"/>
            </w:tcBorders>
          </w:tcPr>
          <w:p>
            <w:pPr>
              <w:spacing w:after="0"/>
              <w:rPr>
                <w:sz w:val="20"/>
                <w:szCs w:val="20"/>
                <w:color w:val="auto"/>
              </w:rPr>
            </w:pPr>
          </w:p>
        </w:tc>
        <w:tc>
          <w:tcPr>
            <w:tcW w:w="50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Donald Reeves</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shd w:val="clear" w:color="auto" w:fill="0063A6"/>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40" w:type="dxa"/>
            <w:vAlign w:val="bottom"/>
            <w:shd w:val="clear" w:color="auto" w:fill="0063A6"/>
          </w:tcPr>
          <w:p>
            <w:pPr>
              <w:spacing w:after="0"/>
              <w:rPr>
                <w:sz w:val="18"/>
                <w:szCs w:val="18"/>
                <w:color w:val="auto"/>
              </w:rPr>
            </w:pPr>
          </w:p>
        </w:tc>
        <w:tc>
          <w:tcPr>
            <w:tcW w:w="70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660" w:type="dxa"/>
            <w:vAlign w:val="bottom"/>
            <w:shd w:val="clear" w:color="auto" w:fill="0063A6"/>
          </w:tcPr>
          <w:p>
            <w:pPr>
              <w:spacing w:after="0"/>
              <w:rPr>
                <w:sz w:val="18"/>
                <w:szCs w:val="18"/>
                <w:color w:val="auto"/>
              </w:rPr>
            </w:pPr>
          </w:p>
        </w:tc>
        <w:tc>
          <w:tcPr>
            <w:tcW w:w="380" w:type="dxa"/>
            <w:vAlign w:val="bottom"/>
            <w:shd w:val="clear" w:color="auto" w:fill="0063A6"/>
          </w:tcPr>
          <w:p>
            <w:pPr>
              <w:spacing w:after="0"/>
              <w:rPr>
                <w:sz w:val="18"/>
                <w:szCs w:val="18"/>
                <w:color w:val="auto"/>
              </w:rPr>
            </w:pPr>
          </w:p>
        </w:tc>
        <w:tc>
          <w:tcPr>
            <w:tcW w:w="68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for Good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1060" w:type="dxa"/>
            <w:vAlign w:val="bottom"/>
            <w:gridSpan w:val="2"/>
            <w:shd w:val="clear" w:color="auto" w:fill="0063A6"/>
          </w:tcPr>
          <w:p>
            <w:pPr>
              <w:ind w:left="60"/>
              <w:spacing w:after="0"/>
              <w:rPr>
                <w:sz w:val="20"/>
                <w:szCs w:val="20"/>
                <w:color w:val="auto"/>
              </w:rPr>
            </w:pPr>
            <w:r>
              <w:rPr>
                <w:rFonts w:ascii="Arial" w:cs="Arial" w:eastAsia="Arial" w:hAnsi="Arial"/>
                <w:sz w:val="14"/>
                <w:szCs w:val="14"/>
                <w:b w:val="1"/>
                <w:bCs w:val="1"/>
                <w:color w:val="FFFFFF"/>
              </w:rPr>
              <w:t>Termination</w:t>
            </w: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9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92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1860" w:type="dxa"/>
            <w:vAlign w:val="bottom"/>
            <w:gridSpan w:val="4"/>
            <w:shd w:val="clear" w:color="auto" w:fill="0063A6"/>
          </w:tcPr>
          <w:p>
            <w:pPr>
              <w:jc w:val="right"/>
              <w:spacing w:after="0"/>
              <w:rPr>
                <w:sz w:val="20"/>
                <w:szCs w:val="20"/>
                <w:color w:val="auto"/>
              </w:rPr>
            </w:pPr>
            <w:r>
              <w:rPr>
                <w:rFonts w:ascii="Arial" w:cs="Arial" w:eastAsia="Arial" w:hAnsi="Arial"/>
                <w:sz w:val="14"/>
                <w:szCs w:val="14"/>
                <w:b w:val="1"/>
                <w:bCs w:val="1"/>
                <w:color w:val="FFFFFF"/>
              </w:rPr>
              <w:t>Without  Change-in-</w:t>
            </w:r>
          </w:p>
        </w:tc>
        <w:tc>
          <w:tcPr>
            <w:tcW w:w="122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0063A6"/>
            </w:tcBorders>
            <w:gridSpan w:val="2"/>
            <w:vMerge w:val="continue"/>
          </w:tcPr>
          <w:p>
            <w:pPr>
              <w:spacing w:after="0"/>
              <w:rPr>
                <w:sz w:val="18"/>
                <w:szCs w:val="18"/>
                <w:color w:val="auto"/>
              </w:rPr>
            </w:pPr>
          </w:p>
        </w:tc>
        <w:tc>
          <w:tcPr>
            <w:tcW w:w="9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for Cause</w:t>
            </w:r>
          </w:p>
        </w:tc>
        <w:tc>
          <w:tcPr>
            <w:tcW w:w="9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ind w:left="120"/>
              <w:spacing w:after="0"/>
              <w:rPr>
                <w:sz w:val="20"/>
                <w:szCs w:val="20"/>
                <w:color w:val="auto"/>
              </w:rPr>
            </w:pPr>
            <w:r>
              <w:rPr>
                <w:rFonts w:ascii="Arial" w:cs="Arial" w:eastAsia="Arial" w:hAnsi="Arial"/>
                <w:sz w:val="14"/>
                <w:szCs w:val="14"/>
                <w:b w:val="1"/>
                <w:bCs w:val="1"/>
                <w:color w:val="FFFFFF"/>
              </w:rPr>
              <w:t>Death</w:t>
            </w:r>
          </w:p>
        </w:tc>
        <w:tc>
          <w:tcPr>
            <w:tcW w:w="140" w:type="dxa"/>
            <w:vAlign w:val="bottom"/>
            <w:tcBorders>
              <w:bottom w:val="single" w:sz="8" w:color="0063A6"/>
            </w:tcBorders>
            <w:shd w:val="clear" w:color="auto" w:fill="0063A6"/>
          </w:tcPr>
          <w:p>
            <w:pPr>
              <w:spacing w:after="0"/>
              <w:rPr>
                <w:sz w:val="18"/>
                <w:szCs w:val="18"/>
                <w:color w:val="auto"/>
              </w:rPr>
            </w:pPr>
          </w:p>
        </w:tc>
        <w:tc>
          <w:tcPr>
            <w:tcW w:w="7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Disability</w:t>
            </w:r>
          </w:p>
        </w:tc>
        <w:tc>
          <w:tcPr>
            <w:tcW w:w="880" w:type="dxa"/>
            <w:vAlign w:val="bottom"/>
            <w:tcBorders>
              <w:bottom w:val="single" w:sz="8" w:color="0063A6"/>
            </w:tcBorders>
            <w:gridSpan w:val="2"/>
            <w:shd w:val="clear" w:color="auto" w:fill="0063A6"/>
          </w:tcPr>
          <w:p>
            <w:pPr>
              <w:ind w:left="80"/>
              <w:spacing w:after="0"/>
              <w:rPr>
                <w:sz w:val="20"/>
                <w:szCs w:val="20"/>
                <w:color w:val="auto"/>
              </w:rPr>
            </w:pPr>
            <w:r>
              <w:rPr>
                <w:rFonts w:ascii="Arial" w:cs="Arial" w:eastAsia="Arial" w:hAnsi="Arial"/>
                <w:sz w:val="14"/>
                <w:szCs w:val="14"/>
                <w:b w:val="1"/>
                <w:bCs w:val="1"/>
                <w:color w:val="FFFFFF"/>
              </w:rPr>
              <w:t>Retirement</w:t>
            </w:r>
          </w:p>
        </w:tc>
        <w:tc>
          <w:tcPr>
            <w:tcW w:w="380" w:type="dxa"/>
            <w:vAlign w:val="bottom"/>
            <w:tcBorders>
              <w:bottom w:val="single" w:sz="8" w:color="0063A6"/>
            </w:tcBorders>
            <w:shd w:val="clear" w:color="auto" w:fill="0063A6"/>
          </w:tcPr>
          <w:p>
            <w:pPr>
              <w:spacing w:after="0"/>
              <w:rPr>
                <w:sz w:val="18"/>
                <w:szCs w:val="18"/>
                <w:color w:val="auto"/>
              </w:rPr>
            </w:pPr>
          </w:p>
        </w:tc>
        <w:tc>
          <w:tcPr>
            <w:tcW w:w="680" w:type="dxa"/>
            <w:vAlign w:val="bottom"/>
            <w:tcBorders>
              <w:bottom w:val="single" w:sz="8" w:color="0063A6"/>
            </w:tcBorders>
            <w:shd w:val="clear" w:color="auto" w:fill="0063A6"/>
          </w:tcPr>
          <w:p>
            <w:pPr>
              <w:jc w:val="right"/>
              <w:ind w:right="68"/>
              <w:spacing w:after="0"/>
              <w:rPr>
                <w:sz w:val="20"/>
                <w:szCs w:val="20"/>
                <w:color w:val="auto"/>
              </w:rPr>
            </w:pPr>
            <w:r>
              <w:rPr>
                <w:rFonts w:ascii="Arial" w:cs="Arial" w:eastAsia="Arial" w:hAnsi="Arial"/>
                <w:sz w:val="14"/>
                <w:szCs w:val="14"/>
                <w:b w:val="1"/>
                <w:bCs w:val="1"/>
                <w:color w:val="FFFFFF"/>
              </w:rPr>
              <w:t>Cause</w:t>
            </w:r>
          </w:p>
        </w:tc>
        <w:tc>
          <w:tcPr>
            <w:tcW w:w="22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50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5D6673"/>
            </w:tcBorders>
            <w:gridSpan w:val="2"/>
          </w:tcPr>
          <w:p>
            <w:pPr>
              <w:ind w:left="140"/>
              <w:spacing w:after="0"/>
              <w:rPr>
                <w:sz w:val="20"/>
                <w:szCs w:val="20"/>
                <w:color w:val="auto"/>
              </w:rPr>
            </w:pPr>
            <w:r>
              <w:rPr>
                <w:rFonts w:ascii="Arial" w:cs="Arial" w:eastAsia="Arial" w:hAnsi="Arial"/>
                <w:sz w:val="14"/>
                <w:szCs w:val="14"/>
                <w:color w:val="auto"/>
              </w:rPr>
              <w:t>$487,508</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487,508</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gridSpan w:val="2"/>
          </w:tcPr>
          <w:p>
            <w:pPr>
              <w:ind w:left="280"/>
              <w:spacing w:after="0"/>
              <w:rPr>
                <w:sz w:val="20"/>
                <w:szCs w:val="20"/>
                <w:color w:val="auto"/>
              </w:rPr>
            </w:pPr>
            <w:r>
              <w:rPr>
                <w:rFonts w:ascii="Arial" w:cs="Arial" w:eastAsia="Arial" w:hAnsi="Arial"/>
                <w:sz w:val="14"/>
                <w:szCs w:val="14"/>
                <w:color w:val="auto"/>
              </w:rPr>
              <w:t>$470,000</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$1,645,000</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40,649</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63,298</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$1,192,426</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$1,192,426</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395,448</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$1,192,426</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9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$2,742,405</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$2,742,405</w:t>
            </w:r>
          </w:p>
        </w:tc>
        <w:tc>
          <w:tcPr>
            <w:tcW w:w="880" w:type="dxa"/>
            <w:vAlign w:val="bottom"/>
            <w:tcBorders>
              <w:bottom w:val="single" w:sz="8" w:color="0063A6"/>
            </w:tcBorders>
            <w:gridSpan w:val="2"/>
          </w:tcPr>
          <w:p>
            <w:pPr>
              <w:ind w:left="100"/>
              <w:spacing w:after="0"/>
              <w:rPr>
                <w:sz w:val="20"/>
                <w:szCs w:val="20"/>
                <w:color w:val="auto"/>
              </w:rPr>
            </w:pPr>
            <w:r>
              <w:rPr>
                <w:rFonts w:ascii="Arial" w:cs="Arial" w:eastAsia="Arial" w:hAnsi="Arial"/>
                <w:sz w:val="14"/>
                <w:szCs w:val="14"/>
                <w:color w:val="auto"/>
              </w:rPr>
              <w:t>$1,289,170</w:t>
            </w:r>
          </w:p>
        </w:tc>
        <w:tc>
          <w:tcPr>
            <w:tcW w:w="380" w:type="dxa"/>
            <w:vAlign w:val="bottom"/>
            <w:tcBorders>
              <w:bottom w:val="single" w:sz="8" w:color="0063A6"/>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63A6"/>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0063A6"/>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$1,709,426</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80" w:hanging="346"/>
        <w:spacing w:after="0" w:line="248"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346" w:right="60" w:hanging="346"/>
        <w:spacing w:after="0" w:line="263"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2024, the annual incentive plan payout was greater than target, so the actual payout is shown.</w:t>
      </w:r>
    </w:p>
    <w:p>
      <w:pPr>
        <w:spacing w:after="0" w:line="37" w:lineRule="exact"/>
        <w:rPr>
          <w:rFonts w:ascii="Arial" w:cs="Arial" w:eastAsia="Arial" w:hAnsi="Arial"/>
          <w:sz w:val="14"/>
          <w:szCs w:val="14"/>
          <w:color w:val="auto"/>
        </w:rPr>
      </w:pPr>
    </w:p>
    <w:p>
      <w:pPr>
        <w:ind w:left="346" w:right="20" w:hanging="346"/>
        <w:spacing w:after="0" w:line="263"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346" w:right="60" w:hanging="346"/>
        <w:spacing w:after="0" w:line="252"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31, 2024 ($108.58). Upon a termination due to retirement after the first anniversary of the grant date, RSUs will continue to vest subject to non-compete/non-solicit and reasonable notice restrictions. 2024 awards are assumed forfeited, as retirement at December 31, 2024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346" w:right="40" w:hanging="346"/>
        <w:spacing w:after="0" w:line="244" w:lineRule="auto"/>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2023 and 2024 values assume above target performance will be achieved. Upon a termination due to retirement after the first anniversary of the grant date, awards will vest in full based on actual performance at the end of the performance period (no pro-rated payout). 2024 awards are assumed forfeited, as retirement at December 31, 2024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elapsed. As of December 31, 2024, two three-year performance cycles (2023-2025 and 2024-2026) are not yet complete and the awards are tracking above target, so pro-rated actual values are included in this table. For the 2022-2024 performance cycle, actual payouts were above target, and the value shown in the table represents the actual payout. Values are based on the closing price of our common stock on December 31, 2024 ($108.58).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8293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3"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50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5" w:name="page56"/>
    <w:bookmarkEnd w:id="55"/>
    <w:tbl>
      <w:tblPr>
        <w:tblLayout w:type="fixed"/>
        <w:tblInd w:w="6"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color w:val="0063A6"/>
              </w:rPr>
              <w:t>Executive Compensation Tables</w:t>
            </w: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0063A6"/>
            </w:tcBorders>
          </w:tcPr>
          <w:p>
            <w:pPr>
              <w:spacing w:after="0"/>
              <w:rPr>
                <w:sz w:val="24"/>
                <w:szCs w:val="24"/>
                <w:color w:val="auto"/>
              </w:rPr>
            </w:pPr>
          </w:p>
        </w:tc>
        <w:tc>
          <w:tcPr>
            <w:tcW w:w="92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140" w:type="dxa"/>
            <w:vAlign w:val="bottom"/>
            <w:tcBorders>
              <w:bottom w:val="single" w:sz="8" w:color="0063A6"/>
            </w:tcBorders>
          </w:tcPr>
          <w:p>
            <w:pPr>
              <w:spacing w:after="0"/>
              <w:rPr>
                <w:sz w:val="24"/>
                <w:szCs w:val="24"/>
                <w:color w:val="auto"/>
              </w:rPr>
            </w:pPr>
          </w:p>
        </w:tc>
        <w:tc>
          <w:tcPr>
            <w:tcW w:w="1580" w:type="dxa"/>
            <w:vAlign w:val="bottom"/>
            <w:tcBorders>
              <w:bottom w:val="single" w:sz="8" w:color="0063A6"/>
            </w:tcBorders>
            <w:gridSpan w:val="3"/>
          </w:tcPr>
          <w:p>
            <w:pPr>
              <w:ind w:left="500"/>
              <w:spacing w:after="0"/>
              <w:rPr>
                <w:sz w:val="20"/>
                <w:szCs w:val="20"/>
                <w:color w:val="auto"/>
              </w:rPr>
            </w:pPr>
            <w:r>
              <w:rPr>
                <w:rFonts w:ascii="Arial" w:cs="Arial" w:eastAsia="Arial" w:hAnsi="Arial"/>
                <w:sz w:val="14"/>
                <w:szCs w:val="14"/>
                <w:b w:val="1"/>
                <w:bCs w:val="1"/>
                <w:color w:val="auto"/>
              </w:rPr>
              <w:t>ITRON, INC.</w:t>
            </w:r>
          </w:p>
        </w:tc>
        <w:tc>
          <w:tcPr>
            <w:tcW w:w="380" w:type="dxa"/>
            <w:vAlign w:val="bottom"/>
            <w:tcBorders>
              <w:bottom w:val="single" w:sz="8" w:color="0063A6"/>
            </w:tcBorders>
          </w:tcPr>
          <w:p>
            <w:pPr>
              <w:spacing w:after="0"/>
              <w:rPr>
                <w:sz w:val="24"/>
                <w:szCs w:val="24"/>
                <w:color w:val="auto"/>
              </w:rPr>
            </w:pPr>
          </w:p>
        </w:tc>
        <w:tc>
          <w:tcPr>
            <w:tcW w:w="600" w:type="dxa"/>
            <w:vAlign w:val="bottom"/>
            <w:tcBorders>
              <w:bottom w:val="single" w:sz="8" w:color="0063A6"/>
            </w:tcBorders>
          </w:tcPr>
          <w:p>
            <w:pPr>
              <w:spacing w:after="0"/>
              <w:rPr>
                <w:sz w:val="24"/>
                <w:szCs w:val="24"/>
                <w:color w:val="auto"/>
              </w:rPr>
            </w:pPr>
          </w:p>
        </w:tc>
        <w:tc>
          <w:tcPr>
            <w:tcW w:w="30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50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0063A6"/>
            </w:tcBorders>
          </w:tcPr>
          <w:p>
            <w:pPr>
              <w:spacing w:after="0"/>
              <w:rPr>
                <w:sz w:val="20"/>
                <w:szCs w:val="20"/>
                <w:color w:val="auto"/>
              </w:rPr>
            </w:pPr>
          </w:p>
        </w:tc>
        <w:tc>
          <w:tcPr>
            <w:tcW w:w="92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3280" w:type="dxa"/>
            <w:vAlign w:val="bottom"/>
            <w:tcBorders>
              <w:bottom w:val="single" w:sz="8" w:color="0063A6"/>
            </w:tcBorders>
            <w:gridSpan w:val="7"/>
          </w:tcPr>
          <w:p>
            <w:pPr>
              <w:jc w:val="center"/>
              <w:spacing w:after="0"/>
              <w:rPr>
                <w:sz w:val="20"/>
                <w:szCs w:val="20"/>
                <w:color w:val="auto"/>
              </w:rPr>
            </w:pPr>
            <w:r>
              <w:rPr>
                <w:rFonts w:ascii="Arial" w:cs="Arial" w:eastAsia="Arial" w:hAnsi="Arial"/>
                <w:sz w:val="14"/>
                <w:szCs w:val="14"/>
                <w:b w:val="1"/>
                <w:bCs w:val="1"/>
                <w:color w:val="auto"/>
              </w:rPr>
              <w:t>Summary of Termination Payments</w:t>
            </w:r>
          </w:p>
        </w:tc>
        <w:tc>
          <w:tcPr>
            <w:tcW w:w="300" w:type="dxa"/>
            <w:vAlign w:val="bottom"/>
            <w:tcBorders>
              <w:bottom w:val="single" w:sz="8" w:color="0063A6"/>
            </w:tcBorders>
          </w:tcPr>
          <w:p>
            <w:pPr>
              <w:spacing w:after="0"/>
              <w:rPr>
                <w:sz w:val="20"/>
                <w:szCs w:val="20"/>
                <w:color w:val="auto"/>
              </w:rPr>
            </w:pPr>
          </w:p>
        </w:tc>
        <w:tc>
          <w:tcPr>
            <w:tcW w:w="580" w:type="dxa"/>
            <w:vAlign w:val="bottom"/>
            <w:tcBorders>
              <w:bottom w:val="single" w:sz="8" w:color="0063A6"/>
            </w:tcBorders>
          </w:tcPr>
          <w:p>
            <w:pPr>
              <w:spacing w:after="0"/>
              <w:rPr>
                <w:sz w:val="20"/>
                <w:szCs w:val="20"/>
                <w:color w:val="auto"/>
              </w:rPr>
            </w:pPr>
          </w:p>
        </w:tc>
        <w:tc>
          <w:tcPr>
            <w:tcW w:w="50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John Marcolini</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shd w:val="clear" w:color="auto" w:fill="0063A6"/>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40" w:type="dxa"/>
            <w:vAlign w:val="bottom"/>
            <w:shd w:val="clear" w:color="auto" w:fill="0063A6"/>
          </w:tcPr>
          <w:p>
            <w:pPr>
              <w:spacing w:after="0"/>
              <w:rPr>
                <w:sz w:val="18"/>
                <w:szCs w:val="18"/>
                <w:color w:val="auto"/>
              </w:rPr>
            </w:pPr>
          </w:p>
        </w:tc>
        <w:tc>
          <w:tcPr>
            <w:tcW w:w="70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660" w:type="dxa"/>
            <w:vAlign w:val="bottom"/>
            <w:shd w:val="clear" w:color="auto" w:fill="0063A6"/>
          </w:tcPr>
          <w:p>
            <w:pPr>
              <w:spacing w:after="0"/>
              <w:rPr>
                <w:sz w:val="18"/>
                <w:szCs w:val="18"/>
                <w:color w:val="auto"/>
              </w:rPr>
            </w:pPr>
          </w:p>
        </w:tc>
        <w:tc>
          <w:tcPr>
            <w:tcW w:w="380" w:type="dxa"/>
            <w:vAlign w:val="bottom"/>
            <w:shd w:val="clear" w:color="auto" w:fill="0063A6"/>
          </w:tcPr>
          <w:p>
            <w:pPr>
              <w:spacing w:after="0"/>
              <w:rPr>
                <w:sz w:val="18"/>
                <w:szCs w:val="18"/>
                <w:color w:val="auto"/>
              </w:rPr>
            </w:pPr>
          </w:p>
        </w:tc>
        <w:tc>
          <w:tcPr>
            <w:tcW w:w="600" w:type="dxa"/>
            <w:vAlign w:val="bottom"/>
            <w:shd w:val="clear" w:color="auto" w:fill="0063A6"/>
          </w:tcPr>
          <w:p>
            <w:pPr>
              <w:spacing w:after="0"/>
              <w:rPr>
                <w:sz w:val="18"/>
                <w:szCs w:val="18"/>
                <w:color w:val="auto"/>
              </w:rPr>
            </w:pPr>
          </w:p>
        </w:tc>
        <w:tc>
          <w:tcPr>
            <w:tcW w:w="30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for Good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98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30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9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92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98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w:t>
            </w:r>
          </w:p>
        </w:tc>
        <w:tc>
          <w:tcPr>
            <w:tcW w:w="88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122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0063A6"/>
            </w:tcBorders>
            <w:gridSpan w:val="2"/>
            <w:vMerge w:val="continue"/>
          </w:tcPr>
          <w:p>
            <w:pPr>
              <w:spacing w:after="0"/>
              <w:rPr>
                <w:sz w:val="18"/>
                <w:szCs w:val="18"/>
                <w:color w:val="auto"/>
              </w:rPr>
            </w:pPr>
          </w:p>
        </w:tc>
        <w:tc>
          <w:tcPr>
            <w:tcW w:w="9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for Cause</w:t>
            </w:r>
          </w:p>
        </w:tc>
        <w:tc>
          <w:tcPr>
            <w:tcW w:w="9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ind w:left="120"/>
              <w:spacing w:after="0"/>
              <w:rPr>
                <w:sz w:val="20"/>
                <w:szCs w:val="20"/>
                <w:color w:val="auto"/>
              </w:rPr>
            </w:pPr>
            <w:r>
              <w:rPr>
                <w:rFonts w:ascii="Arial" w:cs="Arial" w:eastAsia="Arial" w:hAnsi="Arial"/>
                <w:sz w:val="14"/>
                <w:szCs w:val="14"/>
                <w:b w:val="1"/>
                <w:bCs w:val="1"/>
                <w:color w:val="FFFFFF"/>
              </w:rPr>
              <w:t>Death</w:t>
            </w:r>
          </w:p>
        </w:tc>
        <w:tc>
          <w:tcPr>
            <w:tcW w:w="140" w:type="dxa"/>
            <w:vAlign w:val="bottom"/>
            <w:tcBorders>
              <w:bottom w:val="single" w:sz="8" w:color="0063A6"/>
            </w:tcBorders>
            <w:shd w:val="clear" w:color="auto" w:fill="0063A6"/>
          </w:tcPr>
          <w:p>
            <w:pPr>
              <w:spacing w:after="0"/>
              <w:rPr>
                <w:sz w:val="18"/>
                <w:szCs w:val="18"/>
                <w:color w:val="auto"/>
              </w:rPr>
            </w:pPr>
          </w:p>
        </w:tc>
        <w:tc>
          <w:tcPr>
            <w:tcW w:w="7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Disability</w:t>
            </w:r>
          </w:p>
        </w:tc>
        <w:tc>
          <w:tcPr>
            <w:tcW w:w="880" w:type="dxa"/>
            <w:vAlign w:val="bottom"/>
            <w:tcBorders>
              <w:bottom w:val="single" w:sz="8" w:color="0063A6"/>
            </w:tcBorders>
            <w:gridSpan w:val="2"/>
            <w:shd w:val="clear" w:color="auto" w:fill="0063A6"/>
          </w:tcPr>
          <w:p>
            <w:pPr>
              <w:ind w:left="80"/>
              <w:spacing w:after="0"/>
              <w:rPr>
                <w:sz w:val="20"/>
                <w:szCs w:val="20"/>
                <w:color w:val="auto"/>
              </w:rPr>
            </w:pPr>
            <w:r>
              <w:rPr>
                <w:rFonts w:ascii="Arial" w:cs="Arial" w:eastAsia="Arial" w:hAnsi="Arial"/>
                <w:sz w:val="14"/>
                <w:szCs w:val="14"/>
                <w:b w:val="1"/>
                <w:bCs w:val="1"/>
                <w:color w:val="FFFFFF"/>
              </w:rPr>
              <w:t>Retirement</w:t>
            </w:r>
          </w:p>
        </w:tc>
        <w:tc>
          <w:tcPr>
            <w:tcW w:w="380" w:type="dxa"/>
            <w:vAlign w:val="bottom"/>
            <w:tcBorders>
              <w:bottom w:val="single" w:sz="8" w:color="0063A6"/>
            </w:tcBorders>
            <w:shd w:val="clear" w:color="auto" w:fill="0063A6"/>
          </w:tcPr>
          <w:p>
            <w:pPr>
              <w:spacing w:after="0"/>
              <w:rPr>
                <w:sz w:val="18"/>
                <w:szCs w:val="18"/>
                <w:color w:val="auto"/>
              </w:rPr>
            </w:pPr>
          </w:p>
        </w:tc>
        <w:tc>
          <w:tcPr>
            <w:tcW w:w="6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Cause</w:t>
            </w:r>
          </w:p>
        </w:tc>
        <w:tc>
          <w:tcPr>
            <w:tcW w:w="30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50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5D6673"/>
            </w:tcBorders>
            <w:gridSpan w:val="2"/>
          </w:tcPr>
          <w:p>
            <w:pPr>
              <w:ind w:left="220"/>
              <w:spacing w:after="0"/>
              <w:rPr>
                <w:sz w:val="20"/>
                <w:szCs w:val="20"/>
                <w:color w:val="auto"/>
              </w:rPr>
            </w:pPr>
            <w:r>
              <w:rPr>
                <w:rFonts w:ascii="Arial" w:cs="Arial" w:eastAsia="Arial" w:hAnsi="Arial"/>
                <w:sz w:val="14"/>
                <w:szCs w:val="14"/>
                <w:color w:val="auto"/>
              </w:rPr>
              <w:t>$524,849</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524,849</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5D6673"/>
            </w:tcBorders>
            <w:gridSpan w:val="2"/>
          </w:tcPr>
          <w:p>
            <w:pPr>
              <w:ind w:left="280"/>
              <w:spacing w:after="0"/>
              <w:rPr>
                <w:sz w:val="20"/>
                <w:szCs w:val="20"/>
                <w:color w:val="auto"/>
              </w:rPr>
            </w:pPr>
            <w:r>
              <w:rPr>
                <w:rFonts w:ascii="Arial" w:cs="Arial" w:eastAsia="Arial" w:hAnsi="Arial"/>
                <w:sz w:val="14"/>
                <w:szCs w:val="14"/>
                <w:color w:val="auto"/>
              </w:rPr>
              <w:t>$460,000</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$1,610,000</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38,853</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59,706</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$1,228,583</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$1,228,583</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395,448</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5D6673"/>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$1,228,583</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9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$2,790,615</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$2,790,615</w:t>
            </w:r>
          </w:p>
        </w:tc>
        <w:tc>
          <w:tcPr>
            <w:tcW w:w="880" w:type="dxa"/>
            <w:vAlign w:val="bottom"/>
            <w:tcBorders>
              <w:bottom w:val="single" w:sz="8" w:color="0063A6"/>
            </w:tcBorders>
            <w:gridSpan w:val="2"/>
          </w:tcPr>
          <w:p>
            <w:pPr>
              <w:ind w:left="100"/>
              <w:spacing w:after="0"/>
              <w:rPr>
                <w:sz w:val="20"/>
                <w:szCs w:val="20"/>
                <w:color w:val="auto"/>
              </w:rPr>
            </w:pPr>
            <w:r>
              <w:rPr>
                <w:rFonts w:ascii="Arial" w:cs="Arial" w:eastAsia="Arial" w:hAnsi="Arial"/>
                <w:sz w:val="14"/>
                <w:szCs w:val="14"/>
                <w:color w:val="auto"/>
              </w:rPr>
              <w:t>$1,289,170</w:t>
            </w:r>
          </w:p>
        </w:tc>
        <w:tc>
          <w:tcPr>
            <w:tcW w:w="380" w:type="dxa"/>
            <w:vAlign w:val="bottom"/>
            <w:tcBorders>
              <w:bottom w:val="single" w:sz="8" w:color="0063A6"/>
            </w:tcBorders>
          </w:tcPr>
          <w:p>
            <w:pPr>
              <w:ind w:left="2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63A6"/>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63A6"/>
            </w:tcBorders>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0063A6"/>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$1,725,525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80" w:hanging="346"/>
        <w:spacing w:after="0" w:line="248"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346" w:right="60" w:hanging="346"/>
        <w:spacing w:after="0" w:line="263"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2024, the annual incentive plan payout was greater than target, so the actual payout is shown.</w:t>
      </w:r>
    </w:p>
    <w:p>
      <w:pPr>
        <w:spacing w:after="0" w:line="37" w:lineRule="exact"/>
        <w:rPr>
          <w:rFonts w:ascii="Arial" w:cs="Arial" w:eastAsia="Arial" w:hAnsi="Arial"/>
          <w:sz w:val="14"/>
          <w:szCs w:val="14"/>
          <w:color w:val="auto"/>
        </w:rPr>
      </w:pPr>
    </w:p>
    <w:p>
      <w:pPr>
        <w:ind w:left="346" w:right="20" w:hanging="346"/>
        <w:spacing w:after="0" w:line="263"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346" w:right="60" w:hanging="346"/>
        <w:spacing w:after="0" w:line="252"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31, 2024 ($108.58). Upon a termination due to retirement after the first anniversary of the grant date, RSUs will continue to vest subject to non-compete/non-solicit and reasonable notice restrictions. 2024 awards are assumed forfeited, as retirement at December 31, 2024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346" w:right="40" w:hanging="346"/>
        <w:spacing w:after="0" w:line="244" w:lineRule="auto"/>
        <w:tabs>
          <w:tab w:leader="none" w:pos="346" w:val="left"/>
        </w:tabs>
        <w:numPr>
          <w:ilvl w:val="0"/>
          <w:numId w:val="44"/>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2023 and 2024 values assume above target performance will be achieved. Upon a termination due to retirement after the first anniversary of the grant date, awards will vest in full based on actual performance at the end of the performance period (no pro-rated payout). 2024 awards are assumed forfeited, as retirement at December 31, 2024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elapsed. As of December 31, 2024, two three-year performance cycles (2023-2025 and 2024-2026) are not yet complete and the awards are tracking above target, so pro-rated actual values are included in this table. For the 2022-2024 performance cycle, actual payouts were above target, and the value shown in the table represents the actual payout. Values are based on the closing price of our common stock on December 31, 2024 ($108.58).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8293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3"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6" w:name="page57"/>
    <w:bookmarkEnd w:id="56"/>
    <w:tbl>
      <w:tblPr>
        <w:tblLayout w:type="fixed"/>
        <w:tblInd w:w="6"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620" w:type="dxa"/>
            <w:vAlign w:val="bottom"/>
            <w:gridSpan w:val="3"/>
          </w:tcPr>
          <w:p>
            <w:pPr>
              <w:spacing w:after="0"/>
              <w:rPr>
                <w:sz w:val="20"/>
                <w:szCs w:val="20"/>
                <w:color w:val="auto"/>
              </w:rPr>
            </w:pPr>
            <w:r>
              <w:rPr>
                <w:rFonts w:ascii="Arial" w:cs="Arial" w:eastAsia="Arial" w:hAnsi="Arial"/>
                <w:sz w:val="14"/>
                <w:szCs w:val="14"/>
                <w:color w:val="5D6673"/>
              </w:rPr>
              <w:t>EXECUTIVE COMPENSATION</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20" w:type="dxa"/>
            <w:vAlign w:val="bottom"/>
            <w:gridSpan w:val="3"/>
          </w:tcPr>
          <w:p>
            <w:pPr>
              <w:spacing w:after="0"/>
              <w:rPr>
                <w:sz w:val="20"/>
                <w:szCs w:val="20"/>
                <w:color w:val="auto"/>
              </w:rPr>
            </w:pPr>
            <w:r>
              <w:rPr>
                <w:rFonts w:ascii="Arial" w:cs="Arial" w:eastAsia="Arial" w:hAnsi="Arial"/>
                <w:sz w:val="14"/>
                <w:szCs w:val="14"/>
                <w:color w:val="0063A6"/>
              </w:rPr>
              <w:t>Executive Compensation Tables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0063A6"/>
            </w:tcBorders>
          </w:tcPr>
          <w:p>
            <w:pPr>
              <w:spacing w:after="0"/>
              <w:rPr>
                <w:sz w:val="24"/>
                <w:szCs w:val="24"/>
                <w:color w:val="auto"/>
              </w:rPr>
            </w:pPr>
          </w:p>
        </w:tc>
        <w:tc>
          <w:tcPr>
            <w:tcW w:w="920" w:type="dxa"/>
            <w:vAlign w:val="bottom"/>
            <w:tcBorders>
              <w:bottom w:val="single" w:sz="8" w:color="0063A6"/>
            </w:tcBorders>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140" w:type="dxa"/>
            <w:vAlign w:val="bottom"/>
            <w:tcBorders>
              <w:bottom w:val="single" w:sz="8" w:color="0063A6"/>
            </w:tcBorders>
          </w:tcPr>
          <w:p>
            <w:pPr>
              <w:spacing w:after="0"/>
              <w:rPr>
                <w:sz w:val="24"/>
                <w:szCs w:val="24"/>
                <w:color w:val="auto"/>
              </w:rPr>
            </w:pPr>
          </w:p>
        </w:tc>
        <w:tc>
          <w:tcPr>
            <w:tcW w:w="1580" w:type="dxa"/>
            <w:vAlign w:val="bottom"/>
            <w:tcBorders>
              <w:bottom w:val="single" w:sz="8" w:color="0063A6"/>
            </w:tcBorders>
            <w:gridSpan w:val="3"/>
          </w:tcPr>
          <w:p>
            <w:pPr>
              <w:ind w:left="500"/>
              <w:spacing w:after="0"/>
              <w:rPr>
                <w:sz w:val="20"/>
                <w:szCs w:val="20"/>
                <w:color w:val="auto"/>
              </w:rPr>
            </w:pPr>
            <w:r>
              <w:rPr>
                <w:rFonts w:ascii="Arial" w:cs="Arial" w:eastAsia="Arial" w:hAnsi="Arial"/>
                <w:sz w:val="14"/>
                <w:szCs w:val="14"/>
                <w:b w:val="1"/>
                <w:bCs w:val="1"/>
                <w:color w:val="auto"/>
              </w:rPr>
              <w:t>ITRON, INC.</w:t>
            </w:r>
          </w:p>
        </w:tc>
        <w:tc>
          <w:tcPr>
            <w:tcW w:w="380" w:type="dxa"/>
            <w:vAlign w:val="bottom"/>
            <w:tcBorders>
              <w:bottom w:val="single" w:sz="8" w:color="0063A6"/>
            </w:tcBorders>
          </w:tcPr>
          <w:p>
            <w:pPr>
              <w:spacing w:after="0"/>
              <w:rPr>
                <w:sz w:val="24"/>
                <w:szCs w:val="24"/>
                <w:color w:val="auto"/>
              </w:rPr>
            </w:pPr>
          </w:p>
        </w:tc>
        <w:tc>
          <w:tcPr>
            <w:tcW w:w="680" w:type="dxa"/>
            <w:vAlign w:val="bottom"/>
            <w:tcBorders>
              <w:bottom w:val="single" w:sz="8" w:color="0063A6"/>
            </w:tcBorders>
          </w:tcPr>
          <w:p>
            <w:pPr>
              <w:spacing w:after="0"/>
              <w:rPr>
                <w:sz w:val="24"/>
                <w:szCs w:val="24"/>
                <w:color w:val="auto"/>
              </w:rPr>
            </w:pPr>
          </w:p>
        </w:tc>
        <w:tc>
          <w:tcPr>
            <w:tcW w:w="220" w:type="dxa"/>
            <w:vAlign w:val="bottom"/>
            <w:tcBorders>
              <w:bottom w:val="single" w:sz="8" w:color="0063A6"/>
            </w:tcBorders>
          </w:tcPr>
          <w:p>
            <w:pPr>
              <w:spacing w:after="0"/>
              <w:rPr>
                <w:sz w:val="24"/>
                <w:szCs w:val="24"/>
                <w:color w:val="auto"/>
              </w:rPr>
            </w:pPr>
          </w:p>
        </w:tc>
        <w:tc>
          <w:tcPr>
            <w:tcW w:w="580" w:type="dxa"/>
            <w:vAlign w:val="bottom"/>
            <w:tcBorders>
              <w:bottom w:val="single" w:sz="8" w:color="0063A6"/>
            </w:tcBorders>
          </w:tcPr>
          <w:p>
            <w:pPr>
              <w:spacing w:after="0"/>
              <w:rPr>
                <w:sz w:val="24"/>
                <w:szCs w:val="24"/>
                <w:color w:val="auto"/>
              </w:rPr>
            </w:pPr>
          </w:p>
        </w:tc>
        <w:tc>
          <w:tcPr>
            <w:tcW w:w="500" w:type="dxa"/>
            <w:vAlign w:val="bottom"/>
            <w:tcBorders>
              <w:bottom w:val="single" w:sz="8" w:color="0063A6"/>
            </w:tcBorders>
          </w:tcPr>
          <w:p>
            <w:pPr>
              <w:spacing w:after="0"/>
              <w:rPr>
                <w:sz w:val="24"/>
                <w:szCs w:val="24"/>
                <w:color w:val="auto"/>
              </w:rPr>
            </w:pPr>
          </w:p>
        </w:tc>
        <w:tc>
          <w:tcPr>
            <w:tcW w:w="72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0063A6"/>
            </w:tcBorders>
          </w:tcPr>
          <w:p>
            <w:pPr>
              <w:spacing w:after="0"/>
              <w:rPr>
                <w:sz w:val="20"/>
                <w:szCs w:val="20"/>
                <w:color w:val="auto"/>
              </w:rPr>
            </w:pPr>
          </w:p>
        </w:tc>
        <w:tc>
          <w:tcPr>
            <w:tcW w:w="920" w:type="dxa"/>
            <w:vAlign w:val="bottom"/>
            <w:tcBorders>
              <w:bottom w:val="single" w:sz="8" w:color="0063A6"/>
            </w:tcBorders>
          </w:tcPr>
          <w:p>
            <w:pPr>
              <w:spacing w:after="0"/>
              <w:rPr>
                <w:sz w:val="20"/>
                <w:szCs w:val="20"/>
                <w:color w:val="auto"/>
              </w:rPr>
            </w:pPr>
          </w:p>
        </w:tc>
        <w:tc>
          <w:tcPr>
            <w:tcW w:w="260" w:type="dxa"/>
            <w:vAlign w:val="bottom"/>
            <w:tcBorders>
              <w:bottom w:val="single" w:sz="8" w:color="0063A6"/>
            </w:tcBorders>
          </w:tcPr>
          <w:p>
            <w:pPr>
              <w:spacing w:after="0"/>
              <w:rPr>
                <w:sz w:val="20"/>
                <w:szCs w:val="20"/>
                <w:color w:val="auto"/>
              </w:rPr>
            </w:pPr>
          </w:p>
        </w:tc>
        <w:tc>
          <w:tcPr>
            <w:tcW w:w="3360" w:type="dxa"/>
            <w:vAlign w:val="bottom"/>
            <w:tcBorders>
              <w:bottom w:val="single" w:sz="8" w:color="0063A6"/>
            </w:tcBorders>
            <w:gridSpan w:val="7"/>
          </w:tcPr>
          <w:p>
            <w:pPr>
              <w:jc w:val="center"/>
              <w:ind w:right="48"/>
              <w:spacing w:after="0"/>
              <w:rPr>
                <w:sz w:val="20"/>
                <w:szCs w:val="20"/>
                <w:color w:val="auto"/>
              </w:rPr>
            </w:pPr>
            <w:r>
              <w:rPr>
                <w:rFonts w:ascii="Arial" w:cs="Arial" w:eastAsia="Arial" w:hAnsi="Arial"/>
                <w:sz w:val="14"/>
                <w:szCs w:val="14"/>
                <w:b w:val="1"/>
                <w:bCs w:val="1"/>
                <w:color w:val="auto"/>
              </w:rPr>
              <w:t>Summary of Termination Payments</w:t>
            </w:r>
          </w:p>
        </w:tc>
        <w:tc>
          <w:tcPr>
            <w:tcW w:w="220" w:type="dxa"/>
            <w:vAlign w:val="bottom"/>
            <w:tcBorders>
              <w:bottom w:val="single" w:sz="8" w:color="0063A6"/>
            </w:tcBorders>
          </w:tcPr>
          <w:p>
            <w:pPr>
              <w:spacing w:after="0"/>
              <w:rPr>
                <w:sz w:val="20"/>
                <w:szCs w:val="20"/>
                <w:color w:val="auto"/>
              </w:rPr>
            </w:pPr>
          </w:p>
        </w:tc>
        <w:tc>
          <w:tcPr>
            <w:tcW w:w="580" w:type="dxa"/>
            <w:vAlign w:val="bottom"/>
            <w:tcBorders>
              <w:bottom w:val="single" w:sz="8" w:color="0063A6"/>
            </w:tcBorders>
          </w:tcPr>
          <w:p>
            <w:pPr>
              <w:spacing w:after="0"/>
              <w:rPr>
                <w:sz w:val="20"/>
                <w:szCs w:val="20"/>
                <w:color w:val="auto"/>
              </w:rPr>
            </w:pPr>
          </w:p>
        </w:tc>
        <w:tc>
          <w:tcPr>
            <w:tcW w:w="500" w:type="dxa"/>
            <w:vAlign w:val="bottom"/>
            <w:tcBorders>
              <w:bottom w:val="single" w:sz="8" w:color="0063A6"/>
            </w:tcBorders>
          </w:tcPr>
          <w:p>
            <w:pPr>
              <w:spacing w:after="0"/>
              <w:rPr>
                <w:sz w:val="20"/>
                <w:szCs w:val="20"/>
                <w:color w:val="auto"/>
              </w:rPr>
            </w:pPr>
          </w:p>
        </w:tc>
        <w:tc>
          <w:tcPr>
            <w:tcW w:w="720" w:type="dxa"/>
            <w:vAlign w:val="bottom"/>
            <w:tcBorders>
              <w:bottom w:val="single" w:sz="8" w:color="0063A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Justin Patrick</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shd w:val="clear" w:color="auto" w:fill="0063A6"/>
          </w:tcPr>
          <w:p>
            <w:pPr>
              <w:spacing w:after="0"/>
              <w:rPr>
                <w:sz w:val="18"/>
                <w:szCs w:val="18"/>
                <w:color w:val="auto"/>
              </w:rPr>
            </w:pPr>
          </w:p>
        </w:tc>
        <w:tc>
          <w:tcPr>
            <w:tcW w:w="920" w:type="dxa"/>
            <w:vAlign w:val="bottom"/>
            <w:shd w:val="clear" w:color="auto" w:fill="0063A6"/>
          </w:tcPr>
          <w:p>
            <w:pPr>
              <w:spacing w:after="0"/>
              <w:rPr>
                <w:sz w:val="18"/>
                <w:szCs w:val="18"/>
                <w:color w:val="auto"/>
              </w:rPr>
            </w:pPr>
          </w:p>
        </w:tc>
        <w:tc>
          <w:tcPr>
            <w:tcW w:w="26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40" w:type="dxa"/>
            <w:vAlign w:val="bottom"/>
            <w:shd w:val="clear" w:color="auto" w:fill="0063A6"/>
          </w:tcPr>
          <w:p>
            <w:pPr>
              <w:spacing w:after="0"/>
              <w:rPr>
                <w:sz w:val="18"/>
                <w:szCs w:val="18"/>
                <w:color w:val="auto"/>
              </w:rPr>
            </w:pPr>
          </w:p>
        </w:tc>
        <w:tc>
          <w:tcPr>
            <w:tcW w:w="70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660" w:type="dxa"/>
            <w:vAlign w:val="bottom"/>
            <w:shd w:val="clear" w:color="auto" w:fill="0063A6"/>
          </w:tcPr>
          <w:p>
            <w:pPr>
              <w:spacing w:after="0"/>
              <w:rPr>
                <w:sz w:val="18"/>
                <w:szCs w:val="18"/>
                <w:color w:val="auto"/>
              </w:rPr>
            </w:pPr>
          </w:p>
        </w:tc>
        <w:tc>
          <w:tcPr>
            <w:tcW w:w="380" w:type="dxa"/>
            <w:vAlign w:val="bottom"/>
            <w:shd w:val="clear" w:color="auto" w:fill="0063A6"/>
          </w:tcPr>
          <w:p>
            <w:pPr>
              <w:spacing w:after="0"/>
              <w:rPr>
                <w:sz w:val="18"/>
                <w:szCs w:val="18"/>
                <w:color w:val="auto"/>
              </w:rPr>
            </w:pPr>
          </w:p>
        </w:tc>
        <w:tc>
          <w:tcPr>
            <w:tcW w:w="68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for Good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500" w:type="dxa"/>
            <w:vAlign w:val="bottom"/>
            <w:shd w:val="clear" w:color="auto" w:fill="0063A6"/>
          </w:tcPr>
          <w:p>
            <w:pPr>
              <w:spacing w:after="0"/>
              <w:rPr>
                <w:sz w:val="14"/>
                <w:szCs w:val="14"/>
                <w:color w:val="auto"/>
              </w:rPr>
            </w:pPr>
          </w:p>
        </w:tc>
        <w:tc>
          <w:tcPr>
            <w:tcW w:w="720" w:type="dxa"/>
            <w:vAlign w:val="bottom"/>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1060" w:type="dxa"/>
            <w:vAlign w:val="bottom"/>
            <w:gridSpan w:val="2"/>
            <w:shd w:val="clear" w:color="auto" w:fill="0063A6"/>
          </w:tcPr>
          <w:p>
            <w:pPr>
              <w:ind w:left="60"/>
              <w:spacing w:after="0"/>
              <w:rPr>
                <w:sz w:val="20"/>
                <w:szCs w:val="20"/>
                <w:color w:val="auto"/>
              </w:rPr>
            </w:pPr>
            <w:r>
              <w:rPr>
                <w:rFonts w:ascii="Arial" w:cs="Arial" w:eastAsia="Arial" w:hAnsi="Arial"/>
                <w:sz w:val="14"/>
                <w:szCs w:val="14"/>
                <w:b w:val="1"/>
                <w:bCs w:val="1"/>
                <w:color w:val="FFFFFF"/>
              </w:rPr>
              <w:t>Termination</w:t>
            </w:r>
          </w:p>
        </w:tc>
        <w:tc>
          <w:tcPr>
            <w:tcW w:w="22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220" w:type="dxa"/>
            <w:vAlign w:val="bottom"/>
            <w:gridSpan w:val="2"/>
            <w:shd w:val="clear" w:color="auto" w:fill="0063A6"/>
          </w:tcPr>
          <w:p>
            <w:pPr>
              <w:jc w:val="right"/>
              <w:ind w:right="28"/>
              <w:spacing w:after="0"/>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2"/>
        </w:trPr>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9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920" w:type="dxa"/>
            <w:vAlign w:val="bottom"/>
            <w:shd w:val="clear" w:color="auto" w:fill="0063A6"/>
          </w:tcPr>
          <w:p>
            <w:pPr>
              <w:jc w:val="right"/>
              <w:ind w:right="8"/>
              <w:spacing w:after="0"/>
              <w:rPr>
                <w:sz w:val="20"/>
                <w:szCs w:val="20"/>
                <w:color w:val="auto"/>
              </w:rPr>
            </w:pPr>
            <w:r>
              <w:rPr>
                <w:rFonts w:ascii="Arial" w:cs="Arial" w:eastAsia="Arial" w:hAnsi="Arial"/>
                <w:sz w:val="14"/>
                <w:szCs w:val="14"/>
                <w:b w:val="1"/>
                <w:bCs w:val="1"/>
                <w:color w:val="FFFFFF"/>
              </w:rPr>
              <w:t>Voluntary</w:t>
            </w:r>
          </w:p>
        </w:tc>
        <w:tc>
          <w:tcPr>
            <w:tcW w:w="260" w:type="dxa"/>
            <w:vAlign w:val="bottom"/>
            <w:shd w:val="clear" w:color="auto" w:fill="0063A6"/>
          </w:tcPr>
          <w:p>
            <w:pPr>
              <w:spacing w:after="0"/>
              <w:rPr>
                <w:sz w:val="14"/>
                <w:szCs w:val="14"/>
                <w:color w:val="auto"/>
              </w:rPr>
            </w:pPr>
          </w:p>
        </w:tc>
        <w:tc>
          <w:tcPr>
            <w:tcW w:w="58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7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1860" w:type="dxa"/>
            <w:vAlign w:val="bottom"/>
            <w:gridSpan w:val="4"/>
            <w:shd w:val="clear" w:color="auto" w:fill="0063A6"/>
          </w:tcPr>
          <w:p>
            <w:pPr>
              <w:jc w:val="right"/>
              <w:spacing w:after="0"/>
              <w:rPr>
                <w:sz w:val="20"/>
                <w:szCs w:val="20"/>
                <w:color w:val="auto"/>
              </w:rPr>
            </w:pPr>
            <w:r>
              <w:rPr>
                <w:rFonts w:ascii="Arial" w:cs="Arial" w:eastAsia="Arial" w:hAnsi="Arial"/>
                <w:sz w:val="14"/>
                <w:szCs w:val="14"/>
                <w:b w:val="1"/>
                <w:bCs w:val="1"/>
                <w:color w:val="FFFFFF"/>
              </w:rPr>
              <w:t>Without  Change-in-</w:t>
            </w:r>
          </w:p>
        </w:tc>
        <w:tc>
          <w:tcPr>
            <w:tcW w:w="1220" w:type="dxa"/>
            <w:vAlign w:val="bottom"/>
            <w:gridSpan w:val="2"/>
            <w:shd w:val="clear" w:color="auto" w:fill="0063A6"/>
          </w:tcPr>
          <w:p>
            <w:pPr>
              <w:jc w:val="right"/>
              <w:spacing w:after="0"/>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0063A6"/>
            </w:tcBorders>
            <w:gridSpan w:val="2"/>
            <w:vMerge w:val="continue"/>
          </w:tcPr>
          <w:p>
            <w:pPr>
              <w:spacing w:after="0"/>
              <w:rPr>
                <w:sz w:val="18"/>
                <w:szCs w:val="18"/>
                <w:color w:val="auto"/>
              </w:rPr>
            </w:pPr>
          </w:p>
        </w:tc>
        <w:tc>
          <w:tcPr>
            <w:tcW w:w="9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for Cause</w:t>
            </w:r>
          </w:p>
        </w:tc>
        <w:tc>
          <w:tcPr>
            <w:tcW w:w="9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ind w:left="120"/>
              <w:spacing w:after="0"/>
              <w:rPr>
                <w:sz w:val="20"/>
                <w:szCs w:val="20"/>
                <w:color w:val="auto"/>
              </w:rPr>
            </w:pPr>
            <w:r>
              <w:rPr>
                <w:rFonts w:ascii="Arial" w:cs="Arial" w:eastAsia="Arial" w:hAnsi="Arial"/>
                <w:sz w:val="14"/>
                <w:szCs w:val="14"/>
                <w:b w:val="1"/>
                <w:bCs w:val="1"/>
                <w:color w:val="FFFFFF"/>
              </w:rPr>
              <w:t>Death</w:t>
            </w:r>
          </w:p>
        </w:tc>
        <w:tc>
          <w:tcPr>
            <w:tcW w:w="140" w:type="dxa"/>
            <w:vAlign w:val="bottom"/>
            <w:tcBorders>
              <w:bottom w:val="single" w:sz="8" w:color="0063A6"/>
            </w:tcBorders>
            <w:shd w:val="clear" w:color="auto" w:fill="0063A6"/>
          </w:tcPr>
          <w:p>
            <w:pPr>
              <w:spacing w:after="0"/>
              <w:rPr>
                <w:sz w:val="18"/>
                <w:szCs w:val="18"/>
                <w:color w:val="auto"/>
              </w:rPr>
            </w:pPr>
          </w:p>
        </w:tc>
        <w:tc>
          <w:tcPr>
            <w:tcW w:w="7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Disability</w:t>
            </w:r>
          </w:p>
        </w:tc>
        <w:tc>
          <w:tcPr>
            <w:tcW w:w="880" w:type="dxa"/>
            <w:vAlign w:val="bottom"/>
            <w:tcBorders>
              <w:bottom w:val="single" w:sz="8" w:color="0063A6"/>
            </w:tcBorders>
            <w:gridSpan w:val="2"/>
            <w:shd w:val="clear" w:color="auto" w:fill="0063A6"/>
          </w:tcPr>
          <w:p>
            <w:pPr>
              <w:ind w:left="80"/>
              <w:spacing w:after="0"/>
              <w:rPr>
                <w:sz w:val="20"/>
                <w:szCs w:val="20"/>
                <w:color w:val="auto"/>
              </w:rPr>
            </w:pPr>
            <w:r>
              <w:rPr>
                <w:rFonts w:ascii="Arial" w:cs="Arial" w:eastAsia="Arial" w:hAnsi="Arial"/>
                <w:sz w:val="14"/>
                <w:szCs w:val="14"/>
                <w:b w:val="1"/>
                <w:bCs w:val="1"/>
                <w:color w:val="FFFFFF"/>
              </w:rPr>
              <w:t>Retirement</w:t>
            </w:r>
          </w:p>
        </w:tc>
        <w:tc>
          <w:tcPr>
            <w:tcW w:w="380" w:type="dxa"/>
            <w:vAlign w:val="bottom"/>
            <w:tcBorders>
              <w:bottom w:val="single" w:sz="8" w:color="0063A6"/>
            </w:tcBorders>
            <w:shd w:val="clear" w:color="auto" w:fill="0063A6"/>
          </w:tcPr>
          <w:p>
            <w:pPr>
              <w:spacing w:after="0"/>
              <w:rPr>
                <w:sz w:val="18"/>
                <w:szCs w:val="18"/>
                <w:color w:val="auto"/>
              </w:rPr>
            </w:pPr>
          </w:p>
        </w:tc>
        <w:tc>
          <w:tcPr>
            <w:tcW w:w="680" w:type="dxa"/>
            <w:vAlign w:val="bottom"/>
            <w:tcBorders>
              <w:bottom w:val="single" w:sz="8" w:color="0063A6"/>
            </w:tcBorders>
            <w:shd w:val="clear" w:color="auto" w:fill="0063A6"/>
          </w:tcPr>
          <w:p>
            <w:pPr>
              <w:jc w:val="right"/>
              <w:ind w:right="68"/>
              <w:spacing w:after="0"/>
              <w:rPr>
                <w:sz w:val="20"/>
                <w:szCs w:val="20"/>
                <w:color w:val="auto"/>
              </w:rPr>
            </w:pPr>
            <w:r>
              <w:rPr>
                <w:rFonts w:ascii="Arial" w:cs="Arial" w:eastAsia="Arial" w:hAnsi="Arial"/>
                <w:sz w:val="14"/>
                <w:szCs w:val="14"/>
                <w:b w:val="1"/>
                <w:bCs w:val="1"/>
                <w:color w:val="FFFFFF"/>
              </w:rPr>
              <w:t>Cause</w:t>
            </w:r>
          </w:p>
        </w:tc>
        <w:tc>
          <w:tcPr>
            <w:tcW w:w="220" w:type="dxa"/>
            <w:vAlign w:val="bottom"/>
            <w:tcBorders>
              <w:bottom w:val="single" w:sz="8" w:color="0063A6"/>
            </w:tcBorders>
            <w:shd w:val="clear" w:color="auto" w:fill="0063A6"/>
          </w:tcPr>
          <w:p>
            <w:pPr>
              <w:spacing w:after="0"/>
              <w:rPr>
                <w:sz w:val="18"/>
                <w:szCs w:val="18"/>
                <w:color w:val="auto"/>
              </w:rPr>
            </w:pPr>
          </w:p>
        </w:tc>
        <w:tc>
          <w:tcPr>
            <w:tcW w:w="5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500" w:type="dxa"/>
            <w:vAlign w:val="bottom"/>
            <w:tcBorders>
              <w:bottom w:val="single" w:sz="8" w:color="0063A6"/>
            </w:tcBorders>
            <w:shd w:val="clear" w:color="auto" w:fill="0063A6"/>
          </w:tcPr>
          <w:p>
            <w:pPr>
              <w:spacing w:after="0"/>
              <w:rPr>
                <w:sz w:val="18"/>
                <w:szCs w:val="18"/>
                <w:color w:val="auto"/>
              </w:rPr>
            </w:pPr>
          </w:p>
        </w:tc>
        <w:tc>
          <w:tcPr>
            <w:tcW w:w="7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5D6673"/>
            </w:tcBorders>
            <w:gridSpan w:val="2"/>
          </w:tcPr>
          <w:p>
            <w:pPr>
              <w:ind w:left="140"/>
              <w:spacing w:after="0"/>
              <w:rPr>
                <w:sz w:val="20"/>
                <w:szCs w:val="20"/>
                <w:color w:val="auto"/>
              </w:rPr>
            </w:pPr>
            <w:r>
              <w:rPr>
                <w:rFonts w:ascii="Arial" w:cs="Arial" w:eastAsia="Arial" w:hAnsi="Arial"/>
                <w:sz w:val="14"/>
                <w:szCs w:val="14"/>
                <w:color w:val="auto"/>
              </w:rPr>
              <w:t>$473,505</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473,505</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D6673"/>
            </w:tcBorders>
            <w:gridSpan w:val="2"/>
          </w:tcPr>
          <w:p>
            <w:pPr>
              <w:ind w:left="280"/>
              <w:spacing w:after="0"/>
              <w:rPr>
                <w:sz w:val="20"/>
                <w:szCs w:val="20"/>
                <w:color w:val="auto"/>
              </w:rPr>
            </w:pPr>
            <w:r>
              <w:rPr>
                <w:rFonts w:ascii="Arial" w:cs="Arial" w:eastAsia="Arial" w:hAnsi="Arial"/>
                <w:sz w:val="14"/>
                <w:szCs w:val="14"/>
                <w:color w:val="auto"/>
              </w:rPr>
              <w:t>$415,000</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$1,452,500</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5D6673"/>
            </w:tcBorders>
          </w:tcPr>
          <w:p>
            <w:pPr>
              <w:ind w:left="4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48"/>
              <w:spacing w:after="0"/>
              <w:rPr>
                <w:sz w:val="20"/>
                <w:szCs w:val="20"/>
                <w:color w:val="auto"/>
              </w:rPr>
            </w:pPr>
            <w:r>
              <w:rPr>
                <w:rFonts w:ascii="Arial" w:cs="Arial" w:eastAsia="Arial" w:hAnsi="Arial"/>
                <w:sz w:val="14"/>
                <w:szCs w:val="14"/>
                <w:color w:val="auto"/>
              </w:rPr>
              <w:t>38,311</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D6673"/>
            </w:tcBorders>
          </w:tcPr>
          <w:p>
            <w:pPr>
              <w:jc w:val="right"/>
              <w:ind w:right="28"/>
              <w:spacing w:after="0"/>
              <w:rPr>
                <w:sz w:val="20"/>
                <w:szCs w:val="20"/>
                <w:color w:val="auto"/>
              </w:rPr>
            </w:pPr>
            <w:r>
              <w:rPr>
                <w:rFonts w:ascii="Arial" w:cs="Arial" w:eastAsia="Arial" w:hAnsi="Arial"/>
                <w:sz w:val="14"/>
                <w:szCs w:val="14"/>
                <w:color w:val="auto"/>
              </w:rPr>
              <w:t>58,622</w:t>
            </w:r>
          </w:p>
        </w:tc>
        <w:tc>
          <w:tcPr>
            <w:tcW w:w="0" w:type="dxa"/>
            <w:vAlign w:val="bottom"/>
          </w:tcPr>
          <w:p>
            <w:pPr>
              <w:spacing w:after="0"/>
              <w:rPr>
                <w:sz w:val="1"/>
                <w:szCs w:val="1"/>
                <w:color w:val="auto"/>
              </w:rPr>
            </w:pPr>
          </w:p>
        </w:tc>
      </w:tr>
      <w:tr>
        <w:trPr>
          <w:trHeight w:val="263"/>
        </w:trPr>
        <w:tc>
          <w:tcPr>
            <w:tcW w:w="168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$1,099,373</w:t>
            </w:r>
          </w:p>
        </w:tc>
        <w:tc>
          <w:tcPr>
            <w:tcW w:w="840" w:type="dxa"/>
            <w:vAlign w:val="bottom"/>
            <w:tcBorders>
              <w:bottom w:val="single" w:sz="8" w:color="5D6673"/>
            </w:tcBorders>
            <w:gridSpan w:val="2"/>
          </w:tcPr>
          <w:p>
            <w:pPr>
              <w:ind w:left="60"/>
              <w:spacing w:after="0"/>
              <w:rPr>
                <w:sz w:val="20"/>
                <w:szCs w:val="20"/>
                <w:color w:val="auto"/>
              </w:rPr>
            </w:pPr>
            <w:r>
              <w:rPr>
                <w:rFonts w:ascii="Arial" w:cs="Arial" w:eastAsia="Arial" w:hAnsi="Arial"/>
                <w:sz w:val="14"/>
                <w:szCs w:val="14"/>
                <w:color w:val="auto"/>
              </w:rPr>
              <w:t>$1,099,373</w:t>
            </w:r>
          </w:p>
        </w:tc>
        <w:tc>
          <w:tcPr>
            <w:tcW w:w="220" w:type="dxa"/>
            <w:vAlign w:val="bottom"/>
            <w:tcBorders>
              <w:bottom w:val="single" w:sz="8" w:color="5D6673"/>
            </w:tcBorders>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374,927</w:t>
            </w:r>
          </w:p>
        </w:tc>
        <w:tc>
          <w:tcPr>
            <w:tcW w:w="380" w:type="dxa"/>
            <w:vAlign w:val="bottom"/>
            <w:tcBorders>
              <w:bottom w:val="single" w:sz="8" w:color="5D6673"/>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5D6673"/>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D6673"/>
            </w:tcBorders>
            <w:gridSpan w:val="2"/>
          </w:tcPr>
          <w:p>
            <w:pPr>
              <w:ind w:left="420"/>
              <w:spacing w:after="0"/>
              <w:rPr>
                <w:sz w:val="20"/>
                <w:szCs w:val="20"/>
                <w:color w:val="auto"/>
              </w:rPr>
            </w:pPr>
            <w:r>
              <w:rPr>
                <w:rFonts w:ascii="Arial" w:cs="Arial" w:eastAsia="Arial" w:hAnsi="Arial"/>
                <w:sz w:val="14"/>
                <w:szCs w:val="14"/>
                <w:color w:val="auto"/>
              </w:rPr>
              <w:t>$1,099,373</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0063A6"/>
            </w:tcBorders>
            <w:gridSpan w:val="2"/>
          </w:tcPr>
          <w:p>
            <w:pPr>
              <w:ind w:left="80"/>
              <w:spacing w:after="0" w:line="236" w:lineRule="exact"/>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9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$2,564,261</w:t>
            </w:r>
          </w:p>
        </w:tc>
        <w:tc>
          <w:tcPr>
            <w:tcW w:w="840" w:type="dxa"/>
            <w:vAlign w:val="bottom"/>
            <w:tcBorders>
              <w:bottom w:val="single" w:sz="8" w:color="0063A6"/>
            </w:tcBorders>
            <w:gridSpan w:val="2"/>
          </w:tcPr>
          <w:p>
            <w:pPr>
              <w:ind w:left="60"/>
              <w:spacing w:after="0"/>
              <w:rPr>
                <w:sz w:val="20"/>
                <w:szCs w:val="20"/>
                <w:color w:val="auto"/>
              </w:rPr>
            </w:pPr>
            <w:r>
              <w:rPr>
                <w:rFonts w:ascii="Arial" w:cs="Arial" w:eastAsia="Arial" w:hAnsi="Arial"/>
                <w:sz w:val="14"/>
                <w:szCs w:val="14"/>
                <w:color w:val="auto"/>
              </w:rPr>
              <w:t>$2,564,261</w:t>
            </w:r>
          </w:p>
        </w:tc>
        <w:tc>
          <w:tcPr>
            <w:tcW w:w="880" w:type="dxa"/>
            <w:vAlign w:val="bottom"/>
            <w:tcBorders>
              <w:bottom w:val="single" w:sz="8" w:color="0063A6"/>
            </w:tcBorders>
            <w:gridSpan w:val="2"/>
          </w:tcPr>
          <w:p>
            <w:pPr>
              <w:ind w:left="100"/>
              <w:spacing w:after="0"/>
              <w:rPr>
                <w:sz w:val="20"/>
                <w:szCs w:val="20"/>
                <w:color w:val="auto"/>
              </w:rPr>
            </w:pPr>
            <w:r>
              <w:rPr>
                <w:rFonts w:ascii="Arial" w:cs="Arial" w:eastAsia="Arial" w:hAnsi="Arial"/>
                <w:sz w:val="14"/>
                <w:szCs w:val="14"/>
                <w:color w:val="auto"/>
              </w:rPr>
              <w:t>$1,240,309</w:t>
            </w:r>
          </w:p>
        </w:tc>
        <w:tc>
          <w:tcPr>
            <w:tcW w:w="380" w:type="dxa"/>
            <w:vAlign w:val="bottom"/>
            <w:tcBorders>
              <w:bottom w:val="single" w:sz="8" w:color="0063A6"/>
            </w:tcBorders>
          </w:tcPr>
          <w:p>
            <w:pPr>
              <w:ind w:lef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63A6"/>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63A6"/>
            </w:tcBorders>
          </w:tcPr>
          <w:p>
            <w:pPr>
              <w:ind w:left="1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0063A6"/>
            </w:tcBorders>
          </w:tcPr>
          <w:p>
            <w:pPr>
              <w:ind w:left="3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63A6"/>
            </w:tcBorders>
            <w:gridSpan w:val="2"/>
          </w:tcPr>
          <w:p>
            <w:pPr>
              <w:ind w:left="420"/>
              <w:spacing w:after="0"/>
              <w:rPr>
                <w:sz w:val="20"/>
                <w:szCs w:val="20"/>
                <w:color w:val="auto"/>
              </w:rPr>
            </w:pPr>
            <w:r>
              <w:rPr>
                <w:rFonts w:ascii="Arial" w:cs="Arial" w:eastAsia="Arial" w:hAnsi="Arial"/>
                <w:sz w:val="14"/>
                <w:szCs w:val="14"/>
                <w:color w:val="auto"/>
              </w:rPr>
              <w:t>$1,622,816</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right="80" w:hanging="346"/>
        <w:spacing w:after="0" w:line="248"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346" w:right="60" w:hanging="346"/>
        <w:spacing w:after="0" w:line="263"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2024, the annual incentive plan payout was greater than target, so the actual payout is shown.</w:t>
      </w:r>
    </w:p>
    <w:p>
      <w:pPr>
        <w:spacing w:after="0" w:line="37" w:lineRule="exact"/>
        <w:rPr>
          <w:rFonts w:ascii="Arial" w:cs="Arial" w:eastAsia="Arial" w:hAnsi="Arial"/>
          <w:sz w:val="14"/>
          <w:szCs w:val="14"/>
          <w:color w:val="auto"/>
        </w:rPr>
      </w:pPr>
    </w:p>
    <w:p>
      <w:pPr>
        <w:ind w:left="346" w:right="20" w:hanging="346"/>
        <w:spacing w:after="0" w:line="263"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346" w:right="60" w:hanging="346"/>
        <w:spacing w:after="0" w:line="252"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31, 2024 ($108.58). Upon a termination due to retirement after the first anniversary of the grant date, RSUs will continue to vest subject to non-compete/non-solicit and reasonable notice restrictions. 2024 awards are assumed forfeited, as retirement at December 31, 2024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346" w:right="40" w:hanging="346"/>
        <w:spacing w:after="0" w:line="244" w:lineRule="auto"/>
        <w:tabs>
          <w:tab w:leader="none" w:pos="346" w:val="left"/>
        </w:tabs>
        <w:numPr>
          <w:ilvl w:val="0"/>
          <w:numId w:val="45"/>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2023 and 2024 values assume above target performance will be achieved. Upon a termination due to retirement after the first anniversary of the grant date, awards will vest in full based on actual performance at the end of the performance period (no pro-rated payout). 2024 awards are assumed forfeited, as retirement at December 31, 2024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elapsed. As of December 31, 2024, two three-year performance cycles (2023-2025 and 2024-2026) are not yet complete and the awards are tracking above target, so pro-rated actual values are included in this table. For the 2022-2024 performance cycle, actual payouts were above target, and the value shown in the table represents the actual payout. Values are based on the closing price of our common stock on December 31, 2024 ($108.58).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8293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3"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52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7" w:name="page58"/>
    <w:bookmarkEnd w:id="5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2024 Compensation Risk Assessment</w:t>
      </w:r>
    </w:p>
    <w:p>
      <w:pPr>
        <w:spacing w:after="0" w:line="72" w:lineRule="exact"/>
        <w:rPr>
          <w:sz w:val="20"/>
          <w:szCs w:val="20"/>
          <w:color w:val="auto"/>
        </w:rPr>
      </w:pPr>
    </w:p>
    <w:p>
      <w:pPr>
        <w:ind w:left="6" w:right="80"/>
        <w:spacing w:after="0" w:line="249" w:lineRule="auto"/>
        <w:rPr>
          <w:sz w:val="20"/>
          <w:szCs w:val="20"/>
          <w:color w:val="auto"/>
        </w:rPr>
      </w:pPr>
      <w:r>
        <w:rPr>
          <w:rFonts w:ascii="Arial" w:cs="Arial" w:eastAsia="Arial" w:hAnsi="Arial"/>
          <w:sz w:val="16"/>
          <w:szCs w:val="16"/>
          <w:color w:val="auto"/>
        </w:rPr>
        <w:t>It is our belief that a majority of an NEO’s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the compensation plans and policies (applicable to executive officers and CEO direct reports) in February 2024 for attributes that could cause excessive risk taking. We concluded that our programs and policies do not encourage excessive risk-taking because: (a) the salary component of our program is a fixed amount; (b) the majority of the average compensation paid to our executive officers is delivered in the form of equity ownership, which aligns the interest of our executive officers with those of our shareholders; (c) NEOs are subject to our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 (ii) 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17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CEO Pay Ratio</w:t>
      </w:r>
    </w:p>
    <w:p>
      <w:pPr>
        <w:spacing w:after="0" w:line="72" w:lineRule="exact"/>
        <w:rPr>
          <w:sz w:val="20"/>
          <w:szCs w:val="20"/>
          <w:color w:val="auto"/>
        </w:rPr>
      </w:pPr>
    </w:p>
    <w:p>
      <w:pPr>
        <w:ind w:left="6" w:right="320"/>
        <w:spacing w:after="0" w:line="286"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employees and the annual total compensation of our CEO:</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6"/>
          <w:szCs w:val="16"/>
          <w:color w:val="auto"/>
        </w:rPr>
        <w:t>For 2024, our last completed fiscal year:</w:t>
      </w:r>
    </w:p>
    <w:p>
      <w:pPr>
        <w:spacing w:after="0" w:line="113" w:lineRule="exact"/>
        <w:rPr>
          <w:sz w:val="20"/>
          <w:szCs w:val="20"/>
          <w:color w:val="auto"/>
        </w:rPr>
      </w:pPr>
    </w:p>
    <w:p>
      <w:pPr>
        <w:ind w:left="566" w:hanging="206"/>
        <w:spacing w:after="0"/>
        <w:tabs>
          <w:tab w:leader="none" w:pos="5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our company (other than our CEO) was $67,990; and</w:t>
      </w:r>
    </w:p>
    <w:p>
      <w:pPr>
        <w:spacing w:after="0" w:line="113" w:lineRule="exact"/>
        <w:rPr>
          <w:rFonts w:ascii="Arial" w:cs="Arial" w:eastAsia="Arial" w:hAnsi="Arial"/>
          <w:sz w:val="16"/>
          <w:szCs w:val="16"/>
          <w:color w:val="auto"/>
        </w:rPr>
      </w:pPr>
    </w:p>
    <w:p>
      <w:pPr>
        <w:ind w:left="566" w:hanging="206"/>
        <w:spacing w:after="0"/>
        <w:tabs>
          <w:tab w:leader="none" w:pos="5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annual total compensation of our CEO was $9,395,744.</w:t>
      </w:r>
    </w:p>
    <w:p>
      <w:pPr>
        <w:spacing w:after="0" w:line="194" w:lineRule="exact"/>
        <w:rPr>
          <w:sz w:val="20"/>
          <w:szCs w:val="20"/>
          <w:color w:val="auto"/>
        </w:rPr>
      </w:pPr>
    </w:p>
    <w:p>
      <w:pPr>
        <w:ind w:left="6" w:right="240"/>
        <w:spacing w:after="0" w:line="259" w:lineRule="auto"/>
        <w:rPr>
          <w:sz w:val="20"/>
          <w:szCs w:val="20"/>
          <w:color w:val="auto"/>
        </w:rPr>
      </w:pPr>
      <w:r>
        <w:rPr>
          <w:rFonts w:ascii="Arial" w:cs="Arial" w:eastAsia="Arial" w:hAnsi="Arial"/>
          <w:sz w:val="16"/>
          <w:szCs w:val="16"/>
          <w:color w:val="auto"/>
        </w:rPr>
        <w:t>For 2024, the annual total compensation of our CEO was 138 times that of the median of the annual total compensation of all employees. This calculation is based on our employee population of 5,040 as of December 31, 2024. The median employee was identified using base pay, overtime pay, short-term incentives, and long-term incentive grant date fair values for the twelve months ended December 31, 2024. Our median employee is in the United States.</w:t>
      </w:r>
    </w:p>
    <w:p>
      <w:pPr>
        <w:spacing w:after="0" w:line="13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annual total compensation for each of the CEO and the median employee was calculated in accordance with Item 402(c)(2)</w:t>
      </w:r>
    </w:p>
    <w:p>
      <w:pPr>
        <w:spacing w:after="0" w:line="21" w:lineRule="exact"/>
        <w:rPr>
          <w:sz w:val="20"/>
          <w:szCs w:val="20"/>
          <w:color w:val="auto"/>
        </w:rPr>
      </w:pPr>
    </w:p>
    <w:p>
      <w:pPr>
        <w:ind w:left="6" w:right="60" w:hanging="6"/>
        <w:spacing w:after="0" w:line="249" w:lineRule="auto"/>
        <w:tabs>
          <w:tab w:leader="none" w:pos="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of Regulation S-K. 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8293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2"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8" w:name="page59"/>
    <w:bookmarkEnd w:id="5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0063A6"/>
        </w:rPr>
        <w:t>Executive Compensation Tables</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63A6"/>
        </w:rPr>
        <w:t>Pay Versus Performance</w:t>
      </w:r>
    </w:p>
    <w:p>
      <w:pPr>
        <w:spacing w:after="0" w:line="72" w:lineRule="exact"/>
        <w:rPr>
          <w:sz w:val="20"/>
          <w:szCs w:val="20"/>
          <w:color w:val="auto"/>
        </w:rPr>
      </w:pPr>
    </w:p>
    <w:p>
      <w:pPr>
        <w:ind w:left="6" w:right="40"/>
        <w:spacing w:after="0" w:line="256" w:lineRule="auto"/>
        <w:rPr>
          <w:sz w:val="20"/>
          <w:szCs w:val="20"/>
          <w:color w:val="auto"/>
        </w:rPr>
      </w:pPr>
      <w:r>
        <w:rPr>
          <w:rFonts w:ascii="Arial" w:cs="Arial" w:eastAsia="Arial" w:hAnsi="Arial"/>
          <w:sz w:val="16"/>
          <w:szCs w:val="16"/>
          <w:color w:val="auto"/>
        </w:rPr>
        <w:t>In accordance with rules adopted by the SEC, we provide the following disclosure regarding executive “Compensation Actually Paid” or “CAP” (as calculated in accordance with SEC rules) and certain Company performance for the fiscal years listed below. You should refer to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in this proxy statement for a complete description of how executive compensation relates to Company performance and how the Compensation Committee makes its decisions.</w:t>
      </w:r>
    </w:p>
    <w:p>
      <w:pPr>
        <w:spacing w:after="0" w:line="126"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1180" w:type="dxa"/>
            <w:vAlign w:val="bottom"/>
            <w:shd w:val="clear" w:color="auto" w:fill="0063A6"/>
          </w:tcPr>
          <w:p>
            <w:pPr>
              <w:spacing w:after="0"/>
              <w:rPr>
                <w:sz w:val="19"/>
                <w:szCs w:val="19"/>
                <w:color w:val="auto"/>
              </w:rPr>
            </w:pPr>
          </w:p>
        </w:tc>
        <w:tc>
          <w:tcPr>
            <w:tcW w:w="1180" w:type="dxa"/>
            <w:vAlign w:val="bottom"/>
            <w:shd w:val="clear" w:color="auto" w:fill="0063A6"/>
          </w:tcPr>
          <w:p>
            <w:pPr>
              <w:spacing w:after="0"/>
              <w:rPr>
                <w:sz w:val="19"/>
                <w:szCs w:val="19"/>
                <w:color w:val="auto"/>
              </w:rPr>
            </w:pPr>
          </w:p>
        </w:tc>
        <w:tc>
          <w:tcPr>
            <w:tcW w:w="1180" w:type="dxa"/>
            <w:vAlign w:val="bottom"/>
            <w:shd w:val="clear" w:color="auto" w:fill="0063A6"/>
          </w:tcPr>
          <w:p>
            <w:pPr>
              <w:spacing w:after="0"/>
              <w:rPr>
                <w:sz w:val="19"/>
                <w:szCs w:val="19"/>
                <w:color w:val="auto"/>
              </w:rPr>
            </w:pPr>
          </w:p>
        </w:tc>
        <w:tc>
          <w:tcPr>
            <w:tcW w:w="1200" w:type="dxa"/>
            <w:vAlign w:val="bottom"/>
            <w:shd w:val="clear" w:color="auto" w:fill="0063A6"/>
          </w:tcPr>
          <w:p>
            <w:pPr>
              <w:spacing w:after="0"/>
              <w:rPr>
                <w:sz w:val="19"/>
                <w:szCs w:val="19"/>
                <w:color w:val="auto"/>
              </w:rPr>
            </w:pPr>
          </w:p>
        </w:tc>
        <w:tc>
          <w:tcPr>
            <w:tcW w:w="1980" w:type="dxa"/>
            <w:vAlign w:val="bottom"/>
            <w:gridSpan w:val="2"/>
            <w:shd w:val="clear" w:color="auto" w:fill="0063A6"/>
          </w:tcPr>
          <w:p>
            <w:pPr>
              <w:jc w:val="right"/>
              <w:ind w:right="195"/>
              <w:spacing w:after="0"/>
              <w:rPr>
                <w:sz w:val="20"/>
                <w:szCs w:val="20"/>
                <w:color w:val="auto"/>
              </w:rPr>
            </w:pPr>
            <w:r>
              <w:rPr>
                <w:rFonts w:ascii="Arial" w:cs="Arial" w:eastAsia="Arial" w:hAnsi="Arial"/>
                <w:sz w:val="14"/>
                <w:szCs w:val="14"/>
                <w:b w:val="1"/>
                <w:bCs w:val="1"/>
                <w:color w:val="FFFFFF"/>
              </w:rPr>
              <w:t>Year-end value of $100</w:t>
            </w:r>
          </w:p>
        </w:tc>
        <w:tc>
          <w:tcPr>
            <w:tcW w:w="760" w:type="dxa"/>
            <w:vAlign w:val="bottom"/>
            <w:shd w:val="clear" w:color="auto" w:fill="0063A6"/>
          </w:tcPr>
          <w:p>
            <w:pPr>
              <w:spacing w:after="0"/>
              <w:rPr>
                <w:sz w:val="19"/>
                <w:szCs w:val="19"/>
                <w:color w:val="auto"/>
              </w:rPr>
            </w:pPr>
          </w:p>
        </w:tc>
        <w:tc>
          <w:tcPr>
            <w:tcW w:w="240" w:type="dxa"/>
            <w:vAlign w:val="bottom"/>
            <w:shd w:val="clear" w:color="auto" w:fill="0063A6"/>
          </w:tcPr>
          <w:p>
            <w:pPr>
              <w:spacing w:after="0"/>
              <w:rPr>
                <w:sz w:val="19"/>
                <w:szCs w:val="19"/>
                <w:color w:val="auto"/>
              </w:rPr>
            </w:pPr>
          </w:p>
        </w:tc>
        <w:tc>
          <w:tcPr>
            <w:tcW w:w="900" w:type="dxa"/>
            <w:vAlign w:val="bottom"/>
            <w:shd w:val="clear" w:color="auto" w:fill="0063A6"/>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60" w:type="dxa"/>
            <w:vAlign w:val="bottom"/>
          </w:tcPr>
          <w:p>
            <w:pPr>
              <w:spacing w:after="0"/>
              <w:rPr>
                <w:sz w:val="16"/>
                <w:szCs w:val="16"/>
                <w:color w:val="auto"/>
              </w:rPr>
            </w:pPr>
          </w:p>
        </w:tc>
        <w:tc>
          <w:tcPr>
            <w:tcW w:w="1180" w:type="dxa"/>
            <w:vAlign w:val="bottom"/>
            <w:shd w:val="clear" w:color="auto" w:fill="0063A6"/>
          </w:tcPr>
          <w:p>
            <w:pPr>
              <w:spacing w:after="0"/>
              <w:rPr>
                <w:sz w:val="16"/>
                <w:szCs w:val="16"/>
                <w:color w:val="auto"/>
              </w:rPr>
            </w:pPr>
          </w:p>
        </w:tc>
        <w:tc>
          <w:tcPr>
            <w:tcW w:w="1180" w:type="dxa"/>
            <w:vAlign w:val="bottom"/>
            <w:shd w:val="clear" w:color="auto" w:fill="0063A6"/>
          </w:tcPr>
          <w:p>
            <w:pPr>
              <w:spacing w:after="0"/>
              <w:rPr>
                <w:sz w:val="16"/>
                <w:szCs w:val="16"/>
                <w:color w:val="auto"/>
              </w:rPr>
            </w:pPr>
          </w:p>
        </w:tc>
        <w:tc>
          <w:tcPr>
            <w:tcW w:w="1180" w:type="dxa"/>
            <w:vAlign w:val="bottom"/>
            <w:vMerge w:val="restart"/>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Average</w:t>
            </w:r>
          </w:p>
        </w:tc>
        <w:tc>
          <w:tcPr>
            <w:tcW w:w="1200" w:type="dxa"/>
            <w:vAlign w:val="bottom"/>
            <w:shd w:val="clear" w:color="auto" w:fill="0063A6"/>
          </w:tcPr>
          <w:p>
            <w:pPr>
              <w:spacing w:after="0"/>
              <w:rPr>
                <w:sz w:val="16"/>
                <w:szCs w:val="16"/>
                <w:color w:val="auto"/>
              </w:rPr>
            </w:pPr>
          </w:p>
        </w:tc>
        <w:tc>
          <w:tcPr>
            <w:tcW w:w="1980" w:type="dxa"/>
            <w:vAlign w:val="bottom"/>
            <w:gridSpan w:val="2"/>
            <w:shd w:val="clear" w:color="auto" w:fill="0063A6"/>
          </w:tcPr>
          <w:p>
            <w:pPr>
              <w:jc w:val="right"/>
              <w:ind w:right="55"/>
              <w:spacing w:after="0"/>
              <w:rPr>
                <w:sz w:val="20"/>
                <w:szCs w:val="20"/>
                <w:color w:val="auto"/>
              </w:rPr>
            </w:pPr>
            <w:r>
              <w:rPr>
                <w:rFonts w:ascii="Arial" w:cs="Arial" w:eastAsia="Arial" w:hAnsi="Arial"/>
                <w:sz w:val="14"/>
                <w:szCs w:val="14"/>
                <w:b w:val="1"/>
                <w:bCs w:val="1"/>
                <w:color w:val="FFFFFF"/>
              </w:rPr>
              <w:t>invested on 12/31/2019 in:</w:t>
            </w:r>
          </w:p>
        </w:tc>
        <w:tc>
          <w:tcPr>
            <w:tcW w:w="760" w:type="dxa"/>
            <w:vAlign w:val="bottom"/>
            <w:shd w:val="clear" w:color="auto" w:fill="0063A6"/>
          </w:tcPr>
          <w:p>
            <w:pPr>
              <w:spacing w:after="0"/>
              <w:rPr>
                <w:sz w:val="16"/>
                <w:szCs w:val="16"/>
                <w:color w:val="auto"/>
              </w:rPr>
            </w:pPr>
          </w:p>
        </w:tc>
        <w:tc>
          <w:tcPr>
            <w:tcW w:w="240" w:type="dxa"/>
            <w:vAlign w:val="bottom"/>
            <w:shd w:val="clear" w:color="auto" w:fill="0063A6"/>
          </w:tcPr>
          <w:p>
            <w:pPr>
              <w:spacing w:after="0"/>
              <w:rPr>
                <w:sz w:val="16"/>
                <w:szCs w:val="16"/>
                <w:color w:val="auto"/>
              </w:rPr>
            </w:pPr>
          </w:p>
        </w:tc>
        <w:tc>
          <w:tcPr>
            <w:tcW w:w="90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1180" w:type="dxa"/>
            <w:vAlign w:val="bottom"/>
            <w:shd w:val="clear" w:color="auto" w:fill="0063A6"/>
          </w:tcPr>
          <w:p>
            <w:pPr>
              <w:spacing w:after="0"/>
              <w:rPr>
                <w:sz w:val="14"/>
                <w:szCs w:val="14"/>
                <w:color w:val="auto"/>
              </w:rPr>
            </w:pPr>
          </w:p>
        </w:tc>
        <w:tc>
          <w:tcPr>
            <w:tcW w:w="1180" w:type="dxa"/>
            <w:vAlign w:val="bottom"/>
            <w:shd w:val="clear" w:color="auto" w:fill="0063A6"/>
          </w:tcPr>
          <w:p>
            <w:pPr>
              <w:spacing w:after="0"/>
              <w:rPr>
                <w:sz w:val="14"/>
                <w:szCs w:val="14"/>
                <w:color w:val="auto"/>
              </w:rPr>
            </w:pPr>
          </w:p>
        </w:tc>
        <w:tc>
          <w:tcPr>
            <w:tcW w:w="1180" w:type="dxa"/>
            <w:vAlign w:val="bottom"/>
            <w:vMerge w:val="continue"/>
            <w:shd w:val="clear" w:color="auto" w:fill="0063A6"/>
          </w:tcPr>
          <w:p>
            <w:pPr>
              <w:spacing w:after="0"/>
              <w:rPr>
                <w:sz w:val="14"/>
                <w:szCs w:val="14"/>
                <w:color w:val="auto"/>
              </w:rPr>
            </w:pPr>
          </w:p>
        </w:tc>
        <w:tc>
          <w:tcPr>
            <w:tcW w:w="1200" w:type="dxa"/>
            <w:vAlign w:val="bottom"/>
            <w:shd w:val="clear" w:color="auto" w:fill="0063A6"/>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76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9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Summary</w:t>
            </w:r>
          </w:p>
        </w:tc>
        <w:tc>
          <w:tcPr>
            <w:tcW w:w="1180" w:type="dxa"/>
            <w:vAlign w:val="bottom"/>
            <w:shd w:val="clear" w:color="auto" w:fill="0063A6"/>
          </w:tcPr>
          <w:p>
            <w:pPr>
              <w:spacing w:after="0"/>
              <w:rPr>
                <w:sz w:val="14"/>
                <w:szCs w:val="14"/>
                <w:color w:val="auto"/>
              </w:rPr>
            </w:pP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Summary</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Average</w:t>
            </w: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000" w:type="dxa"/>
            <w:vAlign w:val="bottom"/>
            <w:gridSpan w:val="2"/>
            <w:shd w:val="clear" w:color="auto" w:fill="0063A6"/>
          </w:tcPr>
          <w:p>
            <w:pPr>
              <w:jc w:val="right"/>
              <w:ind w:right="77"/>
              <w:spacing w:after="0"/>
              <w:rPr>
                <w:sz w:val="20"/>
                <w:szCs w:val="20"/>
                <w:color w:val="auto"/>
              </w:rPr>
            </w:pPr>
            <w:r>
              <w:rPr>
                <w:rFonts w:ascii="Arial" w:cs="Arial" w:eastAsia="Arial" w:hAnsi="Arial"/>
                <w:sz w:val="14"/>
                <w:szCs w:val="14"/>
                <w:b w:val="1"/>
                <w:bCs w:val="1"/>
                <w:color w:val="FFFFFF"/>
              </w:rPr>
              <w:t>Net Income</w:t>
            </w:r>
          </w:p>
        </w:tc>
        <w:tc>
          <w:tcPr>
            <w:tcW w:w="9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12"/>
              <w:spacing w:after="0"/>
              <w:rPr>
                <w:sz w:val="20"/>
                <w:szCs w:val="20"/>
                <w:color w:val="auto"/>
              </w:rPr>
            </w:pPr>
            <w:r>
              <w:rPr>
                <w:rFonts w:ascii="Arial" w:cs="Arial" w:eastAsia="Arial" w:hAnsi="Arial"/>
                <w:sz w:val="14"/>
                <w:szCs w:val="14"/>
                <w:b w:val="1"/>
                <w:bCs w:val="1"/>
                <w:color w:val="FFFFFF"/>
              </w:rPr>
              <w:t>Compensation</w:t>
            </w:r>
          </w:p>
        </w:tc>
        <w:tc>
          <w:tcPr>
            <w:tcW w:w="1180" w:type="dxa"/>
            <w:vAlign w:val="bottom"/>
            <w:shd w:val="clear" w:color="auto" w:fill="0063A6"/>
          </w:tcPr>
          <w:p>
            <w:pPr>
              <w:jc w:val="right"/>
              <w:ind w:right="33"/>
              <w:spacing w:after="0"/>
              <w:rPr>
                <w:sz w:val="20"/>
                <w:szCs w:val="20"/>
                <w:color w:val="auto"/>
              </w:rPr>
            </w:pPr>
            <w:r>
              <w:rPr>
                <w:rFonts w:ascii="Arial" w:cs="Arial" w:eastAsia="Arial" w:hAnsi="Arial"/>
                <w:sz w:val="14"/>
                <w:szCs w:val="14"/>
                <w:b w:val="1"/>
                <w:bCs w:val="1"/>
                <w:color w:val="FFFFFF"/>
              </w:rPr>
              <w:t>Compensation</w:t>
            </w:r>
          </w:p>
        </w:tc>
        <w:tc>
          <w:tcPr>
            <w:tcW w:w="1180" w:type="dxa"/>
            <w:vAlign w:val="bottom"/>
            <w:shd w:val="clear" w:color="auto" w:fill="0063A6"/>
          </w:tcPr>
          <w:p>
            <w:pPr>
              <w:jc w:val="right"/>
              <w:ind w:right="32"/>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3A6"/>
          </w:tcPr>
          <w:p>
            <w:pPr>
              <w:jc w:val="right"/>
              <w:ind w:right="54"/>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000" w:type="dxa"/>
            <w:vAlign w:val="bottom"/>
            <w:gridSpan w:val="2"/>
            <w:shd w:val="clear" w:color="auto" w:fill="0063A6"/>
          </w:tcPr>
          <w:p>
            <w:pPr>
              <w:jc w:val="right"/>
              <w:ind w:right="77"/>
              <w:spacing w:after="0"/>
              <w:rPr>
                <w:sz w:val="20"/>
                <w:szCs w:val="20"/>
                <w:color w:val="auto"/>
              </w:rPr>
            </w:pPr>
            <w:r>
              <w:rPr>
                <w:rFonts w:ascii="Arial" w:cs="Arial" w:eastAsia="Arial" w:hAnsi="Arial"/>
                <w:sz w:val="14"/>
                <w:szCs w:val="14"/>
                <w:b w:val="1"/>
                <w:bCs w:val="1"/>
                <w:color w:val="FFFFFF"/>
              </w:rPr>
              <w:t>(loss)</w:t>
            </w:r>
          </w:p>
        </w:tc>
        <w:tc>
          <w:tcPr>
            <w:tcW w:w="9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Table</w:t>
            </w:r>
          </w:p>
        </w:tc>
        <w:tc>
          <w:tcPr>
            <w:tcW w:w="1180" w:type="dxa"/>
            <w:vAlign w:val="bottom"/>
            <w:shd w:val="clear" w:color="auto" w:fill="0063A6"/>
          </w:tcPr>
          <w:p>
            <w:pPr>
              <w:jc w:val="right"/>
              <w:ind w:right="73"/>
              <w:spacing w:after="0"/>
              <w:rPr>
                <w:sz w:val="20"/>
                <w:szCs w:val="20"/>
                <w:color w:val="auto"/>
              </w:rPr>
            </w:pPr>
            <w:r>
              <w:rPr>
                <w:rFonts w:ascii="Arial" w:cs="Arial" w:eastAsia="Arial" w:hAnsi="Arial"/>
                <w:sz w:val="14"/>
                <w:szCs w:val="14"/>
                <w:b w:val="1"/>
                <w:bCs w:val="1"/>
                <w:color w:val="FFFFFF"/>
              </w:rPr>
              <w:t>Actually</w:t>
            </w: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Table</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Actually</w:t>
            </w: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000" w:type="dxa"/>
            <w:vAlign w:val="bottom"/>
            <w:gridSpan w:val="2"/>
            <w:shd w:val="clear" w:color="auto" w:fill="0063A6"/>
          </w:tcPr>
          <w:p>
            <w:pPr>
              <w:jc w:val="right"/>
              <w:ind w:right="77"/>
              <w:spacing w:after="0"/>
              <w:rPr>
                <w:sz w:val="20"/>
                <w:szCs w:val="20"/>
                <w:color w:val="auto"/>
              </w:rPr>
            </w:pPr>
            <w:r>
              <w:rPr>
                <w:rFonts w:ascii="Arial" w:cs="Arial" w:eastAsia="Arial" w:hAnsi="Arial"/>
                <w:sz w:val="14"/>
                <w:szCs w:val="14"/>
                <w:b w:val="1"/>
                <w:bCs w:val="1"/>
                <w:color w:val="FFFFFF"/>
              </w:rPr>
              <w:t>attributable</w:t>
            </w:r>
          </w:p>
        </w:tc>
        <w:tc>
          <w:tcPr>
            <w:tcW w:w="900" w:type="dxa"/>
            <w:vAlign w:val="bottom"/>
            <w:shd w:val="clear" w:color="auto" w:fill="0063A6"/>
          </w:tcPr>
          <w:p>
            <w:pPr>
              <w:jc w:val="right"/>
              <w:ind w:right="53"/>
              <w:spacing w:after="0"/>
              <w:rPr>
                <w:sz w:val="20"/>
                <w:szCs w:val="20"/>
                <w:color w:val="auto"/>
              </w:rPr>
            </w:pPr>
            <w:r>
              <w:rPr>
                <w:rFonts w:ascii="Arial" w:cs="Arial" w:eastAsia="Arial" w:hAnsi="Arial"/>
                <w:sz w:val="14"/>
                <w:szCs w:val="14"/>
                <w:b w:val="1"/>
                <w:bCs w:val="1"/>
                <w:color w:val="FFFFFF"/>
              </w:rPr>
              <w:t>Adj.</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Total for</w:t>
            </w:r>
          </w:p>
        </w:tc>
        <w:tc>
          <w:tcPr>
            <w:tcW w:w="1180" w:type="dxa"/>
            <w:vAlign w:val="bottom"/>
            <w:shd w:val="clear" w:color="auto" w:fill="0063A6"/>
          </w:tcPr>
          <w:p>
            <w:pPr>
              <w:jc w:val="right"/>
              <w:ind w:right="73"/>
              <w:spacing w:after="0"/>
              <w:rPr>
                <w:sz w:val="20"/>
                <w:szCs w:val="20"/>
                <w:color w:val="auto"/>
              </w:rPr>
            </w:pPr>
            <w:r>
              <w:rPr>
                <w:rFonts w:ascii="Arial" w:cs="Arial" w:eastAsia="Arial" w:hAnsi="Arial"/>
                <w:sz w:val="14"/>
                <w:szCs w:val="14"/>
                <w:b w:val="1"/>
                <w:bCs w:val="1"/>
                <w:color w:val="FFFFFF"/>
              </w:rPr>
              <w:t>Paid to</w:t>
            </w: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Total for</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Paid to</w:t>
            </w: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1000" w:type="dxa"/>
            <w:vAlign w:val="bottom"/>
            <w:gridSpan w:val="2"/>
            <w:shd w:val="clear" w:color="auto" w:fill="0063A6"/>
          </w:tcPr>
          <w:p>
            <w:pPr>
              <w:jc w:val="right"/>
              <w:ind w:right="37"/>
              <w:spacing w:after="0"/>
              <w:rPr>
                <w:sz w:val="20"/>
                <w:szCs w:val="20"/>
                <w:color w:val="auto"/>
              </w:rPr>
            </w:pPr>
            <w:r>
              <w:rPr>
                <w:rFonts w:ascii="Arial" w:cs="Arial" w:eastAsia="Arial" w:hAnsi="Arial"/>
                <w:sz w:val="14"/>
                <w:szCs w:val="14"/>
                <w:b w:val="1"/>
                <w:bCs w:val="1"/>
                <w:color w:val="FFFFFF"/>
              </w:rPr>
              <w:t>to Itron, Inc.</w:t>
            </w:r>
          </w:p>
        </w:tc>
        <w:tc>
          <w:tcPr>
            <w:tcW w:w="900" w:type="dxa"/>
            <w:vAlign w:val="bottom"/>
            <w:shd w:val="clear" w:color="auto" w:fill="0063A6"/>
          </w:tcPr>
          <w:p>
            <w:pPr>
              <w:jc w:val="right"/>
              <w:ind w:right="53"/>
              <w:spacing w:after="0"/>
              <w:rPr>
                <w:sz w:val="20"/>
                <w:szCs w:val="20"/>
                <w:color w:val="auto"/>
              </w:rPr>
            </w:pPr>
            <w:r>
              <w:rPr>
                <w:rFonts w:ascii="Arial" w:cs="Arial" w:eastAsia="Arial" w:hAnsi="Arial"/>
                <w:sz w:val="14"/>
                <w:szCs w:val="14"/>
                <w:b w:val="1"/>
                <w:bCs w:val="1"/>
                <w:color w:val="FFFFFF"/>
              </w:rPr>
              <w:t>EBITDA</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Thomas L.</w:t>
            </w:r>
          </w:p>
        </w:tc>
        <w:tc>
          <w:tcPr>
            <w:tcW w:w="1180" w:type="dxa"/>
            <w:vAlign w:val="bottom"/>
            <w:shd w:val="clear" w:color="auto" w:fill="0063A6"/>
          </w:tcPr>
          <w:p>
            <w:pPr>
              <w:jc w:val="right"/>
              <w:ind w:right="73"/>
              <w:spacing w:after="0"/>
              <w:rPr>
                <w:sz w:val="20"/>
                <w:szCs w:val="20"/>
                <w:color w:val="auto"/>
              </w:rPr>
            </w:pPr>
            <w:r>
              <w:rPr>
                <w:rFonts w:ascii="Arial" w:cs="Arial" w:eastAsia="Arial" w:hAnsi="Arial"/>
                <w:sz w:val="14"/>
                <w:szCs w:val="14"/>
                <w:b w:val="1"/>
                <w:bCs w:val="1"/>
                <w:color w:val="FFFFFF"/>
              </w:rPr>
              <w:t>Thomas L.</w:t>
            </w:r>
          </w:p>
        </w:tc>
        <w:tc>
          <w:tcPr>
            <w:tcW w:w="1180" w:type="dxa"/>
            <w:vAlign w:val="bottom"/>
            <w:shd w:val="clear" w:color="auto" w:fill="0063A6"/>
          </w:tcPr>
          <w:p>
            <w:pPr>
              <w:jc w:val="right"/>
              <w:ind w:right="72"/>
              <w:spacing w:after="0"/>
              <w:rPr>
                <w:sz w:val="20"/>
                <w:szCs w:val="20"/>
                <w:color w:val="auto"/>
              </w:rPr>
            </w:pPr>
            <w:r>
              <w:rPr>
                <w:rFonts w:ascii="Arial" w:cs="Arial" w:eastAsia="Arial" w:hAnsi="Arial"/>
                <w:sz w:val="14"/>
                <w:szCs w:val="14"/>
                <w:b w:val="1"/>
                <w:bCs w:val="1"/>
                <w:color w:val="FFFFFF"/>
              </w:rPr>
              <w:t>Non-CEO</w:t>
            </w:r>
          </w:p>
        </w:tc>
        <w:tc>
          <w:tcPr>
            <w:tcW w:w="1200" w:type="dxa"/>
            <w:vAlign w:val="bottom"/>
            <w:shd w:val="clear" w:color="auto" w:fill="0063A6"/>
          </w:tcPr>
          <w:p>
            <w:pPr>
              <w:jc w:val="right"/>
              <w:ind w:right="94"/>
              <w:spacing w:after="0"/>
              <w:rPr>
                <w:sz w:val="20"/>
                <w:szCs w:val="20"/>
                <w:color w:val="auto"/>
              </w:rPr>
            </w:pPr>
            <w:r>
              <w:rPr>
                <w:rFonts w:ascii="Arial" w:cs="Arial" w:eastAsia="Arial" w:hAnsi="Arial"/>
                <w:sz w:val="14"/>
                <w:szCs w:val="14"/>
                <w:b w:val="1"/>
                <w:bCs w:val="1"/>
                <w:color w:val="FFFFFF"/>
              </w:rPr>
              <w:t>Non-CEO</w:t>
            </w:r>
          </w:p>
        </w:tc>
        <w:tc>
          <w:tcPr>
            <w:tcW w:w="1040" w:type="dxa"/>
            <w:vAlign w:val="bottom"/>
            <w:shd w:val="clear" w:color="auto" w:fill="0063A6"/>
          </w:tcPr>
          <w:p>
            <w:pPr>
              <w:spacing w:after="0"/>
              <w:rPr>
                <w:sz w:val="14"/>
                <w:szCs w:val="14"/>
                <w:color w:val="auto"/>
              </w:rPr>
            </w:pPr>
          </w:p>
        </w:tc>
        <w:tc>
          <w:tcPr>
            <w:tcW w:w="940" w:type="dxa"/>
            <w:vAlign w:val="bottom"/>
            <w:shd w:val="clear" w:color="auto" w:fill="0063A6"/>
          </w:tcPr>
          <w:p>
            <w:pPr>
              <w:jc w:val="right"/>
              <w:ind w:right="55"/>
              <w:spacing w:after="0"/>
              <w:rPr>
                <w:sz w:val="20"/>
                <w:szCs w:val="20"/>
                <w:color w:val="auto"/>
              </w:rPr>
            </w:pPr>
            <w:r>
              <w:rPr>
                <w:rFonts w:ascii="Arial" w:cs="Arial" w:eastAsia="Arial" w:hAnsi="Arial"/>
                <w:sz w:val="14"/>
                <w:szCs w:val="14"/>
                <w:b w:val="1"/>
                <w:bCs w:val="1"/>
                <w:color w:val="FFFFFF"/>
              </w:rPr>
              <w:t>Peer</w:t>
            </w:r>
          </w:p>
        </w:tc>
        <w:tc>
          <w:tcPr>
            <w:tcW w:w="1000" w:type="dxa"/>
            <w:vAlign w:val="bottom"/>
            <w:gridSpan w:val="2"/>
            <w:shd w:val="clear" w:color="auto" w:fill="0063A6"/>
          </w:tcPr>
          <w:p>
            <w:pPr>
              <w:jc w:val="right"/>
              <w:ind w:right="77"/>
              <w:spacing w:after="0"/>
              <w:rPr>
                <w:sz w:val="20"/>
                <w:szCs w:val="20"/>
                <w:color w:val="auto"/>
              </w:rPr>
            </w:pPr>
            <w:r>
              <w:rPr>
                <w:rFonts w:ascii="Arial" w:cs="Arial" w:eastAsia="Arial" w:hAnsi="Arial"/>
                <w:sz w:val="14"/>
                <w:szCs w:val="14"/>
                <w:b w:val="1"/>
                <w:bCs w:val="1"/>
                <w:color w:val="FFFFFF"/>
              </w:rPr>
              <w:t>(in</w:t>
            </w:r>
          </w:p>
        </w:tc>
        <w:tc>
          <w:tcPr>
            <w:tcW w:w="900" w:type="dxa"/>
            <w:vAlign w:val="bottom"/>
            <w:shd w:val="clear" w:color="auto" w:fill="0063A6"/>
          </w:tcPr>
          <w:p>
            <w:pPr>
              <w:jc w:val="right"/>
              <w:ind w:right="53"/>
              <w:spacing w:after="0"/>
              <w:rPr>
                <w:sz w:val="20"/>
                <w:szCs w:val="20"/>
                <w:color w:val="auto"/>
              </w:rPr>
            </w:pPr>
            <w:r>
              <w:rPr>
                <w:rFonts w:ascii="Arial" w:cs="Arial" w:eastAsia="Arial" w:hAnsi="Arial"/>
                <w:sz w:val="14"/>
                <w:szCs w:val="14"/>
                <w:b w:val="1"/>
                <w:bCs w:val="1"/>
                <w:color w:val="FFFFFF"/>
              </w:rPr>
              <w:t>(in</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1180" w:type="dxa"/>
            <w:vAlign w:val="bottom"/>
            <w:shd w:val="clear" w:color="auto" w:fill="0063A6"/>
          </w:tcPr>
          <w:p>
            <w:pPr>
              <w:jc w:val="right"/>
              <w:ind w:right="52"/>
              <w:spacing w:after="0"/>
              <w:rPr>
                <w:sz w:val="20"/>
                <w:szCs w:val="20"/>
                <w:color w:val="auto"/>
              </w:rPr>
            </w:pPr>
            <w:r>
              <w:rPr>
                <w:rFonts w:ascii="Arial" w:cs="Arial" w:eastAsia="Arial" w:hAnsi="Arial"/>
                <w:sz w:val="14"/>
                <w:szCs w:val="14"/>
                <w:b w:val="1"/>
                <w:bCs w:val="1"/>
                <w:color w:val="FFFFFF"/>
              </w:rPr>
              <w:t>Deitrich</w:t>
            </w:r>
          </w:p>
        </w:tc>
        <w:tc>
          <w:tcPr>
            <w:tcW w:w="1180" w:type="dxa"/>
            <w:vAlign w:val="bottom"/>
            <w:shd w:val="clear" w:color="auto" w:fill="0063A6"/>
          </w:tcPr>
          <w:p>
            <w:pPr>
              <w:jc w:val="right"/>
              <w:ind w:right="73"/>
              <w:spacing w:after="0" w:line="180" w:lineRule="exact"/>
              <w:rPr>
                <w:sz w:val="20"/>
                <w:szCs w:val="20"/>
                <w:color w:val="auto"/>
              </w:rPr>
            </w:pPr>
            <w:r>
              <w:rPr>
                <w:rFonts w:ascii="Arial" w:cs="Arial" w:eastAsia="Arial" w:hAnsi="Arial"/>
                <w:sz w:val="13"/>
                <w:szCs w:val="13"/>
                <w:b w:val="1"/>
                <w:bCs w:val="1"/>
                <w:color w:val="FFFFFF"/>
              </w:rPr>
              <w:t>Deitrich</w:t>
            </w:r>
            <w:r>
              <w:rPr>
                <w:rFonts w:ascii="Arial" w:cs="Arial" w:eastAsia="Arial" w:hAnsi="Arial"/>
                <w:sz w:val="20"/>
                <w:szCs w:val="20"/>
                <w:b w:val="1"/>
                <w:bCs w:val="1"/>
                <w:color w:val="FFFFFF"/>
                <w:vertAlign w:val="superscript"/>
              </w:rPr>
              <w:t>(1)(2)</w:t>
            </w:r>
          </w:p>
        </w:tc>
        <w:tc>
          <w:tcPr>
            <w:tcW w:w="1180" w:type="dxa"/>
            <w:vAlign w:val="bottom"/>
            <w:shd w:val="clear" w:color="auto" w:fill="0063A6"/>
          </w:tcPr>
          <w:p>
            <w:pPr>
              <w:jc w:val="right"/>
              <w:ind w:right="72"/>
              <w:spacing w:after="0" w:line="180" w:lineRule="exact"/>
              <w:rPr>
                <w:sz w:val="20"/>
                <w:szCs w:val="20"/>
                <w:color w:val="auto"/>
              </w:rPr>
            </w:pPr>
            <w:r>
              <w:rPr>
                <w:rFonts w:ascii="Arial" w:cs="Arial" w:eastAsia="Arial" w:hAnsi="Arial"/>
                <w:sz w:val="13"/>
                <w:szCs w:val="13"/>
                <w:b w:val="1"/>
                <w:bCs w:val="1"/>
                <w:color w:val="FFFFFF"/>
              </w:rPr>
              <w:t>NEOs</w:t>
            </w:r>
            <w:r>
              <w:rPr>
                <w:rFonts w:ascii="Arial" w:cs="Arial" w:eastAsia="Arial" w:hAnsi="Arial"/>
                <w:sz w:val="20"/>
                <w:szCs w:val="20"/>
                <w:b w:val="1"/>
                <w:bCs w:val="1"/>
                <w:color w:val="FFFFFF"/>
                <w:vertAlign w:val="superscript"/>
              </w:rPr>
              <w:t>(3)</w:t>
            </w:r>
          </w:p>
        </w:tc>
        <w:tc>
          <w:tcPr>
            <w:tcW w:w="1200" w:type="dxa"/>
            <w:vAlign w:val="bottom"/>
            <w:shd w:val="clear" w:color="auto" w:fill="0063A6"/>
          </w:tcPr>
          <w:p>
            <w:pPr>
              <w:jc w:val="right"/>
              <w:ind w:right="54"/>
              <w:spacing w:after="0" w:line="180" w:lineRule="exact"/>
              <w:rPr>
                <w:sz w:val="20"/>
                <w:szCs w:val="20"/>
                <w:color w:val="auto"/>
              </w:rPr>
            </w:pPr>
            <w:r>
              <w:rPr>
                <w:rFonts w:ascii="Arial" w:cs="Arial" w:eastAsia="Arial" w:hAnsi="Arial"/>
                <w:sz w:val="20"/>
                <w:szCs w:val="20"/>
                <w:b w:val="1"/>
                <w:bCs w:val="1"/>
                <w:color w:val="FFFFFF"/>
                <w:vertAlign w:val="subscript"/>
              </w:rPr>
              <w:t>NEOs</w:t>
            </w:r>
            <w:r>
              <w:rPr>
                <w:rFonts w:ascii="Arial" w:cs="Arial" w:eastAsia="Arial" w:hAnsi="Arial"/>
                <w:sz w:val="10"/>
                <w:szCs w:val="10"/>
                <w:b w:val="1"/>
                <w:bCs w:val="1"/>
                <w:color w:val="FFFFFF"/>
              </w:rPr>
              <w:t>(1)(2)(3)(7)</w:t>
            </w:r>
          </w:p>
        </w:tc>
        <w:tc>
          <w:tcPr>
            <w:tcW w:w="1040" w:type="dxa"/>
            <w:vAlign w:val="bottom"/>
            <w:shd w:val="clear" w:color="auto" w:fill="0063A6"/>
          </w:tcPr>
          <w:p>
            <w:pPr>
              <w:jc w:val="right"/>
              <w:ind w:right="213"/>
              <w:spacing w:after="0"/>
              <w:rPr>
                <w:sz w:val="20"/>
                <w:szCs w:val="20"/>
                <w:color w:val="auto"/>
              </w:rPr>
            </w:pPr>
            <w:r>
              <w:rPr>
                <w:rFonts w:ascii="Arial" w:cs="Arial" w:eastAsia="Arial" w:hAnsi="Arial"/>
                <w:sz w:val="14"/>
                <w:szCs w:val="14"/>
                <w:b w:val="1"/>
                <w:bCs w:val="1"/>
                <w:color w:val="FFFFFF"/>
              </w:rPr>
              <w:t>ITRI</w:t>
            </w:r>
          </w:p>
        </w:tc>
        <w:tc>
          <w:tcPr>
            <w:tcW w:w="940" w:type="dxa"/>
            <w:vAlign w:val="bottom"/>
            <w:shd w:val="clear" w:color="auto" w:fill="0063A6"/>
          </w:tcPr>
          <w:p>
            <w:pPr>
              <w:jc w:val="right"/>
              <w:ind w:right="55"/>
              <w:spacing w:after="0" w:line="180" w:lineRule="exact"/>
              <w:rPr>
                <w:sz w:val="20"/>
                <w:szCs w:val="20"/>
                <w:color w:val="auto"/>
              </w:rPr>
            </w:pPr>
            <w:r>
              <w:rPr>
                <w:rFonts w:ascii="Arial" w:cs="Arial" w:eastAsia="Arial" w:hAnsi="Arial"/>
                <w:sz w:val="13"/>
                <w:szCs w:val="13"/>
                <w:b w:val="1"/>
                <w:bCs w:val="1"/>
                <w:color w:val="FFFFFF"/>
              </w:rPr>
              <w:t>Group</w:t>
            </w:r>
            <w:r>
              <w:rPr>
                <w:rFonts w:ascii="Arial" w:cs="Arial" w:eastAsia="Arial" w:hAnsi="Arial"/>
                <w:sz w:val="20"/>
                <w:szCs w:val="20"/>
                <w:b w:val="1"/>
                <w:bCs w:val="1"/>
                <w:color w:val="FFFFFF"/>
                <w:vertAlign w:val="superscript"/>
              </w:rPr>
              <w:t>(4)</w:t>
            </w:r>
          </w:p>
        </w:tc>
        <w:tc>
          <w:tcPr>
            <w:tcW w:w="1000" w:type="dxa"/>
            <w:vAlign w:val="bottom"/>
            <w:gridSpan w:val="2"/>
            <w:shd w:val="clear" w:color="auto" w:fill="0063A6"/>
          </w:tcPr>
          <w:p>
            <w:pPr>
              <w:jc w:val="right"/>
              <w:ind w:right="77"/>
              <w:spacing w:after="0" w:line="180" w:lineRule="exact"/>
              <w:rPr>
                <w:sz w:val="20"/>
                <w:szCs w:val="20"/>
                <w:color w:val="auto"/>
              </w:rPr>
            </w:pPr>
            <w:r>
              <w:rPr>
                <w:rFonts w:ascii="Arial" w:cs="Arial" w:eastAsia="Arial" w:hAnsi="Arial"/>
                <w:sz w:val="13"/>
                <w:szCs w:val="13"/>
                <w:b w:val="1"/>
                <w:bCs w:val="1"/>
                <w:color w:val="FFFFFF"/>
              </w:rPr>
              <w:t>millions)</w:t>
            </w:r>
            <w:r>
              <w:rPr>
                <w:rFonts w:ascii="Arial" w:cs="Arial" w:eastAsia="Arial" w:hAnsi="Arial"/>
                <w:sz w:val="20"/>
                <w:szCs w:val="20"/>
                <w:b w:val="1"/>
                <w:bCs w:val="1"/>
                <w:color w:val="FFFFFF"/>
                <w:vertAlign w:val="superscript"/>
              </w:rPr>
              <w:t>(5)</w:t>
            </w:r>
          </w:p>
        </w:tc>
        <w:tc>
          <w:tcPr>
            <w:tcW w:w="900" w:type="dxa"/>
            <w:vAlign w:val="bottom"/>
            <w:shd w:val="clear" w:color="auto" w:fill="0063A6"/>
          </w:tcPr>
          <w:p>
            <w:pPr>
              <w:jc w:val="right"/>
              <w:ind w:right="13"/>
              <w:spacing w:after="0" w:line="180" w:lineRule="exact"/>
              <w:rPr>
                <w:sz w:val="20"/>
                <w:szCs w:val="20"/>
                <w:color w:val="auto"/>
              </w:rPr>
            </w:pPr>
            <w:r>
              <w:rPr>
                <w:rFonts w:ascii="Arial" w:cs="Arial" w:eastAsia="Arial" w:hAnsi="Arial"/>
                <w:sz w:val="13"/>
                <w:szCs w:val="13"/>
                <w:b w:val="1"/>
                <w:bCs w:val="1"/>
                <w:color w:val="FFFFFF"/>
              </w:rPr>
              <w:t>millions)</w:t>
            </w:r>
            <w:r>
              <w:rPr>
                <w:rFonts w:ascii="Arial" w:cs="Arial" w:eastAsia="Arial" w:hAnsi="Arial"/>
                <w:sz w:val="20"/>
                <w:szCs w:val="20"/>
                <w:b w:val="1"/>
                <w:bCs w:val="1"/>
                <w:color w:val="FFFFFF"/>
                <w:vertAlign w:val="superscript"/>
              </w:rPr>
              <w:t>(6)</w:t>
            </w:r>
          </w:p>
        </w:tc>
        <w:tc>
          <w:tcPr>
            <w:tcW w:w="0" w:type="dxa"/>
            <w:vAlign w:val="bottom"/>
          </w:tcPr>
          <w:p>
            <w:pPr>
              <w:spacing w:after="0"/>
              <w:rPr>
                <w:sz w:val="1"/>
                <w:szCs w:val="1"/>
                <w:color w:val="auto"/>
              </w:rPr>
            </w:pPr>
          </w:p>
        </w:tc>
      </w:tr>
      <w:tr>
        <w:trPr>
          <w:trHeight w:val="197"/>
        </w:trPr>
        <w:tc>
          <w:tcPr>
            <w:tcW w:w="56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Year</w:t>
            </w:r>
          </w:p>
        </w:tc>
        <w:tc>
          <w:tcPr>
            <w:tcW w:w="1180" w:type="dxa"/>
            <w:vAlign w:val="bottom"/>
            <w:tcBorders>
              <w:bottom w:val="single" w:sz="8" w:color="0063A6"/>
            </w:tcBorders>
            <w:shd w:val="clear" w:color="auto" w:fill="0063A6"/>
          </w:tcPr>
          <w:p>
            <w:pPr>
              <w:jc w:val="right"/>
              <w:ind w:right="12"/>
              <w:spacing w:after="0"/>
              <w:rPr>
                <w:sz w:val="20"/>
                <w:szCs w:val="20"/>
                <w:color w:val="auto"/>
              </w:rPr>
            </w:pPr>
            <w:r>
              <w:rPr>
                <w:rFonts w:ascii="Arial" w:cs="Arial" w:eastAsia="Arial" w:hAnsi="Arial"/>
                <w:sz w:val="14"/>
                <w:szCs w:val="14"/>
                <w:b w:val="1"/>
                <w:bCs w:val="1"/>
                <w:color w:val="FFFFFF"/>
              </w:rPr>
              <w:t>($)</w:t>
            </w:r>
          </w:p>
        </w:tc>
        <w:tc>
          <w:tcPr>
            <w:tcW w:w="1180" w:type="dxa"/>
            <w:vAlign w:val="bottom"/>
            <w:tcBorders>
              <w:bottom w:val="single" w:sz="8" w:color="0063A6"/>
            </w:tcBorders>
            <w:shd w:val="clear" w:color="auto" w:fill="0063A6"/>
          </w:tcPr>
          <w:p>
            <w:pPr>
              <w:jc w:val="right"/>
              <w:ind w:right="33"/>
              <w:spacing w:after="0"/>
              <w:rPr>
                <w:sz w:val="20"/>
                <w:szCs w:val="20"/>
                <w:color w:val="auto"/>
              </w:rPr>
            </w:pPr>
            <w:r>
              <w:rPr>
                <w:rFonts w:ascii="Arial" w:cs="Arial" w:eastAsia="Arial" w:hAnsi="Arial"/>
                <w:sz w:val="14"/>
                <w:szCs w:val="14"/>
                <w:b w:val="1"/>
                <w:bCs w:val="1"/>
                <w:color w:val="FFFFFF"/>
              </w:rPr>
              <w:t>($)</w:t>
            </w:r>
          </w:p>
        </w:tc>
        <w:tc>
          <w:tcPr>
            <w:tcW w:w="1180" w:type="dxa"/>
            <w:vAlign w:val="bottom"/>
            <w:tcBorders>
              <w:bottom w:val="single" w:sz="8" w:color="0063A6"/>
            </w:tcBorders>
            <w:shd w:val="clear" w:color="auto" w:fill="0063A6"/>
          </w:tcPr>
          <w:p>
            <w:pPr>
              <w:jc w:val="right"/>
              <w:ind w:right="32"/>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63A6"/>
            </w:tcBorders>
            <w:shd w:val="clear" w:color="auto" w:fill="0063A6"/>
          </w:tcPr>
          <w:p>
            <w:pPr>
              <w:jc w:val="right"/>
              <w:ind w:right="54"/>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bottom w:val="single" w:sz="8" w:color="0063A6"/>
            </w:tcBorders>
            <w:shd w:val="clear" w:color="auto" w:fill="0063A6"/>
          </w:tcPr>
          <w:p>
            <w:pPr>
              <w:jc w:val="right"/>
              <w:ind w:right="173"/>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0063A6"/>
            </w:tcBorders>
            <w:shd w:val="clear" w:color="auto" w:fill="0063A6"/>
          </w:tcPr>
          <w:p>
            <w:pPr>
              <w:jc w:val="right"/>
              <w:ind w:right="15"/>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63A6"/>
            </w:tcBorders>
            <w:gridSpan w:val="2"/>
            <w:shd w:val="clear" w:color="auto" w:fill="0063A6"/>
          </w:tcPr>
          <w:p>
            <w:pPr>
              <w:jc w:val="right"/>
              <w:ind w:right="37"/>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0063A6"/>
            </w:tcBorders>
            <w:shd w:val="clear" w:color="auto" w:fill="0063A6"/>
          </w:tcPr>
          <w:p>
            <w:pPr>
              <w:jc w:val="right"/>
              <w:ind w:right="13"/>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7"/>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2024</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9,395,744​</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25,612,917</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2,310,381</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4,984,227</w:t>
            </w:r>
          </w:p>
        </w:tc>
        <w:tc>
          <w:tcPr>
            <w:tcW w:w="104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129.34</w:t>
            </w:r>
          </w:p>
        </w:tc>
        <w:tc>
          <w:tcPr>
            <w:tcW w:w="94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116.71</w:t>
            </w:r>
          </w:p>
        </w:tc>
        <w:tc>
          <w:tcPr>
            <w:tcW w:w="1000" w:type="dxa"/>
            <w:vAlign w:val="bottom"/>
            <w:tcBorders>
              <w:bottom w:val="single" w:sz="8" w:color="5D6673"/>
            </w:tcBorders>
            <w:gridSpan w:val="2"/>
          </w:tcPr>
          <w:p>
            <w:pPr>
              <w:jc w:val="right"/>
              <w:ind w:right="37"/>
              <w:spacing w:after="0"/>
              <w:rPr>
                <w:sz w:val="20"/>
                <w:szCs w:val="20"/>
                <w:color w:val="auto"/>
              </w:rPr>
            </w:pPr>
            <w:r>
              <w:rPr>
                <w:rFonts w:ascii="Arial" w:cs="Arial" w:eastAsia="Arial" w:hAnsi="Arial"/>
                <w:sz w:val="13"/>
                <w:szCs w:val="13"/>
                <w:color w:val="auto"/>
              </w:rPr>
              <w:t>239.1</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323.6</w:t>
            </w:r>
          </w:p>
        </w:tc>
        <w:tc>
          <w:tcPr>
            <w:tcW w:w="0" w:type="dxa"/>
            <w:vAlign w:val="bottom"/>
          </w:tcPr>
          <w:p>
            <w:pPr>
              <w:spacing w:after="0"/>
              <w:rPr>
                <w:sz w:val="1"/>
                <w:szCs w:val="1"/>
                <w:color w:val="auto"/>
              </w:rPr>
            </w:pPr>
          </w:p>
        </w:tc>
      </w:tr>
      <w:tr>
        <w:trPr>
          <w:trHeight w:val="171"/>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2023</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6,167,366</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14,985,547</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1,720,203</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3,088,435</w:t>
            </w:r>
          </w:p>
        </w:tc>
        <w:tc>
          <w:tcPr>
            <w:tcW w:w="104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89.95</w:t>
            </w:r>
          </w:p>
        </w:tc>
        <w:tc>
          <w:tcPr>
            <w:tcW w:w="94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103.85</w:t>
            </w:r>
          </w:p>
        </w:tc>
        <w:tc>
          <w:tcPr>
            <w:tcW w:w="1000" w:type="dxa"/>
            <w:vAlign w:val="bottom"/>
            <w:tcBorders>
              <w:bottom w:val="single" w:sz="8" w:color="5D6673"/>
            </w:tcBorders>
            <w:gridSpan w:val="2"/>
          </w:tcPr>
          <w:p>
            <w:pPr>
              <w:jc w:val="right"/>
              <w:ind w:right="37"/>
              <w:spacing w:after="0"/>
              <w:rPr>
                <w:sz w:val="20"/>
                <w:szCs w:val="20"/>
                <w:color w:val="auto"/>
              </w:rPr>
            </w:pPr>
            <w:r>
              <w:rPr>
                <w:rFonts w:ascii="Arial" w:cs="Arial" w:eastAsia="Arial" w:hAnsi="Arial"/>
                <w:sz w:val="13"/>
                <w:szCs w:val="13"/>
                <w:color w:val="auto"/>
              </w:rPr>
              <w:t>96.9</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225.6</w:t>
            </w:r>
          </w:p>
        </w:tc>
        <w:tc>
          <w:tcPr>
            <w:tcW w:w="0" w:type="dxa"/>
            <w:vAlign w:val="bottom"/>
          </w:tcPr>
          <w:p>
            <w:pPr>
              <w:spacing w:after="0"/>
              <w:rPr>
                <w:sz w:val="1"/>
                <w:szCs w:val="1"/>
                <w:color w:val="auto"/>
              </w:rPr>
            </w:pPr>
          </w:p>
        </w:tc>
      </w:tr>
      <w:tr>
        <w:trPr>
          <w:trHeight w:val="169"/>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2022</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3,902,881</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2,219,992</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1,168,312</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718,317</w:t>
            </w:r>
          </w:p>
        </w:tc>
        <w:tc>
          <w:tcPr>
            <w:tcW w:w="104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60.33</w:t>
            </w:r>
          </w:p>
        </w:tc>
        <w:tc>
          <w:tcPr>
            <w:tcW w:w="94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94.48</w:t>
            </w:r>
          </w:p>
        </w:tc>
        <w:tc>
          <w:tcPr>
            <w:tcW w:w="76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(9​</w:t>
            </w:r>
          </w:p>
        </w:tc>
        <w:tc>
          <w:tcPr>
            <w:tcW w:w="24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w w:val="78"/>
              </w:rPr>
              <w:t>.7)</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69"/>
        </w:trPr>
        <w:tc>
          <w:tcPr>
            <w:tcW w:w="560" w:type="dxa"/>
            <w:vAlign w:val="bottom"/>
            <w:tcBorders>
              <w:bottom w:val="single" w:sz="8" w:color="5D6673"/>
            </w:tcBorders>
          </w:tcPr>
          <w:p>
            <w:pPr>
              <w:ind w:left="80"/>
              <w:spacing w:after="0"/>
              <w:rPr>
                <w:sz w:val="20"/>
                <w:szCs w:val="20"/>
                <w:color w:val="auto"/>
              </w:rPr>
            </w:pPr>
            <w:r>
              <w:rPr>
                <w:rFonts w:ascii="Arial" w:cs="Arial" w:eastAsia="Arial" w:hAnsi="Arial"/>
                <w:sz w:val="13"/>
                <w:szCs w:val="13"/>
                <w:color w:val="auto"/>
              </w:rPr>
              <w:t>2021</w:t>
            </w:r>
          </w:p>
        </w:tc>
        <w:tc>
          <w:tcPr>
            <w:tcW w:w="1180" w:type="dxa"/>
            <w:vAlign w:val="bottom"/>
            <w:tcBorders>
              <w:bottom w:val="single" w:sz="8" w:color="5D6673"/>
            </w:tcBorders>
          </w:tcPr>
          <w:p>
            <w:pPr>
              <w:jc w:val="right"/>
              <w:ind w:right="12"/>
              <w:spacing w:after="0"/>
              <w:rPr>
                <w:sz w:val="20"/>
                <w:szCs w:val="20"/>
                <w:color w:val="auto"/>
              </w:rPr>
            </w:pPr>
            <w:r>
              <w:rPr>
                <w:rFonts w:ascii="Arial" w:cs="Arial" w:eastAsia="Arial" w:hAnsi="Arial"/>
                <w:sz w:val="13"/>
                <w:szCs w:val="13"/>
                <w:color w:val="auto"/>
              </w:rPr>
              <w:t>4,540,331</w:t>
            </w:r>
          </w:p>
        </w:tc>
        <w:tc>
          <w:tcPr>
            <w:tcW w:w="1180" w:type="dxa"/>
            <w:vAlign w:val="bottom"/>
            <w:tcBorders>
              <w:bottom w:val="single" w:sz="8" w:color="5D6673"/>
            </w:tcBorders>
          </w:tcPr>
          <w:p>
            <w:pPr>
              <w:jc w:val="right"/>
              <w:ind w:right="33"/>
              <w:spacing w:after="0"/>
              <w:rPr>
                <w:sz w:val="20"/>
                <w:szCs w:val="20"/>
                <w:color w:val="auto"/>
              </w:rPr>
            </w:pPr>
            <w:r>
              <w:rPr>
                <w:rFonts w:ascii="Arial" w:cs="Arial" w:eastAsia="Arial" w:hAnsi="Arial"/>
                <w:sz w:val="13"/>
                <w:szCs w:val="13"/>
                <w:color w:val="auto"/>
              </w:rPr>
              <w:t>1,543,572</w:t>
            </w:r>
          </w:p>
        </w:tc>
        <w:tc>
          <w:tcPr>
            <w:tcW w:w="1180" w:type="dxa"/>
            <w:vAlign w:val="bottom"/>
            <w:tcBorders>
              <w:bottom w:val="single" w:sz="8" w:color="5D6673"/>
            </w:tcBorders>
          </w:tcPr>
          <w:p>
            <w:pPr>
              <w:jc w:val="right"/>
              <w:ind w:right="32"/>
              <w:spacing w:after="0"/>
              <w:rPr>
                <w:sz w:val="20"/>
                <w:szCs w:val="20"/>
                <w:color w:val="auto"/>
              </w:rPr>
            </w:pPr>
            <w:r>
              <w:rPr>
                <w:rFonts w:ascii="Arial" w:cs="Arial" w:eastAsia="Arial" w:hAnsi="Arial"/>
                <w:sz w:val="13"/>
                <w:szCs w:val="13"/>
                <w:color w:val="auto"/>
              </w:rPr>
              <w:t>1,712,738</w:t>
            </w:r>
          </w:p>
        </w:tc>
        <w:tc>
          <w:tcPr>
            <w:tcW w:w="1200" w:type="dxa"/>
            <w:vAlign w:val="bottom"/>
            <w:tcBorders>
              <w:bottom w:val="single" w:sz="8" w:color="5D6673"/>
            </w:tcBorders>
          </w:tcPr>
          <w:p>
            <w:pPr>
              <w:jc w:val="right"/>
              <w:ind w:right="54"/>
              <w:spacing w:after="0"/>
              <w:rPr>
                <w:sz w:val="20"/>
                <w:szCs w:val="20"/>
                <w:color w:val="auto"/>
              </w:rPr>
            </w:pPr>
            <w:r>
              <w:rPr>
                <w:rFonts w:ascii="Arial" w:cs="Arial" w:eastAsia="Arial" w:hAnsi="Arial"/>
                <w:sz w:val="13"/>
                <w:szCs w:val="13"/>
                <w:color w:val="auto"/>
              </w:rPr>
              <w:t>1,006,326</w:t>
            </w:r>
          </w:p>
        </w:tc>
        <w:tc>
          <w:tcPr>
            <w:tcW w:w="1040" w:type="dxa"/>
            <w:vAlign w:val="bottom"/>
            <w:tcBorders>
              <w:bottom w:val="single" w:sz="8" w:color="5D6673"/>
            </w:tcBorders>
          </w:tcPr>
          <w:p>
            <w:pPr>
              <w:jc w:val="right"/>
              <w:ind w:right="173"/>
              <w:spacing w:after="0"/>
              <w:rPr>
                <w:sz w:val="20"/>
                <w:szCs w:val="20"/>
                <w:color w:val="auto"/>
              </w:rPr>
            </w:pPr>
            <w:r>
              <w:rPr>
                <w:rFonts w:ascii="Arial" w:cs="Arial" w:eastAsia="Arial" w:hAnsi="Arial"/>
                <w:sz w:val="13"/>
                <w:szCs w:val="13"/>
                <w:color w:val="auto"/>
              </w:rPr>
              <w:t>81.62</w:t>
            </w:r>
          </w:p>
        </w:tc>
        <w:tc>
          <w:tcPr>
            <w:tcW w:w="940" w:type="dxa"/>
            <w:vAlign w:val="bottom"/>
            <w:tcBorders>
              <w:bottom w:val="single" w:sz="8" w:color="5D6673"/>
            </w:tcBorders>
          </w:tcPr>
          <w:p>
            <w:pPr>
              <w:jc w:val="right"/>
              <w:ind w:right="15"/>
              <w:spacing w:after="0"/>
              <w:rPr>
                <w:sz w:val="20"/>
                <w:szCs w:val="20"/>
                <w:color w:val="auto"/>
              </w:rPr>
            </w:pPr>
            <w:r>
              <w:rPr>
                <w:rFonts w:ascii="Arial" w:cs="Arial" w:eastAsia="Arial" w:hAnsi="Arial"/>
                <w:sz w:val="13"/>
                <w:szCs w:val="13"/>
                <w:color w:val="auto"/>
              </w:rPr>
              <w:t>131.50</w:t>
            </w:r>
          </w:p>
        </w:tc>
        <w:tc>
          <w:tcPr>
            <w:tcW w:w="760" w:type="dxa"/>
            <w:vAlign w:val="bottom"/>
            <w:tcBorders>
              <w:bottom w:val="single" w:sz="8" w:color="5D6673"/>
            </w:tcBorders>
          </w:tcPr>
          <w:p>
            <w:pPr>
              <w:jc w:val="right"/>
              <w:spacing w:after="0"/>
              <w:rPr>
                <w:sz w:val="20"/>
                <w:szCs w:val="20"/>
                <w:color w:val="auto"/>
              </w:rPr>
            </w:pPr>
            <w:r>
              <w:rPr>
                <w:rFonts w:ascii="Arial" w:cs="Arial" w:eastAsia="Arial" w:hAnsi="Arial"/>
                <w:sz w:val="13"/>
                <w:szCs w:val="13"/>
                <w:color w:val="auto"/>
              </w:rPr>
              <w:t>(81​</w:t>
            </w:r>
          </w:p>
        </w:tc>
        <w:tc>
          <w:tcPr>
            <w:tcW w:w="240" w:type="dxa"/>
            <w:vAlign w:val="bottom"/>
            <w:tcBorders>
              <w:bottom w:val="single" w:sz="8" w:color="5D6673"/>
            </w:tcBorders>
          </w:tcPr>
          <w:p>
            <w:pPr>
              <w:jc w:val="right"/>
              <w:ind w:right="37"/>
              <w:spacing w:after="0"/>
              <w:rPr>
                <w:sz w:val="20"/>
                <w:szCs w:val="20"/>
                <w:color w:val="auto"/>
              </w:rPr>
            </w:pPr>
            <w:r>
              <w:rPr>
                <w:rFonts w:ascii="Arial" w:cs="Arial" w:eastAsia="Arial" w:hAnsi="Arial"/>
                <w:sz w:val="13"/>
                <w:szCs w:val="13"/>
                <w:color w:val="auto"/>
                <w:w w:val="78"/>
              </w:rPr>
              <w:t>.3)</w:t>
            </w:r>
          </w:p>
        </w:tc>
        <w:tc>
          <w:tcPr>
            <w:tcW w:w="900" w:type="dxa"/>
            <w:vAlign w:val="bottom"/>
            <w:tcBorders>
              <w:bottom w:val="single" w:sz="8" w:color="5D6673"/>
            </w:tcBorders>
          </w:tcPr>
          <w:p>
            <w:pPr>
              <w:jc w:val="right"/>
              <w:ind w:right="13"/>
              <w:spacing w:after="0"/>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r>
        <w:trPr>
          <w:trHeight w:val="160"/>
        </w:trPr>
        <w:tc>
          <w:tcPr>
            <w:tcW w:w="560" w:type="dxa"/>
            <w:vAlign w:val="bottom"/>
            <w:tcBorders>
              <w:bottom w:val="single" w:sz="8" w:color="0063A6"/>
            </w:tcBorders>
          </w:tcPr>
          <w:p>
            <w:pPr>
              <w:ind w:left="80"/>
              <w:spacing w:after="0"/>
              <w:rPr>
                <w:sz w:val="20"/>
                <w:szCs w:val="20"/>
                <w:color w:val="auto"/>
              </w:rPr>
            </w:pPr>
            <w:r>
              <w:rPr>
                <w:rFonts w:ascii="Arial" w:cs="Arial" w:eastAsia="Arial" w:hAnsi="Arial"/>
                <w:sz w:val="13"/>
                <w:szCs w:val="13"/>
                <w:color w:val="auto"/>
              </w:rPr>
              <w:t>2020</w:t>
            </w:r>
          </w:p>
        </w:tc>
        <w:tc>
          <w:tcPr>
            <w:tcW w:w="1180" w:type="dxa"/>
            <w:vAlign w:val="bottom"/>
            <w:tcBorders>
              <w:bottom w:val="single" w:sz="8" w:color="0063A6"/>
            </w:tcBorders>
          </w:tcPr>
          <w:p>
            <w:pPr>
              <w:jc w:val="right"/>
              <w:ind w:right="12"/>
              <w:spacing w:after="0"/>
              <w:rPr>
                <w:sz w:val="20"/>
                <w:szCs w:val="20"/>
                <w:color w:val="auto"/>
              </w:rPr>
            </w:pPr>
            <w:r>
              <w:rPr>
                <w:rFonts w:ascii="Arial" w:cs="Arial" w:eastAsia="Arial" w:hAnsi="Arial"/>
                <w:sz w:val="13"/>
                <w:szCs w:val="13"/>
                <w:color w:val="auto"/>
              </w:rPr>
              <w:t>3,638,204</w:t>
            </w:r>
          </w:p>
        </w:tc>
        <w:tc>
          <w:tcPr>
            <w:tcW w:w="1180" w:type="dxa"/>
            <w:vAlign w:val="bottom"/>
            <w:tcBorders>
              <w:bottom w:val="single" w:sz="8" w:color="0063A6"/>
            </w:tcBorders>
          </w:tcPr>
          <w:p>
            <w:pPr>
              <w:jc w:val="right"/>
              <w:ind w:right="33"/>
              <w:spacing w:after="0"/>
              <w:rPr>
                <w:sz w:val="20"/>
                <w:szCs w:val="20"/>
                <w:color w:val="auto"/>
              </w:rPr>
            </w:pPr>
            <w:r>
              <w:rPr>
                <w:rFonts w:ascii="Arial" w:cs="Arial" w:eastAsia="Arial" w:hAnsi="Arial"/>
                <w:sz w:val="13"/>
                <w:szCs w:val="13"/>
                <w:color w:val="auto"/>
              </w:rPr>
              <w:t>3,850,288</w:t>
            </w:r>
          </w:p>
        </w:tc>
        <w:tc>
          <w:tcPr>
            <w:tcW w:w="1180" w:type="dxa"/>
            <w:vAlign w:val="bottom"/>
            <w:tcBorders>
              <w:bottom w:val="single" w:sz="8" w:color="0063A6"/>
            </w:tcBorders>
          </w:tcPr>
          <w:p>
            <w:pPr>
              <w:jc w:val="right"/>
              <w:ind w:right="32"/>
              <w:spacing w:after="0"/>
              <w:rPr>
                <w:sz w:val="20"/>
                <w:szCs w:val="20"/>
                <w:color w:val="auto"/>
              </w:rPr>
            </w:pPr>
            <w:r>
              <w:rPr>
                <w:rFonts w:ascii="Arial" w:cs="Arial" w:eastAsia="Arial" w:hAnsi="Arial"/>
                <w:sz w:val="13"/>
                <w:szCs w:val="13"/>
                <w:color w:val="auto"/>
              </w:rPr>
              <w:t>1,311,769</w:t>
            </w:r>
          </w:p>
        </w:tc>
        <w:tc>
          <w:tcPr>
            <w:tcW w:w="1200" w:type="dxa"/>
            <w:vAlign w:val="bottom"/>
            <w:tcBorders>
              <w:bottom w:val="single" w:sz="8" w:color="0063A6"/>
            </w:tcBorders>
          </w:tcPr>
          <w:p>
            <w:pPr>
              <w:jc w:val="right"/>
              <w:ind w:right="54"/>
              <w:spacing w:after="0"/>
              <w:rPr>
                <w:sz w:val="20"/>
                <w:szCs w:val="20"/>
                <w:color w:val="auto"/>
              </w:rPr>
            </w:pPr>
            <w:r>
              <w:rPr>
                <w:rFonts w:ascii="Arial" w:cs="Arial" w:eastAsia="Arial" w:hAnsi="Arial"/>
                <w:sz w:val="13"/>
                <w:szCs w:val="13"/>
                <w:color w:val="auto"/>
              </w:rPr>
              <w:t>1,094,823</w:t>
            </w:r>
          </w:p>
        </w:tc>
        <w:tc>
          <w:tcPr>
            <w:tcW w:w="1040" w:type="dxa"/>
            <w:vAlign w:val="bottom"/>
            <w:tcBorders>
              <w:bottom w:val="single" w:sz="8" w:color="0063A6"/>
            </w:tcBorders>
          </w:tcPr>
          <w:p>
            <w:pPr>
              <w:jc w:val="right"/>
              <w:ind w:right="173"/>
              <w:spacing w:after="0"/>
              <w:rPr>
                <w:sz w:val="20"/>
                <w:szCs w:val="20"/>
                <w:color w:val="auto"/>
              </w:rPr>
            </w:pPr>
            <w:r>
              <w:rPr>
                <w:rFonts w:ascii="Arial" w:cs="Arial" w:eastAsia="Arial" w:hAnsi="Arial"/>
                <w:sz w:val="13"/>
                <w:szCs w:val="13"/>
                <w:color w:val="auto"/>
              </w:rPr>
              <w:t>114.23</w:t>
            </w:r>
          </w:p>
        </w:tc>
        <w:tc>
          <w:tcPr>
            <w:tcW w:w="940" w:type="dxa"/>
            <w:vAlign w:val="bottom"/>
            <w:tcBorders>
              <w:bottom w:val="single" w:sz="8" w:color="0063A6"/>
            </w:tcBorders>
          </w:tcPr>
          <w:p>
            <w:pPr>
              <w:jc w:val="right"/>
              <w:ind w:right="15"/>
              <w:spacing w:after="0"/>
              <w:rPr>
                <w:sz w:val="20"/>
                <w:szCs w:val="20"/>
                <w:color w:val="auto"/>
              </w:rPr>
            </w:pPr>
            <w:r>
              <w:rPr>
                <w:rFonts w:ascii="Arial" w:cs="Arial" w:eastAsia="Arial" w:hAnsi="Arial"/>
                <w:sz w:val="13"/>
                <w:szCs w:val="13"/>
                <w:color w:val="auto"/>
              </w:rPr>
              <w:t>131.60</w:t>
            </w:r>
          </w:p>
        </w:tc>
        <w:tc>
          <w:tcPr>
            <w:tcW w:w="760" w:type="dxa"/>
            <w:vAlign w:val="bottom"/>
            <w:tcBorders>
              <w:bottom w:val="single" w:sz="8" w:color="0063A6"/>
            </w:tcBorders>
          </w:tcPr>
          <w:p>
            <w:pPr>
              <w:jc w:val="right"/>
              <w:spacing w:after="0"/>
              <w:rPr>
                <w:sz w:val="20"/>
                <w:szCs w:val="20"/>
                <w:color w:val="auto"/>
              </w:rPr>
            </w:pPr>
            <w:r>
              <w:rPr>
                <w:rFonts w:ascii="Arial" w:cs="Arial" w:eastAsia="Arial" w:hAnsi="Arial"/>
                <w:sz w:val="13"/>
                <w:szCs w:val="13"/>
                <w:color w:val="auto"/>
              </w:rPr>
              <w:t>(58​</w:t>
            </w:r>
          </w:p>
        </w:tc>
        <w:tc>
          <w:tcPr>
            <w:tcW w:w="240" w:type="dxa"/>
            <w:vAlign w:val="bottom"/>
            <w:tcBorders>
              <w:bottom w:val="single" w:sz="8" w:color="0063A6"/>
            </w:tcBorders>
          </w:tcPr>
          <w:p>
            <w:pPr>
              <w:jc w:val="right"/>
              <w:ind w:right="37"/>
              <w:spacing w:after="0"/>
              <w:rPr>
                <w:sz w:val="20"/>
                <w:szCs w:val="20"/>
                <w:color w:val="auto"/>
              </w:rPr>
            </w:pPr>
            <w:r>
              <w:rPr>
                <w:rFonts w:ascii="Arial" w:cs="Arial" w:eastAsia="Arial" w:hAnsi="Arial"/>
                <w:sz w:val="13"/>
                <w:szCs w:val="13"/>
                <w:color w:val="auto"/>
                <w:w w:val="78"/>
              </w:rPr>
              <w:t>.0)</w:t>
            </w:r>
          </w:p>
        </w:tc>
        <w:tc>
          <w:tcPr>
            <w:tcW w:w="900" w:type="dxa"/>
            <w:vAlign w:val="bottom"/>
            <w:tcBorders>
              <w:bottom w:val="single" w:sz="8" w:color="0063A6"/>
            </w:tcBorders>
          </w:tcPr>
          <w:p>
            <w:pPr>
              <w:jc w:val="right"/>
              <w:ind w:right="13"/>
              <w:spacing w:after="0"/>
              <w:rPr>
                <w:sz w:val="20"/>
                <w:szCs w:val="20"/>
                <w:color w:val="auto"/>
              </w:rPr>
            </w:pPr>
            <w:r>
              <w:rPr>
                <w:rFonts w:ascii="Arial" w:cs="Arial" w:eastAsia="Arial" w:hAnsi="Arial"/>
                <w:sz w:val="13"/>
                <w:szCs w:val="13"/>
                <w:color w:val="auto"/>
              </w:rPr>
              <w:t>178.4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-1473835</wp:posOffset>
            </wp:positionV>
            <wp:extent cx="11830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79" w:lineRule="exact"/>
        <w:rPr>
          <w:sz w:val="20"/>
          <w:szCs w:val="20"/>
          <w:color w:val="auto"/>
        </w:rPr>
      </w:pPr>
    </w:p>
    <w:p>
      <w:pPr>
        <w:ind w:left="346" w:right="160" w:hanging="346"/>
        <w:spacing w:after="0" w:line="285" w:lineRule="auto"/>
        <w:tabs>
          <w:tab w:leader="none" w:pos="346"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Deductions from, and additions to, total compensation in the Summary Compensation Table for 2024 to calculate Compensation Actually Paid include:</w:t>
      </w:r>
    </w:p>
    <w:p>
      <w:pPr>
        <w:spacing w:after="0" w:line="72" w:lineRule="exact"/>
        <w:rPr>
          <w:sz w:val="20"/>
          <w:szCs w:val="20"/>
          <w:color w:val="auto"/>
        </w:rPr>
      </w:pPr>
    </w:p>
    <w:tbl>
      <w:tblPr>
        <w:tblLayout w:type="fixed"/>
        <w:tblInd w:w="366" w:type="dxa"/>
        <w:tblCellMar>
          <w:top w:w="0" w:type="dxa"/>
          <w:left w:w="0" w:type="dxa"/>
          <w:bottom w:w="0" w:type="dxa"/>
          <w:right w:w="0" w:type="dxa"/>
        </w:tblCellMar>
      </w:tblPr>
      <w:tr>
        <w:trPr>
          <w:trHeight w:val="254"/>
        </w:trPr>
        <w:tc>
          <w:tcPr>
            <w:tcW w:w="6320" w:type="dxa"/>
            <w:vAlign w:val="bottom"/>
          </w:tcPr>
          <w:p>
            <w:pPr>
              <w:spacing w:after="0"/>
              <w:rPr>
                <w:sz w:val="22"/>
                <w:szCs w:val="22"/>
                <w:color w:val="auto"/>
              </w:rPr>
            </w:pPr>
          </w:p>
        </w:tc>
        <w:tc>
          <w:tcPr>
            <w:tcW w:w="260" w:type="dxa"/>
            <w:vAlign w:val="bottom"/>
            <w:shd w:val="clear" w:color="auto" w:fill="0063A6"/>
          </w:tcPr>
          <w:p>
            <w:pPr>
              <w:spacing w:after="0"/>
              <w:rPr>
                <w:sz w:val="22"/>
                <w:szCs w:val="22"/>
                <w:color w:val="auto"/>
              </w:rPr>
            </w:pPr>
          </w:p>
        </w:tc>
        <w:tc>
          <w:tcPr>
            <w:tcW w:w="820" w:type="dxa"/>
            <w:vAlign w:val="bottom"/>
            <w:shd w:val="clear" w:color="auto" w:fill="0063A6"/>
          </w:tcPr>
          <w:p>
            <w:pPr>
              <w:spacing w:after="0"/>
              <w:rPr>
                <w:sz w:val="22"/>
                <w:szCs w:val="22"/>
                <w:color w:val="auto"/>
              </w:rPr>
            </w:pPr>
          </w:p>
        </w:tc>
        <w:tc>
          <w:tcPr>
            <w:tcW w:w="580" w:type="dxa"/>
            <w:vAlign w:val="bottom"/>
            <w:shd w:val="clear" w:color="auto" w:fill="0063A6"/>
          </w:tcPr>
          <w:p>
            <w:pPr>
              <w:jc w:val="right"/>
              <w:ind w:right="128"/>
              <w:spacing w:after="0"/>
              <w:rPr>
                <w:sz w:val="20"/>
                <w:szCs w:val="20"/>
                <w:color w:val="auto"/>
              </w:rPr>
            </w:pPr>
            <w:r>
              <w:rPr>
                <w:rFonts w:ascii="Arial" w:cs="Arial" w:eastAsia="Arial" w:hAnsi="Arial"/>
                <w:sz w:val="14"/>
                <w:szCs w:val="14"/>
                <w:b w:val="1"/>
                <w:bCs w:val="1"/>
                <w:color w:val="FFFFFF"/>
              </w:rPr>
              <w:t>2024</w:t>
            </w:r>
          </w:p>
        </w:tc>
        <w:tc>
          <w:tcPr>
            <w:tcW w:w="840" w:type="dxa"/>
            <w:vAlign w:val="bottom"/>
            <w:shd w:val="clear" w:color="auto" w:fill="0063A6"/>
          </w:tcPr>
          <w:p>
            <w:pPr>
              <w:spacing w:after="0"/>
              <w:rPr>
                <w:sz w:val="22"/>
                <w:szCs w:val="22"/>
                <w:color w:val="auto"/>
              </w:rPr>
            </w:pPr>
          </w:p>
        </w:tc>
      </w:tr>
      <w:tr>
        <w:trPr>
          <w:trHeight w:val="155"/>
        </w:trPr>
        <w:tc>
          <w:tcPr>
            <w:tcW w:w="6320" w:type="dxa"/>
            <w:vAlign w:val="bottom"/>
          </w:tcPr>
          <w:p>
            <w:pPr>
              <w:spacing w:after="0"/>
              <w:rPr>
                <w:sz w:val="13"/>
                <w:szCs w:val="13"/>
                <w:color w:val="auto"/>
              </w:rPr>
            </w:pPr>
          </w:p>
        </w:tc>
        <w:tc>
          <w:tcPr>
            <w:tcW w:w="260" w:type="dxa"/>
            <w:vAlign w:val="bottom"/>
            <w:shd w:val="clear" w:color="auto" w:fill="0063A6"/>
          </w:tcPr>
          <w:p>
            <w:pPr>
              <w:spacing w:after="0"/>
              <w:rPr>
                <w:sz w:val="13"/>
                <w:szCs w:val="13"/>
                <w:color w:val="auto"/>
              </w:rPr>
            </w:pPr>
          </w:p>
        </w:tc>
        <w:tc>
          <w:tcPr>
            <w:tcW w:w="820" w:type="dxa"/>
            <w:vAlign w:val="bottom"/>
            <w:shd w:val="clear" w:color="auto" w:fill="0063A6"/>
          </w:tcPr>
          <w:p>
            <w:pPr>
              <w:jc w:val="right"/>
              <w:ind w:right="8"/>
              <w:spacing w:after="0" w:line="155" w:lineRule="exact"/>
              <w:rPr>
                <w:sz w:val="20"/>
                <w:szCs w:val="20"/>
                <w:color w:val="auto"/>
              </w:rPr>
            </w:pPr>
            <w:r>
              <w:rPr>
                <w:rFonts w:ascii="Arial" w:cs="Arial" w:eastAsia="Arial" w:hAnsi="Arial"/>
                <w:sz w:val="14"/>
                <w:szCs w:val="14"/>
                <w:b w:val="1"/>
                <w:bCs w:val="1"/>
                <w:color w:val="FFFFFF"/>
              </w:rPr>
              <w:t>Thomas L.</w:t>
            </w:r>
          </w:p>
        </w:tc>
        <w:tc>
          <w:tcPr>
            <w:tcW w:w="1420" w:type="dxa"/>
            <w:vAlign w:val="bottom"/>
            <w:gridSpan w:val="2"/>
            <w:shd w:val="clear" w:color="auto" w:fill="0063A6"/>
          </w:tcPr>
          <w:p>
            <w:pPr>
              <w:jc w:val="right"/>
              <w:spacing w:after="0" w:line="155" w:lineRule="exact"/>
              <w:rPr>
                <w:sz w:val="20"/>
                <w:szCs w:val="20"/>
                <w:color w:val="auto"/>
              </w:rPr>
            </w:pPr>
            <w:r>
              <w:rPr>
                <w:rFonts w:ascii="Arial" w:cs="Arial" w:eastAsia="Arial" w:hAnsi="Arial"/>
                <w:sz w:val="14"/>
                <w:szCs w:val="14"/>
                <w:b w:val="1"/>
                <w:bCs w:val="1"/>
                <w:color w:val="FFFFFF"/>
              </w:rPr>
              <w:t>Average Non-</w:t>
            </w:r>
          </w:p>
        </w:tc>
      </w:tr>
      <w:tr>
        <w:trPr>
          <w:trHeight w:val="197"/>
        </w:trPr>
        <w:tc>
          <w:tcPr>
            <w:tcW w:w="6320" w:type="dxa"/>
            <w:vAlign w:val="bottom"/>
            <w:tcBorders>
              <w:bottom w:val="single" w:sz="8" w:color="0063A6"/>
            </w:tcBorders>
          </w:tcPr>
          <w:p>
            <w:pPr>
              <w:spacing w:after="0"/>
              <w:rPr>
                <w:sz w:val="17"/>
                <w:szCs w:val="17"/>
                <w:color w:val="auto"/>
              </w:rPr>
            </w:pPr>
          </w:p>
        </w:tc>
        <w:tc>
          <w:tcPr>
            <w:tcW w:w="260" w:type="dxa"/>
            <w:vAlign w:val="bottom"/>
            <w:tcBorders>
              <w:bottom w:val="single" w:sz="8" w:color="0063A6"/>
            </w:tcBorders>
            <w:shd w:val="clear" w:color="auto" w:fill="0063A6"/>
          </w:tcPr>
          <w:p>
            <w:pPr>
              <w:spacing w:after="0"/>
              <w:rPr>
                <w:sz w:val="17"/>
                <w:szCs w:val="17"/>
                <w:color w:val="auto"/>
              </w:rPr>
            </w:pPr>
          </w:p>
        </w:tc>
        <w:tc>
          <w:tcPr>
            <w:tcW w:w="8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Deitrich</w:t>
            </w:r>
          </w:p>
        </w:tc>
        <w:tc>
          <w:tcPr>
            <w:tcW w:w="580" w:type="dxa"/>
            <w:vAlign w:val="bottom"/>
            <w:tcBorders>
              <w:bottom w:val="single" w:sz="8" w:color="0063A6"/>
            </w:tcBorders>
            <w:shd w:val="clear" w:color="auto" w:fill="0063A6"/>
          </w:tcPr>
          <w:p>
            <w:pPr>
              <w:spacing w:after="0"/>
              <w:rPr>
                <w:sz w:val="17"/>
                <w:szCs w:val="17"/>
                <w:color w:val="auto"/>
              </w:rPr>
            </w:pPr>
          </w:p>
        </w:tc>
        <w:tc>
          <w:tcPr>
            <w:tcW w:w="8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CEO NEOs</w:t>
            </w:r>
          </w:p>
        </w:tc>
      </w:tr>
      <w:tr>
        <w:trPr>
          <w:trHeight w:val="209"/>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Total Compensation from Summary Compensation Table</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b w:val="1"/>
                <w:bCs w:val="1"/>
                <w:color w:val="auto"/>
              </w:rPr>
              <w:t>9,395,744​</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b w:val="1"/>
                <w:bCs w:val="1"/>
                <w:color w:val="auto"/>
              </w:rPr>
              <w:t>2,310,381</w:t>
            </w:r>
          </w:p>
        </w:tc>
      </w:tr>
      <w:tr>
        <w:trPr>
          <w:trHeight w:val="196"/>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Adjustments for Pension</w:t>
            </w:r>
          </w:p>
        </w:tc>
        <w:tc>
          <w:tcPr>
            <w:tcW w:w="260" w:type="dxa"/>
            <w:vAlign w:val="bottom"/>
            <w:tcBorders>
              <w:bottom w:val="single" w:sz="8" w:color="5D6673"/>
            </w:tcBorders>
          </w:tcPr>
          <w:p>
            <w:pPr>
              <w:spacing w:after="0"/>
              <w:rPr>
                <w:sz w:val="17"/>
                <w:szCs w:val="17"/>
                <w:color w:val="auto"/>
              </w:rPr>
            </w:pPr>
          </w:p>
        </w:tc>
        <w:tc>
          <w:tcPr>
            <w:tcW w:w="820" w:type="dxa"/>
            <w:vAlign w:val="bottom"/>
            <w:tcBorders>
              <w:bottom w:val="single" w:sz="8" w:color="5D6673"/>
            </w:tcBorders>
          </w:tcPr>
          <w:p>
            <w:pPr>
              <w:spacing w:after="0"/>
              <w:rPr>
                <w:sz w:val="17"/>
                <w:szCs w:val="17"/>
                <w:color w:val="auto"/>
              </w:rPr>
            </w:pPr>
          </w:p>
        </w:tc>
        <w:tc>
          <w:tcPr>
            <w:tcW w:w="58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spacing w:after="0"/>
              <w:rPr>
                <w:sz w:val="17"/>
                <w:szCs w:val="17"/>
                <w:color w:val="auto"/>
              </w:rPr>
            </w:pPr>
          </w:p>
        </w:tc>
      </w:tr>
      <w:tr>
        <w:trPr>
          <w:trHeight w:val="193"/>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Adjustment Summary Compensation Table Pension</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Amount added for current year service cost</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Amount added for prior service cost impacting current year</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Total Adjustments for Pension</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196"/>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Adjustments for Equity Awards</w:t>
            </w:r>
          </w:p>
        </w:tc>
        <w:tc>
          <w:tcPr>
            <w:tcW w:w="260" w:type="dxa"/>
            <w:vAlign w:val="bottom"/>
            <w:tcBorders>
              <w:bottom w:val="single" w:sz="8" w:color="5D6673"/>
            </w:tcBorders>
          </w:tcPr>
          <w:p>
            <w:pPr>
              <w:spacing w:after="0"/>
              <w:rPr>
                <w:sz w:val="17"/>
                <w:szCs w:val="17"/>
                <w:color w:val="auto"/>
              </w:rPr>
            </w:pPr>
          </w:p>
        </w:tc>
        <w:tc>
          <w:tcPr>
            <w:tcW w:w="820" w:type="dxa"/>
            <w:vAlign w:val="bottom"/>
            <w:tcBorders>
              <w:bottom w:val="single" w:sz="8" w:color="5D6673"/>
            </w:tcBorders>
          </w:tcPr>
          <w:p>
            <w:pPr>
              <w:spacing w:after="0"/>
              <w:rPr>
                <w:sz w:val="17"/>
                <w:szCs w:val="17"/>
                <w:color w:val="auto"/>
              </w:rPr>
            </w:pPr>
          </w:p>
        </w:tc>
        <w:tc>
          <w:tcPr>
            <w:tcW w:w="580" w:type="dxa"/>
            <w:vAlign w:val="bottom"/>
            <w:tcBorders>
              <w:bottom w:val="single" w:sz="8" w:color="5D6673"/>
            </w:tcBorders>
          </w:tcPr>
          <w:p>
            <w:pPr>
              <w:spacing w:after="0"/>
              <w:rPr>
                <w:sz w:val="17"/>
                <w:szCs w:val="17"/>
                <w:color w:val="auto"/>
              </w:rPr>
            </w:pPr>
          </w:p>
        </w:tc>
        <w:tc>
          <w:tcPr>
            <w:tcW w:w="840" w:type="dxa"/>
            <w:vAlign w:val="bottom"/>
            <w:tcBorders>
              <w:bottom w:val="single" w:sz="8" w:color="5D6673"/>
            </w:tcBorders>
          </w:tcPr>
          <w:p>
            <w:pPr>
              <w:spacing w:after="0"/>
              <w:rPr>
                <w:sz w:val="17"/>
                <w:szCs w:val="17"/>
                <w:color w:val="auto"/>
              </w:rPr>
            </w:pPr>
          </w:p>
        </w:tc>
      </w:tr>
      <w:tr>
        <w:trPr>
          <w:trHeight w:val="193"/>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Adjustment for grant date values in the Summary Compensation Table</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(6,535,375)</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8"/>
              <w:spacing w:after="0"/>
              <w:rPr>
                <w:sz w:val="20"/>
                <w:szCs w:val="20"/>
                <w:color w:val="auto"/>
              </w:rPr>
            </w:pPr>
            <w:r>
              <w:rPr>
                <w:rFonts w:ascii="Arial" w:cs="Arial" w:eastAsia="Arial" w:hAnsi="Arial"/>
                <w:sz w:val="14"/>
                <w:szCs w:val="14"/>
                <w:color w:val="auto"/>
              </w:rPr>
              <w:t>(1,297,652)</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Year-end fair value of unvested awards granted in the current year</w:t>
            </w:r>
          </w:p>
        </w:tc>
        <w:tc>
          <w:tcPr>
            <w:tcW w:w="1080" w:type="dxa"/>
            <w:vAlign w:val="bottom"/>
            <w:tcBorders>
              <w:bottom w:val="single" w:sz="8" w:color="5D6673"/>
            </w:tcBorders>
            <w:gridSpan w:val="2"/>
          </w:tcPr>
          <w:p>
            <w:pPr>
              <w:ind w:left="160"/>
              <w:spacing w:after="0"/>
              <w:rPr>
                <w:sz w:val="20"/>
                <w:szCs w:val="20"/>
                <w:color w:val="auto"/>
              </w:rPr>
            </w:pPr>
            <w:r>
              <w:rPr>
                <w:rFonts w:ascii="Arial" w:cs="Arial" w:eastAsia="Arial" w:hAnsi="Arial"/>
                <w:sz w:val="14"/>
                <w:szCs w:val="14"/>
                <w:color w:val="auto"/>
              </w:rPr>
              <w:t>$12,119,844</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2,416,807</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Year-over-year difference of year-end fair values for unvested awards granted in prior years</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6,856,621</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985,975</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Fair values at vest date for awards granted and vested in current year</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64"/>
        </w:trPr>
        <w:tc>
          <w:tcPr>
            <w:tcW w:w="6320" w:type="dxa"/>
            <w:vAlign w:val="bottom"/>
          </w:tcPr>
          <w:p>
            <w:pPr>
              <w:ind w:left="240"/>
              <w:spacing w:after="0"/>
              <w:rPr>
                <w:sz w:val="20"/>
                <w:szCs w:val="20"/>
                <w:color w:val="auto"/>
              </w:rPr>
            </w:pPr>
            <w:r>
              <w:rPr>
                <w:rFonts w:ascii="Arial" w:cs="Arial" w:eastAsia="Arial" w:hAnsi="Arial"/>
                <w:sz w:val="14"/>
                <w:szCs w:val="14"/>
                <w:color w:val="auto"/>
              </w:rPr>
              <w:t>Difference in fair values between prior year-end fair values and vest date fair values for</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4"/>
        </w:trPr>
        <w:tc>
          <w:tcPr>
            <w:tcW w:w="6320" w:type="dxa"/>
            <w:vAlign w:val="bottom"/>
            <w:tcBorders>
              <w:bottom w:val="single" w:sz="8" w:color="5D6673"/>
            </w:tcBorders>
          </w:tcPr>
          <w:p>
            <w:pPr>
              <w:ind w:left="420"/>
              <w:spacing w:after="0"/>
              <w:rPr>
                <w:sz w:val="20"/>
                <w:szCs w:val="20"/>
                <w:color w:val="auto"/>
              </w:rPr>
            </w:pPr>
            <w:r>
              <w:rPr>
                <w:rFonts w:ascii="Arial" w:cs="Arial" w:eastAsia="Arial" w:hAnsi="Arial"/>
                <w:sz w:val="14"/>
                <w:szCs w:val="14"/>
                <w:color w:val="auto"/>
              </w:rPr>
              <w:t>awards granted in prior years</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3,776,083</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568,717</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Forfeitures during current year equal to prior year-end fair value</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6320" w:type="dxa"/>
            <w:vAlign w:val="bottom"/>
            <w:tcBorders>
              <w:bottom w:val="single" w:sz="8" w:color="5D6673"/>
            </w:tcBorders>
          </w:tcPr>
          <w:p>
            <w:pPr>
              <w:ind w:left="240"/>
              <w:spacing w:after="0"/>
              <w:rPr>
                <w:sz w:val="20"/>
                <w:szCs w:val="20"/>
                <w:color w:val="auto"/>
              </w:rPr>
            </w:pPr>
            <w:r>
              <w:rPr>
                <w:rFonts w:ascii="Arial" w:cs="Arial" w:eastAsia="Arial" w:hAnsi="Arial"/>
                <w:sz w:val="14"/>
                <w:szCs w:val="14"/>
                <w:color w:val="auto"/>
              </w:rPr>
              <w:t>Dividends or dividend equivalents not otherwise included in total compensation</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6320" w:type="dxa"/>
            <w:vAlign w:val="bottom"/>
            <w:tcBorders>
              <w:bottom w:val="single" w:sz="8" w:color="5D6673"/>
            </w:tcBorders>
          </w:tcPr>
          <w:p>
            <w:pPr>
              <w:ind w:left="60"/>
              <w:spacing w:after="0"/>
              <w:rPr>
                <w:sz w:val="20"/>
                <w:szCs w:val="20"/>
                <w:color w:val="auto"/>
              </w:rPr>
            </w:pPr>
            <w:r>
              <w:rPr>
                <w:rFonts w:ascii="Arial" w:cs="Arial" w:eastAsia="Arial" w:hAnsi="Arial"/>
                <w:sz w:val="14"/>
                <w:szCs w:val="14"/>
                <w:b w:val="1"/>
                <w:bCs w:val="1"/>
                <w:color w:val="auto"/>
              </w:rPr>
              <w:t>Total Adjustments for Equity Awards</w:t>
            </w:r>
          </w:p>
        </w:tc>
        <w:tc>
          <w:tcPr>
            <w:tcW w:w="260" w:type="dxa"/>
            <w:vAlign w:val="bottom"/>
            <w:tcBorders>
              <w:bottom w:val="single" w:sz="8" w:color="5D6673"/>
            </w:tcBorders>
          </w:tcPr>
          <w:p>
            <w:pPr>
              <w:ind w:left="1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5D6673"/>
            </w:tcBorders>
          </w:tcPr>
          <w:p>
            <w:pPr>
              <w:ind w:left="20"/>
              <w:spacing w:after="0"/>
              <w:rPr>
                <w:sz w:val="20"/>
                <w:szCs w:val="20"/>
                <w:color w:val="auto"/>
              </w:rPr>
            </w:pPr>
            <w:r>
              <w:rPr>
                <w:rFonts w:ascii="Arial" w:cs="Arial" w:eastAsia="Arial" w:hAnsi="Arial"/>
                <w:sz w:val="14"/>
                <w:szCs w:val="14"/>
                <w:b w:val="1"/>
                <w:bCs w:val="1"/>
                <w:color w:val="auto"/>
              </w:rPr>
              <w:t>16,217,173</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108"/>
              <w:spacing w:after="0"/>
              <w:rPr>
                <w:sz w:val="20"/>
                <w:szCs w:val="20"/>
                <w:color w:val="auto"/>
              </w:rPr>
            </w:pPr>
            <w:r>
              <w:rPr>
                <w:rFonts w:ascii="Arial" w:cs="Arial" w:eastAsia="Arial" w:hAnsi="Arial"/>
                <w:sz w:val="14"/>
                <w:szCs w:val="14"/>
                <w:b w:val="1"/>
                <w:bCs w:val="1"/>
                <w:color w:val="auto"/>
              </w:rPr>
              <w:t>2,673,846</w:t>
            </w:r>
          </w:p>
        </w:tc>
      </w:tr>
      <w:tr>
        <w:trPr>
          <w:trHeight w:val="184"/>
        </w:trPr>
        <w:tc>
          <w:tcPr>
            <w:tcW w:w="63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Compensation Actually Paid (as calculated)</w:t>
            </w:r>
          </w:p>
        </w:tc>
        <w:tc>
          <w:tcPr>
            <w:tcW w:w="260" w:type="dxa"/>
            <w:vAlign w:val="bottom"/>
            <w:tcBorders>
              <w:bottom w:val="single" w:sz="8" w:color="0063A6"/>
            </w:tcBorders>
          </w:tcPr>
          <w:p>
            <w:pPr>
              <w:ind w:left="1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0063A6"/>
            </w:tcBorders>
          </w:tcPr>
          <w:p>
            <w:pPr>
              <w:ind w:left="20"/>
              <w:spacing w:after="0"/>
              <w:rPr>
                <w:sz w:val="20"/>
                <w:szCs w:val="20"/>
                <w:color w:val="auto"/>
              </w:rPr>
            </w:pPr>
            <w:r>
              <w:rPr>
                <w:rFonts w:ascii="Arial" w:cs="Arial" w:eastAsia="Arial" w:hAnsi="Arial"/>
                <w:sz w:val="14"/>
                <w:szCs w:val="14"/>
                <w:b w:val="1"/>
                <w:bCs w:val="1"/>
                <w:color w:val="auto"/>
              </w:rPr>
              <w:t>25,612,917</w:t>
            </w:r>
          </w:p>
        </w:tc>
        <w:tc>
          <w:tcPr>
            <w:tcW w:w="58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0063A6"/>
            </w:tcBorders>
          </w:tcPr>
          <w:p>
            <w:pPr>
              <w:jc w:val="right"/>
              <w:ind w:right="108"/>
              <w:spacing w:after="0"/>
              <w:rPr>
                <w:sz w:val="20"/>
                <w:szCs w:val="20"/>
                <w:color w:val="auto"/>
              </w:rPr>
            </w:pPr>
            <w:r>
              <w:rPr>
                <w:rFonts w:ascii="Arial" w:cs="Arial" w:eastAsia="Arial" w:hAnsi="Arial"/>
                <w:sz w:val="14"/>
                <w:szCs w:val="14"/>
                <w:b w:val="1"/>
                <w:bCs w:val="1"/>
                <w:color w:val="auto"/>
              </w:rPr>
              <w:t>4,984,227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-2536825</wp:posOffset>
            </wp:positionV>
            <wp:extent cx="1440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79" w:lineRule="exact"/>
        <w:rPr>
          <w:sz w:val="20"/>
          <w:szCs w:val="20"/>
          <w:color w:val="auto"/>
        </w:rPr>
      </w:pPr>
    </w:p>
    <w:p>
      <w:pPr>
        <w:ind w:left="346" w:right="20" w:hanging="346"/>
        <w:spacing w:after="0" w:line="263" w:lineRule="auto"/>
        <w:tabs>
          <w:tab w:leader="none" w:pos="3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Assumptions used in the valuation of equity awards for purposes of calculating Compensation Actually Paid were materially the same as at grant date, except for adjusting for expected performance of PRSUs at each measurement date. Additionally, for CAP calculation purposes, adjustments have been made to reflect fair values of equity awards as of each measurement date.</w:t>
      </w:r>
    </w:p>
    <w:p>
      <w:pPr>
        <w:spacing w:after="0" w:line="24" w:lineRule="exact"/>
        <w:rPr>
          <w:rFonts w:ascii="Arial" w:cs="Arial" w:eastAsia="Arial" w:hAnsi="Arial"/>
          <w:sz w:val="14"/>
          <w:szCs w:val="14"/>
          <w:color w:val="auto"/>
        </w:rPr>
      </w:pPr>
    </w:p>
    <w:p>
      <w:pPr>
        <w:ind w:left="346" w:right="180" w:hanging="346"/>
        <w:spacing w:after="0" w:line="285" w:lineRule="auto"/>
        <w:tabs>
          <w:tab w:leader="none" w:pos="3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Non-CEO NEOs reflect the average Summary Compensation Table total compensation and average Compensation Actually Paid for the following executives by year:</w:t>
      </w:r>
    </w:p>
    <w:p>
      <w:pPr>
        <w:spacing w:after="0" w:line="50" w:lineRule="exact"/>
        <w:rPr>
          <w:sz w:val="20"/>
          <w:szCs w:val="20"/>
          <w:color w:val="auto"/>
        </w:rPr>
      </w:pPr>
    </w:p>
    <w:p>
      <w:pPr>
        <w:ind w:left="726"/>
        <w:spacing w:after="0"/>
        <w:rPr>
          <w:sz w:val="20"/>
          <w:szCs w:val="20"/>
          <w:color w:val="auto"/>
        </w:rPr>
      </w:pPr>
      <w:r>
        <w:rPr>
          <w:rFonts w:ascii="Arial" w:cs="Arial" w:eastAsia="Arial" w:hAnsi="Arial"/>
          <w:sz w:val="14"/>
          <w:szCs w:val="14"/>
          <w:color w:val="auto"/>
        </w:rPr>
        <w:t>2023-2024: Hooper, Joan S.; Reeves, Donald L.; Marcolini, John F.; Patrick, Justin K.</w:t>
      </w:r>
    </w:p>
    <w:p>
      <w:pPr>
        <w:spacing w:after="0" w:line="96" w:lineRule="exact"/>
        <w:rPr>
          <w:sz w:val="20"/>
          <w:szCs w:val="20"/>
          <w:color w:val="auto"/>
        </w:rPr>
      </w:pPr>
    </w:p>
    <w:p>
      <w:pPr>
        <w:ind w:left="726"/>
        <w:spacing w:after="0"/>
        <w:rPr>
          <w:sz w:val="20"/>
          <w:szCs w:val="20"/>
          <w:color w:val="auto"/>
        </w:rPr>
      </w:pPr>
      <w:r>
        <w:rPr>
          <w:rFonts w:ascii="Arial" w:cs="Arial" w:eastAsia="Arial" w:hAnsi="Arial"/>
          <w:sz w:val="14"/>
          <w:szCs w:val="14"/>
          <w:color w:val="auto"/>
        </w:rPr>
        <w:t>2022: Hooper, Joan S.; Cadieux, Michel C.; Reeves, Donald L.; Marcolini, John F.</w:t>
      </w:r>
    </w:p>
    <w:p>
      <w:pPr>
        <w:spacing w:after="0" w:line="96" w:lineRule="exact"/>
        <w:rPr>
          <w:sz w:val="20"/>
          <w:szCs w:val="20"/>
          <w:color w:val="auto"/>
        </w:rPr>
      </w:pPr>
    </w:p>
    <w:p>
      <w:pPr>
        <w:ind w:left="726"/>
        <w:spacing w:after="0"/>
        <w:rPr>
          <w:sz w:val="20"/>
          <w:szCs w:val="20"/>
          <w:color w:val="auto"/>
        </w:rPr>
      </w:pPr>
      <w:r>
        <w:rPr>
          <w:rFonts w:ascii="Arial" w:cs="Arial" w:eastAsia="Arial" w:hAnsi="Arial"/>
          <w:sz w:val="14"/>
          <w:szCs w:val="14"/>
          <w:color w:val="auto"/>
        </w:rPr>
        <w:t>2020-2021: Hooper, Joan S.; Cadieux, Michel C.; Reeves, Donald L.; Hlavinka, Sarah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8293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27"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54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9" w:name="page60"/>
    <w:bookmarkEnd w:id="5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82" w:lineRule="exact"/>
        <w:rPr>
          <w:sz w:val="20"/>
          <w:szCs w:val="20"/>
          <w:color w:val="auto"/>
        </w:rPr>
      </w:pPr>
    </w:p>
    <w:p>
      <w:pPr>
        <w:ind w:left="346" w:right="260" w:hanging="346"/>
        <w:spacing w:after="0" w:line="263" w:lineRule="auto"/>
        <w:tabs>
          <w:tab w:leader="none" w:pos="346" w:val="left"/>
        </w:tabs>
        <w:numPr>
          <w:ilvl w:val="0"/>
          <w:numId w:val="50"/>
        </w:numPr>
        <w:rPr>
          <w:rFonts w:ascii="Arial" w:cs="Arial" w:eastAsia="Arial" w:hAnsi="Arial"/>
          <w:sz w:val="14"/>
          <w:szCs w:val="14"/>
          <w:color w:val="auto"/>
        </w:rPr>
      </w:pPr>
      <w:r>
        <w:rPr>
          <w:rFonts w:ascii="Arial" w:cs="Arial" w:eastAsia="Arial" w:hAnsi="Arial"/>
          <w:sz w:val="14"/>
          <w:szCs w:val="14"/>
          <w:color w:val="auto"/>
        </w:rPr>
        <w:t>Years 2020 to 2024 reflect the 2024 peer group as disclosed in our 2024 Form 10-K: LM Ericsson Telephone Company; Xylem Inc.; Landis+Gyr Group AG; Advanced Energy Industries, Inc. We changed our 10-K peer group in 2024 to add Advanced Energy Industries and remove Mueller Water Products to better reflect our business, 50% of which is focused on electricity.</w:t>
      </w:r>
    </w:p>
    <w:p>
      <w:pPr>
        <w:spacing w:after="0" w:line="24" w:lineRule="exact"/>
        <w:rPr>
          <w:rFonts w:ascii="Arial" w:cs="Arial" w:eastAsia="Arial" w:hAnsi="Arial"/>
          <w:sz w:val="14"/>
          <w:szCs w:val="14"/>
          <w:color w:val="auto"/>
        </w:rPr>
      </w:pPr>
    </w:p>
    <w:p>
      <w:pPr>
        <w:ind w:left="366" w:right="180"/>
        <w:spacing w:after="0" w:line="263" w:lineRule="auto"/>
        <w:rPr>
          <w:rFonts w:ascii="Arial" w:cs="Arial" w:eastAsia="Arial" w:hAnsi="Arial"/>
          <w:sz w:val="14"/>
          <w:szCs w:val="14"/>
          <w:color w:val="auto"/>
        </w:rPr>
      </w:pPr>
      <w:r>
        <w:rPr>
          <w:rFonts w:ascii="Arial" w:cs="Arial" w:eastAsia="Arial" w:hAnsi="Arial"/>
          <w:sz w:val="14"/>
          <w:szCs w:val="14"/>
          <w:color w:val="auto"/>
        </w:rPr>
        <w:t>Our 2023 peer group included: LM Ericsson Telephone Company; Xylem Inc.; Landis+Gyr Group AG; Mueller Water Products, Inc. If the peer group TSR results had been calculated based on the 2023 peer group, the peer group TSR for 2020, 2021, 2022, 2023, and 2024 would have been $130.32, $131.40, $92.95, $101.92, and $117.07, respectively.</w:t>
      </w:r>
    </w:p>
    <w:p>
      <w:pPr>
        <w:spacing w:after="0" w:line="37" w:lineRule="exact"/>
        <w:rPr>
          <w:rFonts w:ascii="Arial" w:cs="Arial" w:eastAsia="Arial" w:hAnsi="Arial"/>
          <w:sz w:val="14"/>
          <w:szCs w:val="14"/>
          <w:color w:val="auto"/>
        </w:rPr>
      </w:pPr>
    </w:p>
    <w:p>
      <w:pPr>
        <w:ind w:left="366" w:right="80"/>
        <w:spacing w:after="0" w:line="285" w:lineRule="auto"/>
        <w:rPr>
          <w:rFonts w:ascii="Arial" w:cs="Arial" w:eastAsia="Arial" w:hAnsi="Arial"/>
          <w:sz w:val="14"/>
          <w:szCs w:val="14"/>
          <w:color w:val="auto"/>
        </w:rPr>
      </w:pPr>
      <w:r>
        <w:rPr>
          <w:rFonts w:ascii="Arial" w:cs="Arial" w:eastAsia="Arial" w:hAnsi="Arial"/>
          <w:sz w:val="14"/>
          <w:szCs w:val="14"/>
          <w:color w:val="auto"/>
        </w:rPr>
        <w:t>Peer group TSR represents the weighted peer group TSR, weighted according to respective companies’ stock market capitalization at the beginning of each period for which a return is indicated.</w:t>
      </w:r>
    </w:p>
    <w:p>
      <w:pPr>
        <w:spacing w:after="0" w:line="9" w:lineRule="exact"/>
        <w:rPr>
          <w:rFonts w:ascii="Arial" w:cs="Arial" w:eastAsia="Arial" w:hAnsi="Arial"/>
          <w:sz w:val="14"/>
          <w:szCs w:val="14"/>
          <w:color w:val="auto"/>
        </w:rPr>
      </w:pPr>
    </w:p>
    <w:p>
      <w:pPr>
        <w:ind w:left="346" w:hanging="346"/>
        <w:spacing w:after="0"/>
        <w:tabs>
          <w:tab w:leader="none" w:pos="346"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represent net income (loss) reflected in the Company’s audited financial statements for the applicable year.</w:t>
      </w:r>
    </w:p>
    <w:p>
      <w:pPr>
        <w:spacing w:after="0" w:line="68" w:lineRule="exact"/>
        <w:rPr>
          <w:rFonts w:ascii="Arial" w:cs="Arial" w:eastAsia="Arial" w:hAnsi="Arial"/>
          <w:sz w:val="14"/>
          <w:szCs w:val="14"/>
          <w:color w:val="auto"/>
        </w:rPr>
      </w:pPr>
    </w:p>
    <w:p>
      <w:pPr>
        <w:ind w:left="346" w:right="20" w:hanging="346"/>
        <w:spacing w:after="0" w:line="250" w:lineRule="auto"/>
        <w:tabs>
          <w:tab w:leader="none" w:pos="346"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Company’s assessment, Adjusted EBITDA represents the most important financial performance measure (not otherwise required to be disclosed in the table) used by the Company to link Compensation Actually Paid to the NEOs to Company performance for the most recently completed fiscal year. We define Adjusted EBITDA as net income (loss) (a) minus interest income, (b) plus interest expense, depreciation and amortization, restructuring, loss on sale of businesses, strategic initiative expenses, software project impairment, Russian currency translation write-off, goodwill impairment, acquisition and integration related expenses, and (c) excluding income tax provision or benefit.</w:t>
      </w:r>
    </w:p>
    <w:p>
      <w:pPr>
        <w:spacing w:after="0" w:line="214" w:lineRule="exact"/>
        <w:rPr>
          <w:rFonts w:ascii="Arial" w:cs="Arial" w:eastAsia="Arial" w:hAnsi="Arial"/>
          <w:sz w:val="14"/>
          <w:szCs w:val="14"/>
          <w:color w:val="auto"/>
        </w:rPr>
      </w:pPr>
    </w:p>
    <w:p>
      <w:pPr>
        <w:ind w:left="346" w:right="420" w:hanging="346"/>
        <w:spacing w:after="0" w:line="285" w:lineRule="auto"/>
        <w:tabs>
          <w:tab w:leader="none" w:pos="346" w:val="left"/>
        </w:tabs>
        <w:numPr>
          <w:ilvl w:val="0"/>
          <w:numId w:val="50"/>
        </w:numPr>
        <w:rPr>
          <w:rFonts w:ascii="Arial" w:cs="Arial" w:eastAsia="Arial" w:hAnsi="Arial"/>
          <w:sz w:val="14"/>
          <w:szCs w:val="14"/>
          <w:color w:val="auto"/>
        </w:rPr>
      </w:pPr>
      <w:r>
        <w:rPr>
          <w:rFonts w:ascii="Arial" w:cs="Arial" w:eastAsia="Arial" w:hAnsi="Arial"/>
          <w:sz w:val="14"/>
          <w:szCs w:val="14"/>
          <w:color w:val="auto"/>
        </w:rPr>
        <w:t>Average Compensation Actually Paid to Non-CEO NEOs for 2023 as reflected in last year's disclosure has been adjusted to reflect a corrected year-end PRSU value for one NEO.</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Most Important Performance Measures</w:t>
      </w:r>
    </w:p>
    <w:p>
      <w:pPr>
        <w:spacing w:after="0" w:line="63" w:lineRule="exact"/>
        <w:rPr>
          <w:sz w:val="20"/>
          <w:szCs w:val="20"/>
          <w:color w:val="auto"/>
        </w:rPr>
      </w:pPr>
    </w:p>
    <w:p>
      <w:pPr>
        <w:ind w:left="6" w:right="60"/>
        <w:spacing w:after="0" w:line="266" w:lineRule="auto"/>
        <w:rPr>
          <w:sz w:val="20"/>
          <w:szCs w:val="20"/>
          <w:color w:val="auto"/>
        </w:rPr>
      </w:pPr>
      <w:r>
        <w:rPr>
          <w:rFonts w:ascii="Arial" w:cs="Arial" w:eastAsia="Arial" w:hAnsi="Arial"/>
          <w:sz w:val="16"/>
          <w:szCs w:val="16"/>
          <w:color w:val="auto"/>
        </w:rPr>
        <w:t>In our assessment, the most important performance measures used to link CAP to Company performance are listed in the table below, not ranked in order of importance. The role of each of these performance measures in our executive compensation program is discussed under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in this proxy statement.</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Performance Measures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Adjusted EBITDA</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6"/>
          <w:szCs w:val="16"/>
          <w:color w:val="auto"/>
        </w:rPr>
        <w:t>Revenue</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6"/>
          <w:szCs w:val="16"/>
          <w:color w:val="auto"/>
        </w:rPr>
        <w:t>Non-GAAP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58293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6"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Descriptions of the Information Presented in the Pay Versus Performance Table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illustrations below compare CAP and the following measures:</w:t>
      </w:r>
    </w:p>
    <w:p>
      <w:pPr>
        <w:spacing w:after="0" w:line="59" w:lineRule="exact"/>
        <w:rPr>
          <w:sz w:val="20"/>
          <w:szCs w:val="20"/>
          <w:color w:val="auto"/>
        </w:rPr>
      </w:pPr>
    </w:p>
    <w:p>
      <w:pPr>
        <w:ind w:left="560" w:hanging="206"/>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cumulative TSR and the peer group’s cumulative TSR;</w:t>
      </w:r>
    </w:p>
    <w:p>
      <w:pPr>
        <w:spacing w:after="0" w:line="59" w:lineRule="exact"/>
        <w:rPr>
          <w:rFonts w:ascii="Arial" w:cs="Arial" w:eastAsia="Arial" w:hAnsi="Arial"/>
          <w:sz w:val="16"/>
          <w:szCs w:val="16"/>
          <w:color w:val="auto"/>
        </w:rPr>
      </w:pPr>
    </w:p>
    <w:p>
      <w:pPr>
        <w:ind w:left="560" w:hanging="206"/>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Net income (loss) attributable to Itron, Inc.; and</w:t>
      </w:r>
    </w:p>
    <w:p>
      <w:pPr>
        <w:spacing w:after="0" w:line="59" w:lineRule="exact"/>
        <w:rPr>
          <w:rFonts w:ascii="Arial" w:cs="Arial" w:eastAsia="Arial" w:hAnsi="Arial"/>
          <w:sz w:val="16"/>
          <w:szCs w:val="16"/>
          <w:color w:val="auto"/>
        </w:rPr>
      </w:pPr>
    </w:p>
    <w:p>
      <w:pPr>
        <w:ind w:left="560" w:hanging="206"/>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217805</wp:posOffset>
            </wp:positionV>
            <wp:extent cx="3411855" cy="1937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118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217805</wp:posOffset>
            </wp:positionV>
            <wp:extent cx="3411855" cy="19805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11855" cy="198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217805</wp:posOffset>
            </wp:positionV>
            <wp:extent cx="3411855" cy="2040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1185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8293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35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56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right="180"/>
        <w:spacing w:after="0" w:line="283" w:lineRule="auto"/>
        <w:rPr>
          <w:sz w:val="20"/>
          <w:szCs w:val="20"/>
          <w:color w:val="auto"/>
        </w:rPr>
      </w:pPr>
      <w:r>
        <w:rPr>
          <w:rFonts w:ascii="Arial" w:cs="Arial" w:eastAsia="Arial" w:hAnsi="Arial"/>
          <w:sz w:val="23"/>
          <w:szCs w:val="23"/>
          <w:b w:val="1"/>
          <w:bCs w:val="1"/>
          <w:color w:val="0063A6"/>
        </w:rPr>
        <w:t>PROPOSAL 3 – APPROVAL OF AN AMENDMENT TO THE ITRON, INC. AMENDED AND RESTATED ARTICLES OF INCORPORATION TO INCREASE AUTHORIZED SHARES OF COMMON STOCK</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Our Board has approved, and is recommending to our shareholders for approval, amendments to our articles of incorporation (the “Articles”) to increase the number of authorized shares of common stock, without par value, from 75 million to 150 million (the “Share Increase Proposal”). The Board has determined that the Share Increase Proposal is advisable and in the best interests of Itron and its shareholders and has approved the Share Increase Proposal, subject to shareholder approval.</w:t>
      </w:r>
    </w:p>
    <w:p>
      <w:pPr>
        <w:spacing w:after="0" w:line="13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Share Increase Proposal would amend Article 2 of the Articles as shown in Appendix A. If the Share Increase Proposal is approved, as soon as practicable after the Annual Meeting, we will file the amended Articles with the office of the Secretary of State of the State of Washington to implement the increase in the authorized number of shares of common stock. The amended Articles will become effective on the date it is filed with the Secretary of State of the State of Washington. If any of Proposal 3, Proposal 4, or Proposal 5 is approved but not one or more of the other, we expect the certificate of amendment we file would reflect the amendment(s) in the proposal(s) that are approved.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Purpose and Effect of the Share Increase Proposal</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connection with the sale and issuance in March 2021 of Itron’s 0.0% Convertible Senior Notes due 2026 (“2021 Convertible Notes”), we entered into warrant conversions with counterparties to purchase 3.7 million shares of common stock (the “warrants”). In connection with entering into the warrants, we reserved an aggregate of approximately 7.3 million shares for issuance under such warrants. In June 2024, in connection with the sale and issuance of Itron’s 1.375% Convertible Notes due 2030 (“2024 Convertible Notes”), we entered into amendments with the counterparties to the warrants to reduce the aggregate share reserve from approximately 7.3 million to 4.5 million shares of common stock pursuant to the warrants until following the time that we received approval from shareholders to amend our Amended and Restated Articles of Incorporation to increase the number of authorized share of common stock. If the Share Increase Proposal is adopted, the share reserve relating to the warrants will revert back to approximately 7.3 million shares.</w:t>
      </w:r>
    </w:p>
    <w:p>
      <w:pPr>
        <w:spacing w:after="0" w:line="14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addition, the Board believes that additional authorized shares of common stock would give the Company the necessary flexibility to issue shares for various corporate purposes, including, in particular, raising capital, and enable the Company to take timely advantage of market conditions and opportunities. Other corporate purposes for which the additional authorized shares could be used include, but are not limited to, potential strategic transactions, including mergers, acquisitions, and other business combinations; future grants and awards under equity compensation plans; stock splits and stock dividends; and other general corporate working capital needs. The additional shares may be used for various purposes without further shareholder approval. The discretion of the Board, however, would be subject to any other applicable rules and regulations in the case of any particular issuance or reservation for issuance that might require shareholders to approve such transaction.</w:t>
      </w:r>
    </w:p>
    <w:p>
      <w:pPr>
        <w:spacing w:after="0" w:line="14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addition to the 45,570,047 shares of Common Stock outstanding on March 4, 2025, the Board has reserved an aggregate of 23,802,984 shares of common stock, including:</w:t>
      </w:r>
    </w:p>
    <w:p>
      <w:pPr>
        <w:spacing w:after="0" w:line="48" w:lineRule="exact"/>
        <w:rPr>
          <w:sz w:val="20"/>
          <w:szCs w:val="20"/>
          <w:color w:val="auto"/>
        </w:rPr>
      </w:pPr>
    </w:p>
    <w:p>
      <w:pPr>
        <w:ind w:left="560" w:hanging="206"/>
        <w:spacing w:after="0"/>
        <w:tabs>
          <w:tab w:leader="none" w:pos="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5,174,596 shares reserved for potential issuance under the 2021 Convertible Notes;</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4,500,000 shares reserved for potential issuance under the warrants*;</w:t>
      </w:r>
    </w:p>
    <w:p>
      <w:pPr>
        <w:spacing w:after="0" w:line="113" w:lineRule="exact"/>
        <w:rPr>
          <w:rFonts w:ascii="Arial" w:cs="Arial" w:eastAsia="Arial" w:hAnsi="Arial"/>
          <w:sz w:val="16"/>
          <w:szCs w:val="16"/>
          <w:color w:val="auto"/>
        </w:rPr>
      </w:pPr>
    </w:p>
    <w:p>
      <w:pPr>
        <w:ind w:left="560" w:hanging="206"/>
        <w:spacing w:after="0"/>
        <w:tabs>
          <w:tab w:leader="none" w:pos="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7,820,817 shares reserved for potential issuance under the 2024 Convertible Notes;</w:t>
      </w:r>
    </w:p>
    <w:p>
      <w:pPr>
        <w:spacing w:after="0" w:line="113" w:lineRule="exact"/>
        <w:rPr>
          <w:rFonts w:ascii="Arial" w:cs="Arial" w:eastAsia="Arial" w:hAnsi="Arial"/>
          <w:sz w:val="16"/>
          <w:szCs w:val="16"/>
          <w:color w:val="auto"/>
        </w:rPr>
      </w:pPr>
    </w:p>
    <w:p>
      <w:pPr>
        <w:ind w:left="560" w:right="140" w:hanging="206"/>
        <w:spacing w:after="0" w:line="286" w:lineRule="auto"/>
        <w:tabs>
          <w:tab w:leader="none" w:pos="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5,837,654 shares reserved for future issuance under the 2010 Equity Incentive Plan, the vesting of outstanding RSUs, and the exercise of outstanding stock options; and</w:t>
      </w:r>
    </w:p>
    <w:p>
      <w:pPr>
        <w:spacing w:after="0" w:line="47" w:lineRule="exact"/>
        <w:rPr>
          <w:rFonts w:ascii="Arial" w:cs="Arial" w:eastAsia="Arial" w:hAnsi="Arial"/>
          <w:sz w:val="16"/>
          <w:szCs w:val="16"/>
          <w:color w:val="auto"/>
        </w:rPr>
      </w:pPr>
    </w:p>
    <w:p>
      <w:pPr>
        <w:ind w:left="560" w:hanging="206"/>
        <w:spacing w:after="0"/>
        <w:tabs>
          <w:tab w:leader="none" w:pos="5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469,917 shares reserved for future issuance under the 2012 Employee Stock Purchase Plan.</w:t>
      </w:r>
    </w:p>
    <w:p>
      <w:pPr>
        <w:spacing w:after="0" w:line="9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*As noted above, if the Share Increase Proposal is approved, then the reserve will increase to approximately 7.3 million shares.</w:t>
      </w:r>
    </w:p>
    <w:p>
      <w:pPr>
        <w:spacing w:after="0" w:line="17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additional common stock to be authorized by adoption of the Share Increase Proposal would have rights identical to the Company’s currently outstanding common stock. Adoption of the Share Increase Proposal and any future issuance of the common stock would not affect the rights of the holders of the Company’s currently outstanding common stock, except for effects incidental to increasing the number of shares of common stock outstanding, such as dilution of the voting rights of current holders of common stock. SEC rules require disclosure of the possible anti-takeover effects of an increase in authorized capital stock and other charter and bylaw provisions that could have an anti-takeover effect. Although the Board has not proposed the Share Increase Proposal with the intent of using the additional shares to prevent or discourage any actual or threatened takeover of the Company under certain circumstances, such shares could have an anti-takeover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58293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8"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additional shares could be issued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effect such a removal. Accordingly, if the Share Increase Proposal is approved, the additional shares of authorized common stock may render more difficult or discourage a merger, tender offer or proxy contest, the assumption of control by a holder of a large block of common stock, or the replacement or removal of the Board 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73025</wp:posOffset>
            </wp:positionV>
            <wp:extent cx="248285" cy="8401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8285" cy="840105"/>
                    </a:xfrm>
                    <a:prstGeom prst="rect">
                      <a:avLst/>
                    </a:prstGeom>
                    <a:noFill/>
                  </pic:spPr>
                </pic:pic>
              </a:graphicData>
            </a:graphic>
          </wp:anchor>
        </w:drawing>
      </w:r>
    </w:p>
    <w:p>
      <w:pPr>
        <w:spacing w:after="0" w:line="297"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believes approval of the Share</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Increase Proposal is in the best interests of the</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shareholders as described in this proxy, and</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recommends a vote “FOR” the approval of the</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Share Increase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58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right="60"/>
        <w:spacing w:after="0" w:line="283" w:lineRule="auto"/>
        <w:rPr>
          <w:sz w:val="20"/>
          <w:szCs w:val="20"/>
          <w:color w:val="auto"/>
        </w:rPr>
      </w:pPr>
      <w:r>
        <w:rPr>
          <w:rFonts w:ascii="Arial" w:cs="Arial" w:eastAsia="Arial" w:hAnsi="Arial"/>
          <w:sz w:val="23"/>
          <w:szCs w:val="23"/>
          <w:b w:val="1"/>
          <w:bCs w:val="1"/>
          <w:color w:val="0063A6"/>
        </w:rPr>
        <w:t>PROPOSAL 4 – APPROVAL OF AMENDMENTS TO THE ITRON, INC. AMENDED AND RESTATED ARTICLES OF INCORPORATION TO MAKE CERTAIN TECHNICAL AND ADMINISTRATIVE CHANGES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Board has approved, and is recommending to our shareholders for approval, amendments to our articles of incorporation to remove certain obsolete references and make other technical and administrative changes (the “Administrative Changes Proposal”). The Board has determined that Administrative Changes Proposal is advisable and in the best interests of Itron and its shareholders and has approved the Administrative Changes Proposal, subject to shareholder approval.</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Administrative Changes Proposal would amend Articles 2 and 3 of the Articles as shown in Appendix B. If the Administrative Changes Proposal is approved, as soon as practicable after the Annual Meeting, we will file the amended Articles with the office of the Secretary of State of the State of Washington. The amended Articles will become effective on the date it is filed with the Secretary of State of the State of Washington. If any of Proposal 3, Proposal 4, or Proposal 5 is approved but not one or more of the other, we expect the certificate of amendment we file would reflect the amendment(s) in the proposal(s) that are approved.</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Purpose and Effect of the Proposal</w:t>
      </w:r>
    </w:p>
    <w:p>
      <w:pPr>
        <w:spacing w:after="0" w:line="9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amendments to be approved by this proposal are to remove obsolete references that are outdated and no longer relevant and make certain other technical and administrative changes. These proposed changes are as follows:</w:t>
      </w:r>
    </w:p>
    <w:p>
      <w:pPr>
        <w:spacing w:after="0" w:line="48" w:lineRule="exact"/>
        <w:rPr>
          <w:sz w:val="20"/>
          <w:szCs w:val="20"/>
          <w:color w:val="auto"/>
        </w:rPr>
      </w:pPr>
    </w:p>
    <w:p>
      <w:pPr>
        <w:ind w:left="560" w:right="100" w:hanging="206"/>
        <w:spacing w:after="0" w:line="286" w:lineRule="auto"/>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Removing language from Article 2 of the Articles relating to the designation of rights and preferences of Series R Participating Cumulative Preferred Stock, of which no shares are outstanding and the designation is no longer needed.</w:t>
      </w:r>
    </w:p>
    <w:p>
      <w:pPr>
        <w:spacing w:after="0" w:line="47" w:lineRule="exact"/>
        <w:rPr>
          <w:rFonts w:ascii="Arial" w:cs="Arial" w:eastAsia="Arial" w:hAnsi="Arial"/>
          <w:sz w:val="16"/>
          <w:szCs w:val="16"/>
          <w:color w:val="auto"/>
        </w:rPr>
      </w:pPr>
    </w:p>
    <w:p>
      <w:pPr>
        <w:ind w:left="560" w:hanging="206"/>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Amending Article 3 of the Articles to update the name and address of the registered agent.</w:t>
      </w:r>
    </w:p>
    <w:p>
      <w:pPr>
        <w:spacing w:after="0" w:line="181"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We believe that the proposed amendments in this Proposal 4 are immaterial changes that do not substantively affect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64770</wp:posOffset>
            </wp:positionV>
            <wp:extent cx="248285" cy="9601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8285" cy="960120"/>
                    </a:xfrm>
                    <a:prstGeom prst="rect">
                      <a:avLst/>
                    </a:prstGeom>
                    <a:noFill/>
                  </pic:spPr>
                </pic:pic>
              </a:graphicData>
            </a:graphic>
          </wp:anchor>
        </w:drawing>
      </w:r>
    </w:p>
    <w:p>
      <w:pPr>
        <w:spacing w:after="0" w:line="284"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believes approval of the</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Administrative Changes Proposal is in the best</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interests of the shareholders as described</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in this proxy, and recommends a vote “FOR”</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approval of the Administrative Changes</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jc w:val="both"/>
        <w:ind w:right="80"/>
        <w:spacing w:after="0" w:line="283" w:lineRule="auto"/>
        <w:rPr>
          <w:sz w:val="20"/>
          <w:szCs w:val="20"/>
          <w:color w:val="auto"/>
        </w:rPr>
      </w:pPr>
      <w:r>
        <w:rPr>
          <w:rFonts w:ascii="Arial" w:cs="Arial" w:eastAsia="Arial" w:hAnsi="Arial"/>
          <w:sz w:val="23"/>
          <w:szCs w:val="23"/>
          <w:b w:val="1"/>
          <w:bCs w:val="1"/>
          <w:color w:val="0063A6"/>
        </w:rPr>
        <w:t>PROPOSAL 5 – APPROVAL OF AN AMENDMENT TO THE ITRON, INC. AMENDED AND RESTATED ARTICLES OF INCORPORATION TO INCLUDE INDEMNIFICATION PROVISIONS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Board has approved, and is recommending to our shareholders for approval, amendments to our Articles to include indemnification provisions providing that the Company will indemnify directors and officers to the fullest extent permitted by law (the “Indemnification Proposal”). The Board has determined that the Indemnification Proposal is advisable and in the best interests of Itron and its shareholders and has approved the Indemnification Proposal, subject to shareholder approval.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Indemnification Proposal would amend Article 9 of the Articles as shown in Appendix C.</w:t>
      </w:r>
    </w:p>
    <w:p>
      <w:pPr>
        <w:spacing w:after="0" w:line="18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If the Indemnification Proposal is approved, as soon as practicable after the Annual Meeting, we will file the amended Articles with the office of the Secretary of State of the State of Washington. The amended Articles will become effective on the date it is filed with the Secretary of State of the State of Washington. If any of Proposal 3, Proposal 4, or Proposal 5 is approved but not one or more of the other, we expect the certificate of amendment we file would reflect the amendment(s) in the proposal(s) that are approved.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63A6"/>
        </w:rPr>
        <w:t>Purpose and Effect of the Proposal</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Washington Business Corporation Act (the “WBCA”) mandates that a corporation indemnify its directors who are successful in the defense of any proceeding to which the director is a party due to being a director of the corporation. The WBCA further permits corporations to indemnify a director made party to a proceeding, or obligate itself to advance or reimburse expenses incurred in a proceeding, without regard to the limitations in RCW 23B.08.510 through 23B.08.550, subject to certain exceptions, when authorized in the articles of incorporation or a bylaw approved by shareholders.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Amended and Restated Bylaws of the Company authorizes and requires the Company to indemnify directors and officers to the fullest extent permitted under the WBCA. Inclusion of this authorization in the Articles will not change our current indemnification obligations. However, we believe including these provisions in the Articles, in addition to the Restated Bylaws, better ensures that these protections will continue to be available to directors and officers. The Board believes that this approach reflects common practice and that by also including these provisions in the Articles, that the Company will be able to continue to attract and retain the services of knowledgeable and experienced persons as directors and officers.</w:t>
      </w:r>
    </w:p>
    <w:p>
      <w:pPr>
        <w:spacing w:after="0" w:line="155"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We believe that the proposed amendments in this Proposal 5 are immaterial changes that do not substantively affect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56515</wp:posOffset>
            </wp:positionV>
            <wp:extent cx="248285" cy="8401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8285" cy="840105"/>
                    </a:xfrm>
                    <a:prstGeom prst="rect">
                      <a:avLst/>
                    </a:prstGeom>
                    <a:noFill/>
                  </pic:spPr>
                </pic:pic>
              </a:graphicData>
            </a:graphic>
          </wp:anchor>
        </w:drawing>
      </w:r>
    </w:p>
    <w:p>
      <w:pPr>
        <w:spacing w:after="0" w:line="27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believes approval of the</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Indemnification Proposal is in the best interests</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of the shareholders as described in this proxy,</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and recommends a vote “FOR” the approval of</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Indemnification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60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right="1100"/>
        <w:spacing w:after="0" w:line="309" w:lineRule="auto"/>
        <w:rPr>
          <w:sz w:val="20"/>
          <w:szCs w:val="20"/>
          <w:color w:val="auto"/>
        </w:rPr>
      </w:pPr>
      <w:r>
        <w:rPr>
          <w:rFonts w:ascii="Arial" w:cs="Arial" w:eastAsia="Arial" w:hAnsi="Arial"/>
          <w:sz w:val="23"/>
          <w:szCs w:val="23"/>
          <w:b w:val="1"/>
          <w:bCs w:val="1"/>
          <w:color w:val="0063A6"/>
        </w:rPr>
        <w:t>PROPOSAL 6 – RATIFICATION OF INDEPENDENT REGISTERED PUBLIC ACCOUNTANT</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Board, upon the recommendation of its Audit/Finance Committee, has selected Deloitte &amp; Touche LLP to serve as the Company’s independent registered public accountant for the 2025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 Representatives of Deloitte &amp; Touche LLP are expected to be present at the annual meeting, will have the opportunity to make a statement, if they desire to do so, and will be available to respond to appropriate questions.</w:t>
      </w:r>
    </w:p>
    <w:p>
      <w:pPr>
        <w:spacing w:after="0" w:line="335"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80010</wp:posOffset>
            </wp:positionV>
            <wp:extent cx="248285" cy="7200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8285" cy="720090"/>
                    </a:xfrm>
                    <a:prstGeom prst="rect">
                      <a:avLst/>
                    </a:prstGeom>
                    <a:noFill/>
                  </pic:spPr>
                </pic:pic>
              </a:graphicData>
            </a:graphic>
          </wp:anchor>
        </w:drawing>
      </w:r>
    </w:p>
    <w:p>
      <w:pPr>
        <w:spacing w:after="0" w:line="308"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The Board recommends that shareholders</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vote “FOR” the ratification of Deloitte &amp;</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Touche LLP as our independent registered</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public accountant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58293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66" w:name="page67"/>
    <w:bookmarkEnd w:id="6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right="460"/>
        <w:spacing w:after="0" w:line="309" w:lineRule="auto"/>
        <w:rPr>
          <w:sz w:val="20"/>
          <w:szCs w:val="20"/>
          <w:color w:val="auto"/>
        </w:rPr>
      </w:pPr>
      <w:r>
        <w:rPr>
          <w:rFonts w:ascii="Arial" w:cs="Arial" w:eastAsia="Arial" w:hAnsi="Arial"/>
          <w:sz w:val="23"/>
          <w:szCs w:val="23"/>
          <w:b w:val="1"/>
          <w:bCs w:val="1"/>
          <w:color w:val="0063A6"/>
        </w:rPr>
        <w:t>INDEPENDENT REGISTERED PUBLIC ACCOUNTING FIRM’S AUDIT FEES AND SERVICES</w:t>
      </w:r>
    </w:p>
    <w:p>
      <w:pPr>
        <w:spacing w:after="0" w:line="67"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color w:val="auto"/>
        </w:rPr>
        <w:t>For the years ended December 31, 2023 and 2024, professional services were performed by Deloitte &amp; Touche LLP and their respective affiliates (collectively, Deloitte). The aggregate fees billed by Deloitte for the years ended December 31, 2023 and 2024 were as follows:</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6740" w:type="dxa"/>
            <w:vAlign w:val="bottom"/>
            <w:tcBorders>
              <w:bottom w:val="single" w:sz="8" w:color="0063A6"/>
            </w:tcBorders>
          </w:tcPr>
          <w:p>
            <w:pPr>
              <w:ind w:left="80"/>
              <w:spacing w:after="0"/>
              <w:rPr>
                <w:sz w:val="20"/>
                <w:szCs w:val="20"/>
                <w:color w:val="auto"/>
              </w:rPr>
            </w:pPr>
            <w:r>
              <w:rPr>
                <w:rFonts w:ascii="Arial" w:cs="Arial" w:eastAsia="Arial" w:hAnsi="Arial"/>
                <w:sz w:val="14"/>
                <w:szCs w:val="14"/>
                <w:b w:val="1"/>
                <w:bCs w:val="1"/>
                <w:color w:val="auto"/>
              </w:rPr>
              <w:t>Services Rendered</w:t>
            </w:r>
          </w:p>
        </w:tc>
        <w:tc>
          <w:tcPr>
            <w:tcW w:w="220" w:type="dxa"/>
            <w:vAlign w:val="bottom"/>
            <w:tcBorders>
              <w:bottom w:val="single" w:sz="8" w:color="0063A6"/>
            </w:tcBorders>
            <w:shd w:val="clear" w:color="auto" w:fill="0063A6"/>
          </w:tcPr>
          <w:p>
            <w:pPr>
              <w:spacing w:after="0"/>
              <w:rPr>
                <w:sz w:val="22"/>
                <w:szCs w:val="22"/>
                <w:color w:val="auto"/>
              </w:rPr>
            </w:pPr>
          </w:p>
        </w:tc>
        <w:tc>
          <w:tcPr>
            <w:tcW w:w="1040" w:type="dxa"/>
            <w:vAlign w:val="bottom"/>
            <w:tcBorders>
              <w:bottom w:val="single" w:sz="8" w:color="0063A6"/>
            </w:tcBorders>
            <w:shd w:val="clear" w:color="auto" w:fill="0063A6"/>
          </w:tcPr>
          <w:p>
            <w:pPr>
              <w:jc w:val="right"/>
              <w:ind w:right="140"/>
              <w:spacing w:after="0"/>
              <w:rPr>
                <w:sz w:val="20"/>
                <w:szCs w:val="20"/>
                <w:color w:val="auto"/>
              </w:rPr>
            </w:pPr>
            <w:r>
              <w:rPr>
                <w:rFonts w:ascii="Arial" w:cs="Arial" w:eastAsia="Arial" w:hAnsi="Arial"/>
                <w:sz w:val="14"/>
                <w:szCs w:val="14"/>
                <w:b w:val="1"/>
                <w:bCs w:val="1"/>
                <w:color w:val="FFFFFF"/>
              </w:rPr>
              <w:t>2023</w:t>
            </w:r>
          </w:p>
        </w:tc>
        <w:tc>
          <w:tcPr>
            <w:tcW w:w="11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2024</w:t>
            </w:r>
          </w:p>
        </w:tc>
      </w:tr>
      <w:tr>
        <w:trPr>
          <w:trHeight w:val="311"/>
        </w:trPr>
        <w:tc>
          <w:tcPr>
            <w:tcW w:w="6960" w:type="dxa"/>
            <w:vAlign w:val="bottom"/>
            <w:tcBorders>
              <w:bottom w:val="single" w:sz="8" w:color="5D6673"/>
            </w:tcBorders>
            <w:gridSpan w:val="2"/>
          </w:tcPr>
          <w:p>
            <w:pPr>
              <w:ind w:left="80"/>
              <w:spacing w:after="0"/>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040" w:type="dxa"/>
            <w:vAlign w:val="bottom"/>
            <w:tcBorders>
              <w:bottom w:val="single" w:sz="8" w:color="5D6673"/>
            </w:tcBorders>
          </w:tcPr>
          <w:p>
            <w:pPr>
              <w:jc w:val="right"/>
              <w:ind w:right="140"/>
              <w:spacing w:after="0"/>
              <w:rPr>
                <w:sz w:val="20"/>
                <w:szCs w:val="20"/>
                <w:color w:val="auto"/>
              </w:rPr>
            </w:pPr>
            <w:r>
              <w:rPr>
                <w:rFonts w:ascii="Arial" w:cs="Arial" w:eastAsia="Arial" w:hAnsi="Arial"/>
                <w:sz w:val="16"/>
                <w:szCs w:val="16"/>
                <w:color w:val="auto"/>
                <w:w w:val="99"/>
              </w:rPr>
              <w:t>$7,377,059</w:t>
            </w:r>
          </w:p>
        </w:tc>
        <w:tc>
          <w:tcPr>
            <w:tcW w:w="11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 7,803,252</w:t>
            </w:r>
          </w:p>
        </w:tc>
      </w:tr>
      <w:tr>
        <w:trPr>
          <w:trHeight w:val="304"/>
        </w:trPr>
        <w:tc>
          <w:tcPr>
            <w:tcW w:w="6960" w:type="dxa"/>
            <w:vAlign w:val="bottom"/>
            <w:tcBorders>
              <w:bottom w:val="single" w:sz="8" w:color="5D6673"/>
            </w:tcBorders>
            <w:gridSpan w:val="2"/>
          </w:tcPr>
          <w:p>
            <w:pPr>
              <w:ind w:left="8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1040" w:type="dxa"/>
            <w:vAlign w:val="bottom"/>
            <w:tcBorders>
              <w:bottom w:val="single" w:sz="8" w:color="5D6673"/>
            </w:tcBorders>
          </w:tcPr>
          <w:p>
            <w:pPr>
              <w:jc w:val="right"/>
              <w:ind w:right="160"/>
              <w:spacing w:after="0"/>
              <w:rPr>
                <w:sz w:val="20"/>
                <w:szCs w:val="20"/>
                <w:color w:val="auto"/>
              </w:rPr>
            </w:pPr>
            <w:r>
              <w:rPr>
                <w:rFonts w:ascii="Arial" w:cs="Arial" w:eastAsia="Arial" w:hAnsi="Arial"/>
                <w:sz w:val="16"/>
                <w:szCs w:val="16"/>
                <w:color w:val="auto"/>
              </w:rPr>
              <w:t>15,000</w:t>
            </w:r>
          </w:p>
        </w:tc>
        <w:tc>
          <w:tcPr>
            <w:tcW w:w="11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6960" w:type="dxa"/>
            <w:vAlign w:val="bottom"/>
            <w:gridSpan w:val="2"/>
          </w:tcPr>
          <w:p>
            <w:pPr>
              <w:ind w:left="260"/>
              <w:spacing w:after="0"/>
              <w:rPr>
                <w:sz w:val="20"/>
                <w:szCs w:val="20"/>
                <w:color w:val="auto"/>
              </w:rPr>
            </w:pPr>
            <w:r>
              <w:rPr>
                <w:rFonts w:ascii="Arial" w:cs="Arial" w:eastAsia="Arial" w:hAnsi="Arial"/>
                <w:sz w:val="16"/>
                <w:szCs w:val="16"/>
                <w:color w:val="auto"/>
              </w:rPr>
              <w:t>Total Audit and Audit-Related Fees</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7,392,059</w:t>
            </w:r>
          </w:p>
        </w:tc>
        <w:tc>
          <w:tcPr>
            <w:tcW w:w="1180" w:type="dxa"/>
            <w:vAlign w:val="bottom"/>
          </w:tcPr>
          <w:p>
            <w:pPr>
              <w:jc w:val="right"/>
              <w:spacing w:after="0"/>
              <w:rPr>
                <w:sz w:val="20"/>
                <w:szCs w:val="20"/>
                <w:color w:val="auto"/>
              </w:rPr>
            </w:pPr>
            <w:r>
              <w:rPr>
                <w:rFonts w:ascii="Arial" w:cs="Arial" w:eastAsia="Arial" w:hAnsi="Arial"/>
                <w:sz w:val="16"/>
                <w:szCs w:val="16"/>
                <w:color w:val="auto"/>
              </w:rPr>
              <w:t>7,803,252</w:t>
            </w:r>
          </w:p>
        </w:tc>
      </w:tr>
      <w:tr>
        <w:trPr>
          <w:trHeight w:val="29"/>
        </w:trPr>
        <w:tc>
          <w:tcPr>
            <w:tcW w:w="6960" w:type="dxa"/>
            <w:vAlign w:val="bottom"/>
            <w:tcBorders>
              <w:bottom w:val="single" w:sz="8" w:color="5D6673"/>
            </w:tcBorders>
            <w:gridSpan w:val="2"/>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1180" w:type="dxa"/>
            <w:vAlign w:val="bottom"/>
            <w:tcBorders>
              <w:bottom w:val="single" w:sz="8" w:color="5D6673"/>
            </w:tcBorders>
          </w:tcPr>
          <w:p>
            <w:pPr>
              <w:spacing w:after="0"/>
              <w:rPr>
                <w:sz w:val="2"/>
                <w:szCs w:val="2"/>
                <w:color w:val="auto"/>
              </w:rPr>
            </w:pPr>
          </w:p>
        </w:tc>
      </w:tr>
      <w:tr>
        <w:trPr>
          <w:trHeight w:val="304"/>
        </w:trPr>
        <w:tc>
          <w:tcPr>
            <w:tcW w:w="6960" w:type="dxa"/>
            <w:vAlign w:val="bottom"/>
            <w:tcBorders>
              <w:bottom w:val="single" w:sz="8" w:color="5D6673"/>
            </w:tcBorders>
            <w:gridSpan w:val="2"/>
          </w:tcPr>
          <w:p>
            <w:pPr>
              <w:ind w:left="80"/>
              <w:spacing w:after="0"/>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1040" w:type="dxa"/>
            <w:vAlign w:val="bottom"/>
            <w:tcBorders>
              <w:bottom w:val="single" w:sz="8" w:color="5D6673"/>
            </w:tcBorders>
          </w:tcPr>
          <w:p>
            <w:pPr>
              <w:jc w:val="right"/>
              <w:ind w:right="160"/>
              <w:spacing w:after="0"/>
              <w:rPr>
                <w:sz w:val="20"/>
                <w:szCs w:val="20"/>
                <w:color w:val="auto"/>
              </w:rPr>
            </w:pPr>
            <w:r>
              <w:rPr>
                <w:rFonts w:ascii="Arial" w:cs="Arial" w:eastAsia="Arial" w:hAnsi="Arial"/>
                <w:sz w:val="16"/>
                <w:szCs w:val="16"/>
                <w:color w:val="auto"/>
              </w:rPr>
              <w:t>2,135,291</w:t>
            </w:r>
          </w:p>
        </w:tc>
        <w:tc>
          <w:tcPr>
            <w:tcW w:w="11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2,688,011</w:t>
            </w:r>
          </w:p>
        </w:tc>
      </w:tr>
      <w:tr>
        <w:trPr>
          <w:trHeight w:val="304"/>
        </w:trPr>
        <w:tc>
          <w:tcPr>
            <w:tcW w:w="6960" w:type="dxa"/>
            <w:vAlign w:val="bottom"/>
            <w:tcBorders>
              <w:bottom w:val="single" w:sz="8" w:color="5D6673"/>
            </w:tcBorders>
            <w:gridSpan w:val="2"/>
          </w:tcPr>
          <w:p>
            <w:pPr>
              <w:ind w:left="80"/>
              <w:spacing w:after="0"/>
              <w:rPr>
                <w:sz w:val="20"/>
                <w:szCs w:val="20"/>
                <w:color w:val="auto"/>
              </w:rPr>
            </w:pPr>
            <w:r>
              <w:rPr>
                <w:rFonts w:ascii="Arial" w:cs="Arial" w:eastAsia="Arial" w:hAnsi="Arial"/>
                <w:sz w:val="16"/>
                <w:szCs w:val="16"/>
                <w:color w:val="auto"/>
              </w:rPr>
              <w:t>Other Fees</w:t>
            </w:r>
            <w:r>
              <w:rPr>
                <w:rFonts w:ascii="Arial" w:cs="Arial" w:eastAsia="Arial" w:hAnsi="Arial"/>
                <w:sz w:val="26"/>
                <w:szCs w:val="26"/>
                <w:color w:val="auto"/>
                <w:vertAlign w:val="superscript"/>
              </w:rPr>
              <w:t>(4)</w:t>
            </w:r>
          </w:p>
        </w:tc>
        <w:tc>
          <w:tcPr>
            <w:tcW w:w="1040" w:type="dxa"/>
            <w:vAlign w:val="bottom"/>
            <w:tcBorders>
              <w:bottom w:val="single" w:sz="8" w:color="5D6673"/>
            </w:tcBorders>
          </w:tcPr>
          <w:p>
            <w:pPr>
              <w:jc w:val="right"/>
              <w:ind w:right="140"/>
              <w:spacing w:after="0"/>
              <w:rPr>
                <w:sz w:val="20"/>
                <w:szCs w:val="20"/>
                <w:color w:val="auto"/>
              </w:rPr>
            </w:pPr>
            <w:r>
              <w:rPr>
                <w:rFonts w:ascii="Arial" w:cs="Arial" w:eastAsia="Arial" w:hAnsi="Arial"/>
                <w:sz w:val="16"/>
                <w:szCs w:val="16"/>
                <w:color w:val="auto"/>
              </w:rPr>
              <w:t>2,064</w:t>
            </w:r>
          </w:p>
        </w:tc>
        <w:tc>
          <w:tcPr>
            <w:tcW w:w="11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2,064</w:t>
            </w:r>
          </w:p>
        </w:tc>
      </w:tr>
      <w:tr>
        <w:trPr>
          <w:trHeight w:val="236"/>
        </w:trPr>
        <w:tc>
          <w:tcPr>
            <w:tcW w:w="6960" w:type="dxa"/>
            <w:vAlign w:val="bottom"/>
            <w:tcBorders>
              <w:bottom w:val="single" w:sz="8" w:color="0063A6"/>
            </w:tcBorders>
            <w:gridSpan w:val="2"/>
          </w:tcPr>
          <w:p>
            <w:pPr>
              <w:ind w:left="80"/>
              <w:spacing w:after="0"/>
              <w:rPr>
                <w:sz w:val="20"/>
                <w:szCs w:val="20"/>
                <w:color w:val="auto"/>
              </w:rPr>
            </w:pPr>
            <w:r>
              <w:rPr>
                <w:rFonts w:ascii="Arial" w:cs="Arial" w:eastAsia="Arial" w:hAnsi="Arial"/>
                <w:sz w:val="16"/>
                <w:szCs w:val="16"/>
                <w:color w:val="auto"/>
              </w:rPr>
              <w:t>Total Fees</w:t>
            </w:r>
          </w:p>
        </w:tc>
        <w:tc>
          <w:tcPr>
            <w:tcW w:w="1040" w:type="dxa"/>
            <w:vAlign w:val="bottom"/>
            <w:tcBorders>
              <w:bottom w:val="single" w:sz="8" w:color="0063A6"/>
            </w:tcBorders>
          </w:tcPr>
          <w:p>
            <w:pPr>
              <w:jc w:val="right"/>
              <w:ind w:right="140"/>
              <w:spacing w:after="0"/>
              <w:rPr>
                <w:sz w:val="20"/>
                <w:szCs w:val="20"/>
                <w:color w:val="auto"/>
              </w:rPr>
            </w:pPr>
            <w:r>
              <w:rPr>
                <w:rFonts w:ascii="Arial" w:cs="Arial" w:eastAsia="Arial" w:hAnsi="Arial"/>
                <w:sz w:val="16"/>
                <w:szCs w:val="16"/>
                <w:color w:val="auto"/>
                <w:w w:val="99"/>
              </w:rPr>
              <w:t>$9,529,414</w:t>
            </w:r>
          </w:p>
        </w:tc>
        <w:tc>
          <w:tcPr>
            <w:tcW w:w="11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$10,493,326</w:t>
            </w:r>
          </w:p>
        </w:tc>
      </w:tr>
    </w:tbl>
    <w:p>
      <w:pPr>
        <w:spacing w:after="0" w:line="99" w:lineRule="exact"/>
        <w:rPr>
          <w:sz w:val="20"/>
          <w:szCs w:val="20"/>
          <w:color w:val="auto"/>
        </w:rPr>
      </w:pPr>
    </w:p>
    <w:p>
      <w:pPr>
        <w:ind w:left="346" w:right="200" w:hanging="346"/>
        <w:spacing w:after="0" w:line="256"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color w:val="auto"/>
        </w:rPr>
        <w:t>Audit services include fees for professional services rendered for the audit of the Company’s annual financial statements and internal controls over financial reporting for the years ended December 31, 2023 and 2024, including out of pocket expenses, and reviews of the financial statements included in the Company’s Quarterly Reports on Form 10-Q. In addition, services include statutory audits required, and accounting consultations on matters related to the annual audits or interim reviews.</w:t>
      </w:r>
    </w:p>
    <w:p>
      <w:pPr>
        <w:spacing w:after="0" w:line="28" w:lineRule="exact"/>
        <w:rPr>
          <w:rFonts w:ascii="Arial" w:cs="Arial" w:eastAsia="Arial" w:hAnsi="Arial"/>
          <w:sz w:val="14"/>
          <w:szCs w:val="14"/>
          <w:color w:val="auto"/>
        </w:rPr>
      </w:pPr>
    </w:p>
    <w:p>
      <w:pPr>
        <w:ind w:left="346" w:right="440" w:hanging="346"/>
        <w:spacing w:after="0" w:line="285"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color w:val="auto"/>
        </w:rPr>
        <w:t>Audit-related services are disclosed in the year incurred, based on when the work is performed. These services typically include due diligence in connection with acquisitions, accounting process advice, and agreed-upon procedures.</w:t>
      </w:r>
    </w:p>
    <w:p>
      <w:pPr>
        <w:spacing w:after="0" w:line="9" w:lineRule="exact"/>
        <w:rPr>
          <w:rFonts w:ascii="Arial" w:cs="Arial" w:eastAsia="Arial" w:hAnsi="Arial"/>
          <w:sz w:val="14"/>
          <w:szCs w:val="14"/>
          <w:color w:val="auto"/>
        </w:rPr>
      </w:pPr>
    </w:p>
    <w:p>
      <w:pPr>
        <w:ind w:left="346" w:right="60" w:hanging="346"/>
        <w:spacing w:after="0" w:line="285"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color w:val="auto"/>
        </w:rPr>
        <w:t>Tax services are disclosed in the year incurred, based on when the work is performed. These services include tax consulting, tax advisory, and tax planning during the years ended December 31, 2023 and 2024.</w:t>
      </w:r>
    </w:p>
    <w:p>
      <w:pPr>
        <w:spacing w:after="0" w:line="22" w:lineRule="exact"/>
        <w:rPr>
          <w:rFonts w:ascii="Arial" w:cs="Arial" w:eastAsia="Arial" w:hAnsi="Arial"/>
          <w:sz w:val="14"/>
          <w:szCs w:val="14"/>
          <w:color w:val="auto"/>
        </w:rPr>
      </w:pPr>
    </w:p>
    <w:p>
      <w:pPr>
        <w:ind w:left="346" w:right="40" w:hanging="346"/>
        <w:spacing w:after="0" w:line="285"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Services performed by Deloitte qualifying as “Other” for the years ended December 31, 2023 and 2024, are related to accounting research tools.</w:t>
      </w:r>
    </w:p>
    <w:p>
      <w:pPr>
        <w:spacing w:after="0" w:line="112" w:lineRule="exact"/>
        <w:rPr>
          <w:sz w:val="20"/>
          <w:szCs w:val="20"/>
          <w:color w:val="auto"/>
        </w:rPr>
      </w:pPr>
    </w:p>
    <w:p>
      <w:pPr>
        <w:ind w:left="6" w:right="140"/>
        <w:spacing w:after="0" w:line="254" w:lineRule="auto"/>
        <w:rPr>
          <w:sz w:val="20"/>
          <w:szCs w:val="20"/>
          <w:color w:val="auto"/>
        </w:rPr>
      </w:pPr>
      <w:r>
        <w:rPr>
          <w:rFonts w:ascii="Arial" w:cs="Arial" w:eastAsia="Arial" w:hAnsi="Arial"/>
          <w:sz w:val="16"/>
          <w:szCs w:val="16"/>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2023 and 2024, all services were pre-approved in accordance with the charter of the Audit/Finance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829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7"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62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7" w:name="page68"/>
    <w:bookmarkEnd w:id="6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2024 AUDIT/FINANCE COMMITTEE REPORT</w:t>
      </w:r>
    </w:p>
    <w:p>
      <w:pPr>
        <w:spacing w:after="0" w:line="200" w:lineRule="exact"/>
        <w:rPr>
          <w:sz w:val="20"/>
          <w:szCs w:val="20"/>
          <w:color w:val="auto"/>
        </w:rPr>
      </w:pPr>
    </w:p>
    <w:p>
      <w:pPr>
        <w:ind w:left="6"/>
        <w:spacing w:after="0" w:line="253" w:lineRule="auto"/>
        <w:rPr>
          <w:sz w:val="20"/>
          <w:szCs w:val="20"/>
          <w:color w:val="auto"/>
        </w:rPr>
      </w:pPr>
      <w:r>
        <w:rPr>
          <w:rFonts w:ascii="Arial" w:cs="Arial" w:eastAsia="Arial" w:hAnsi="Arial"/>
          <w:sz w:val="16"/>
          <w:szCs w:val="16"/>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Deloitte &amp; Touche LLP, the Company’s independent registered public accounting firm in 2024,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connection with the December 31, 2024 financial statements, the Audit/Finance Committee hereby reports as follows:</w:t>
      </w:r>
    </w:p>
    <w:p>
      <w:pPr>
        <w:spacing w:after="0" w:line="181" w:lineRule="exact"/>
        <w:rPr>
          <w:sz w:val="20"/>
          <w:szCs w:val="20"/>
          <w:color w:val="auto"/>
        </w:rPr>
      </w:pPr>
    </w:p>
    <w:p>
      <w:pPr>
        <w:ind w:left="346" w:right="160" w:hanging="346"/>
        <w:spacing w:after="0" w:line="286" w:lineRule="auto"/>
        <w:tabs>
          <w:tab w:leader="none" w:pos="3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Audit/Finance Committee has reviewed and discussed the audited financial statements and report on internal control over financial reporting with management.</w:t>
      </w:r>
    </w:p>
    <w:p>
      <w:pPr>
        <w:spacing w:after="0" w:line="128" w:lineRule="exact"/>
        <w:rPr>
          <w:rFonts w:ascii="Arial" w:cs="Arial" w:eastAsia="Arial" w:hAnsi="Arial"/>
          <w:sz w:val="16"/>
          <w:szCs w:val="16"/>
          <w:color w:val="auto"/>
        </w:rPr>
      </w:pPr>
    </w:p>
    <w:p>
      <w:pPr>
        <w:ind w:left="346" w:right="680" w:hanging="346"/>
        <w:spacing w:after="0" w:line="286" w:lineRule="auto"/>
        <w:tabs>
          <w:tab w:leader="none" w:pos="3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Audit/Finance Committee has discussed with the independent auditors the matters required by the applicable requirements of the PCAOB and the SEC.</w:t>
      </w:r>
    </w:p>
    <w:p>
      <w:pPr>
        <w:spacing w:after="0" w:line="115" w:lineRule="exact"/>
        <w:rPr>
          <w:rFonts w:ascii="Arial" w:cs="Arial" w:eastAsia="Arial" w:hAnsi="Arial"/>
          <w:sz w:val="16"/>
          <w:szCs w:val="16"/>
          <w:color w:val="auto"/>
        </w:rPr>
      </w:pPr>
    </w:p>
    <w:p>
      <w:pPr>
        <w:ind w:left="346" w:right="300" w:hanging="346"/>
        <w:spacing w:after="0" w:line="266" w:lineRule="auto"/>
        <w:tabs>
          <w:tab w:leader="none" w:pos="3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Audit/Finance Committee has received the written disclosures and the letter from the auditors, as required by applicable requirements of the PCAOB regarding the independent accountant’s communications with the Audit/Finance Committee concerning independence and discussed with the auditors the auditors’ independence.</w:t>
      </w:r>
    </w:p>
    <w:p>
      <w:pPr>
        <w:spacing w:after="0" w:line="130" w:lineRule="exact"/>
        <w:rPr>
          <w:rFonts w:ascii="Arial" w:cs="Arial" w:eastAsia="Arial" w:hAnsi="Arial"/>
          <w:sz w:val="16"/>
          <w:szCs w:val="16"/>
          <w:color w:val="auto"/>
        </w:rPr>
      </w:pPr>
    </w:p>
    <w:p>
      <w:pPr>
        <w:ind w:left="346" w:right="40" w:hanging="346"/>
        <w:spacing w:after="0" w:line="266" w:lineRule="auto"/>
        <w:tabs>
          <w:tab w:leader="none" w:pos="3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upon these reviews and discussions, the Audit/Finance Committee has recommended to the Board of Directors and the Board has approved, that the Company’s audited financial statements be included in its Annual Report on Form 10-K for the year ended December 31, 2024 and filed with the SEC.</w:t>
      </w:r>
    </w:p>
    <w:p>
      <w:pPr>
        <w:spacing w:after="0" w:line="173" w:lineRule="exact"/>
        <w:rPr>
          <w:sz w:val="20"/>
          <w:szCs w:val="20"/>
          <w:color w:val="auto"/>
        </w:rPr>
      </w:pPr>
    </w:p>
    <w:p>
      <w:pPr>
        <w:ind w:left="106"/>
        <w:spacing w:after="0"/>
        <w:rPr>
          <w:sz w:val="20"/>
          <w:szCs w:val="20"/>
          <w:color w:val="auto"/>
        </w:rPr>
      </w:pPr>
      <w:r>
        <w:rPr>
          <w:rFonts w:ascii="Arial" w:cs="Arial" w:eastAsia="Arial" w:hAnsi="Arial"/>
          <w:sz w:val="16"/>
          <w:szCs w:val="16"/>
          <w:i w:val="1"/>
          <w:iCs w:val="1"/>
          <w:color w:val="auto"/>
        </w:rPr>
        <w:t>Audit/Finance Committee</w:t>
      </w:r>
    </w:p>
    <w:p>
      <w:pPr>
        <w:spacing w:after="0" w:line="165" w:lineRule="exact"/>
        <w:rPr>
          <w:sz w:val="20"/>
          <w:szCs w:val="20"/>
          <w:color w:val="auto"/>
        </w:rPr>
      </w:pPr>
    </w:p>
    <w:p>
      <w:pPr>
        <w:ind w:left="106"/>
        <w:spacing w:after="0"/>
        <w:rPr>
          <w:sz w:val="20"/>
          <w:szCs w:val="20"/>
          <w:color w:val="auto"/>
        </w:rPr>
      </w:pPr>
      <w:r>
        <w:rPr>
          <w:rFonts w:ascii="Arial" w:cs="Arial" w:eastAsia="Arial" w:hAnsi="Arial"/>
          <w:sz w:val="16"/>
          <w:szCs w:val="16"/>
          <w:color w:val="auto"/>
        </w:rPr>
        <w:t>Timothy M. Leyden, Chair</w:t>
      </w:r>
    </w:p>
    <w:p>
      <w:pPr>
        <w:spacing w:after="0" w:line="21" w:lineRule="exact"/>
        <w:rPr>
          <w:sz w:val="20"/>
          <w:szCs w:val="20"/>
          <w:color w:val="auto"/>
        </w:rPr>
      </w:pPr>
    </w:p>
    <w:p>
      <w:pPr>
        <w:ind w:left="106"/>
        <w:spacing w:after="0"/>
        <w:rPr>
          <w:sz w:val="20"/>
          <w:szCs w:val="20"/>
          <w:color w:val="auto"/>
        </w:rPr>
      </w:pPr>
      <w:r>
        <w:rPr>
          <w:rFonts w:ascii="Arial" w:cs="Arial" w:eastAsia="Arial" w:hAnsi="Arial"/>
          <w:sz w:val="16"/>
          <w:szCs w:val="16"/>
          <w:color w:val="auto"/>
        </w:rPr>
        <w:t>Mary C. Hemmingsen</w:t>
      </w:r>
    </w:p>
    <w:p>
      <w:pPr>
        <w:spacing w:after="0" w:line="5" w:lineRule="exact"/>
        <w:rPr>
          <w:sz w:val="20"/>
          <w:szCs w:val="20"/>
          <w:color w:val="auto"/>
        </w:rPr>
      </w:pPr>
    </w:p>
    <w:p>
      <w:pPr>
        <w:ind w:left="106"/>
        <w:spacing w:after="0"/>
        <w:rPr>
          <w:sz w:val="20"/>
          <w:szCs w:val="20"/>
          <w:color w:val="auto"/>
        </w:rPr>
      </w:pPr>
      <w:r>
        <w:rPr>
          <w:rFonts w:ascii="Arial" w:cs="Arial" w:eastAsia="Arial" w:hAnsi="Arial"/>
          <w:sz w:val="16"/>
          <w:szCs w:val="16"/>
          <w:color w:val="auto"/>
        </w:rPr>
        <w:t>Jerome J. Lande</w:t>
      </w:r>
    </w:p>
    <w:p>
      <w:pPr>
        <w:spacing w:after="0" w:line="5" w:lineRule="exact"/>
        <w:rPr>
          <w:sz w:val="20"/>
          <w:szCs w:val="20"/>
          <w:color w:val="auto"/>
        </w:rPr>
      </w:pPr>
    </w:p>
    <w:p>
      <w:pPr>
        <w:ind w:left="106"/>
        <w:spacing w:after="0"/>
        <w:rPr>
          <w:sz w:val="20"/>
          <w:szCs w:val="20"/>
          <w:color w:val="auto"/>
        </w:rPr>
      </w:pPr>
      <w:r>
        <w:rPr>
          <w:rFonts w:ascii="Arial" w:cs="Arial" w:eastAsia="Arial" w:hAnsi="Arial"/>
          <w:sz w:val="16"/>
          <w:szCs w:val="16"/>
          <w:color w:val="auto"/>
        </w:rPr>
        <w:t>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58293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34"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68" w:name="page69"/>
    <w:bookmarkEnd w:id="6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EQUITY COMPENSATION PLAN INFORMATION</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gives certain information about our equity compensation plans in effect as of December 31, 2024.</w:t>
      </w:r>
    </w:p>
    <w:p>
      <w:pPr>
        <w:spacing w:after="0" w:line="16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2920" w:type="dxa"/>
            <w:vAlign w:val="bottom"/>
          </w:tcPr>
          <w:p>
            <w:pPr>
              <w:spacing w:after="0"/>
              <w:rPr>
                <w:sz w:val="19"/>
                <w:szCs w:val="19"/>
                <w:color w:val="auto"/>
              </w:rPr>
            </w:pPr>
          </w:p>
        </w:tc>
        <w:tc>
          <w:tcPr>
            <w:tcW w:w="2280" w:type="dxa"/>
            <w:vAlign w:val="bottom"/>
            <w:shd w:val="clear" w:color="auto" w:fill="0063A6"/>
          </w:tcPr>
          <w:p>
            <w:pPr>
              <w:spacing w:after="0"/>
              <w:rPr>
                <w:sz w:val="19"/>
                <w:szCs w:val="19"/>
                <w:color w:val="auto"/>
              </w:rPr>
            </w:pPr>
          </w:p>
        </w:tc>
        <w:tc>
          <w:tcPr>
            <w:tcW w:w="1960" w:type="dxa"/>
            <w:vAlign w:val="bottom"/>
            <w:shd w:val="clear" w:color="auto" w:fill="0063A6"/>
          </w:tcPr>
          <w:p>
            <w:pPr>
              <w:spacing w:after="0"/>
              <w:rPr>
                <w:sz w:val="19"/>
                <w:szCs w:val="19"/>
                <w:color w:val="auto"/>
              </w:rPr>
            </w:pP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Number of Shares</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Number of Shares to</w:t>
            </w:r>
          </w:p>
        </w:tc>
        <w:tc>
          <w:tcPr>
            <w:tcW w:w="1960" w:type="dxa"/>
            <w:vAlign w:val="bottom"/>
            <w:shd w:val="clear" w:color="auto" w:fill="0063A6"/>
          </w:tcPr>
          <w:p>
            <w:pPr>
              <w:spacing w:after="0"/>
              <w:rPr>
                <w:sz w:val="14"/>
                <w:szCs w:val="14"/>
                <w:color w:val="auto"/>
              </w:rPr>
            </w:pP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Be Issued Upon</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Weighted-Average</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for Issuance Under</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Exercise of</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Exercise Price of</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Equity Compensation</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Outstanding Options,</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Outstanding Options,</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Plans (excluding shares</w:t>
            </w:r>
          </w:p>
        </w:tc>
      </w:tr>
      <w:tr>
        <w:trPr>
          <w:trHeight w:val="162"/>
        </w:trPr>
        <w:tc>
          <w:tcPr>
            <w:tcW w:w="2920" w:type="dxa"/>
            <w:vAlign w:val="bottom"/>
          </w:tcPr>
          <w:p>
            <w:pPr>
              <w:spacing w:after="0"/>
              <w:rPr>
                <w:sz w:val="14"/>
                <w:szCs w:val="14"/>
                <w:color w:val="auto"/>
              </w:rPr>
            </w:pPr>
          </w:p>
        </w:tc>
        <w:tc>
          <w:tcPr>
            <w:tcW w:w="2280" w:type="dxa"/>
            <w:vAlign w:val="bottom"/>
            <w:shd w:val="clear" w:color="auto" w:fill="0063A6"/>
          </w:tcPr>
          <w:p>
            <w:pPr>
              <w:jc w:val="right"/>
              <w:ind w:right="245"/>
              <w:spacing w:after="0"/>
              <w:rPr>
                <w:sz w:val="20"/>
                <w:szCs w:val="20"/>
                <w:color w:val="auto"/>
              </w:rPr>
            </w:pPr>
            <w:r>
              <w:rPr>
                <w:rFonts w:ascii="Arial" w:cs="Arial" w:eastAsia="Arial" w:hAnsi="Arial"/>
                <w:sz w:val="14"/>
                <w:szCs w:val="14"/>
                <w:b w:val="1"/>
                <w:bCs w:val="1"/>
                <w:color w:val="FFFFFF"/>
              </w:rPr>
              <w:t>Warrants and Rights</w:t>
            </w:r>
          </w:p>
        </w:tc>
        <w:tc>
          <w:tcPr>
            <w:tcW w:w="1960" w:type="dxa"/>
            <w:vAlign w:val="bottom"/>
            <w:shd w:val="clear" w:color="auto" w:fill="0063A6"/>
          </w:tcPr>
          <w:p>
            <w:pPr>
              <w:jc w:val="right"/>
              <w:ind w:right="145"/>
              <w:spacing w:after="0"/>
              <w:rPr>
                <w:sz w:val="20"/>
                <w:szCs w:val="20"/>
                <w:color w:val="auto"/>
              </w:rPr>
            </w:pPr>
            <w:r>
              <w:rPr>
                <w:rFonts w:ascii="Arial" w:cs="Arial" w:eastAsia="Arial" w:hAnsi="Arial"/>
                <w:sz w:val="14"/>
                <w:szCs w:val="14"/>
                <w:b w:val="1"/>
                <w:bCs w:val="1"/>
                <w:color w:val="FFFFFF"/>
              </w:rPr>
              <w:t>Warrants and Rights</w:t>
            </w:r>
          </w:p>
        </w:tc>
        <w:tc>
          <w:tcPr>
            <w:tcW w:w="2020" w:type="dxa"/>
            <w:vAlign w:val="bottom"/>
            <w:shd w:val="clear" w:color="auto" w:fill="0063A6"/>
          </w:tcPr>
          <w:p>
            <w:pPr>
              <w:jc w:val="right"/>
              <w:ind w:right="125"/>
              <w:spacing w:after="0"/>
              <w:rPr>
                <w:sz w:val="20"/>
                <w:szCs w:val="20"/>
                <w:color w:val="auto"/>
              </w:rPr>
            </w:pPr>
            <w:r>
              <w:rPr>
                <w:rFonts w:ascii="Arial" w:cs="Arial" w:eastAsia="Arial" w:hAnsi="Arial"/>
                <w:sz w:val="14"/>
                <w:szCs w:val="14"/>
                <w:b w:val="1"/>
                <w:bCs w:val="1"/>
                <w:color w:val="FFFFFF"/>
              </w:rPr>
              <w:t>reflected in column (a))</w:t>
            </w:r>
          </w:p>
        </w:tc>
      </w:tr>
      <w:tr>
        <w:trPr>
          <w:trHeight w:val="205"/>
        </w:trPr>
        <w:tc>
          <w:tcPr>
            <w:tcW w:w="292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Plan Category</w:t>
            </w:r>
          </w:p>
        </w:tc>
        <w:tc>
          <w:tcPr>
            <w:tcW w:w="2280" w:type="dxa"/>
            <w:vAlign w:val="bottom"/>
            <w:tcBorders>
              <w:bottom w:val="single" w:sz="8" w:color="0063A6"/>
            </w:tcBorders>
            <w:shd w:val="clear" w:color="auto" w:fill="0063A6"/>
          </w:tcPr>
          <w:p>
            <w:pPr>
              <w:jc w:val="right"/>
              <w:ind w:right="205"/>
              <w:spacing w:after="0"/>
              <w:rPr>
                <w:sz w:val="20"/>
                <w:szCs w:val="20"/>
                <w:color w:val="auto"/>
              </w:rPr>
            </w:pPr>
            <w:r>
              <w:rPr>
                <w:rFonts w:ascii="Arial" w:cs="Arial" w:eastAsia="Arial" w:hAnsi="Arial"/>
                <w:sz w:val="14"/>
                <w:szCs w:val="14"/>
                <w:b w:val="1"/>
                <w:bCs w:val="1"/>
                <w:color w:val="FFFFFF"/>
              </w:rPr>
              <w:t>(a)</w:t>
            </w:r>
          </w:p>
        </w:tc>
        <w:tc>
          <w:tcPr>
            <w:tcW w:w="1960" w:type="dxa"/>
            <w:vAlign w:val="bottom"/>
            <w:tcBorders>
              <w:bottom w:val="single" w:sz="8" w:color="0063A6"/>
            </w:tcBorders>
            <w:shd w:val="clear" w:color="auto" w:fill="0063A6"/>
          </w:tcPr>
          <w:p>
            <w:pPr>
              <w:jc w:val="right"/>
              <w:ind w:right="105"/>
              <w:spacing w:after="0"/>
              <w:rPr>
                <w:sz w:val="20"/>
                <w:szCs w:val="20"/>
                <w:color w:val="auto"/>
              </w:rPr>
            </w:pPr>
            <w:r>
              <w:rPr>
                <w:rFonts w:ascii="Arial" w:cs="Arial" w:eastAsia="Arial" w:hAnsi="Arial"/>
                <w:sz w:val="14"/>
                <w:szCs w:val="14"/>
                <w:b w:val="1"/>
                <w:bCs w:val="1"/>
                <w:color w:val="FFFFFF"/>
              </w:rPr>
              <w:t>(b)</w:t>
            </w:r>
          </w:p>
        </w:tc>
        <w:tc>
          <w:tcPr>
            <w:tcW w:w="2020" w:type="dxa"/>
            <w:vAlign w:val="bottom"/>
            <w:tcBorders>
              <w:bottom w:val="single" w:sz="8" w:color="0063A6"/>
            </w:tcBorders>
            <w:shd w:val="clear" w:color="auto" w:fill="0063A6"/>
          </w:tcPr>
          <w:p>
            <w:pPr>
              <w:jc w:val="right"/>
              <w:ind w:right="85"/>
              <w:spacing w:after="0"/>
              <w:rPr>
                <w:sz w:val="20"/>
                <w:szCs w:val="20"/>
                <w:color w:val="auto"/>
              </w:rPr>
            </w:pPr>
            <w:r>
              <w:rPr>
                <w:rFonts w:ascii="Arial" w:cs="Arial" w:eastAsia="Arial" w:hAnsi="Arial"/>
                <w:sz w:val="14"/>
                <w:szCs w:val="14"/>
                <w:b w:val="1"/>
                <w:bCs w:val="1"/>
                <w:color w:val="FFFFFF"/>
              </w:rPr>
              <w:t>(c)</w:t>
            </w:r>
          </w:p>
        </w:tc>
      </w:tr>
      <w:tr>
        <w:trPr>
          <w:trHeight w:val="217"/>
        </w:trPr>
        <w:tc>
          <w:tcPr>
            <w:tcW w:w="2920" w:type="dxa"/>
            <w:vAlign w:val="bottom"/>
          </w:tcPr>
          <w:p>
            <w:pPr>
              <w:ind w:left="60"/>
              <w:spacing w:after="0"/>
              <w:rPr>
                <w:sz w:val="20"/>
                <w:szCs w:val="20"/>
                <w:color w:val="auto"/>
              </w:rPr>
            </w:pPr>
            <w:r>
              <w:rPr>
                <w:rFonts w:ascii="Arial" w:cs="Arial" w:eastAsia="Arial" w:hAnsi="Arial"/>
                <w:sz w:val="16"/>
                <w:szCs w:val="16"/>
                <w:color w:val="auto"/>
              </w:rPr>
              <w:t>Equity Compensation Plans Approved</w:t>
            </w:r>
          </w:p>
        </w:tc>
        <w:tc>
          <w:tcPr>
            <w:tcW w:w="2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83"/>
        </w:trPr>
        <w:tc>
          <w:tcPr>
            <w:tcW w:w="2920" w:type="dxa"/>
            <w:vAlign w:val="bottom"/>
            <w:tcBorders>
              <w:bottom w:val="single" w:sz="8" w:color="5D6673"/>
            </w:tcBorders>
          </w:tcPr>
          <w:p>
            <w:pPr>
              <w:ind w:left="60"/>
              <w:spacing w:after="0" w:line="282" w:lineRule="exact"/>
              <w:rPr>
                <w:sz w:val="20"/>
                <w:szCs w:val="20"/>
                <w:color w:val="auto"/>
              </w:rPr>
            </w:pPr>
            <w:r>
              <w:rPr>
                <w:rFonts w:ascii="Arial" w:cs="Arial" w:eastAsia="Arial" w:hAnsi="Arial"/>
                <w:sz w:val="16"/>
                <w:szCs w:val="16"/>
                <w:color w:val="auto"/>
              </w:rPr>
              <w:t>by Shareholders</w:t>
            </w:r>
            <w:r>
              <w:rPr>
                <w:rFonts w:ascii="Arial" w:cs="Arial" w:eastAsia="Arial" w:hAnsi="Arial"/>
                <w:sz w:val="26"/>
                <w:szCs w:val="26"/>
                <w:color w:val="auto"/>
                <w:vertAlign w:val="superscript"/>
              </w:rPr>
              <w:t>(1)</w:t>
            </w:r>
          </w:p>
        </w:tc>
        <w:tc>
          <w:tcPr>
            <w:tcW w:w="2280" w:type="dxa"/>
            <w:vAlign w:val="bottom"/>
            <w:tcBorders>
              <w:bottom w:val="single" w:sz="8" w:color="5D6673"/>
            </w:tcBorders>
          </w:tcPr>
          <w:p>
            <w:pPr>
              <w:jc w:val="right"/>
              <w:ind w:right="225"/>
              <w:spacing w:after="0" w:line="282" w:lineRule="exact"/>
              <w:rPr>
                <w:sz w:val="20"/>
                <w:szCs w:val="20"/>
                <w:color w:val="auto"/>
              </w:rPr>
            </w:pPr>
            <w:r>
              <w:rPr>
                <w:rFonts w:ascii="Arial" w:cs="Arial" w:eastAsia="Arial" w:hAnsi="Arial"/>
                <w:sz w:val="16"/>
                <w:szCs w:val="16"/>
                <w:color w:val="auto"/>
              </w:rPr>
              <w:t xml:space="preserve">1,105,490 </w:t>
            </w:r>
            <w:r>
              <w:rPr>
                <w:rFonts w:ascii="Arial" w:cs="Arial" w:eastAsia="Arial" w:hAnsi="Arial"/>
                <w:sz w:val="26"/>
                <w:szCs w:val="26"/>
                <w:color w:val="auto"/>
                <w:vertAlign w:val="superscript"/>
              </w:rPr>
              <w:t>(1)</w:t>
            </w:r>
          </w:p>
        </w:tc>
        <w:tc>
          <w:tcPr>
            <w:tcW w:w="1960" w:type="dxa"/>
            <w:vAlign w:val="bottom"/>
            <w:tcBorders>
              <w:bottom w:val="single" w:sz="8" w:color="5D6673"/>
            </w:tcBorders>
          </w:tcPr>
          <w:p>
            <w:pPr>
              <w:jc w:val="right"/>
              <w:ind w:right="125"/>
              <w:spacing w:after="0" w:line="282" w:lineRule="exact"/>
              <w:rPr>
                <w:sz w:val="20"/>
                <w:szCs w:val="20"/>
                <w:color w:val="auto"/>
              </w:rPr>
            </w:pPr>
            <w:r>
              <w:rPr>
                <w:rFonts w:ascii="Arial" w:cs="Arial" w:eastAsia="Arial" w:hAnsi="Arial"/>
                <w:sz w:val="16"/>
                <w:szCs w:val="16"/>
                <w:color w:val="auto"/>
              </w:rPr>
              <w:t xml:space="preserve">$64.55 </w:t>
            </w:r>
            <w:r>
              <w:rPr>
                <w:rFonts w:ascii="Arial" w:cs="Arial" w:eastAsia="Arial" w:hAnsi="Arial"/>
                <w:sz w:val="26"/>
                <w:szCs w:val="26"/>
                <w:color w:val="auto"/>
                <w:vertAlign w:val="superscript"/>
              </w:rPr>
              <w:t>(2)</w:t>
            </w:r>
          </w:p>
        </w:tc>
        <w:tc>
          <w:tcPr>
            <w:tcW w:w="2020" w:type="dxa"/>
            <w:vAlign w:val="bottom"/>
            <w:tcBorders>
              <w:bottom w:val="single" w:sz="8" w:color="5D6673"/>
            </w:tcBorders>
          </w:tcPr>
          <w:p>
            <w:pPr>
              <w:jc w:val="right"/>
              <w:ind w:right="85"/>
              <w:spacing w:after="0" w:line="282" w:lineRule="exact"/>
              <w:rPr>
                <w:sz w:val="20"/>
                <w:szCs w:val="20"/>
                <w:color w:val="auto"/>
              </w:rPr>
            </w:pPr>
            <w:r>
              <w:rPr>
                <w:rFonts w:ascii="Arial" w:cs="Arial" w:eastAsia="Arial" w:hAnsi="Arial"/>
                <w:sz w:val="16"/>
                <w:szCs w:val="16"/>
                <w:color w:val="auto"/>
              </w:rPr>
              <w:t xml:space="preserve">5,067,958 </w:t>
            </w:r>
            <w:r>
              <w:rPr>
                <w:rFonts w:ascii="Arial" w:cs="Arial" w:eastAsia="Arial" w:hAnsi="Arial"/>
                <w:sz w:val="26"/>
                <w:szCs w:val="26"/>
                <w:color w:val="auto"/>
                <w:vertAlign w:val="superscript"/>
              </w:rPr>
              <w:t>(3)</w:t>
            </w:r>
          </w:p>
        </w:tc>
      </w:tr>
      <w:tr>
        <w:trPr>
          <w:trHeight w:val="209"/>
        </w:trPr>
        <w:tc>
          <w:tcPr>
            <w:tcW w:w="2920" w:type="dxa"/>
            <w:vAlign w:val="bottom"/>
          </w:tcPr>
          <w:p>
            <w:pPr>
              <w:ind w:left="60"/>
              <w:spacing w:after="0"/>
              <w:rPr>
                <w:sz w:val="20"/>
                <w:szCs w:val="20"/>
                <w:color w:val="auto"/>
              </w:rPr>
            </w:pPr>
            <w:r>
              <w:rPr>
                <w:rFonts w:ascii="Arial" w:cs="Arial" w:eastAsia="Arial" w:hAnsi="Arial"/>
                <w:sz w:val="16"/>
                <w:szCs w:val="16"/>
                <w:color w:val="auto"/>
              </w:rPr>
              <w:t>Equity Compensation Plans Not</w:t>
            </w:r>
          </w:p>
        </w:tc>
        <w:tc>
          <w:tcPr>
            <w:tcW w:w="2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5"/>
        </w:trPr>
        <w:tc>
          <w:tcPr>
            <w:tcW w:w="2920" w:type="dxa"/>
            <w:vAlign w:val="bottom"/>
          </w:tcPr>
          <w:p>
            <w:pPr>
              <w:ind w:left="60"/>
              <w:spacing w:after="0"/>
              <w:rPr>
                <w:sz w:val="20"/>
                <w:szCs w:val="20"/>
                <w:color w:val="auto"/>
              </w:rPr>
            </w:pPr>
            <w:r>
              <w:rPr>
                <w:rFonts w:ascii="Arial" w:cs="Arial" w:eastAsia="Arial" w:hAnsi="Arial"/>
                <w:sz w:val="16"/>
                <w:szCs w:val="16"/>
                <w:color w:val="auto"/>
              </w:rPr>
              <w:t>Approved by Shareholders</w:t>
            </w:r>
          </w:p>
        </w:tc>
        <w:tc>
          <w:tcPr>
            <w:tcW w:w="2280" w:type="dxa"/>
            <w:vAlign w:val="bottom"/>
          </w:tcPr>
          <w:p>
            <w:pPr>
              <w:jc w:val="right"/>
              <w:ind w:right="425"/>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345"/>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305"/>
              <w:spacing w:after="0"/>
              <w:rPr>
                <w:sz w:val="20"/>
                <w:szCs w:val="20"/>
                <w:color w:val="auto"/>
              </w:rPr>
            </w:pPr>
            <w:r>
              <w:rPr>
                <w:rFonts w:ascii="Arial" w:cs="Arial" w:eastAsia="Arial" w:hAnsi="Arial"/>
                <w:sz w:val="16"/>
                <w:szCs w:val="16"/>
                <w:color w:val="auto"/>
              </w:rPr>
              <w:t>—</w:t>
            </w:r>
          </w:p>
        </w:tc>
      </w:tr>
      <w:tr>
        <w:trPr>
          <w:trHeight w:val="29"/>
        </w:trPr>
        <w:tc>
          <w:tcPr>
            <w:tcW w:w="2920" w:type="dxa"/>
            <w:vAlign w:val="bottom"/>
            <w:tcBorders>
              <w:bottom w:val="single" w:sz="8" w:color="5D6673"/>
            </w:tcBorders>
          </w:tcPr>
          <w:p>
            <w:pPr>
              <w:spacing w:after="0"/>
              <w:rPr>
                <w:sz w:val="2"/>
                <w:szCs w:val="2"/>
                <w:color w:val="auto"/>
              </w:rPr>
            </w:pPr>
          </w:p>
        </w:tc>
        <w:tc>
          <w:tcPr>
            <w:tcW w:w="2280" w:type="dxa"/>
            <w:vAlign w:val="bottom"/>
            <w:tcBorders>
              <w:bottom w:val="single" w:sz="8" w:color="5D6673"/>
            </w:tcBorders>
          </w:tcPr>
          <w:p>
            <w:pPr>
              <w:spacing w:after="0"/>
              <w:rPr>
                <w:sz w:val="2"/>
                <w:szCs w:val="2"/>
                <w:color w:val="auto"/>
              </w:rPr>
            </w:pPr>
          </w:p>
        </w:tc>
        <w:tc>
          <w:tcPr>
            <w:tcW w:w="1960" w:type="dxa"/>
            <w:vAlign w:val="bottom"/>
            <w:tcBorders>
              <w:bottom w:val="single" w:sz="8" w:color="5D6673"/>
            </w:tcBorders>
          </w:tcPr>
          <w:p>
            <w:pPr>
              <w:spacing w:after="0"/>
              <w:rPr>
                <w:sz w:val="2"/>
                <w:szCs w:val="2"/>
                <w:color w:val="auto"/>
              </w:rPr>
            </w:pPr>
          </w:p>
        </w:tc>
        <w:tc>
          <w:tcPr>
            <w:tcW w:w="2020" w:type="dxa"/>
            <w:vAlign w:val="bottom"/>
            <w:tcBorders>
              <w:bottom w:val="single" w:sz="8" w:color="5D6673"/>
            </w:tcBorders>
          </w:tcPr>
          <w:p>
            <w:pPr>
              <w:spacing w:after="0"/>
              <w:rPr>
                <w:sz w:val="2"/>
                <w:szCs w:val="2"/>
                <w:color w:val="auto"/>
              </w:rPr>
            </w:pPr>
          </w:p>
        </w:tc>
      </w:tr>
      <w:tr>
        <w:trPr>
          <w:trHeight w:val="277"/>
        </w:trPr>
        <w:tc>
          <w:tcPr>
            <w:tcW w:w="2920" w:type="dxa"/>
            <w:vAlign w:val="bottom"/>
            <w:tcBorders>
              <w:bottom w:val="single" w:sz="8" w:color="0063A6"/>
            </w:tcBorders>
          </w:tcPr>
          <w:p>
            <w:pPr>
              <w:ind w:left="60"/>
              <w:spacing w:after="0"/>
              <w:rPr>
                <w:sz w:val="20"/>
                <w:szCs w:val="20"/>
                <w:color w:val="auto"/>
              </w:rPr>
            </w:pPr>
            <w:r>
              <w:rPr>
                <w:rFonts w:ascii="Arial" w:cs="Arial" w:eastAsia="Arial" w:hAnsi="Arial"/>
                <w:sz w:val="16"/>
                <w:szCs w:val="16"/>
                <w:color w:val="auto"/>
              </w:rPr>
              <w:t>Total</w:t>
            </w:r>
          </w:p>
        </w:tc>
        <w:tc>
          <w:tcPr>
            <w:tcW w:w="2280" w:type="dxa"/>
            <w:vAlign w:val="bottom"/>
            <w:tcBorders>
              <w:bottom w:val="single" w:sz="8" w:color="0063A6"/>
            </w:tcBorders>
          </w:tcPr>
          <w:p>
            <w:pPr>
              <w:jc w:val="right"/>
              <w:ind w:right="225"/>
              <w:spacing w:after="0" w:line="277" w:lineRule="exact"/>
              <w:rPr>
                <w:sz w:val="20"/>
                <w:szCs w:val="20"/>
                <w:color w:val="auto"/>
              </w:rPr>
            </w:pPr>
            <w:r>
              <w:rPr>
                <w:rFonts w:ascii="Arial" w:cs="Arial" w:eastAsia="Arial" w:hAnsi="Arial"/>
                <w:sz w:val="16"/>
                <w:szCs w:val="16"/>
                <w:color w:val="auto"/>
              </w:rPr>
              <w:t xml:space="preserve">1,105,490 </w:t>
            </w:r>
            <w:r>
              <w:rPr>
                <w:rFonts w:ascii="Arial" w:cs="Arial" w:eastAsia="Arial" w:hAnsi="Arial"/>
                <w:sz w:val="26"/>
                <w:szCs w:val="26"/>
                <w:color w:val="auto"/>
                <w:vertAlign w:val="superscript"/>
              </w:rPr>
              <w:t>(1)</w:t>
            </w:r>
          </w:p>
        </w:tc>
        <w:tc>
          <w:tcPr>
            <w:tcW w:w="1960" w:type="dxa"/>
            <w:vAlign w:val="bottom"/>
            <w:tcBorders>
              <w:bottom w:val="single" w:sz="8" w:color="0063A6"/>
            </w:tcBorders>
          </w:tcPr>
          <w:p>
            <w:pPr>
              <w:jc w:val="right"/>
              <w:ind w:right="125"/>
              <w:spacing w:after="0" w:line="277" w:lineRule="exact"/>
              <w:rPr>
                <w:sz w:val="20"/>
                <w:szCs w:val="20"/>
                <w:color w:val="auto"/>
              </w:rPr>
            </w:pPr>
            <w:r>
              <w:rPr>
                <w:rFonts w:ascii="Arial" w:cs="Arial" w:eastAsia="Arial" w:hAnsi="Arial"/>
                <w:sz w:val="16"/>
                <w:szCs w:val="16"/>
                <w:color w:val="auto"/>
              </w:rPr>
              <w:t xml:space="preserve">$64.55 </w:t>
            </w:r>
            <w:r>
              <w:rPr>
                <w:rFonts w:ascii="Arial" w:cs="Arial" w:eastAsia="Arial" w:hAnsi="Arial"/>
                <w:sz w:val="26"/>
                <w:szCs w:val="26"/>
                <w:color w:val="auto"/>
                <w:vertAlign w:val="superscript"/>
              </w:rPr>
              <w:t>(2)</w:t>
            </w:r>
          </w:p>
        </w:tc>
        <w:tc>
          <w:tcPr>
            <w:tcW w:w="2020" w:type="dxa"/>
            <w:vAlign w:val="bottom"/>
            <w:tcBorders>
              <w:bottom w:val="single" w:sz="8" w:color="0063A6"/>
            </w:tcBorders>
          </w:tcPr>
          <w:p>
            <w:pPr>
              <w:jc w:val="right"/>
              <w:ind w:right="85"/>
              <w:spacing w:after="0" w:line="277" w:lineRule="exact"/>
              <w:rPr>
                <w:sz w:val="20"/>
                <w:szCs w:val="20"/>
                <w:color w:val="auto"/>
              </w:rPr>
            </w:pPr>
            <w:r>
              <w:rPr>
                <w:rFonts w:ascii="Arial" w:cs="Arial" w:eastAsia="Arial" w:hAnsi="Arial"/>
                <w:sz w:val="16"/>
                <w:szCs w:val="16"/>
                <w:color w:val="auto"/>
              </w:rPr>
              <w:t xml:space="preserve">5,067,958 </w:t>
            </w:r>
            <w:r>
              <w:rPr>
                <w:rFonts w:ascii="Arial" w:cs="Arial" w:eastAsia="Arial" w:hAnsi="Arial"/>
                <w:sz w:val="26"/>
                <w:szCs w:val="26"/>
                <w:color w:val="auto"/>
                <w:vertAlign w:val="superscript"/>
              </w:rPr>
              <w:t>(3)</w:t>
            </w:r>
          </w:p>
        </w:tc>
      </w:tr>
    </w:tbl>
    <w:p>
      <w:pPr>
        <w:spacing w:after="0" w:line="99" w:lineRule="exact"/>
        <w:rPr>
          <w:sz w:val="20"/>
          <w:szCs w:val="20"/>
          <w:color w:val="auto"/>
        </w:rPr>
      </w:pPr>
    </w:p>
    <w:p>
      <w:pPr>
        <w:ind w:left="346" w:right="400" w:hanging="346"/>
        <w:spacing w:after="0" w:line="263" w:lineRule="auto"/>
        <w:tabs>
          <w:tab w:leader="none" w:pos="346" w:val="left"/>
        </w:tabs>
        <w:numPr>
          <w:ilvl w:val="0"/>
          <w:numId w:val="56"/>
        </w:numPr>
        <w:rPr>
          <w:rFonts w:ascii="Arial" w:cs="Arial" w:eastAsia="Arial" w:hAnsi="Arial"/>
          <w:sz w:val="14"/>
          <w:szCs w:val="14"/>
          <w:color w:val="auto"/>
        </w:rPr>
      </w:pPr>
      <w:r>
        <w:rPr>
          <w:rFonts w:ascii="Arial" w:cs="Arial" w:eastAsia="Arial" w:hAnsi="Arial"/>
          <w:sz w:val="14"/>
          <w:szCs w:val="14"/>
          <w:color w:val="auto"/>
        </w:rPr>
        <w:t>Under the provisions of the Second A&amp;R 2010 Plan, the Company may grant stock awards, stock units, performance shares, stock appreciation rights, and performance units (collectively Awards) in addition to stock options. For purposes of this table, the number of PRSUs included are determined based on achievement of target performance goals.</w:t>
      </w:r>
    </w:p>
    <w:p>
      <w:pPr>
        <w:spacing w:after="0" w:line="24" w:lineRule="exact"/>
        <w:rPr>
          <w:rFonts w:ascii="Arial" w:cs="Arial" w:eastAsia="Arial" w:hAnsi="Arial"/>
          <w:sz w:val="14"/>
          <w:szCs w:val="14"/>
          <w:color w:val="auto"/>
        </w:rPr>
      </w:pPr>
    </w:p>
    <w:p>
      <w:pPr>
        <w:ind w:left="346" w:hanging="346"/>
        <w:spacing w:after="0"/>
        <w:tabs>
          <w:tab w:leader="none" w:pos="346"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weighted-average exercise price pertains only to outstanding options.</w:t>
      </w:r>
    </w:p>
    <w:p>
      <w:pPr>
        <w:spacing w:after="0" w:line="68" w:lineRule="exact"/>
        <w:rPr>
          <w:rFonts w:ascii="Arial" w:cs="Arial" w:eastAsia="Arial" w:hAnsi="Arial"/>
          <w:sz w:val="14"/>
          <w:szCs w:val="14"/>
          <w:color w:val="auto"/>
        </w:rPr>
      </w:pPr>
    </w:p>
    <w:p>
      <w:pPr>
        <w:ind w:left="346" w:right="560" w:hanging="346"/>
        <w:spacing w:after="0" w:line="285" w:lineRule="auto"/>
        <w:tabs>
          <w:tab w:leader="none" w:pos="346"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number includes 4,590,590 shares available for issuance under the Second A&amp;R 2010 Plan and 477,368 shares available for issuance under the 2012 Employee Stock Purchase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8"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64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9" w:name="page70"/>
    <w:bookmarkEnd w:id="6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0063A6"/>
        </w:rPr>
        <w:t>SECURITY OWNERSHIP OF CERTAIN BENEFICIAL OWNERS AND MANAGEMENT</w:t>
      </w:r>
    </w:p>
    <w:p>
      <w:pPr>
        <w:spacing w:after="0" w:line="25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Directors and Executive Officers</w:t>
      </w:r>
    </w:p>
    <w:p>
      <w:pPr>
        <w:spacing w:after="0" w:line="99" w:lineRule="exact"/>
        <w:rPr>
          <w:sz w:val="20"/>
          <w:szCs w:val="20"/>
          <w:color w:val="auto"/>
        </w:rPr>
      </w:pPr>
    </w:p>
    <w:p>
      <w:pPr>
        <w:ind w:left="6" w:right="160"/>
        <w:spacing w:after="0" w:line="250" w:lineRule="auto"/>
        <w:rPr>
          <w:sz w:val="20"/>
          <w:szCs w:val="20"/>
          <w:color w:val="auto"/>
        </w:rPr>
      </w:pPr>
      <w:r>
        <w:rPr>
          <w:rFonts w:ascii="Arial" w:cs="Arial" w:eastAsia="Arial" w:hAnsi="Arial"/>
          <w:sz w:val="16"/>
          <w:szCs w:val="16"/>
          <w:color w:val="auto"/>
        </w:rPr>
        <w:t>The following table provides information with respect to the beneficial ownership of our common stock as of March 4, 2025 by each of our directors, each of our named executive officers listed in the Summary Compensation Table, and our director nominee, directors, and executive officers as a group. The percentage ownership data is based on 45,570,047 shares of our common stock outstanding as of March 4, 2025. Under SEC rules, beneficial ownership includes shares over that which the indicated beneficial owner exercises voting and/or investment power. Shares of common stock subject to options that are currently exercisable or will become exercisable within 60 days or shares of restricted stock units vested or that will vest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 The address of each person named in the table, unless otherwise indicated, is c/o Itron, Inc., 2111 N. Molter Road, Liberty Lake, WA 99019.</w:t>
      </w:r>
    </w:p>
    <w:p>
      <w:pPr>
        <w:spacing w:after="0" w:line="25" w:lineRule="exact"/>
        <w:rPr>
          <w:sz w:val="20"/>
          <w:szCs w:val="20"/>
          <w:color w:val="auto"/>
        </w:rPr>
      </w:pPr>
    </w:p>
    <w:tbl>
      <w:tblPr>
        <w:tblLayout w:type="fixed"/>
        <w:tblInd w:w="6" w:type="dxa"/>
        <w:tblCellMar>
          <w:top w:w="0" w:type="dxa"/>
          <w:left w:w="0" w:type="dxa"/>
          <w:bottom w:w="0" w:type="dxa"/>
          <w:right w:w="0" w:type="dxa"/>
        </w:tblCellMar>
      </w:tblPr>
      <w:tr>
        <w:trPr>
          <w:trHeight w:val="254"/>
        </w:trPr>
        <w:tc>
          <w:tcPr>
            <w:tcW w:w="5760" w:type="dxa"/>
            <w:vAlign w:val="bottom"/>
          </w:tcPr>
          <w:p>
            <w:pPr>
              <w:spacing w:after="0"/>
              <w:rPr>
                <w:sz w:val="22"/>
                <w:szCs w:val="22"/>
                <w:color w:val="auto"/>
              </w:rPr>
            </w:pPr>
          </w:p>
        </w:tc>
        <w:tc>
          <w:tcPr>
            <w:tcW w:w="440" w:type="dxa"/>
            <w:vAlign w:val="bottom"/>
            <w:shd w:val="clear" w:color="auto" w:fill="0063A6"/>
          </w:tcPr>
          <w:p>
            <w:pPr>
              <w:spacing w:after="0"/>
              <w:rPr>
                <w:sz w:val="22"/>
                <w:szCs w:val="22"/>
                <w:color w:val="auto"/>
              </w:rPr>
            </w:pPr>
          </w:p>
        </w:tc>
        <w:tc>
          <w:tcPr>
            <w:tcW w:w="340" w:type="dxa"/>
            <w:vAlign w:val="bottom"/>
            <w:shd w:val="clear" w:color="auto" w:fill="0063A6"/>
          </w:tcPr>
          <w:p>
            <w:pPr>
              <w:spacing w:after="0"/>
              <w:rPr>
                <w:sz w:val="22"/>
                <w:szCs w:val="22"/>
                <w:color w:val="auto"/>
              </w:rPr>
            </w:pPr>
          </w:p>
        </w:tc>
        <w:tc>
          <w:tcPr>
            <w:tcW w:w="2640" w:type="dxa"/>
            <w:vAlign w:val="bottom"/>
            <w:gridSpan w:val="2"/>
            <w:shd w:val="clear" w:color="auto" w:fill="0063A6"/>
          </w:tcPr>
          <w:p>
            <w:pPr>
              <w:jc w:val="right"/>
              <w:ind w:right="620"/>
              <w:spacing w:after="0"/>
              <w:rPr>
                <w:sz w:val="20"/>
                <w:szCs w:val="20"/>
                <w:color w:val="auto"/>
              </w:rPr>
            </w:pPr>
            <w:r>
              <w:rPr>
                <w:rFonts w:ascii="Arial" w:cs="Arial" w:eastAsia="Arial" w:hAnsi="Arial"/>
                <w:sz w:val="14"/>
                <w:szCs w:val="14"/>
                <w:b w:val="1"/>
                <w:bCs w:val="1"/>
                <w:color w:val="FFFFFF"/>
              </w:rPr>
              <w:t>Shares Beneficially Owned</w:t>
            </w:r>
          </w:p>
        </w:tc>
      </w:tr>
      <w:tr>
        <w:trPr>
          <w:trHeight w:val="217"/>
        </w:trPr>
        <w:tc>
          <w:tcPr>
            <w:tcW w:w="576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w:t>
            </w:r>
          </w:p>
        </w:tc>
        <w:tc>
          <w:tcPr>
            <w:tcW w:w="440" w:type="dxa"/>
            <w:vAlign w:val="bottom"/>
            <w:tcBorders>
              <w:bottom w:val="single" w:sz="8" w:color="0063A6"/>
            </w:tcBorders>
            <w:shd w:val="clear" w:color="auto" w:fill="0063A6"/>
          </w:tcPr>
          <w:p>
            <w:pPr>
              <w:spacing w:after="0"/>
              <w:rPr>
                <w:sz w:val="18"/>
                <w:szCs w:val="18"/>
                <w:color w:val="auto"/>
              </w:rPr>
            </w:pPr>
          </w:p>
        </w:tc>
        <w:tc>
          <w:tcPr>
            <w:tcW w:w="340" w:type="dxa"/>
            <w:vAlign w:val="bottom"/>
            <w:tcBorders>
              <w:bottom w:val="single" w:sz="8" w:color="0063A6"/>
            </w:tcBorders>
            <w:shd w:val="clear" w:color="auto" w:fill="0063A6"/>
          </w:tcPr>
          <w:p>
            <w:pPr>
              <w:spacing w:after="0"/>
              <w:rPr>
                <w:sz w:val="18"/>
                <w:szCs w:val="18"/>
                <w:color w:val="auto"/>
              </w:rPr>
            </w:pPr>
          </w:p>
        </w:tc>
        <w:tc>
          <w:tcPr>
            <w:tcW w:w="120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Number</w:t>
            </w:r>
          </w:p>
        </w:tc>
        <w:tc>
          <w:tcPr>
            <w:tcW w:w="1440" w:type="dxa"/>
            <w:vAlign w:val="bottom"/>
            <w:tcBorders>
              <w:bottom w:val="single" w:sz="8" w:color="0063A6"/>
            </w:tcBorders>
            <w:shd w:val="clear" w:color="auto" w:fill="0063A6"/>
          </w:tcPr>
          <w:p>
            <w:pPr>
              <w:jc w:val="right"/>
              <w:ind w:right="160"/>
              <w:spacing w:after="0"/>
              <w:rPr>
                <w:sz w:val="20"/>
                <w:szCs w:val="20"/>
                <w:color w:val="auto"/>
              </w:rPr>
            </w:pPr>
            <w:r>
              <w:rPr>
                <w:rFonts w:ascii="Arial" w:cs="Arial" w:eastAsia="Arial" w:hAnsi="Arial"/>
                <w:sz w:val="14"/>
                <w:szCs w:val="14"/>
                <w:b w:val="1"/>
                <w:bCs w:val="1"/>
                <w:color w:val="FFFFFF"/>
              </w:rPr>
              <w:t>Percent</w:t>
            </w:r>
          </w:p>
        </w:tc>
      </w:tr>
      <w:tr>
        <w:trPr>
          <w:trHeight w:val="210"/>
        </w:trPr>
        <w:tc>
          <w:tcPr>
            <w:tcW w:w="5760" w:type="dxa"/>
            <w:vAlign w:val="bottom"/>
            <w:tcBorders>
              <w:bottom w:val="single" w:sz="8" w:color="5D6673"/>
            </w:tcBorders>
          </w:tcPr>
          <w:p>
            <w:pPr>
              <w:ind w:left="60"/>
              <w:spacing w:after="0"/>
              <w:rPr>
                <w:sz w:val="20"/>
                <w:szCs w:val="20"/>
                <w:color w:val="auto"/>
              </w:rPr>
            </w:pPr>
            <w:r>
              <w:rPr>
                <w:rFonts w:ascii="Arial" w:cs="Arial" w:eastAsia="Arial" w:hAnsi="Arial"/>
                <w:sz w:val="16"/>
                <w:szCs w:val="16"/>
                <w:b w:val="1"/>
                <w:bCs w:val="1"/>
                <w:color w:val="auto"/>
              </w:rPr>
              <w:t>Directors and Executive Officers:</w:t>
            </w:r>
          </w:p>
        </w:tc>
        <w:tc>
          <w:tcPr>
            <w:tcW w:w="440" w:type="dxa"/>
            <w:vAlign w:val="bottom"/>
            <w:tcBorders>
              <w:bottom w:val="single" w:sz="8" w:color="5D6673"/>
            </w:tcBorders>
          </w:tcPr>
          <w:p>
            <w:pPr>
              <w:spacing w:after="0"/>
              <w:rPr>
                <w:sz w:val="18"/>
                <w:szCs w:val="18"/>
                <w:color w:val="auto"/>
              </w:rPr>
            </w:pPr>
          </w:p>
        </w:tc>
        <w:tc>
          <w:tcPr>
            <w:tcW w:w="340" w:type="dxa"/>
            <w:vAlign w:val="bottom"/>
            <w:tcBorders>
              <w:bottom w:val="single" w:sz="8" w:color="5D6673"/>
            </w:tcBorders>
          </w:tcPr>
          <w:p>
            <w:pPr>
              <w:spacing w:after="0"/>
              <w:rPr>
                <w:sz w:val="18"/>
                <w:szCs w:val="18"/>
                <w:color w:val="auto"/>
              </w:rPr>
            </w:pPr>
          </w:p>
        </w:tc>
        <w:tc>
          <w:tcPr>
            <w:tcW w:w="1200" w:type="dxa"/>
            <w:vAlign w:val="bottom"/>
            <w:tcBorders>
              <w:bottom w:val="single" w:sz="8" w:color="5D6673"/>
            </w:tcBorders>
          </w:tcPr>
          <w:p>
            <w:pPr>
              <w:spacing w:after="0"/>
              <w:rPr>
                <w:sz w:val="18"/>
                <w:szCs w:val="18"/>
                <w:color w:val="auto"/>
              </w:rPr>
            </w:pPr>
          </w:p>
        </w:tc>
        <w:tc>
          <w:tcPr>
            <w:tcW w:w="1440" w:type="dxa"/>
            <w:vAlign w:val="bottom"/>
            <w:tcBorders>
              <w:bottom w:val="single" w:sz="8" w:color="5D6673"/>
            </w:tcBorders>
          </w:tcPr>
          <w:p>
            <w:pPr>
              <w:spacing w:after="0"/>
              <w:rPr>
                <w:sz w:val="18"/>
                <w:szCs w:val="18"/>
                <w:color w:val="auto"/>
              </w:rPr>
            </w:pP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Thomas L. Deitrich</w:t>
            </w:r>
            <w:r>
              <w:rPr>
                <w:rFonts w:ascii="Arial" w:cs="Arial" w:eastAsia="Arial" w:hAnsi="Arial"/>
                <w:sz w:val="26"/>
                <w:szCs w:val="26"/>
                <w:b w:val="1"/>
                <w:bCs w:val="1"/>
                <w:color w:val="0063A6"/>
                <w:vertAlign w:val="superscript"/>
              </w:rPr>
              <w:t>(1)</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423,503</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Joan S. Hooper</w:t>
            </w:r>
            <w:r>
              <w:rPr>
                <w:rFonts w:ascii="Arial" w:cs="Arial" w:eastAsia="Arial" w:hAnsi="Arial"/>
                <w:sz w:val="26"/>
                <w:szCs w:val="26"/>
                <w:b w:val="1"/>
                <w:bCs w:val="1"/>
                <w:color w:val="0063A6"/>
                <w:vertAlign w:val="superscript"/>
              </w:rPr>
              <w:t>(2)</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100,094</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Donald L. Reeves</w:t>
            </w:r>
            <w:r>
              <w:rPr>
                <w:rFonts w:ascii="Arial" w:cs="Arial" w:eastAsia="Arial" w:hAnsi="Arial"/>
                <w:sz w:val="26"/>
                <w:szCs w:val="26"/>
                <w:b w:val="1"/>
                <w:bCs w:val="1"/>
                <w:color w:val="0063A6"/>
                <w:vertAlign w:val="superscript"/>
              </w:rPr>
              <w:t>(3)</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ind w:left="120"/>
              <w:spacing w:after="0"/>
              <w:rPr>
                <w:sz w:val="20"/>
                <w:szCs w:val="20"/>
                <w:color w:val="auto"/>
              </w:rPr>
            </w:pPr>
            <w:r>
              <w:rPr>
                <w:rFonts w:ascii="Arial" w:cs="Arial" w:eastAsia="Arial" w:hAnsi="Arial"/>
                <w:sz w:val="16"/>
                <w:szCs w:val="16"/>
                <w:color w:val="auto"/>
              </w:rPr>
              <w:t>7,596</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John F. Marcolini</w:t>
            </w:r>
            <w:r>
              <w:rPr>
                <w:rFonts w:ascii="Arial" w:cs="Arial" w:eastAsia="Arial" w:hAnsi="Arial"/>
                <w:sz w:val="26"/>
                <w:szCs w:val="26"/>
                <w:b w:val="1"/>
                <w:bCs w:val="1"/>
                <w:color w:val="0063A6"/>
                <w:vertAlign w:val="superscript"/>
              </w:rPr>
              <w:t>(4)</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12,888</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Justin K. Partick</w:t>
            </w:r>
            <w:r>
              <w:rPr>
                <w:rFonts w:ascii="Arial" w:cs="Arial" w:eastAsia="Arial" w:hAnsi="Arial"/>
                <w:sz w:val="26"/>
                <w:szCs w:val="26"/>
                <w:b w:val="1"/>
                <w:bCs w:val="1"/>
                <w:color w:val="0063A6"/>
                <w:vertAlign w:val="superscript"/>
              </w:rPr>
              <w:t>(5)</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21,346</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Mary C. Hemmingsen</w:t>
            </w:r>
            <w:r>
              <w:rPr>
                <w:rFonts w:ascii="Arial" w:cs="Arial" w:eastAsia="Arial" w:hAnsi="Arial"/>
                <w:sz w:val="26"/>
                <w:szCs w:val="26"/>
                <w:b w:val="1"/>
                <w:bCs w:val="1"/>
                <w:color w:val="0063A6"/>
                <w:vertAlign w:val="superscript"/>
              </w:rPr>
              <w:t>(6)</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ind w:left="120"/>
              <w:spacing w:after="0"/>
              <w:rPr>
                <w:sz w:val="20"/>
                <w:szCs w:val="20"/>
                <w:color w:val="auto"/>
              </w:rPr>
            </w:pPr>
            <w:r>
              <w:rPr>
                <w:rFonts w:ascii="Arial" w:cs="Arial" w:eastAsia="Arial" w:hAnsi="Arial"/>
                <w:sz w:val="16"/>
                <w:szCs w:val="16"/>
                <w:color w:val="auto"/>
              </w:rPr>
              <w:t>5,630</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Frank M. Jaehnert</w:t>
            </w:r>
            <w:r>
              <w:rPr>
                <w:rFonts w:ascii="Arial" w:cs="Arial" w:eastAsia="Arial" w:hAnsi="Arial"/>
                <w:sz w:val="26"/>
                <w:szCs w:val="26"/>
                <w:b w:val="1"/>
                <w:bCs w:val="1"/>
                <w:color w:val="0063A6"/>
                <w:vertAlign w:val="superscript"/>
              </w:rPr>
              <w:t>(7)</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21,362</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Jerome J. Lande</w:t>
            </w:r>
            <w:r>
              <w:rPr>
                <w:rFonts w:ascii="Arial" w:cs="Arial" w:eastAsia="Arial" w:hAnsi="Arial"/>
                <w:sz w:val="26"/>
                <w:szCs w:val="26"/>
                <w:b w:val="1"/>
                <w:bCs w:val="1"/>
                <w:color w:val="0063A6"/>
                <w:vertAlign w:val="superscript"/>
              </w:rPr>
              <w:t>(8)</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ind w:left="120"/>
              <w:spacing w:after="0"/>
              <w:rPr>
                <w:sz w:val="20"/>
                <w:szCs w:val="20"/>
                <w:color w:val="auto"/>
              </w:rPr>
            </w:pPr>
            <w:r>
              <w:rPr>
                <w:rFonts w:ascii="Arial" w:cs="Arial" w:eastAsia="Arial" w:hAnsi="Arial"/>
                <w:sz w:val="16"/>
                <w:szCs w:val="16"/>
                <w:color w:val="auto"/>
              </w:rPr>
              <w:t>7,752</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Timothy M. Leyden</w:t>
            </w:r>
            <w:r>
              <w:rPr>
                <w:rFonts w:ascii="Arial" w:cs="Arial" w:eastAsia="Arial" w:hAnsi="Arial"/>
                <w:sz w:val="26"/>
                <w:szCs w:val="26"/>
                <w:b w:val="1"/>
                <w:bCs w:val="1"/>
                <w:color w:val="0063A6"/>
                <w:vertAlign w:val="superscript"/>
              </w:rPr>
              <w:t>(9)</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15,052</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Sanjay Mirchandani</w:t>
            </w:r>
            <w:r>
              <w:rPr>
                <w:rFonts w:ascii="Arial" w:cs="Arial" w:eastAsia="Arial" w:hAnsi="Arial"/>
                <w:sz w:val="26"/>
                <w:szCs w:val="26"/>
                <w:b w:val="1"/>
                <w:bCs w:val="1"/>
                <w:color w:val="0063A6"/>
                <w:vertAlign w:val="superscript"/>
              </w:rPr>
              <w:t>(10)</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ind w:left="120"/>
              <w:spacing w:after="0"/>
              <w:rPr>
                <w:sz w:val="20"/>
                <w:szCs w:val="20"/>
                <w:color w:val="auto"/>
              </w:rPr>
            </w:pPr>
            <w:r>
              <w:rPr>
                <w:rFonts w:ascii="Arial" w:cs="Arial" w:eastAsia="Arial" w:hAnsi="Arial"/>
                <w:sz w:val="16"/>
                <w:szCs w:val="16"/>
                <w:color w:val="auto"/>
              </w:rPr>
              <w:t>3,811</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Santiago Perez</w:t>
            </w:r>
            <w:r>
              <w:rPr>
                <w:rFonts w:ascii="Arial" w:cs="Arial" w:eastAsia="Arial" w:hAnsi="Arial"/>
                <w:sz w:val="26"/>
                <w:szCs w:val="26"/>
                <w:b w:val="1"/>
                <w:bCs w:val="1"/>
                <w:color w:val="0063A6"/>
                <w:vertAlign w:val="superscript"/>
              </w:rPr>
              <w:t>(11)</w:t>
            </w:r>
          </w:p>
        </w:tc>
        <w:tc>
          <w:tcPr>
            <w:tcW w:w="340" w:type="dxa"/>
            <w:vAlign w:val="bottom"/>
            <w:tcBorders>
              <w:bottom w:val="single" w:sz="8" w:color="5D6673"/>
            </w:tcBorders>
          </w:tcPr>
          <w:p>
            <w:pPr>
              <w:ind w:left="30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5D6673"/>
            </w:tcBorders>
          </w:tcPr>
          <w:p>
            <w:pPr>
              <w:ind w:left="120"/>
              <w:spacing w:after="0"/>
              <w:rPr>
                <w:sz w:val="20"/>
                <w:szCs w:val="20"/>
                <w:color w:val="auto"/>
              </w:rPr>
            </w:pPr>
            <w:r>
              <w:rPr>
                <w:rFonts w:ascii="Arial" w:cs="Arial" w:eastAsia="Arial" w:hAnsi="Arial"/>
                <w:sz w:val="16"/>
                <w:szCs w:val="16"/>
                <w:color w:val="auto"/>
              </w:rPr>
              <w:t>9,506</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Diana D. Tremblay</w:t>
            </w:r>
            <w:r>
              <w:rPr>
                <w:rFonts w:ascii="Arial" w:cs="Arial" w:eastAsia="Arial" w:hAnsi="Arial"/>
                <w:sz w:val="26"/>
                <w:szCs w:val="26"/>
                <w:b w:val="1"/>
                <w:bCs w:val="1"/>
                <w:color w:val="0063A6"/>
                <w:vertAlign w:val="superscript"/>
              </w:rPr>
              <w:t>(12)</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23,244</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5D6673"/>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Lynda L. Ziegler</w:t>
            </w:r>
            <w:r>
              <w:rPr>
                <w:rFonts w:ascii="Arial" w:cs="Arial" w:eastAsia="Arial" w:hAnsi="Arial"/>
                <w:sz w:val="26"/>
                <w:szCs w:val="26"/>
                <w:b w:val="1"/>
                <w:bCs w:val="1"/>
                <w:color w:val="0063A6"/>
                <w:vertAlign w:val="superscript"/>
              </w:rPr>
              <w:t>(13)</w:t>
            </w:r>
          </w:p>
        </w:tc>
        <w:tc>
          <w:tcPr>
            <w:tcW w:w="1540" w:type="dxa"/>
            <w:vAlign w:val="bottom"/>
            <w:tcBorders>
              <w:bottom w:val="single" w:sz="8" w:color="5D6673"/>
            </w:tcBorders>
            <w:gridSpan w:val="2"/>
          </w:tcPr>
          <w:p>
            <w:pPr>
              <w:ind w:left="3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16,825</w:t>
            </w:r>
          </w:p>
        </w:tc>
        <w:tc>
          <w:tcPr>
            <w:tcW w:w="1440" w:type="dxa"/>
            <w:vAlign w:val="bottom"/>
            <w:tcBorders>
              <w:bottom w:val="single" w:sz="8" w:color="5D6673"/>
            </w:tcBorders>
          </w:tcPr>
          <w:p>
            <w:pPr>
              <w:jc w:val="right"/>
              <w:ind w:right="260"/>
              <w:spacing w:after="0"/>
              <w:rPr>
                <w:sz w:val="20"/>
                <w:szCs w:val="20"/>
                <w:color w:val="auto"/>
              </w:rPr>
            </w:pPr>
            <w:r>
              <w:rPr>
                <w:rFonts w:ascii="Arial" w:cs="Arial" w:eastAsia="Arial" w:hAnsi="Arial"/>
                <w:sz w:val="16"/>
                <w:szCs w:val="16"/>
                <w:color w:val="auto"/>
              </w:rPr>
              <w:t>*</w:t>
            </w:r>
          </w:p>
        </w:tc>
      </w:tr>
      <w:tr>
        <w:trPr>
          <w:trHeight w:val="250"/>
        </w:trPr>
        <w:tc>
          <w:tcPr>
            <w:tcW w:w="6200" w:type="dxa"/>
            <w:vAlign w:val="bottom"/>
            <w:tcBorders>
              <w:bottom w:val="single" w:sz="8" w:color="0063A6"/>
            </w:tcBorders>
            <w:gridSpan w:val="2"/>
          </w:tcPr>
          <w:p>
            <w:pPr>
              <w:ind w:left="60"/>
              <w:spacing w:after="0" w:line="250" w:lineRule="exact"/>
              <w:rPr>
                <w:sz w:val="20"/>
                <w:szCs w:val="20"/>
                <w:color w:val="auto"/>
              </w:rPr>
            </w:pPr>
            <w:r>
              <w:rPr>
                <w:rFonts w:ascii="Arial" w:cs="Arial" w:eastAsia="Arial" w:hAnsi="Arial"/>
                <w:sz w:val="16"/>
                <w:szCs w:val="16"/>
                <w:b w:val="1"/>
                <w:bCs w:val="1"/>
                <w:color w:val="0063A6"/>
              </w:rPr>
              <w:t>All directors and executive officers as a group (16 persons)</w:t>
            </w:r>
            <w:r>
              <w:rPr>
                <w:rFonts w:ascii="Arial" w:cs="Arial" w:eastAsia="Arial" w:hAnsi="Arial"/>
                <w:sz w:val="26"/>
                <w:szCs w:val="26"/>
                <w:b w:val="1"/>
                <w:bCs w:val="1"/>
                <w:color w:val="0063A6"/>
                <w:vertAlign w:val="superscript"/>
              </w:rPr>
              <w:t>(14)</w:t>
            </w:r>
          </w:p>
        </w:tc>
        <w:tc>
          <w:tcPr>
            <w:tcW w:w="1540" w:type="dxa"/>
            <w:vAlign w:val="bottom"/>
            <w:tcBorders>
              <w:bottom w:val="single" w:sz="8" w:color="0063A6"/>
            </w:tcBorders>
            <w:gridSpan w:val="2"/>
          </w:tcPr>
          <w:p>
            <w:pPr>
              <w:ind w:left="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695,664</w:t>
            </w:r>
          </w:p>
        </w:tc>
        <w:tc>
          <w:tcPr>
            <w:tcW w:w="1440" w:type="dxa"/>
            <w:vAlign w:val="bottom"/>
            <w:tcBorders>
              <w:bottom w:val="single" w:sz="8" w:color="0063A6"/>
            </w:tcBorders>
          </w:tcPr>
          <w:p>
            <w:pPr>
              <w:jc w:val="right"/>
              <w:ind w:right="180"/>
              <w:spacing w:after="0"/>
              <w:rPr>
                <w:sz w:val="20"/>
                <w:szCs w:val="20"/>
                <w:color w:val="auto"/>
              </w:rPr>
            </w:pPr>
            <w:r>
              <w:rPr>
                <w:rFonts w:ascii="Arial" w:cs="Arial" w:eastAsia="Arial" w:hAnsi="Arial"/>
                <w:sz w:val="16"/>
                <w:szCs w:val="16"/>
                <w:color w:val="auto"/>
              </w:rPr>
              <w:t>1​.51%</w:t>
            </w:r>
          </w:p>
        </w:tc>
      </w:tr>
    </w:tbl>
    <w:p>
      <w:pPr>
        <w:spacing w:after="0" w:line="99" w:lineRule="exact"/>
        <w:rPr>
          <w:sz w:val="20"/>
          <w:szCs w:val="20"/>
          <w:color w:val="auto"/>
        </w:rPr>
      </w:pPr>
    </w:p>
    <w:p>
      <w:pPr>
        <w:ind w:left="346" w:hanging="346"/>
        <w:spacing w:after="0"/>
        <w:tabs>
          <w:tab w:leader="none" w:pos="346" w:val="left"/>
        </w:tabs>
        <w:numPr>
          <w:ilvl w:val="0"/>
          <w:numId w:val="5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sz w:val="20"/>
          <w:szCs w:val="20"/>
          <w:color w:val="auto"/>
        </w:rPr>
      </w:pPr>
    </w:p>
    <w:p>
      <w:pPr>
        <w:jc w:val="both"/>
        <w:ind w:left="346" w:right="16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Deitrich, represents shares owned as of March 4, 2024 and includes 185,180 shares issuable on exercise of outstanding options exercisable within 60 days and 25,000 shares indirectly held in trust for the benefit of Mr. Deitrich’s son, of which Mr. Deitrich is a trustee.</w:t>
      </w:r>
    </w:p>
    <w:p>
      <w:pPr>
        <w:spacing w:after="0" w:line="1" w:lineRule="exact"/>
        <w:rPr>
          <w:rFonts w:ascii="Arial" w:cs="Arial" w:eastAsia="Arial" w:hAnsi="Arial"/>
          <w:sz w:val="14"/>
          <w:szCs w:val="14"/>
          <w:color w:val="auto"/>
        </w:rPr>
      </w:pPr>
    </w:p>
    <w:p>
      <w:pPr>
        <w:ind w:left="346" w:right="24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Ms. Hooper, represents shares owned as of March 4, 2024 and includes 33,268 shares issuable on exercise of outstanding options exercisable within 60 days.</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Reeves, represents shares owned as of March 4, 2024.</w:t>
      </w:r>
    </w:p>
    <w:p>
      <w:pPr>
        <w:spacing w:after="0" w:line="55" w:lineRule="exact"/>
        <w:rPr>
          <w:rFonts w:ascii="Arial" w:cs="Arial" w:eastAsia="Arial" w:hAnsi="Arial"/>
          <w:sz w:val="14"/>
          <w:szCs w:val="14"/>
          <w:color w:val="auto"/>
        </w:rPr>
      </w:pPr>
    </w:p>
    <w:p>
      <w:pPr>
        <w:ind w:left="346" w:right="24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Marcolini, represents shares owned as of March 4, 2024 and includes 3,783 shares issuable on exercise of outstanding options exercisable within 60 days.</w:t>
      </w:r>
    </w:p>
    <w:p>
      <w:pPr>
        <w:spacing w:after="0" w:line="1" w:lineRule="exact"/>
        <w:rPr>
          <w:rFonts w:ascii="Arial" w:cs="Arial" w:eastAsia="Arial" w:hAnsi="Arial"/>
          <w:sz w:val="14"/>
          <w:szCs w:val="14"/>
          <w:color w:val="auto"/>
        </w:rPr>
      </w:pPr>
    </w:p>
    <w:p>
      <w:pPr>
        <w:ind w:left="346" w:right="38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Patrick, represents shares owned as of March 4, 2024 and includes 3,274 shares issuable on exercise of outstanding options exercisable within 60 days.</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Ms. Hemmingsen, represents shares owned as of March 4, 2024.</w:t>
      </w:r>
    </w:p>
    <w:p>
      <w:pPr>
        <w:spacing w:after="0" w:line="55" w:lineRule="exact"/>
        <w:rPr>
          <w:rFonts w:ascii="Arial" w:cs="Arial" w:eastAsia="Arial" w:hAnsi="Arial"/>
          <w:sz w:val="14"/>
          <w:szCs w:val="14"/>
          <w:color w:val="auto"/>
        </w:rPr>
      </w:pPr>
    </w:p>
    <w:p>
      <w:pPr>
        <w:ind w:left="346" w:right="28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Jaehnert, represents shares owned as of March 4, 2024, including 14,949 shares of which Mr. Jaehnert has deferred receipt of pursuant to Itron's Executive Deferred Compensation Plan.</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Lande, represents shares owned as of March 4, 2024.</w:t>
      </w:r>
    </w:p>
    <w:p>
      <w:pPr>
        <w:spacing w:after="0" w:line="55" w:lineRule="exact"/>
        <w:rPr>
          <w:rFonts w:ascii="Arial" w:cs="Arial" w:eastAsia="Arial" w:hAnsi="Arial"/>
          <w:sz w:val="14"/>
          <w:szCs w:val="14"/>
          <w:color w:val="auto"/>
        </w:rPr>
      </w:pPr>
    </w:p>
    <w:p>
      <w:pPr>
        <w:ind w:left="346" w:right="540" w:hanging="346"/>
        <w:spacing w:after="0" w:line="281"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Leyden, represents shares owned as of March 4, 2024, including 1,323 shares of which Mr. Leyden has deferred receipt of pursuant to Itron's Executive Deferred Compensation Plan.</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Mirchandani, represents shares owned as of March 4, 2024.</w:t>
      </w:r>
    </w:p>
    <w:p>
      <w:pPr>
        <w:spacing w:after="0" w:line="55"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Perez, represents shares owned as of March 4, 2024.</w:t>
      </w:r>
    </w:p>
    <w:p>
      <w:pPr>
        <w:spacing w:after="0" w:line="55"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Ms. Tremblay, represents shares owned as of March 4, 2024.</w:t>
      </w:r>
    </w:p>
    <w:p>
      <w:pPr>
        <w:spacing w:after="0" w:line="55" w:lineRule="exact"/>
        <w:rPr>
          <w:rFonts w:ascii="Arial" w:cs="Arial" w:eastAsia="Arial" w:hAnsi="Arial"/>
          <w:sz w:val="14"/>
          <w:szCs w:val="14"/>
          <w:color w:val="auto"/>
        </w:rPr>
      </w:pPr>
    </w:p>
    <w:p>
      <w:pPr>
        <w:ind w:left="346" w:hanging="346"/>
        <w:spacing w:after="0"/>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Ms. Ziegler, represents shares owned as of March 4, 2024.</w:t>
      </w:r>
    </w:p>
    <w:p>
      <w:pPr>
        <w:spacing w:after="0" w:line="68" w:lineRule="exact"/>
        <w:rPr>
          <w:rFonts w:ascii="Arial" w:cs="Arial" w:eastAsia="Arial" w:hAnsi="Arial"/>
          <w:sz w:val="14"/>
          <w:szCs w:val="14"/>
          <w:color w:val="auto"/>
        </w:rPr>
      </w:pPr>
    </w:p>
    <w:p>
      <w:pPr>
        <w:ind w:left="346" w:right="220" w:hanging="346"/>
        <w:spacing w:after="0" w:line="285" w:lineRule="auto"/>
        <w:tabs>
          <w:tab w:leader="none" w:pos="3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225,505 shares issuable on exercise of outstanding options that are held by all current directors and executive officers and are exercisable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8293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8" w:lineRule="exact"/>
        <w:rPr>
          <w:sz w:val="20"/>
          <w:szCs w:val="20"/>
          <w:color w:val="auto"/>
        </w:rPr>
      </w:pPr>
    </w:p>
    <w:p>
      <w:pPr>
        <w:ind w:left="46"/>
        <w:spacing w:after="0"/>
        <w:tabs>
          <w:tab w:leader="none" w:pos="3046" w:val="left"/>
          <w:tab w:leader="none" w:pos="894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0" w:name="page71"/>
    <w:bookmarkEnd w:id="7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4"/>
          <w:szCs w:val="14"/>
          <w:color w:val="5D6673"/>
        </w:rPr>
        <w:t>SECURITY OWNERSHIP OF CERTAIN BENEFICIAL OWNERS AND MANAGEMENT</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Principal Shareholders</w:t>
      </w:r>
    </w:p>
    <w:p>
      <w:pPr>
        <w:spacing w:after="0" w:line="85" w:lineRule="exact"/>
        <w:rPr>
          <w:sz w:val="20"/>
          <w:szCs w:val="20"/>
          <w:color w:val="auto"/>
        </w:rPr>
      </w:pPr>
    </w:p>
    <w:p>
      <w:pPr>
        <w:ind w:left="6" w:right="220"/>
        <w:spacing w:after="0" w:line="266" w:lineRule="auto"/>
        <w:rPr>
          <w:sz w:val="20"/>
          <w:szCs w:val="20"/>
          <w:color w:val="auto"/>
        </w:rPr>
      </w:pPr>
      <w:r>
        <w:rPr>
          <w:rFonts w:ascii="Arial" w:cs="Arial" w:eastAsia="Arial" w:hAnsi="Arial"/>
          <w:sz w:val="16"/>
          <w:szCs w:val="16"/>
          <w:color w:val="auto"/>
        </w:rPr>
        <w:t>The following table provides information with respect to the beneficial ownership of our common stock as of March 4, 2025 by each person that we know beneficially owns more than five percent (5%) of our common stock. We have based percentage ownership of our common stock 45,570,047 shares of our common stock outstanding as of the measurement date.</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220"/>
        </w:trPr>
        <w:tc>
          <w:tcPr>
            <w:tcW w:w="6780" w:type="dxa"/>
            <w:vAlign w:val="bottom"/>
          </w:tcPr>
          <w:p>
            <w:pPr>
              <w:spacing w:after="0"/>
              <w:rPr>
                <w:sz w:val="19"/>
                <w:szCs w:val="19"/>
                <w:color w:val="auto"/>
              </w:rPr>
            </w:pPr>
          </w:p>
        </w:tc>
        <w:tc>
          <w:tcPr>
            <w:tcW w:w="2400" w:type="dxa"/>
            <w:vAlign w:val="bottom"/>
            <w:gridSpan w:val="2"/>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of Common Stock</w:t>
            </w:r>
          </w:p>
        </w:tc>
      </w:tr>
      <w:tr>
        <w:trPr>
          <w:trHeight w:val="196"/>
        </w:trPr>
        <w:tc>
          <w:tcPr>
            <w:tcW w:w="6780" w:type="dxa"/>
            <w:vAlign w:val="bottom"/>
          </w:tcPr>
          <w:p>
            <w:pPr>
              <w:spacing w:after="0"/>
              <w:rPr>
                <w:sz w:val="17"/>
                <w:szCs w:val="17"/>
                <w:color w:val="auto"/>
              </w:rPr>
            </w:pPr>
          </w:p>
        </w:tc>
        <w:tc>
          <w:tcPr>
            <w:tcW w:w="2400" w:type="dxa"/>
            <w:vAlign w:val="bottom"/>
            <w:gridSpan w:val="2"/>
            <w:shd w:val="clear" w:color="auto" w:fill="0063A6"/>
          </w:tcPr>
          <w:p>
            <w:pPr>
              <w:jc w:val="center"/>
              <w:spacing w:after="0"/>
              <w:rPr>
                <w:sz w:val="20"/>
                <w:szCs w:val="20"/>
                <w:color w:val="auto"/>
              </w:rPr>
            </w:pPr>
            <w:r>
              <w:rPr>
                <w:rFonts w:ascii="Arial" w:cs="Arial" w:eastAsia="Arial" w:hAnsi="Arial"/>
                <w:sz w:val="14"/>
                <w:szCs w:val="14"/>
                <w:b w:val="1"/>
                <w:bCs w:val="1"/>
                <w:color w:val="FFFFFF"/>
              </w:rPr>
              <w:t>Beneficially Owned</w:t>
            </w:r>
          </w:p>
        </w:tc>
      </w:tr>
      <w:tr>
        <w:trPr>
          <w:trHeight w:val="245"/>
        </w:trPr>
        <w:tc>
          <w:tcPr>
            <w:tcW w:w="6780" w:type="dxa"/>
            <w:vAlign w:val="bottom"/>
            <w:tcBorders>
              <w:bottom w:val="single" w:sz="8" w:color="0063A6"/>
            </w:tcBorders>
          </w:tcPr>
          <w:p>
            <w:pPr>
              <w:ind w:left="60"/>
              <w:spacing w:after="0"/>
              <w:rPr>
                <w:sz w:val="20"/>
                <w:szCs w:val="20"/>
                <w:color w:val="auto"/>
              </w:rPr>
            </w:pPr>
            <w:r>
              <w:rPr>
                <w:rFonts w:ascii="Arial" w:cs="Arial" w:eastAsia="Arial" w:hAnsi="Arial"/>
                <w:sz w:val="14"/>
                <w:szCs w:val="14"/>
                <w:b w:val="1"/>
                <w:bCs w:val="1"/>
                <w:color w:val="auto"/>
              </w:rPr>
              <w:t>Name and Address</w:t>
            </w:r>
          </w:p>
        </w:tc>
        <w:tc>
          <w:tcPr>
            <w:tcW w:w="1420" w:type="dxa"/>
            <w:vAlign w:val="bottom"/>
            <w:tcBorders>
              <w:bottom w:val="single" w:sz="8" w:color="0063A6"/>
            </w:tcBorders>
            <w:shd w:val="clear" w:color="auto" w:fill="0063A6"/>
          </w:tcPr>
          <w:p>
            <w:pPr>
              <w:ind w:left="580"/>
              <w:spacing w:after="0"/>
              <w:rPr>
                <w:sz w:val="20"/>
                <w:szCs w:val="20"/>
                <w:color w:val="auto"/>
              </w:rPr>
            </w:pPr>
            <w:r>
              <w:rPr>
                <w:rFonts w:ascii="Arial" w:cs="Arial" w:eastAsia="Arial" w:hAnsi="Arial"/>
                <w:sz w:val="14"/>
                <w:szCs w:val="14"/>
                <w:b w:val="1"/>
                <w:bCs w:val="1"/>
                <w:color w:val="FFFFFF"/>
              </w:rPr>
              <w:t>Number</w:t>
            </w:r>
          </w:p>
        </w:tc>
        <w:tc>
          <w:tcPr>
            <w:tcW w:w="980" w:type="dxa"/>
            <w:vAlign w:val="bottom"/>
            <w:tcBorders>
              <w:bottom w:val="single" w:sz="8" w:color="0063A6"/>
            </w:tcBorders>
            <w:shd w:val="clear" w:color="auto" w:fill="0063A6"/>
          </w:tcPr>
          <w:p>
            <w:pPr>
              <w:ind w:left="340"/>
              <w:spacing w:after="0"/>
              <w:rPr>
                <w:sz w:val="20"/>
                <w:szCs w:val="20"/>
                <w:color w:val="auto"/>
              </w:rPr>
            </w:pPr>
            <w:r>
              <w:rPr>
                <w:rFonts w:ascii="Arial" w:cs="Arial" w:eastAsia="Arial" w:hAnsi="Arial"/>
                <w:sz w:val="14"/>
                <w:szCs w:val="14"/>
                <w:b w:val="1"/>
                <w:bCs w:val="1"/>
                <w:color w:val="FFFFFF"/>
              </w:rPr>
              <w:t>Percent</w:t>
            </w:r>
          </w:p>
        </w:tc>
      </w:tr>
      <w:tr>
        <w:trPr>
          <w:trHeight w:val="222"/>
        </w:trPr>
        <w:tc>
          <w:tcPr>
            <w:tcW w:w="6780" w:type="dxa"/>
            <w:vAlign w:val="bottom"/>
          </w:tcPr>
          <w:p>
            <w:pPr>
              <w:ind w:left="60"/>
              <w:spacing w:after="0" w:line="222" w:lineRule="exact"/>
              <w:rPr>
                <w:sz w:val="20"/>
                <w:szCs w:val="20"/>
                <w:color w:val="auto"/>
              </w:rPr>
            </w:pPr>
            <w:r>
              <w:rPr>
                <w:rFonts w:ascii="Arial" w:cs="Arial" w:eastAsia="Arial" w:hAnsi="Arial"/>
                <w:sz w:val="16"/>
                <w:szCs w:val="16"/>
                <w:color w:val="auto"/>
              </w:rPr>
              <w:t>BlackRock, Inc.</w:t>
            </w:r>
            <w:r>
              <w:rPr>
                <w:rFonts w:ascii="Arial" w:cs="Arial" w:eastAsia="Arial" w:hAnsi="Arial"/>
                <w:sz w:val="25"/>
                <w:szCs w:val="25"/>
                <w:color w:val="auto"/>
                <w:vertAlign w:val="superscript"/>
              </w:rPr>
              <w:t>(1)</w:t>
            </w:r>
          </w:p>
        </w:tc>
        <w:tc>
          <w:tcPr>
            <w:tcW w:w="1420" w:type="dxa"/>
            <w:vAlign w:val="bottom"/>
          </w:tcPr>
          <w:p>
            <w:pPr>
              <w:ind w:left="400"/>
              <w:spacing w:after="0"/>
              <w:rPr>
                <w:sz w:val="20"/>
                <w:szCs w:val="20"/>
                <w:color w:val="auto"/>
              </w:rPr>
            </w:pPr>
            <w:r>
              <w:rPr>
                <w:rFonts w:ascii="Arial" w:cs="Arial" w:eastAsia="Arial" w:hAnsi="Arial"/>
                <w:sz w:val="16"/>
                <w:szCs w:val="16"/>
                <w:color w:val="auto"/>
              </w:rPr>
              <w:t>7,636,047​</w:t>
            </w:r>
          </w:p>
        </w:tc>
        <w:tc>
          <w:tcPr>
            <w:tcW w:w="980" w:type="dxa"/>
            <w:vAlign w:val="bottom"/>
          </w:tcPr>
          <w:p>
            <w:pPr>
              <w:ind w:left="300"/>
              <w:spacing w:after="0"/>
              <w:rPr>
                <w:sz w:val="20"/>
                <w:szCs w:val="20"/>
                <w:color w:val="auto"/>
              </w:rPr>
            </w:pPr>
            <w:r>
              <w:rPr>
                <w:rFonts w:ascii="Arial" w:cs="Arial" w:eastAsia="Arial" w:hAnsi="Arial"/>
                <w:sz w:val="16"/>
                <w:szCs w:val="16"/>
                <w:color w:val="auto"/>
              </w:rPr>
              <w:t>​16.76%</w:t>
            </w: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50 Hudson Yards</w:t>
            </w: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6780" w:type="dxa"/>
            <w:vAlign w:val="bottom"/>
            <w:tcBorders>
              <w:bottom w:val="single" w:sz="8" w:color="5D6673"/>
            </w:tcBorders>
          </w:tcPr>
          <w:p>
            <w:pPr>
              <w:ind w:left="240"/>
              <w:spacing w:after="0"/>
              <w:rPr>
                <w:sz w:val="20"/>
                <w:szCs w:val="20"/>
                <w:color w:val="auto"/>
              </w:rPr>
            </w:pPr>
            <w:r>
              <w:rPr>
                <w:rFonts w:ascii="Arial" w:cs="Arial" w:eastAsia="Arial" w:hAnsi="Arial"/>
                <w:sz w:val="16"/>
                <w:szCs w:val="16"/>
                <w:color w:val="auto"/>
              </w:rPr>
              <w:t>New York, NY 10001</w:t>
            </w:r>
          </w:p>
        </w:tc>
        <w:tc>
          <w:tcPr>
            <w:tcW w:w="1420" w:type="dxa"/>
            <w:vAlign w:val="bottom"/>
            <w:tcBorders>
              <w:bottom w:val="single" w:sz="8" w:color="5D6673"/>
            </w:tcBorders>
          </w:tcPr>
          <w:p>
            <w:pPr>
              <w:spacing w:after="0"/>
              <w:rPr>
                <w:sz w:val="18"/>
                <w:szCs w:val="18"/>
                <w:color w:val="auto"/>
              </w:rPr>
            </w:pPr>
          </w:p>
        </w:tc>
        <w:tc>
          <w:tcPr>
            <w:tcW w:w="980" w:type="dxa"/>
            <w:vAlign w:val="bottom"/>
            <w:tcBorders>
              <w:bottom w:val="single" w:sz="8" w:color="5D6673"/>
            </w:tcBorders>
          </w:tcPr>
          <w:p>
            <w:pPr>
              <w:spacing w:after="0"/>
              <w:rPr>
                <w:sz w:val="18"/>
                <w:szCs w:val="18"/>
                <w:color w:val="auto"/>
              </w:rPr>
            </w:pPr>
          </w:p>
        </w:tc>
      </w:tr>
      <w:tr>
        <w:trPr>
          <w:trHeight w:val="264"/>
        </w:trPr>
        <w:tc>
          <w:tcPr>
            <w:tcW w:w="6780" w:type="dxa"/>
            <w:vAlign w:val="bottom"/>
          </w:tcPr>
          <w:p>
            <w:pPr>
              <w:ind w:left="60"/>
              <w:spacing w:after="0" w:line="263" w:lineRule="exact"/>
              <w:rPr>
                <w:sz w:val="20"/>
                <w:szCs w:val="20"/>
                <w:color w:val="auto"/>
              </w:rPr>
            </w:pPr>
            <w:r>
              <w:rPr>
                <w:rFonts w:ascii="Arial" w:cs="Arial" w:eastAsia="Arial" w:hAnsi="Arial"/>
                <w:sz w:val="16"/>
                <w:szCs w:val="16"/>
                <w:color w:val="auto"/>
              </w:rPr>
              <w:t>​Vanguard Group</w:t>
            </w:r>
            <w:r>
              <w:rPr>
                <w:rFonts w:ascii="Arial" w:cs="Arial" w:eastAsia="Arial" w:hAnsi="Arial"/>
                <w:sz w:val="26"/>
                <w:szCs w:val="26"/>
                <w:color w:val="auto"/>
                <w:vertAlign w:val="superscript"/>
              </w:rPr>
              <w:t>(2)</w:t>
            </w:r>
          </w:p>
        </w:tc>
        <w:tc>
          <w:tcPr>
            <w:tcW w:w="1420" w:type="dxa"/>
            <w:vAlign w:val="bottom"/>
          </w:tcPr>
          <w:p>
            <w:pPr>
              <w:ind w:left="400"/>
              <w:spacing w:after="0"/>
              <w:rPr>
                <w:sz w:val="20"/>
                <w:szCs w:val="20"/>
                <w:color w:val="auto"/>
              </w:rPr>
            </w:pPr>
            <w:r>
              <w:rPr>
                <w:rFonts w:ascii="Arial" w:cs="Arial" w:eastAsia="Arial" w:hAnsi="Arial"/>
                <w:sz w:val="16"/>
                <w:szCs w:val="16"/>
                <w:color w:val="auto"/>
              </w:rPr>
              <w:t>5,655,428​</w:t>
            </w:r>
          </w:p>
        </w:tc>
        <w:tc>
          <w:tcPr>
            <w:tcW w:w="980" w:type="dxa"/>
            <w:vAlign w:val="bottom"/>
          </w:tcPr>
          <w:p>
            <w:pPr>
              <w:ind w:left="300"/>
              <w:spacing w:after="0"/>
              <w:rPr>
                <w:sz w:val="20"/>
                <w:szCs w:val="20"/>
                <w:color w:val="auto"/>
              </w:rPr>
            </w:pPr>
            <w:r>
              <w:rPr>
                <w:rFonts w:ascii="Arial" w:cs="Arial" w:eastAsia="Arial" w:hAnsi="Arial"/>
                <w:sz w:val="16"/>
                <w:szCs w:val="16"/>
                <w:color w:val="auto"/>
              </w:rPr>
              <w:t>​12.41%</w:t>
            </w: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100 Vanguard Blvd.</w:t>
            </w: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6780" w:type="dxa"/>
            <w:vAlign w:val="bottom"/>
            <w:tcBorders>
              <w:bottom w:val="single" w:sz="8" w:color="5D6673"/>
            </w:tcBorders>
          </w:tcPr>
          <w:p>
            <w:pPr>
              <w:ind w:left="240"/>
              <w:spacing w:after="0"/>
              <w:rPr>
                <w:sz w:val="20"/>
                <w:szCs w:val="20"/>
                <w:color w:val="auto"/>
              </w:rPr>
            </w:pPr>
            <w:r>
              <w:rPr>
                <w:rFonts w:ascii="Arial" w:cs="Arial" w:eastAsia="Arial" w:hAnsi="Arial"/>
                <w:sz w:val="16"/>
                <w:szCs w:val="16"/>
                <w:color w:val="auto"/>
              </w:rPr>
              <w:t>Malvern, PA 19355</w:t>
            </w:r>
          </w:p>
        </w:tc>
        <w:tc>
          <w:tcPr>
            <w:tcW w:w="1420" w:type="dxa"/>
            <w:vAlign w:val="bottom"/>
            <w:tcBorders>
              <w:bottom w:val="single" w:sz="8" w:color="5D6673"/>
            </w:tcBorders>
          </w:tcPr>
          <w:p>
            <w:pPr>
              <w:spacing w:after="0"/>
              <w:rPr>
                <w:sz w:val="18"/>
                <w:szCs w:val="18"/>
                <w:color w:val="auto"/>
              </w:rPr>
            </w:pPr>
          </w:p>
        </w:tc>
        <w:tc>
          <w:tcPr>
            <w:tcW w:w="980" w:type="dxa"/>
            <w:vAlign w:val="bottom"/>
            <w:tcBorders>
              <w:bottom w:val="single" w:sz="8" w:color="5D6673"/>
            </w:tcBorders>
          </w:tcPr>
          <w:p>
            <w:pPr>
              <w:spacing w:after="0"/>
              <w:rPr>
                <w:sz w:val="18"/>
                <w:szCs w:val="18"/>
                <w:color w:val="auto"/>
              </w:rPr>
            </w:pPr>
          </w:p>
        </w:tc>
      </w:tr>
      <w:tr>
        <w:trPr>
          <w:trHeight w:val="264"/>
        </w:trPr>
        <w:tc>
          <w:tcPr>
            <w:tcW w:w="6780" w:type="dxa"/>
            <w:vAlign w:val="bottom"/>
          </w:tcPr>
          <w:p>
            <w:pPr>
              <w:ind w:left="60"/>
              <w:spacing w:after="0" w:line="263" w:lineRule="exact"/>
              <w:rPr>
                <w:sz w:val="20"/>
                <w:szCs w:val="20"/>
                <w:color w:val="auto"/>
              </w:rPr>
            </w:pPr>
            <w:r>
              <w:rPr>
                <w:rFonts w:ascii="Arial" w:cs="Arial" w:eastAsia="Arial" w:hAnsi="Arial"/>
                <w:sz w:val="16"/>
                <w:szCs w:val="16"/>
                <w:color w:val="auto"/>
              </w:rPr>
              <w:t>Invesco Ltd</w:t>
            </w:r>
            <w:r>
              <w:rPr>
                <w:rFonts w:ascii="Arial" w:cs="Arial" w:eastAsia="Arial" w:hAnsi="Arial"/>
                <w:sz w:val="26"/>
                <w:szCs w:val="26"/>
                <w:color w:val="auto"/>
                <w:vertAlign w:val="superscript"/>
              </w:rPr>
              <w:t>(3)</w:t>
            </w:r>
          </w:p>
        </w:tc>
        <w:tc>
          <w:tcPr>
            <w:tcW w:w="1420" w:type="dxa"/>
            <w:vAlign w:val="bottom"/>
          </w:tcPr>
          <w:p>
            <w:pPr>
              <w:ind w:left="400"/>
              <w:spacing w:after="0"/>
              <w:rPr>
                <w:sz w:val="20"/>
                <w:szCs w:val="20"/>
                <w:color w:val="auto"/>
              </w:rPr>
            </w:pPr>
            <w:r>
              <w:rPr>
                <w:rFonts w:ascii="Arial" w:cs="Arial" w:eastAsia="Arial" w:hAnsi="Arial"/>
                <w:sz w:val="16"/>
                <w:szCs w:val="16"/>
                <w:color w:val="auto"/>
              </w:rPr>
              <w:t>2,546,468​</w:t>
            </w:r>
          </w:p>
        </w:tc>
        <w:tc>
          <w:tcPr>
            <w:tcW w:w="980" w:type="dxa"/>
            <w:vAlign w:val="bottom"/>
          </w:tcPr>
          <w:p>
            <w:pPr>
              <w:ind w:left="300"/>
              <w:spacing w:after="0"/>
              <w:rPr>
                <w:sz w:val="20"/>
                <w:szCs w:val="20"/>
                <w:color w:val="auto"/>
              </w:rPr>
            </w:pPr>
            <w:r>
              <w:rPr>
                <w:rFonts w:ascii="Arial" w:cs="Arial" w:eastAsia="Arial" w:hAnsi="Arial"/>
                <w:sz w:val="16"/>
                <w:szCs w:val="16"/>
                <w:color w:val="auto"/>
              </w:rPr>
              <w:t>​ 5.59%</w:t>
            </w:r>
          </w:p>
        </w:tc>
      </w:tr>
      <w:tr>
        <w:trPr>
          <w:trHeight w:val="189"/>
        </w:trPr>
        <w:tc>
          <w:tcPr>
            <w:tcW w:w="6780" w:type="dxa"/>
            <w:vAlign w:val="bottom"/>
          </w:tcPr>
          <w:p>
            <w:pPr>
              <w:ind w:left="240"/>
              <w:spacing w:after="0"/>
              <w:rPr>
                <w:sz w:val="20"/>
                <w:szCs w:val="20"/>
                <w:color w:val="auto"/>
              </w:rPr>
            </w:pPr>
            <w:r>
              <w:rPr>
                <w:rFonts w:ascii="Arial" w:cs="Arial" w:eastAsia="Arial" w:hAnsi="Arial"/>
                <w:sz w:val="16"/>
                <w:szCs w:val="16"/>
                <w:color w:val="auto"/>
              </w:rPr>
              <w:t>1331 Spring Street NW, Suite 2500</w:t>
            </w: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6780" w:type="dxa"/>
            <w:vAlign w:val="bottom"/>
            <w:tcBorders>
              <w:bottom w:val="single" w:sz="8" w:color="0063A6"/>
            </w:tcBorders>
          </w:tcPr>
          <w:p>
            <w:pPr>
              <w:ind w:left="240"/>
              <w:spacing w:after="0"/>
              <w:rPr>
                <w:sz w:val="20"/>
                <w:szCs w:val="20"/>
                <w:color w:val="auto"/>
              </w:rPr>
            </w:pPr>
            <w:r>
              <w:rPr>
                <w:rFonts w:ascii="Arial" w:cs="Arial" w:eastAsia="Arial" w:hAnsi="Arial"/>
                <w:sz w:val="16"/>
                <w:szCs w:val="16"/>
                <w:color w:val="auto"/>
              </w:rPr>
              <w:t>Atlanta, GA 30309</w:t>
            </w:r>
          </w:p>
        </w:tc>
        <w:tc>
          <w:tcPr>
            <w:tcW w:w="1420" w:type="dxa"/>
            <w:vAlign w:val="bottom"/>
            <w:tcBorders>
              <w:bottom w:val="single" w:sz="8" w:color="0063A6"/>
            </w:tcBorders>
          </w:tcPr>
          <w:p>
            <w:pPr>
              <w:spacing w:after="0"/>
              <w:rPr>
                <w:sz w:val="18"/>
                <w:szCs w:val="18"/>
                <w:color w:val="auto"/>
              </w:rPr>
            </w:pPr>
          </w:p>
        </w:tc>
        <w:tc>
          <w:tcPr>
            <w:tcW w:w="980" w:type="dxa"/>
            <w:vAlign w:val="bottom"/>
            <w:tcBorders>
              <w:bottom w:val="single" w:sz="8" w:color="0063A6"/>
            </w:tcBorders>
          </w:tcPr>
          <w:p>
            <w:pPr>
              <w:spacing w:after="0"/>
              <w:rPr>
                <w:sz w:val="18"/>
                <w:szCs w:val="18"/>
                <w:color w:val="auto"/>
              </w:rPr>
            </w:pPr>
          </w:p>
        </w:tc>
      </w:tr>
    </w:tbl>
    <w:p>
      <w:pPr>
        <w:spacing w:after="0" w:line="99" w:lineRule="exact"/>
        <w:rPr>
          <w:sz w:val="20"/>
          <w:szCs w:val="20"/>
          <w:color w:val="auto"/>
        </w:rPr>
      </w:pPr>
    </w:p>
    <w:p>
      <w:pPr>
        <w:ind w:left="346" w:right="60" w:hanging="346"/>
        <w:spacing w:after="0" w:line="247"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Information is based on Amendment No. 25 to a Schedule 13G/A filed with the SEC on October 18, 2024 by BlackRock, Inc., reporting beneficial ownership as of September 30, 2024 on behalf of its investment advisory subsidiaries, BlackRock Life Limited, BlackRock Advisors, LLC, Aperio Group, LLC, BlackRock (Netherlands) B.V., BlackRock Fund Advisors, BlackRock Institutional Trust Company, National Association, BlackRock Asset Management Ireland Limited, BlackRock Financial Management, Inc., BlackRock Japan Co., Ltd., BlackRock Asset Management Schweiz AG, BlackRock Investment Management, LLC, BlackRock Investment Management (UK) Limited, SpiderRock Advisors, LLC, BlackRock Asset Management Canada Limited, BlackRock Investment Management (Australia) Limited, BlackRock Fund Managers Ltd. The Schedule 13G indicates that BlackRock Fund Advisors beneficially owns 5 or greater of these shares reported, and that BlackRock, Inc. has sole voting power over 7,591,538 of these shares and sole dispositive power over all of these shares.</w:t>
      </w:r>
    </w:p>
    <w:p>
      <w:pPr>
        <w:spacing w:after="0" w:line="199" w:lineRule="exact"/>
        <w:rPr>
          <w:rFonts w:ascii="Arial" w:cs="Arial" w:eastAsia="Arial" w:hAnsi="Arial"/>
          <w:sz w:val="14"/>
          <w:szCs w:val="14"/>
          <w:color w:val="auto"/>
        </w:rPr>
      </w:pPr>
    </w:p>
    <w:p>
      <w:pPr>
        <w:ind w:left="346" w:right="80" w:hanging="346"/>
        <w:spacing w:after="0" w:line="256"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Information is based on Amendment No. 12 to a Schedule 13G/A filed with the SEC on February 13, 2024 by The Vanguard Group (Vanguard), reporting beneficial ownership as of December 29, 2023. The Schedule 13G indicates that Vanguard has sole dispositive power over 5,571,896 of these shares and shared dispositive power over 83,532 of these shares. Vanguard has shared voting power over 35,647 of these shares.</w:t>
      </w:r>
    </w:p>
    <w:p>
      <w:pPr>
        <w:spacing w:after="0" w:line="42" w:lineRule="exact"/>
        <w:rPr>
          <w:rFonts w:ascii="Arial" w:cs="Arial" w:eastAsia="Arial" w:hAnsi="Arial"/>
          <w:sz w:val="14"/>
          <w:szCs w:val="14"/>
          <w:color w:val="auto"/>
        </w:rPr>
      </w:pPr>
    </w:p>
    <w:p>
      <w:pPr>
        <w:ind w:left="346" w:right="100" w:hanging="346"/>
        <w:spacing w:after="0" w:line="258"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Information is based on Schedule 13G filed with the SEC on November 8, 2024 by Invesco Ltd., reporting beneficial ownership as of September 30, 2024 on behalf of Invesco Advisors, Inc., Invesco Asset Management Deutschland GmbH, and Invesco Capital Management LLC. Invesco Ltd. has sole voting power over 2,451,886 of these shares and sole dispositive power over 2,527,712 of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58293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6"/>
        <w:spacing w:after="0"/>
        <w:tabs>
          <w:tab w:leader="none" w:pos="3046" w:val="left"/>
          <w:tab w:leader="none" w:pos="7146" w:val="left"/>
        </w:tabs>
        <w:rPr>
          <w:sz w:val="20"/>
          <w:szCs w:val="20"/>
          <w:color w:val="auto"/>
        </w:rPr>
      </w:pPr>
      <w:r>
        <w:rPr>
          <w:rFonts w:ascii="Arial" w:cs="Arial" w:eastAsia="Arial" w:hAnsi="Arial"/>
          <w:sz w:val="16"/>
          <w:szCs w:val="16"/>
          <w:color w:val="5D6673"/>
        </w:rPr>
        <w:t>66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LIST OF SHAREHOLDERS OF RECORD</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ANNUAL REPORT AND FINANCIAL STATEMENTS</w:t>
      </w:r>
    </w:p>
    <w:p>
      <w:pPr>
        <w:spacing w:after="0" w:line="20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 xml:space="preserve">A copy of our 2024 Annual Report to Shareholders, which includes our financial statements for the year ended December 31, 2024, accompanies this proxy statement. In addition, you may view the Annual Report and this proxy statement on our Company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and then “Financials and Filings.”</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SHAREHOLDER PROPOSALS FOR THE 2026 ANNUAL MEETING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Shareholder Proposals to be Considered for Inclusion in Itron’s Proxy Materials.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the SEC’s proxy rules, shareholder proposals that meet specified conditions must be included in our proxy statement and proxy for the 2026 annual meeting. Under Exchange Act Rule 14a-8(e), shareholders that intend to present a proposal at our 2026 annual meeting must give us written notice of the proposal not later than November 24, 2025 for the proposal to be considered for inclusion in our proxy materials for that meeting.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Shareholder Proposals and Nominations to be Brought Before the Annual Meeting.</w:t>
      </w:r>
    </w:p>
    <w:p>
      <w:pPr>
        <w:spacing w:after="0" w:line="17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Accordingly, shareholders who intend to present proposals at the 2026 annual meeting that will not be included in our proxy materials must provide to our Corporate Secretary written notice of the business they wish to propose not later than February 7, 2026 and no sooner than January 8, 2026.</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Additionally, our Amended and Restated Bylaws provide that the notice of nominations for election of directors must be received at least 90 days and not more than 120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We anticipate that our 2026 Annual Meeting of Shareholders will be held on May 14, 2026. Based on the expected date of the 2026 annual meeting, shareholders who intend to present notice of nominations for election of directors at the 2026 annual meeting that will not be included in our proxy materials must provide to our Corporate Secretary written notice of the business they wish to propose not later than February 13, 2026 and no sooner than January 14, 2026.</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timely receipt of a proposal or nomination by a qualified shareholder will not guarantee inclusion in our proxy materials or presentation at the 2026 annual meeting. We reserve the right to reject, rule out of order, or take other appropriate action with respect to any proposal or nomination that does not comply with all applicable requirements of the SEC’s proxy rules, state law, and our Amended and Restated Bylaws.</w:t>
      </w:r>
    </w:p>
    <w:p>
      <w:pPr>
        <w:spacing w:after="0" w:line="13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Shareholders who intend to solicit proxies in reliance on the SEC’s universal proxy rule for director nominees submitted under the advance notice requirements of our Amended and Restated Bylaws must comply with the additional requirements of Rule 14a-19(b).</w:t>
      </w:r>
    </w:p>
    <w:p>
      <w:pPr>
        <w:spacing w:after="0" w:line="144"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Shareholder proposals should be directed to the attention of our Corporate Secretary, Itron, Inc., 2111 N. Molter Road, Liberty Lake, Washington 99019.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58293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1" w:lineRule="exact"/>
        <w:rPr>
          <w:sz w:val="20"/>
          <w:szCs w:val="20"/>
          <w:color w:val="auto"/>
        </w:rPr>
      </w:pPr>
    </w:p>
    <w:p>
      <w:pPr>
        <w:ind w:left="40"/>
        <w:spacing w:after="0"/>
        <w:tabs>
          <w:tab w:leader="none" w:pos="3040" w:val="left"/>
          <w:tab w:leader="none" w:pos="894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OTHER INFORMATION</w:t>
      </w:r>
    </w:p>
    <w:p>
      <w:pPr>
        <w:spacing w:after="0" w:line="20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and selecting “Investor Relations” and then “Financials and Filings.” Shareholders may submit a request for printed copies by e-mail through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Relations” and then “Contact” or by mail to the following address:</w:t>
      </w:r>
    </w:p>
    <w:p>
      <w:pPr>
        <w:spacing w:after="0" w:line="180"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Itron, Inc. – Attention: Investor Relations</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2111 N. Molter Road</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Liberty Lake, Washington 99019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58293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20"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68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7740"/>
        <w:spacing w:after="0"/>
        <w:rPr>
          <w:sz w:val="20"/>
          <w:szCs w:val="20"/>
          <w:color w:val="auto"/>
        </w:rPr>
      </w:pPr>
      <w:r>
        <w:rPr>
          <w:rFonts w:ascii="Arial" w:cs="Arial" w:eastAsia="Arial" w:hAnsi="Arial"/>
          <w:sz w:val="23"/>
          <w:szCs w:val="23"/>
          <w:b w:val="1"/>
          <w:bCs w:val="1"/>
          <w:color w:val="0063A6"/>
        </w:rPr>
        <w:t>APPENDIX A</w:t>
      </w:r>
    </w:p>
    <w:p>
      <w:pPr>
        <w:spacing w:after="0" w:line="195" w:lineRule="exact"/>
        <w:rPr>
          <w:sz w:val="20"/>
          <w:szCs w:val="20"/>
          <w:color w:val="auto"/>
        </w:rPr>
      </w:pPr>
    </w:p>
    <w:p>
      <w:pPr>
        <w:ind w:right="600"/>
        <w:spacing w:after="0" w:line="283" w:lineRule="auto"/>
        <w:rPr>
          <w:sz w:val="20"/>
          <w:szCs w:val="20"/>
          <w:color w:val="auto"/>
        </w:rPr>
      </w:pPr>
      <w:r>
        <w:rPr>
          <w:rFonts w:ascii="Arial" w:cs="Arial" w:eastAsia="Arial" w:hAnsi="Arial"/>
          <w:sz w:val="23"/>
          <w:szCs w:val="23"/>
          <w:b w:val="1"/>
          <w:bCs w:val="1"/>
          <w:color w:val="0063A6"/>
        </w:rPr>
        <w:t>PROPOSAL 3: AMENDMENT TO THE ITRON, INC. AMENDED AND RESTATED ARTICLES OF INCORPORATION TO INCREASE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58293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If Proposal 3 is adopted and effected, Article 2 of the Articles would be amended as follows (additions are shown as double underlined and deletions are shown as struck through):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63A6"/>
        </w:rPr>
        <w:t>ARTICLE 2 – SHARES</w:t>
      </w:r>
    </w:p>
    <w:p>
      <w:pPr>
        <w:spacing w:after="0" w:line="18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rPr>
        <w:t>2.1</w:t>
      </w:r>
      <w:r>
        <w:rPr>
          <w:sz w:val="20"/>
          <w:szCs w:val="20"/>
          <w:color w:val="auto"/>
        </w:rPr>
        <w:tab/>
      </w:r>
      <w:r>
        <w:rPr>
          <w:rFonts w:ascii="Arial" w:cs="Arial" w:eastAsia="Arial" w:hAnsi="Arial"/>
          <w:sz w:val="19"/>
          <w:szCs w:val="19"/>
          <w:b w:val="1"/>
          <w:bCs w:val="1"/>
          <w:color w:val="0063A6"/>
        </w:rPr>
        <w:t>Authorized Capital</w:t>
      </w:r>
    </w:p>
    <w:p>
      <w:pPr>
        <w:spacing w:after="0" w:line="63" w:lineRule="exact"/>
        <w:rPr>
          <w:sz w:val="20"/>
          <w:szCs w:val="20"/>
          <w:color w:val="auto"/>
        </w:rPr>
      </w:pPr>
    </w:p>
    <w:p>
      <w:pPr>
        <w:jc w:val="both"/>
        <w:ind w:left="360" w:right="340"/>
        <w:spacing w:after="0" w:line="266" w:lineRule="auto"/>
        <w:rPr>
          <w:sz w:val="20"/>
          <w:szCs w:val="20"/>
          <w:color w:val="auto"/>
        </w:rPr>
      </w:pPr>
      <w:r>
        <w:rPr>
          <w:rFonts w:ascii="Arial" w:cs="Arial" w:eastAsia="Arial" w:hAnsi="Arial"/>
          <w:sz w:val="16"/>
          <w:szCs w:val="16"/>
          <w:color w:val="auto"/>
        </w:rPr>
        <w:t xml:space="preserve">The total number of shares which the corporation is authorized to issue is </w:t>
      </w:r>
      <w:r>
        <w:rPr>
          <w:rFonts w:ascii="Arial" w:cs="Arial" w:eastAsia="Arial" w:hAnsi="Arial"/>
          <w:sz w:val="16"/>
          <w:szCs w:val="16"/>
          <w:color w:val="auto"/>
          <w:strike w:val="1"/>
        </w:rPr>
        <w:t>85</w:t>
      </w:r>
      <w:r>
        <w:rPr>
          <w:rFonts w:ascii="Arial" w:cs="Arial" w:eastAsia="Arial" w:hAnsi="Arial"/>
          <w:sz w:val="16"/>
          <w:szCs w:val="16"/>
          <w:u w:val="single" w:color="auto"/>
          <w:color w:val="auto"/>
        </w:rPr>
        <w:t>165</w:t>
      </w:r>
      <w:r>
        <w:rPr>
          <w:rFonts w:ascii="Arial" w:cs="Arial" w:eastAsia="Arial" w:hAnsi="Arial"/>
          <w:sz w:val="16"/>
          <w:szCs w:val="16"/>
          <w:color w:val="auto"/>
        </w:rPr>
        <w:t xml:space="preserve">,000,000, consisting of </w:t>
      </w:r>
      <w:r>
        <w:rPr>
          <w:rFonts w:ascii="Arial" w:cs="Arial" w:eastAsia="Arial" w:hAnsi="Arial"/>
          <w:sz w:val="16"/>
          <w:szCs w:val="16"/>
          <w:color w:val="auto"/>
          <w:strike w:val="1"/>
        </w:rPr>
        <w:t>75</w:t>
      </w:r>
      <w:r>
        <w:rPr>
          <w:rFonts w:ascii="Arial" w:cs="Arial" w:eastAsia="Arial" w:hAnsi="Arial"/>
          <w:sz w:val="16"/>
          <w:szCs w:val="16"/>
          <w:u w:val="single" w:color="auto"/>
          <w:color w:val="auto"/>
        </w:rPr>
        <w:t>150</w:t>
      </w:r>
      <w:r>
        <w:rPr>
          <w:rFonts w:ascii="Arial" w:cs="Arial" w:eastAsia="Arial" w:hAnsi="Arial"/>
          <w:sz w:val="16"/>
          <w:szCs w:val="16"/>
          <w:color w:val="auto"/>
        </w:rPr>
        <w:t>,000,000 shares of Common Stock without par value and 10,000,000 shares of Preferred Stock without par value. The Common Stock is subject to the rights and preferences of the Preferred Stock as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-276225</wp:posOffset>
            </wp:positionV>
            <wp:extent cx="1714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-259080</wp:posOffset>
            </wp:positionV>
            <wp:extent cx="1714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86" w:lineRule="exact"/>
        <w:rPr>
          <w:sz w:val="20"/>
          <w:szCs w:val="20"/>
          <w:color w:val="auto"/>
        </w:rPr>
      </w:pPr>
    </w:p>
    <w:p>
      <w:pPr>
        <w:ind w:left="40"/>
        <w:spacing w:after="0"/>
        <w:tabs>
          <w:tab w:leader="none" w:pos="3040" w:val="left"/>
          <w:tab w:leader="none" w:pos="886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7740"/>
        <w:spacing w:after="0"/>
        <w:rPr>
          <w:sz w:val="20"/>
          <w:szCs w:val="20"/>
          <w:color w:val="auto"/>
        </w:rPr>
      </w:pPr>
      <w:r>
        <w:rPr>
          <w:rFonts w:ascii="Arial" w:cs="Arial" w:eastAsia="Arial" w:hAnsi="Arial"/>
          <w:sz w:val="23"/>
          <w:szCs w:val="23"/>
          <w:b w:val="1"/>
          <w:bCs w:val="1"/>
          <w:color w:val="0063A6"/>
        </w:rPr>
        <w:t>APPENDIX B</w:t>
      </w:r>
    </w:p>
    <w:p>
      <w:pPr>
        <w:spacing w:after="0" w:line="195" w:lineRule="exact"/>
        <w:rPr>
          <w:sz w:val="20"/>
          <w:szCs w:val="20"/>
          <w:color w:val="auto"/>
        </w:rPr>
      </w:pPr>
    </w:p>
    <w:p>
      <w:pPr>
        <w:ind w:right="320"/>
        <w:spacing w:after="0" w:line="283" w:lineRule="auto"/>
        <w:rPr>
          <w:sz w:val="20"/>
          <w:szCs w:val="20"/>
          <w:color w:val="auto"/>
        </w:rPr>
      </w:pPr>
      <w:r>
        <w:rPr>
          <w:rFonts w:ascii="Arial" w:cs="Arial" w:eastAsia="Arial" w:hAnsi="Arial"/>
          <w:sz w:val="23"/>
          <w:szCs w:val="23"/>
          <w:b w:val="1"/>
          <w:bCs w:val="1"/>
          <w:color w:val="0063A6"/>
        </w:rPr>
        <w:t>PROPOSAL 4 – AMENDMENTS TO THE ITRON, INC. AMENDED AND RESTATED ARTICLES OF INCORPORATION TO MAKE CERTAIN TECHNICAL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58293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If Proposal 4 is adopted and effected, Articles 2 and 3 of the Articles would be amended as follows (additions are shown as double underlined and deletions are shown as struck through):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63A6"/>
        </w:rPr>
        <w:t>ARTICLE 2 – SHARES</w:t>
      </w:r>
    </w:p>
    <w:p>
      <w:pPr>
        <w:spacing w:after="0" w:line="170" w:lineRule="exact"/>
        <w:rPr>
          <w:sz w:val="20"/>
          <w:szCs w:val="20"/>
          <w:color w:val="auto"/>
        </w:rPr>
      </w:pPr>
    </w:p>
    <w:p>
      <w:pPr>
        <w:ind w:left="1060" w:right="80" w:hanging="715"/>
        <w:spacing w:after="0" w:line="265" w:lineRule="auto"/>
        <w:tabs>
          <w:tab w:leader="none" w:pos="1040" w:val="left"/>
        </w:tabs>
        <w:rPr>
          <w:sz w:val="20"/>
          <w:szCs w:val="20"/>
          <w:color w:val="auto"/>
        </w:rPr>
      </w:pPr>
      <w:r>
        <w:rPr>
          <w:rFonts w:ascii="Arial" w:cs="Arial" w:eastAsia="Arial" w:hAnsi="Arial"/>
          <w:sz w:val="20"/>
          <w:szCs w:val="20"/>
          <w:b w:val="1"/>
          <w:bCs w:val="1"/>
          <w:color w:val="0063A6"/>
          <w:strike w:val="1"/>
        </w:rPr>
        <w:t>2.8</w:t>
      </w:r>
      <w:r>
        <w:rPr>
          <w:sz w:val="20"/>
          <w:szCs w:val="20"/>
          <w:color w:val="auto"/>
        </w:rPr>
        <w:tab/>
      </w:r>
      <w:r>
        <w:rPr>
          <w:rFonts w:ascii="Arial" w:cs="Arial" w:eastAsia="Arial" w:hAnsi="Arial"/>
          <w:sz w:val="20"/>
          <w:szCs w:val="20"/>
          <w:b w:val="1"/>
          <w:bCs w:val="1"/>
          <w:color w:val="0063A6"/>
          <w:strike w:val="1"/>
        </w:rPr>
        <w:t>Designation of Rights and Preferences of Series R Participating Cumulative Preferred Stock</w:t>
      </w:r>
    </w:p>
    <w:p>
      <w:pPr>
        <w:spacing w:after="0" w:line="1" w:lineRule="exact"/>
        <w:rPr>
          <w:sz w:val="20"/>
          <w:szCs w:val="20"/>
          <w:color w:val="auto"/>
        </w:rPr>
      </w:pPr>
    </w:p>
    <w:p>
      <w:pPr>
        <w:ind w:left="360" w:right="40"/>
        <w:spacing w:after="0" w:line="286" w:lineRule="auto"/>
        <w:rPr>
          <w:sz w:val="20"/>
          <w:szCs w:val="20"/>
          <w:color w:val="auto"/>
        </w:rPr>
      </w:pPr>
      <w:r>
        <w:rPr>
          <w:rFonts w:ascii="Arial" w:cs="Arial" w:eastAsia="Arial" w:hAnsi="Arial"/>
          <w:sz w:val="16"/>
          <w:szCs w:val="16"/>
          <w:color w:val="auto"/>
          <w:strike w:val="1"/>
        </w:rPr>
        <w:t>The following series of Preferred Stock is hereby designated, which series shall have the rights, preferences and privileges and limitations set forth below:</w:t>
      </w:r>
    </w:p>
    <w:p>
      <w:pPr>
        <w:spacing w:after="0" w:line="119"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2.8.1</w:t>
      </w:r>
      <w:r>
        <w:rPr>
          <w:sz w:val="20"/>
          <w:szCs w:val="20"/>
          <w:color w:val="auto"/>
        </w:rPr>
        <w:tab/>
      </w:r>
      <w:r>
        <w:rPr>
          <w:rFonts w:ascii="Arial" w:cs="Arial" w:eastAsia="Arial" w:hAnsi="Arial"/>
          <w:sz w:val="19"/>
          <w:szCs w:val="19"/>
          <w:b w:val="1"/>
          <w:bCs w:val="1"/>
          <w:color w:val="0063A6"/>
          <w:strike w:val="1"/>
        </w:rPr>
        <w:t>Designation of Series R Participating Cumulative Preferred Stock</w:t>
      </w:r>
    </w:p>
    <w:p>
      <w:pPr>
        <w:spacing w:after="0" w:line="63" w:lineRule="exact"/>
        <w:rPr>
          <w:sz w:val="20"/>
          <w:szCs w:val="20"/>
          <w:color w:val="auto"/>
        </w:rPr>
      </w:pPr>
    </w:p>
    <w:p>
      <w:pPr>
        <w:ind w:left="360" w:right="40"/>
        <w:spacing w:after="0" w:line="249" w:lineRule="auto"/>
        <w:rPr>
          <w:sz w:val="20"/>
          <w:szCs w:val="20"/>
          <w:color w:val="auto"/>
        </w:rPr>
      </w:pPr>
      <w:r>
        <w:rPr>
          <w:rFonts w:ascii="Arial" w:cs="Arial" w:eastAsia="Arial" w:hAnsi="Arial"/>
          <w:sz w:val="16"/>
          <w:szCs w:val="16"/>
          <w:color w:val="auto"/>
        </w:rPr>
        <w:t xml:space="preserve">The shares of such series shall be designated the “Series R Participating Cumulative Preferred Stock” (the “Series R </w:t>
      </w:r>
      <w:r>
        <w:rPr>
          <w:rFonts w:ascii="Arial" w:cs="Arial" w:eastAsia="Arial" w:hAnsi="Arial"/>
          <w:sz w:val="16"/>
          <w:szCs w:val="16"/>
          <w:color w:val="auto"/>
          <w:strike w:val="1"/>
        </w:rPr>
        <w:t>Preferred Stock”), without par value. The number of shares initially constituting the Series R Preferred Stock shall be 1,000,000; provided, however, if more than a total of 1,000,000 shares of Series R Preferred Stock shall be issuable upon the exercise of Rights (the “Rights”) issued pursuant to the Rights Agreement dated as of December 11, 2002 between the corporation and Mellon Investor Services LLC, as Rights Agent (the “Rights Agreement”), the corporation's Board of Directors, pursuant to Section 23B.06.020 of the Revised Code of Washington, shall direct by resolution or resolutions that Articles of Amendment be properly executed and filed with the Washington Secretary of State providing for the total number of shares of Series R Preferred Stock authorized for issuance to be increased (to the extent that the Amended and Restated Articles of Incorporation then permits) to the largest number of whole shares (rounded up to the nearest whole number) issuable upon exercise of such Rights. In addition, such number of shares may be decreased by resolution of the Board of Directors; provided, however, that no decrease shall reduce the number of shares of Series R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-1627505</wp:posOffset>
            </wp:positionV>
            <wp:extent cx="53003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300345" cy="8255"/>
                    </a:xfrm>
                    <a:prstGeom prst="rect">
                      <a:avLst/>
                    </a:prstGeom>
                    <a:noFill/>
                  </pic:spPr>
                </pic:pic>
              </a:graphicData>
            </a:graphic>
          </wp:anchor>
        </w:drawing>
      </w:r>
    </w:p>
    <w:p>
      <w:pPr>
        <w:spacing w:after="0" w:line="120"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2.8.2</w:t>
      </w:r>
      <w:r>
        <w:rPr>
          <w:sz w:val="20"/>
          <w:szCs w:val="20"/>
          <w:color w:val="auto"/>
        </w:rPr>
        <w:tab/>
      </w:r>
      <w:r>
        <w:rPr>
          <w:rFonts w:ascii="Arial" w:cs="Arial" w:eastAsia="Arial" w:hAnsi="Arial"/>
          <w:sz w:val="19"/>
          <w:szCs w:val="19"/>
          <w:b w:val="1"/>
          <w:bCs w:val="1"/>
          <w:color w:val="0063A6"/>
          <w:strike w:val="1"/>
        </w:rPr>
        <w:t>Dividends and Distributions</w:t>
      </w:r>
    </w:p>
    <w:p>
      <w:pPr>
        <w:spacing w:after="0" w:line="77" w:lineRule="exact"/>
        <w:rPr>
          <w:sz w:val="20"/>
          <w:szCs w:val="20"/>
          <w:color w:val="auto"/>
        </w:rPr>
      </w:pPr>
    </w:p>
    <w:p>
      <w:pPr>
        <w:ind w:left="360" w:right="20"/>
        <w:spacing w:after="0" w:line="248" w:lineRule="auto"/>
        <w:rPr>
          <w:sz w:val="20"/>
          <w:szCs w:val="20"/>
          <w:color w:val="auto"/>
        </w:rPr>
      </w:pPr>
      <w:r>
        <w:rPr>
          <w:rFonts w:ascii="Arial" w:cs="Arial" w:eastAsia="Arial" w:hAnsi="Arial"/>
          <w:sz w:val="16"/>
          <w:szCs w:val="16"/>
          <w:color w:val="auto"/>
        </w:rPr>
        <w:t xml:space="preserve">(a)  Subject to the prior and superior rights of the holders of shares of any other series of Preferred Stock or other class of </w:t>
      </w:r>
      <w:r>
        <w:rPr>
          <w:rFonts w:ascii="Arial" w:cs="Arial" w:eastAsia="Arial" w:hAnsi="Arial"/>
          <w:sz w:val="16"/>
          <w:szCs w:val="16"/>
          <w:color w:val="auto"/>
          <w:strike w:val="1"/>
        </w:rPr>
        <w:t>capital stock of the corporation ranking prior and superior to the shares of Series R Preferred Stock with respect to dividends, the holders of shares of Series R Preferred Stock shall be entitled to receive, when, as, and if declared by the Board of Directors, out of the assets of the corporation legally available therefor, quarterly dividends payable in cash on the last day of each fiscal quarter in each year, or such other dates as the corporation's Board of Directors shall approve (each such date being referred to in this Designation as a “Quarterly Dividend Payment Date”), commencing on the first Quarterly Dividend Payment Date after the first issuance of a share or a fraction of a share of Series R Preferred Stock, in an amount per share (rounded to the nearest cent) equal to the greater of (i) $0.01 and (ii) the Formula Number (as hereinafter defined) then in effect times the cash dividends then to be paid on each share of Common Stock. In addition, if the corporation shall pay any dividend or make any distribution on the Common Stock payable in assets, securities or other forms of noncash consideration (other than dividends or distributions solely in shares of Common Stock), then, in each such case, the corporation shall simultaneously pay or make on each outstanding whole share of Series R Preferred Stock a dividend or distribution in like kind equal to the Formula Number then in effect times such dividend or distribution on each share of Common Stock. As used in this Designation and in the Rights Agreement, the “Formula Number” shall be 100; provided, however, that if at any time after December 11, 2002 the corporation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provided further, that if at any time after December 11, 2002 the corporation shall issue any shares of its capital stock in a merger, reclassification or change of the outstanding shares of Common Stock, then in each such event the Formula Number shall be appropriately adjusted to reflect such merger, reclassification or change so that each share of Preferred Stock continues to be the economic equivalent of a Formula Number of shares of Common Stock prior to such merger, reclassification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-3190240</wp:posOffset>
            </wp:positionV>
            <wp:extent cx="55689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68950" cy="8890"/>
                    </a:xfrm>
                    <a:prstGeom prst="rect">
                      <a:avLst/>
                    </a:prstGeom>
                    <a:noFill/>
                  </pic:spPr>
                </pic:pic>
              </a:graphicData>
            </a:graphic>
          </wp:anchor>
        </w:drawing>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6"/>
          <w:szCs w:val="16"/>
          <w:color w:val="auto"/>
          <w:strike w:val="1"/>
        </w:rPr>
        <w:t>(b)   The Corporation shall declare a dividend or distribution on the Series R Preferred Stock as provided in Section</w:t>
      </w:r>
    </w:p>
    <w:p>
      <w:pPr>
        <w:spacing w:after="0" w:line="21" w:lineRule="exact"/>
        <w:rPr>
          <w:sz w:val="20"/>
          <w:szCs w:val="20"/>
          <w:color w:val="auto"/>
        </w:rPr>
      </w:pPr>
    </w:p>
    <w:p>
      <w:pPr>
        <w:jc w:val="both"/>
        <w:ind w:left="360" w:right="120"/>
        <w:spacing w:after="0" w:line="256" w:lineRule="auto"/>
        <w:rPr>
          <w:sz w:val="20"/>
          <w:szCs w:val="20"/>
          <w:color w:val="auto"/>
        </w:rPr>
      </w:pPr>
      <w:r>
        <w:rPr>
          <w:rFonts w:ascii="Arial" w:cs="Arial" w:eastAsia="Arial" w:hAnsi="Arial"/>
          <w:sz w:val="16"/>
          <w:szCs w:val="16"/>
          <w:color w:val="auto"/>
          <w:strike w:val="1"/>
        </w:rPr>
        <w:t>2.8.2(a) immediately prior to or at the same time it declares a dividend or distribution on the Common Stock (other than a dividend or distribution solely in shares of Common Stock); provided, however, that in the event no dividend or distribution (other than a dividend or distribution in shares of Common Stock) shall have been declared on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58293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313" w:lineRule="exact"/>
        <w:rPr>
          <w:sz w:val="20"/>
          <w:szCs w:val="20"/>
          <w:color w:val="auto"/>
        </w:rPr>
      </w:pPr>
    </w:p>
    <w:p>
      <w:pPr>
        <w:ind w:left="40"/>
        <w:spacing w:after="0"/>
        <w:tabs>
          <w:tab w:leader="none" w:pos="3040" w:val="left"/>
          <w:tab w:leader="none" w:pos="886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Appendix B</w:t>
      </w:r>
    </w:p>
    <w:p>
      <w:pPr>
        <w:spacing w:after="0" w:line="104" w:lineRule="exact"/>
        <w:rPr>
          <w:sz w:val="20"/>
          <w:szCs w:val="20"/>
          <w:color w:val="auto"/>
        </w:rPr>
      </w:pPr>
    </w:p>
    <w:p>
      <w:pPr>
        <w:ind w:left="360" w:right="440"/>
        <w:spacing w:after="0" w:line="254" w:lineRule="auto"/>
        <w:rPr>
          <w:sz w:val="20"/>
          <w:szCs w:val="20"/>
          <w:color w:val="auto"/>
        </w:rPr>
      </w:pPr>
      <w:r>
        <w:rPr>
          <w:rFonts w:ascii="Arial" w:cs="Arial" w:eastAsia="Arial" w:hAnsi="Arial"/>
          <w:sz w:val="16"/>
          <w:szCs w:val="16"/>
          <w:color w:val="auto"/>
          <w:strike w:val="1"/>
        </w:rPr>
        <w:t>Stock during the period between any Quarterly Dividend Payment Date and the next subsequent Quarterly Dividend Payment Date, a dividend of $0.01 per share on the Series R Preferred Stock shall nevertheless be payable on such subsequent Quarterly Dividend Payment Date. The Corporation's Board of Directors may fix a record date for the determination of holders of shares of Series R Preferred Stock entitled to receive a dividend or distribution declared thereon, which record date shall be the same as the record date for any corresponding dividend or distribution on the Common Stock and which shall not be more than 60 days prior to the date fixed for payment thereof.</w:t>
      </w:r>
    </w:p>
    <w:p>
      <w:pPr>
        <w:spacing w:after="0" w:line="195" w:lineRule="exact"/>
        <w:rPr>
          <w:sz w:val="20"/>
          <w:szCs w:val="20"/>
          <w:color w:val="auto"/>
        </w:rPr>
      </w:pPr>
    </w:p>
    <w:p>
      <w:pPr>
        <w:ind w:left="360"/>
        <w:spacing w:after="0" w:line="249" w:lineRule="auto"/>
        <w:rPr>
          <w:sz w:val="20"/>
          <w:szCs w:val="20"/>
          <w:color w:val="auto"/>
        </w:rPr>
      </w:pPr>
      <w:r>
        <w:rPr>
          <w:rFonts w:ascii="Arial" w:cs="Arial" w:eastAsia="Arial" w:hAnsi="Arial"/>
          <w:sz w:val="16"/>
          <w:szCs w:val="16"/>
          <w:color w:val="auto"/>
          <w:strike w:val="1"/>
        </w:rPr>
        <w:t>(c)  Dividends shall begin to accrue and be cumulative on outstanding shares of Series R Preferred Stock from and after the Quarterly Dividend Payment Date next preceding the date of original issue of such shares of Series R Preferred Stock; provided, however, that dividends on such shares that are originally issued after the record date for the determination of holders of shares of Series R Preferred Stock entitled to receive a quarterly dividend on or prior to the next succeeding Quarterly Dividend Payment Date shall begin to accrue and be cumulative from and after such Quarterly Dividend Payment Date. Notwithstanding the foregoing, dividends on shares of Series R Preferred Stock that are originally issued prior to the record date for the determination of holders of shares of Series R Preferred Stock entitled to receive a quarterly dividend on or prior to the first Quarterly Dividend Payment Date shall be calculated as if cumulative from and after the last day of the fiscal quarter (or such other Quarterly Dividend Payment Date as the corporation's Board of Directors shall approve) next preceding the date of original issuance of such shares. Accrued but unpaid dividends shall not bear interest. Dividends paid on the shares of Series R Preferred Stock in an amount less than the total amount of such dividends at the time accrued and payable on such shares shall be allocated pro rata on a share-by-share basis among all such shares at the time outstanding.</w:t>
      </w:r>
    </w:p>
    <w:p>
      <w:pPr>
        <w:spacing w:after="0" w:line="164" w:lineRule="exact"/>
        <w:rPr>
          <w:sz w:val="20"/>
          <w:szCs w:val="20"/>
          <w:color w:val="auto"/>
        </w:rPr>
      </w:pPr>
    </w:p>
    <w:p>
      <w:pPr>
        <w:ind w:left="360" w:right="440"/>
        <w:spacing w:after="0" w:line="266" w:lineRule="auto"/>
        <w:rPr>
          <w:sz w:val="20"/>
          <w:szCs w:val="20"/>
          <w:color w:val="auto"/>
        </w:rPr>
      </w:pPr>
      <w:r>
        <w:rPr>
          <w:rFonts w:ascii="Arial" w:cs="Arial" w:eastAsia="Arial" w:hAnsi="Arial"/>
          <w:sz w:val="16"/>
          <w:szCs w:val="16"/>
          <w:color w:val="auto"/>
          <w:strike w:val="1"/>
        </w:rPr>
        <w:t>(d)  So long as any shares of Series R Preferred Stock are outstanding, no dividends or other distributions shall be declared, paid or distributed, or set aside for payment or distribution, on the Common Stock unless, in each case, the dividend required by this Section 2.8.2 to be declared on the Series R Preferred Stock shall have been declared.</w:t>
      </w:r>
    </w:p>
    <w:p>
      <w:pPr>
        <w:spacing w:after="0" w:line="131" w:lineRule="exact"/>
        <w:rPr>
          <w:sz w:val="20"/>
          <w:szCs w:val="20"/>
          <w:color w:val="auto"/>
        </w:rPr>
      </w:pPr>
    </w:p>
    <w:p>
      <w:pPr>
        <w:ind w:left="360" w:right="120"/>
        <w:spacing w:after="0" w:line="286" w:lineRule="auto"/>
        <w:rPr>
          <w:sz w:val="20"/>
          <w:szCs w:val="20"/>
          <w:color w:val="auto"/>
        </w:rPr>
      </w:pPr>
      <w:r>
        <w:rPr>
          <w:rFonts w:ascii="Arial" w:cs="Arial" w:eastAsia="Arial" w:hAnsi="Arial"/>
          <w:sz w:val="16"/>
          <w:szCs w:val="16"/>
          <w:color w:val="auto"/>
          <w:strike w:val="1"/>
        </w:rPr>
        <w:t>(e)  The holders of shares of Series R Preferred Stock shall not be entitled to receive any dividends or other distributions except as provided in this Designation.</w:t>
      </w:r>
    </w:p>
    <w:p>
      <w:pPr>
        <w:spacing w:after="0" w:line="10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2.8.3</w:t>
      </w:r>
      <w:r>
        <w:rPr>
          <w:sz w:val="20"/>
          <w:szCs w:val="20"/>
          <w:color w:val="auto"/>
        </w:rPr>
        <w:tab/>
      </w:r>
      <w:r>
        <w:rPr>
          <w:rFonts w:ascii="Arial" w:cs="Arial" w:eastAsia="Arial" w:hAnsi="Arial"/>
          <w:sz w:val="19"/>
          <w:szCs w:val="19"/>
          <w:b w:val="1"/>
          <w:bCs w:val="1"/>
          <w:color w:val="0063A6"/>
          <w:strike w:val="1"/>
        </w:rPr>
        <w:t>Voting Rights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holders of shares of Series R Preferred Stock shall have the following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-46990</wp:posOffset>
            </wp:positionV>
            <wp:extent cx="39795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979545" cy="8255"/>
                    </a:xfrm>
                    <a:prstGeom prst="rect">
                      <a:avLst/>
                    </a:prstGeom>
                    <a:noFill/>
                  </pic:spPr>
                </pic:pic>
              </a:graphicData>
            </a:graphic>
          </wp:anchor>
        </w:drawing>
      </w:r>
    </w:p>
    <w:p>
      <w:pPr>
        <w:spacing w:after="0" w:line="161" w:lineRule="exact"/>
        <w:rPr>
          <w:sz w:val="20"/>
          <w:szCs w:val="20"/>
          <w:color w:val="auto"/>
        </w:rPr>
      </w:pPr>
    </w:p>
    <w:p>
      <w:pPr>
        <w:ind w:left="360" w:right="100"/>
        <w:spacing w:after="0" w:line="256" w:lineRule="auto"/>
        <w:rPr>
          <w:sz w:val="20"/>
          <w:szCs w:val="20"/>
          <w:color w:val="auto"/>
        </w:rPr>
      </w:pPr>
      <w:r>
        <w:rPr>
          <w:rFonts w:ascii="Arial" w:cs="Arial" w:eastAsia="Arial" w:hAnsi="Arial"/>
          <w:sz w:val="16"/>
          <w:szCs w:val="16"/>
          <w:color w:val="auto"/>
          <w:strike w:val="1"/>
        </w:rPr>
        <w:t>(a)  Each holder of Series R Preferred Stock shall be entitled to a number of votes equal to the Formula Number then in effect for each share of Series R Preferred Stock held of record on each matter on which holders of the Common Stock or shareholders generally are entitled to vote, multiplied by the maximum number of votes per share that any holders of the Common Stock or shareholders generally then have with respect to such matter (assuming any holding period or other requirement to vote a greater number of shares is satisfied).</w:t>
      </w:r>
    </w:p>
    <w:p>
      <w:pPr>
        <w:spacing w:after="0" w:line="139" w:lineRule="exact"/>
        <w:rPr>
          <w:sz w:val="20"/>
          <w:szCs w:val="20"/>
          <w:color w:val="auto"/>
        </w:rPr>
      </w:pPr>
    </w:p>
    <w:p>
      <w:pPr>
        <w:ind w:left="360" w:right="20"/>
        <w:spacing w:after="0" w:line="259" w:lineRule="auto"/>
        <w:rPr>
          <w:sz w:val="20"/>
          <w:szCs w:val="20"/>
          <w:color w:val="auto"/>
        </w:rPr>
      </w:pPr>
      <w:r>
        <w:rPr>
          <w:rFonts w:ascii="Arial" w:cs="Arial" w:eastAsia="Arial" w:hAnsi="Arial"/>
          <w:sz w:val="16"/>
          <w:szCs w:val="16"/>
          <w:color w:val="auto"/>
          <w:strike w:val="1"/>
        </w:rPr>
        <w:t>(b)  Except as otherwise provided in this Designation or by applicable law, the holders of shares of Series R Preferred Stock and the holders of shares of Common Stock and any other capital stock of the corporation having general voting rights shall vote together as one class for the election of directors of the corporation and on all other matters submitted to a vote of shareholders of the corporation.</w:t>
      </w:r>
    </w:p>
    <w:p>
      <w:pPr>
        <w:spacing w:after="0" w:line="151" w:lineRule="exact"/>
        <w:rPr>
          <w:sz w:val="20"/>
          <w:szCs w:val="20"/>
          <w:color w:val="auto"/>
        </w:rPr>
      </w:pPr>
    </w:p>
    <w:p>
      <w:pPr>
        <w:jc w:val="both"/>
        <w:ind w:left="360" w:right="60"/>
        <w:spacing w:after="0" w:line="266" w:lineRule="auto"/>
        <w:rPr>
          <w:sz w:val="20"/>
          <w:szCs w:val="20"/>
          <w:color w:val="auto"/>
        </w:rPr>
      </w:pPr>
      <w:r>
        <w:rPr>
          <w:rFonts w:ascii="Arial" w:cs="Arial" w:eastAsia="Arial" w:hAnsi="Arial"/>
          <w:sz w:val="16"/>
          <w:szCs w:val="16"/>
          <w:color w:val="auto"/>
          <w:strike w:val="1"/>
        </w:rPr>
        <w:t>(c)  Except as provided in this Designation or by applicable law, holders of Series R Preferred Stock shall have no special voting rights and their consent shall not be required (except to the extent they are entitled to vote with holders of Common Stock as set forth in this Designation) for authorizing or taking any corporate action.</w:t>
      </w:r>
    </w:p>
    <w:p>
      <w:pPr>
        <w:spacing w:after="0" w:line="12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2.8.4</w:t>
      </w:r>
      <w:r>
        <w:rPr>
          <w:sz w:val="20"/>
          <w:szCs w:val="20"/>
          <w:color w:val="auto"/>
        </w:rPr>
        <w:tab/>
      </w:r>
      <w:r>
        <w:rPr>
          <w:rFonts w:ascii="Arial" w:cs="Arial" w:eastAsia="Arial" w:hAnsi="Arial"/>
          <w:sz w:val="19"/>
          <w:szCs w:val="19"/>
          <w:b w:val="1"/>
          <w:bCs w:val="1"/>
          <w:color w:val="0063A6"/>
          <w:strike w:val="1"/>
        </w:rPr>
        <w:t>Certain Restrictions</w:t>
      </w:r>
    </w:p>
    <w:p>
      <w:pPr>
        <w:spacing w:after="0" w:line="63" w:lineRule="exact"/>
        <w:rPr>
          <w:sz w:val="20"/>
          <w:szCs w:val="20"/>
          <w:color w:val="auto"/>
        </w:rPr>
      </w:pPr>
    </w:p>
    <w:p>
      <w:pPr>
        <w:ind w:left="360" w:right="40"/>
        <w:spacing w:after="0" w:line="266" w:lineRule="auto"/>
        <w:rPr>
          <w:sz w:val="20"/>
          <w:szCs w:val="20"/>
          <w:color w:val="auto"/>
        </w:rPr>
      </w:pPr>
      <w:r>
        <w:rPr>
          <w:rFonts w:ascii="Arial" w:cs="Arial" w:eastAsia="Arial" w:hAnsi="Arial"/>
          <w:sz w:val="16"/>
          <w:szCs w:val="16"/>
          <w:color w:val="auto"/>
        </w:rPr>
        <w:t xml:space="preserve">(a)  Whenever quarterly dividends or other dividends or distributions payable on the Series R Preferred Stock as provided </w:t>
      </w:r>
      <w:r>
        <w:rPr>
          <w:rFonts w:ascii="Arial" w:cs="Arial" w:eastAsia="Arial" w:hAnsi="Arial"/>
          <w:sz w:val="16"/>
          <w:szCs w:val="16"/>
          <w:color w:val="auto"/>
          <w:strike w:val="1"/>
        </w:rPr>
        <w:t>in Section 2.8.2 are in arrears, thereafter and until all accrued and unpaid dividends and distributions, whether or not declared, on shares of Series R Preferred Stock outstanding shall have been paid in full, the corporation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-318770</wp:posOffset>
            </wp:positionV>
            <wp:extent cx="55632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124" w:lineRule="exact"/>
        <w:rPr>
          <w:sz w:val="20"/>
          <w:szCs w:val="20"/>
          <w:color w:val="auto"/>
        </w:rPr>
      </w:pPr>
    </w:p>
    <w:p>
      <w:pPr>
        <w:ind w:left="360" w:right="20"/>
        <w:spacing w:after="0" w:line="266" w:lineRule="auto"/>
        <w:rPr>
          <w:sz w:val="20"/>
          <w:szCs w:val="20"/>
          <w:color w:val="auto"/>
        </w:rPr>
      </w:pPr>
      <w:r>
        <w:rPr>
          <w:rFonts w:ascii="Arial" w:cs="Arial" w:eastAsia="Arial" w:hAnsi="Arial"/>
          <w:sz w:val="16"/>
          <w:szCs w:val="16"/>
          <w:color w:val="auto"/>
          <w:strike w:val="1"/>
        </w:rPr>
        <w:t>(i)  declare or pay dividends on, make any other distributions on, or redeem or purchase or otherwise acquire for consideration any shares of stock ranking junior (either as to dividends or upon liquidation, dissolution or winding up) to the Series R Preferred Stock;</w:t>
      </w:r>
    </w:p>
    <w:p>
      <w:pPr>
        <w:spacing w:after="0" w:line="131" w:lineRule="exact"/>
        <w:rPr>
          <w:sz w:val="20"/>
          <w:szCs w:val="20"/>
          <w:color w:val="auto"/>
        </w:rPr>
      </w:pPr>
    </w:p>
    <w:p>
      <w:pPr>
        <w:ind w:left="360"/>
        <w:spacing w:after="0" w:line="259" w:lineRule="auto"/>
        <w:rPr>
          <w:sz w:val="20"/>
          <w:szCs w:val="20"/>
          <w:color w:val="auto"/>
        </w:rPr>
      </w:pPr>
      <w:r>
        <w:rPr>
          <w:rFonts w:ascii="Arial" w:cs="Arial" w:eastAsia="Arial" w:hAnsi="Arial"/>
          <w:sz w:val="16"/>
          <w:szCs w:val="16"/>
          <w:color w:val="auto"/>
          <w:strike w:val="1"/>
        </w:rPr>
        <w:t>(ii)  declare or pay dividends on or make any other distributions on any shares of stock ranking on a parity (either as to dividends or upon liquidation, dissolution or winding up) with the Series R Preferred Stock, except dividends paid ratably on the Series R Preferred Stock and all such parity stock on which dividends are payable or in arrears in proportion to the total amounts to which the holders of all such shares are then entitled;</w:t>
      </w:r>
    </w:p>
    <w:p>
      <w:pPr>
        <w:spacing w:after="0" w:line="137" w:lineRule="exact"/>
        <w:rPr>
          <w:sz w:val="20"/>
          <w:szCs w:val="20"/>
          <w:color w:val="auto"/>
        </w:rPr>
      </w:pPr>
    </w:p>
    <w:p>
      <w:pPr>
        <w:ind w:left="360" w:right="80"/>
        <w:spacing w:after="0" w:line="256" w:lineRule="auto"/>
        <w:rPr>
          <w:sz w:val="20"/>
          <w:szCs w:val="20"/>
          <w:color w:val="auto"/>
        </w:rPr>
      </w:pPr>
      <w:r>
        <w:rPr>
          <w:rFonts w:ascii="Arial" w:cs="Arial" w:eastAsia="Arial" w:hAnsi="Arial"/>
          <w:sz w:val="16"/>
          <w:szCs w:val="16"/>
          <w:color w:val="auto"/>
          <w:strike w:val="1"/>
        </w:rPr>
        <w:t>(iii)  redeem or purchase or otherwise acquire for consideration shares of any stock ranking junior (either as to dividends or upon liquidation, dissolution or winding up) with the Series R Preferred Stock; provided, however, that the corporation may at any time redeem, purchase or otherwise acquire shares of any such junior stock in exchange for shares of any stock of the corporation ranking junior (either as to dividends or upon dissolution, liquidation or winding up) to the Series R Preferred Stock; or</w:t>
      </w:r>
    </w:p>
    <w:p>
      <w:pPr>
        <w:spacing w:after="0" w:line="153" w:lineRule="exact"/>
        <w:rPr>
          <w:sz w:val="20"/>
          <w:szCs w:val="20"/>
          <w:color w:val="auto"/>
        </w:rPr>
      </w:pPr>
    </w:p>
    <w:p>
      <w:pPr>
        <w:jc w:val="both"/>
        <w:ind w:left="360" w:right="120"/>
        <w:spacing w:after="0" w:line="266" w:lineRule="auto"/>
        <w:rPr>
          <w:sz w:val="20"/>
          <w:szCs w:val="20"/>
          <w:color w:val="auto"/>
        </w:rPr>
      </w:pPr>
      <w:r>
        <w:rPr>
          <w:rFonts w:ascii="Arial" w:cs="Arial" w:eastAsia="Arial" w:hAnsi="Arial"/>
          <w:sz w:val="16"/>
          <w:szCs w:val="16"/>
          <w:color w:val="auto"/>
          <w:strike w:val="1"/>
        </w:rPr>
        <w:t>(iv)  redeem or purchase or otherwise acquire for consideration any shares of Series R Preferred Stock, or any shares of stock ranking on a parity with the Series R Preferred Stock, except in accordance with a purchase offer made in writing or by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p>
      <w:pPr>
        <w:spacing w:after="0" w:line="306"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B-2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8440"/>
        <w:spacing w:after="0"/>
        <w:rPr>
          <w:sz w:val="20"/>
          <w:szCs w:val="20"/>
          <w:color w:val="auto"/>
        </w:rPr>
      </w:pPr>
      <w:r>
        <w:rPr>
          <w:rFonts w:ascii="Arial" w:cs="Arial" w:eastAsia="Arial" w:hAnsi="Arial"/>
          <w:sz w:val="14"/>
          <w:szCs w:val="14"/>
          <w:color w:val="5D6673"/>
        </w:rPr>
        <w:t>Appendix B</w:t>
      </w:r>
    </w:p>
    <w:p>
      <w:pPr>
        <w:spacing w:after="0" w:line="104" w:lineRule="exact"/>
        <w:rPr>
          <w:sz w:val="20"/>
          <w:szCs w:val="20"/>
          <w:color w:val="auto"/>
        </w:rPr>
      </w:pPr>
    </w:p>
    <w:p>
      <w:pPr>
        <w:ind w:left="360" w:right="120"/>
        <w:spacing w:after="0" w:line="259" w:lineRule="auto"/>
        <w:rPr>
          <w:sz w:val="20"/>
          <w:szCs w:val="20"/>
          <w:color w:val="auto"/>
        </w:rPr>
      </w:pPr>
      <w:r>
        <w:rPr>
          <w:rFonts w:ascii="Arial" w:cs="Arial" w:eastAsia="Arial" w:hAnsi="Arial"/>
          <w:sz w:val="16"/>
          <w:szCs w:val="16"/>
          <w:color w:val="auto"/>
          <w:strike w:val="1"/>
        </w:rPr>
        <w:t>(as determined by the corporation's Board of Directors) to all holders of such shares upon such terms as the corporation's Board of Directors, after consideration of the respective annual dividend rates and other relative rights and preferences of the respective Preferred Stock classes, shall determine in good faith will result in fair and equitable treatment among the respective series or classes.</w:t>
      </w:r>
    </w:p>
    <w:p>
      <w:pPr>
        <w:spacing w:after="0" w:line="191" w:lineRule="exact"/>
        <w:rPr>
          <w:sz w:val="20"/>
          <w:szCs w:val="20"/>
          <w:color w:val="auto"/>
        </w:rPr>
      </w:pPr>
    </w:p>
    <w:p>
      <w:pPr>
        <w:jc w:val="both"/>
        <w:ind w:left="360" w:right="100"/>
        <w:spacing w:after="0" w:line="266" w:lineRule="auto"/>
        <w:rPr>
          <w:sz w:val="20"/>
          <w:szCs w:val="20"/>
          <w:color w:val="auto"/>
        </w:rPr>
      </w:pPr>
      <w:r>
        <w:rPr>
          <w:rFonts w:ascii="Arial" w:cs="Arial" w:eastAsia="Arial" w:hAnsi="Arial"/>
          <w:sz w:val="16"/>
          <w:szCs w:val="16"/>
          <w:color w:val="auto"/>
          <w:strike w:val="1"/>
        </w:rPr>
        <w:t>(b)  The corporation shall not permit any subsidiary of the corporation to purchase or otherwise acquire for consideration any shares of stock of the corporation unless the corporation could, under paragraph (a) of this Section 2.8.4, purchase or otherwise acquire such shares at such time and in such manner.</w:t>
      </w:r>
    </w:p>
    <w:p>
      <w:pPr>
        <w:spacing w:after="0" w:line="135"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2.8.5</w:t>
      </w:r>
      <w:r>
        <w:rPr>
          <w:sz w:val="20"/>
          <w:szCs w:val="20"/>
          <w:color w:val="auto"/>
        </w:rPr>
        <w:tab/>
      </w:r>
      <w:r>
        <w:rPr>
          <w:rFonts w:ascii="Arial" w:cs="Arial" w:eastAsia="Arial" w:hAnsi="Arial"/>
          <w:sz w:val="19"/>
          <w:szCs w:val="19"/>
          <w:b w:val="1"/>
          <w:bCs w:val="1"/>
          <w:color w:val="0063A6"/>
          <w:strike w:val="1"/>
        </w:rPr>
        <w:t>Liquidation Rights</w:t>
      </w:r>
    </w:p>
    <w:p>
      <w:pPr>
        <w:spacing w:after="0" w:line="63" w:lineRule="exact"/>
        <w:rPr>
          <w:sz w:val="20"/>
          <w:szCs w:val="20"/>
          <w:color w:val="auto"/>
        </w:rPr>
      </w:pPr>
    </w:p>
    <w:p>
      <w:pPr>
        <w:ind w:left="360" w:right="60"/>
        <w:spacing w:after="0" w:line="250" w:lineRule="auto"/>
        <w:rPr>
          <w:sz w:val="20"/>
          <w:szCs w:val="20"/>
          <w:color w:val="auto"/>
        </w:rPr>
      </w:pPr>
      <w:r>
        <w:rPr>
          <w:rFonts w:ascii="Arial" w:cs="Arial" w:eastAsia="Arial" w:hAnsi="Arial"/>
          <w:sz w:val="16"/>
          <w:szCs w:val="16"/>
          <w:color w:val="auto"/>
        </w:rPr>
        <w:t xml:space="preserve">Upon the liquidation, dissolution or winding up of the corporation, whether voluntary or involuntary, no distribution shall be </w:t>
      </w:r>
      <w:r>
        <w:rPr>
          <w:rFonts w:ascii="Arial" w:cs="Arial" w:eastAsia="Arial" w:hAnsi="Arial"/>
          <w:sz w:val="16"/>
          <w:szCs w:val="16"/>
          <w:color w:val="auto"/>
          <w:strike w:val="1"/>
        </w:rPr>
        <w:t>made to (a) the holders of shares of stock ranking junior (either as to dividends or upon liquidation, dissolution or winding up) to the Series R Preferred Stock unless, prior thereto, the holders of shares of Series R Preferred Stock shall have received an amount equal to the greater of (i) $.01 per share and (ii) the accrued and unpaid dividends and distributions thereon, whether or not declared, to the date of such payment, plus an aggregate amount per share equal to the Formula Number then in effect times the aggregate amount to be distributed per share to holders of Common Stock or (b) the holders of shares of stock ranking on a parity (either as to dividends or upon liquidation, dissolution or winding up) with the Series R Preferred Stock, except distributions made ratably on the Series R Preferred Stock and all other such parity stock in proportion to the total amounts to which the holders of all such shares are entitled upon such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-1147445</wp:posOffset>
            </wp:positionV>
            <wp:extent cx="55105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10530" cy="8255"/>
                    </a:xfrm>
                    <a:prstGeom prst="rect">
                      <a:avLst/>
                    </a:prstGeom>
                    <a:noFill/>
                  </pic:spPr>
                </pic:pic>
              </a:graphicData>
            </a:graphic>
          </wp:anchor>
        </w:drawing>
      </w:r>
    </w:p>
    <w:p>
      <w:pPr>
        <w:spacing w:after="0" w:line="119"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2.8.6</w:t>
      </w:r>
      <w:r>
        <w:rPr>
          <w:sz w:val="20"/>
          <w:szCs w:val="20"/>
          <w:color w:val="auto"/>
        </w:rPr>
        <w:tab/>
      </w:r>
      <w:r>
        <w:rPr>
          <w:rFonts w:ascii="Arial" w:cs="Arial" w:eastAsia="Arial" w:hAnsi="Arial"/>
          <w:sz w:val="19"/>
          <w:szCs w:val="19"/>
          <w:b w:val="1"/>
          <w:bCs w:val="1"/>
          <w:color w:val="0063A6"/>
          <w:strike w:val="1"/>
        </w:rPr>
        <w:t>Consolidation, Merger, etc.</w:t>
      </w:r>
    </w:p>
    <w:p>
      <w:pPr>
        <w:spacing w:after="0" w:line="77" w:lineRule="exact"/>
        <w:rPr>
          <w:sz w:val="20"/>
          <w:szCs w:val="20"/>
          <w:color w:val="auto"/>
        </w:rPr>
      </w:pPr>
    </w:p>
    <w:p>
      <w:pPr>
        <w:ind w:left="360" w:right="180"/>
        <w:spacing w:after="0" w:line="253" w:lineRule="auto"/>
        <w:rPr>
          <w:sz w:val="20"/>
          <w:szCs w:val="20"/>
          <w:color w:val="auto"/>
        </w:rPr>
      </w:pPr>
      <w:r>
        <w:rPr>
          <w:rFonts w:ascii="Arial" w:cs="Arial" w:eastAsia="Arial" w:hAnsi="Arial"/>
          <w:sz w:val="16"/>
          <w:szCs w:val="16"/>
          <w:color w:val="auto"/>
        </w:rPr>
        <w:t xml:space="preserve">In case the corporation shall enter into any consolidation, merger, combination or other transaction in which the shares of </w:t>
      </w:r>
      <w:r>
        <w:rPr>
          <w:rFonts w:ascii="Arial" w:cs="Arial" w:eastAsia="Arial" w:hAnsi="Arial"/>
          <w:sz w:val="16"/>
          <w:szCs w:val="16"/>
          <w:color w:val="auto"/>
          <w:strike w:val="1"/>
        </w:rPr>
        <w:t>Common Stock are exchanged for or changed into other stock or securities, cash and/or any other property, then in any such case the then outstanding shares of Series R Preferred Stock shall at the same time be similarly exchanged or changed into an amount per share equal to the Formula Number then in effect times the aggregate amount of stock, securities, cash and/or any other property (payable in kind), as the case may be, into which or for which each share of Common Stock is exchanged or changed. In the event both this Section 2.8.6 and Section 2.8.2 appear to apply to a transaction, this Section 2.8.6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-792480</wp:posOffset>
            </wp:positionV>
            <wp:extent cx="5495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95290" cy="8255"/>
                    </a:xfrm>
                    <a:prstGeom prst="rect">
                      <a:avLst/>
                    </a:prstGeom>
                    <a:noFill/>
                  </pic:spPr>
                </pic:pic>
              </a:graphicData>
            </a:graphic>
          </wp:anchor>
        </w:drawing>
      </w:r>
    </w:p>
    <w:p>
      <w:pPr>
        <w:spacing w:after="0" w:line="11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2.8.7</w:t>
      </w:r>
      <w:r>
        <w:rPr>
          <w:sz w:val="20"/>
          <w:szCs w:val="20"/>
          <w:color w:val="auto"/>
        </w:rPr>
        <w:tab/>
      </w:r>
      <w:r>
        <w:rPr>
          <w:rFonts w:ascii="Arial" w:cs="Arial" w:eastAsia="Arial" w:hAnsi="Arial"/>
          <w:sz w:val="19"/>
          <w:szCs w:val="19"/>
          <w:b w:val="1"/>
          <w:bCs w:val="1"/>
          <w:color w:val="0063A6"/>
          <w:strike w:val="1"/>
        </w:rPr>
        <w:t>No Redemption; No Sinking Fund</w:t>
      </w:r>
    </w:p>
    <w:p>
      <w:pPr>
        <w:spacing w:after="0" w:line="63" w:lineRule="exact"/>
        <w:rPr>
          <w:sz w:val="20"/>
          <w:szCs w:val="20"/>
          <w:color w:val="auto"/>
        </w:rPr>
      </w:pPr>
    </w:p>
    <w:p>
      <w:pPr>
        <w:ind w:left="360" w:right="20"/>
        <w:spacing w:after="0" w:line="259" w:lineRule="auto"/>
        <w:rPr>
          <w:sz w:val="20"/>
          <w:szCs w:val="20"/>
          <w:color w:val="auto"/>
        </w:rPr>
      </w:pPr>
      <w:r>
        <w:rPr>
          <w:rFonts w:ascii="Arial" w:cs="Arial" w:eastAsia="Arial" w:hAnsi="Arial"/>
          <w:sz w:val="16"/>
          <w:szCs w:val="16"/>
          <w:color w:val="auto"/>
        </w:rPr>
        <w:t xml:space="preserve">(a)  The shares of Series R Preferred Stock shall not be subject to redemption by the corporation or at the option of any </w:t>
      </w:r>
      <w:r>
        <w:rPr>
          <w:rFonts w:ascii="Arial" w:cs="Arial" w:eastAsia="Arial" w:hAnsi="Arial"/>
          <w:sz w:val="16"/>
          <w:szCs w:val="16"/>
          <w:color w:val="auto"/>
          <w:strike w:val="1"/>
        </w:rPr>
        <w:t>holder of Series R Preferred Stock; provided, however, that the corporation may purchase or otherwise acquire outstanding shares of Series R Preferred Stock in the open market or by offer to any holder or holders of shares of Series 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-434975</wp:posOffset>
            </wp:positionV>
            <wp:extent cx="54648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64810" cy="8255"/>
                    </a:xfrm>
                    <a:prstGeom prst="rect">
                      <a:avLst/>
                    </a:prstGeom>
                    <a:noFill/>
                  </pic:spPr>
                </pic:pic>
              </a:graphicData>
            </a:graphic>
          </wp:anchor>
        </w:drawing>
      </w:r>
    </w:p>
    <w:p>
      <w:pPr>
        <w:spacing w:after="0" w:line="131" w:lineRule="exact"/>
        <w:rPr>
          <w:sz w:val="20"/>
          <w:szCs w:val="20"/>
          <w:color w:val="auto"/>
        </w:rPr>
      </w:pPr>
    </w:p>
    <w:p>
      <w:pPr>
        <w:ind w:left="360" w:right="280"/>
        <w:spacing w:after="0" w:line="286" w:lineRule="auto"/>
        <w:rPr>
          <w:sz w:val="20"/>
          <w:szCs w:val="20"/>
          <w:color w:val="auto"/>
        </w:rPr>
      </w:pPr>
      <w:r>
        <w:rPr>
          <w:rFonts w:ascii="Arial" w:cs="Arial" w:eastAsia="Arial" w:hAnsi="Arial"/>
          <w:sz w:val="16"/>
          <w:szCs w:val="16"/>
          <w:color w:val="auto"/>
          <w:strike w:val="1"/>
        </w:rPr>
        <w:t>(b)  The shares of Series R Preferred Stock shall not be subject to or entitled to the operation of a retirement or sinking fund.</w:t>
      </w:r>
    </w:p>
    <w:p>
      <w:pPr>
        <w:spacing w:after="0" w:line="10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2.8.8</w:t>
        <w:tab/>
        <w:t>Ranking</w:t>
      </w:r>
    </w:p>
    <w:p>
      <w:pPr>
        <w:spacing w:after="0" w:line="63" w:lineRule="exact"/>
        <w:rPr>
          <w:sz w:val="20"/>
          <w:szCs w:val="20"/>
          <w:color w:val="auto"/>
        </w:rPr>
      </w:pPr>
    </w:p>
    <w:p>
      <w:pPr>
        <w:ind w:left="360" w:right="160"/>
        <w:spacing w:after="0" w:line="259" w:lineRule="auto"/>
        <w:rPr>
          <w:sz w:val="20"/>
          <w:szCs w:val="20"/>
          <w:color w:val="auto"/>
        </w:rPr>
      </w:pPr>
      <w:r>
        <w:rPr>
          <w:rFonts w:ascii="Arial" w:cs="Arial" w:eastAsia="Arial" w:hAnsi="Arial"/>
          <w:sz w:val="16"/>
          <w:szCs w:val="16"/>
          <w:color w:val="auto"/>
        </w:rPr>
        <w:t xml:space="preserve">The Series R Preferred Stock shall rank junior to all other series of Preferred Stock of the corporation, unless the </w:t>
      </w:r>
      <w:r>
        <w:rPr>
          <w:rFonts w:ascii="Arial" w:cs="Arial" w:eastAsia="Arial" w:hAnsi="Arial"/>
          <w:sz w:val="16"/>
          <w:szCs w:val="16"/>
          <w:color w:val="auto"/>
          <w:strike w:val="1"/>
        </w:rPr>
        <w:t>corporation's Board of Directors shall specifically determine otherwise in fixing the powers, preferences and relative, participating, optional and other special rights of the shares of such Preferred Stock and the qualifications, limitations and restrictions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-434975</wp:posOffset>
            </wp:positionV>
            <wp:extent cx="511746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17465" cy="8890"/>
                    </a:xfrm>
                    <a:prstGeom prst="rect">
                      <a:avLst/>
                    </a:prstGeom>
                    <a:noFill/>
                  </pic:spPr>
                </pic:pic>
              </a:graphicData>
            </a:graphic>
          </wp:anchor>
        </w:drawing>
      </w:r>
    </w:p>
    <w:p>
      <w:pPr>
        <w:spacing w:after="0" w:line="12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2.8.9</w:t>
      </w:r>
      <w:r>
        <w:rPr>
          <w:sz w:val="20"/>
          <w:szCs w:val="20"/>
          <w:color w:val="auto"/>
        </w:rPr>
        <w:tab/>
      </w:r>
      <w:r>
        <w:rPr>
          <w:rFonts w:ascii="Arial" w:cs="Arial" w:eastAsia="Arial" w:hAnsi="Arial"/>
          <w:sz w:val="19"/>
          <w:szCs w:val="19"/>
          <w:b w:val="1"/>
          <w:bCs w:val="1"/>
          <w:color w:val="0063A6"/>
          <w:strike w:val="1"/>
        </w:rPr>
        <w:t>Fractional Shares</w:t>
      </w:r>
    </w:p>
    <w:p>
      <w:pPr>
        <w:spacing w:after="0" w:line="63" w:lineRule="exact"/>
        <w:rPr>
          <w:sz w:val="20"/>
          <w:szCs w:val="20"/>
          <w:color w:val="auto"/>
        </w:rPr>
      </w:pPr>
    </w:p>
    <w:p>
      <w:pPr>
        <w:ind w:left="360" w:right="40"/>
        <w:spacing w:after="0" w:line="250" w:lineRule="auto"/>
        <w:rPr>
          <w:sz w:val="20"/>
          <w:szCs w:val="20"/>
          <w:color w:val="auto"/>
        </w:rPr>
      </w:pPr>
      <w:r>
        <w:rPr>
          <w:rFonts w:ascii="Arial" w:cs="Arial" w:eastAsia="Arial" w:hAnsi="Arial"/>
          <w:sz w:val="16"/>
          <w:szCs w:val="16"/>
          <w:color w:val="auto"/>
        </w:rPr>
        <w:t xml:space="preserve">The Series R Preferred Stock shall be issuable upon exercise of the Rights issued pursuant to the Rights Agreement in </w:t>
      </w:r>
      <w:r>
        <w:rPr>
          <w:rFonts w:ascii="Arial" w:cs="Arial" w:eastAsia="Arial" w:hAnsi="Arial"/>
          <w:sz w:val="16"/>
          <w:szCs w:val="16"/>
          <w:color w:val="auto"/>
          <w:strike w:val="1"/>
        </w:rPr>
        <w:t>whole shares or in any fractional share that is one one-hundredth (1/100th) of a share or any integral multiple of such fraction, and shall entitle the holder, in proportion to such holder's fractional shares, to receive dividends, exercise voting rights, participate in distributions and have the benefit of all other rights of holders of Series R Preferred Stock. In lieu of fractional shares, the corporation, prior to the first issuance of a share or a fractional share of Series R Preferred Stock, may elect to (a) make a cash payment as provided in the Rights Agreement for a fractional share other than one one-hundredth (1/100th) of a share or any integral multiple thereof or (b) issue depository receipts evidencing such authorized fractional share of Series R Preferred Stock pursuant to an appropriate agreement between the corporation and a depository selected by the corporation; provided, however, that such agreement shall provide that the holders of such depository receipts shall have all the rights, privileges and preferences to which they are entitled as holders of the Series 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-1147445</wp:posOffset>
            </wp:positionV>
            <wp:extent cx="54089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3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0063A6"/>
          <w:strike w:val="1"/>
        </w:rPr>
        <w:t>2.8.10  Reacquired Shares</w:t>
      </w:r>
    </w:p>
    <w:p>
      <w:pPr>
        <w:spacing w:after="0" w:line="77" w:lineRule="exact"/>
        <w:rPr>
          <w:sz w:val="20"/>
          <w:szCs w:val="20"/>
          <w:color w:val="auto"/>
        </w:rPr>
      </w:pPr>
    </w:p>
    <w:p>
      <w:pPr>
        <w:ind w:left="360" w:right="20"/>
        <w:spacing w:after="0" w:line="256" w:lineRule="auto"/>
        <w:rPr>
          <w:sz w:val="20"/>
          <w:szCs w:val="20"/>
          <w:color w:val="auto"/>
        </w:rPr>
      </w:pPr>
      <w:r>
        <w:rPr>
          <w:rFonts w:ascii="Arial" w:cs="Arial" w:eastAsia="Arial" w:hAnsi="Arial"/>
          <w:sz w:val="16"/>
          <w:szCs w:val="16"/>
          <w:color w:val="auto"/>
        </w:rPr>
        <w:t xml:space="preserve">Any shares of Series R Preferred Stock purchased or otherwise acquired by the corporation in any manner whatsoever </w:t>
      </w:r>
      <w:r>
        <w:rPr>
          <w:rFonts w:ascii="Arial" w:cs="Arial" w:eastAsia="Arial" w:hAnsi="Arial"/>
          <w:sz w:val="16"/>
          <w:szCs w:val="16"/>
          <w:color w:val="auto"/>
          <w:strike w:val="1"/>
        </w:rPr>
        <w:t>shall be retired and canceled promptly after the acquisition thereof. All such shares shall upon their cancellation become authorized but unissued shares of Preferred Stock, without designation as to series until such shares are once more designated as part of a particular series by the corporation's Board of Directors pursuant to the provisions of Article 2 of the Amended and Restated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58293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-553720</wp:posOffset>
            </wp:positionV>
            <wp:extent cx="54032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03215" cy="889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315" w:lineRule="exact"/>
        <w:rPr>
          <w:sz w:val="20"/>
          <w:szCs w:val="20"/>
          <w:color w:val="auto"/>
        </w:rPr>
      </w:pPr>
    </w:p>
    <w:p>
      <w:pPr>
        <w:ind w:left="40"/>
        <w:spacing w:after="0"/>
        <w:tabs>
          <w:tab w:leader="none" w:pos="3040" w:val="left"/>
          <w:tab w:leader="none" w:pos="886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5D6673"/>
        </w:rPr>
        <w:t>Appendix B</w:t>
      </w:r>
    </w:p>
    <w:p>
      <w:pPr>
        <w:spacing w:after="0" w:line="122"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color w:val="0063A6"/>
          <w:strike w:val="1"/>
        </w:rPr>
        <w:t>2.8.11</w:t>
        <w:tab/>
        <w:t>Amendment</w:t>
      </w:r>
    </w:p>
    <w:p>
      <w:pPr>
        <w:spacing w:after="0" w:line="63" w:lineRule="exact"/>
        <w:rPr>
          <w:sz w:val="20"/>
          <w:szCs w:val="20"/>
          <w:color w:val="auto"/>
        </w:rPr>
      </w:pPr>
    </w:p>
    <w:p>
      <w:pPr>
        <w:ind w:left="360" w:right="240"/>
        <w:spacing w:after="0" w:line="259" w:lineRule="auto"/>
        <w:rPr>
          <w:sz w:val="20"/>
          <w:szCs w:val="20"/>
          <w:color w:val="auto"/>
        </w:rPr>
      </w:pPr>
      <w:r>
        <w:rPr>
          <w:rFonts w:ascii="Arial" w:cs="Arial" w:eastAsia="Arial" w:hAnsi="Arial"/>
          <w:sz w:val="16"/>
          <w:szCs w:val="16"/>
          <w:color w:val="auto"/>
          <w:strike w:val="1"/>
        </w:rPr>
        <w:t>None of the powers, preferences and relative, participating, optional and other special rights of the Series R Preferred Stock as provided herein shall be amended in any manner that would alter or change the powers, preferences, rights or privileges of the holders of Series R Preferred Stock so as to affect them adversely without the affirmative vote of the holders of at least two-thirds of the outstanding shares of Series R Preferred Stock, voting as a separate class.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063A6"/>
        </w:rPr>
        <w:t>ARTICLE 3. REGISTERED OFFICE AND AGENT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name of the registered agent of this corporation and the address of its registered office are as follows: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strike w:val="1"/>
        </w:rPr>
        <w:t>Lawco of Washington Inc.</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strike w:val="1"/>
        </w:rPr>
        <w:t>1201 Third Avenue, 40th Floor</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strike w:val="1"/>
        </w:rPr>
        <w:t>Seattle, Washington 98101-3099</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National Registered Agents, Inc.</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711 Capitol Way South, Suite 204</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Olympia, Washington 98501-1267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58293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20" w:lineRule="exact"/>
        <w:rPr>
          <w:sz w:val="20"/>
          <w:szCs w:val="20"/>
          <w:color w:val="auto"/>
        </w:rPr>
      </w:pPr>
    </w:p>
    <w:p>
      <w:pPr>
        <w:ind w:left="40"/>
        <w:spacing w:after="0"/>
        <w:tabs>
          <w:tab w:leader="none" w:pos="3040" w:val="left"/>
          <w:tab w:leader="none" w:pos="7140" w:val="left"/>
        </w:tabs>
        <w:rPr>
          <w:sz w:val="20"/>
          <w:szCs w:val="20"/>
          <w:color w:val="auto"/>
        </w:rPr>
      </w:pPr>
      <w:r>
        <w:rPr>
          <w:rFonts w:ascii="Arial" w:cs="Arial" w:eastAsia="Arial" w:hAnsi="Arial"/>
          <w:sz w:val="16"/>
          <w:szCs w:val="16"/>
          <w:color w:val="5D6673"/>
        </w:rPr>
        <w:t>B-4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p>
      <w:pPr>
        <w:ind w:left="7740"/>
        <w:spacing w:after="0"/>
        <w:rPr>
          <w:sz w:val="20"/>
          <w:szCs w:val="20"/>
          <w:color w:val="auto"/>
        </w:rPr>
      </w:pPr>
      <w:r>
        <w:rPr>
          <w:rFonts w:ascii="Arial" w:cs="Arial" w:eastAsia="Arial" w:hAnsi="Arial"/>
          <w:sz w:val="23"/>
          <w:szCs w:val="23"/>
          <w:b w:val="1"/>
          <w:bCs w:val="1"/>
          <w:color w:val="0063A6"/>
        </w:rPr>
        <w:t>APPENDIX C</w:t>
      </w:r>
    </w:p>
    <w:p>
      <w:pPr>
        <w:spacing w:after="0" w:line="195" w:lineRule="exact"/>
        <w:rPr>
          <w:sz w:val="20"/>
          <w:szCs w:val="20"/>
          <w:color w:val="auto"/>
        </w:rPr>
      </w:pPr>
    </w:p>
    <w:p>
      <w:pPr>
        <w:ind w:right="440"/>
        <w:spacing w:after="0" w:line="309" w:lineRule="auto"/>
        <w:rPr>
          <w:sz w:val="20"/>
          <w:szCs w:val="20"/>
          <w:color w:val="auto"/>
        </w:rPr>
      </w:pPr>
      <w:r>
        <w:rPr>
          <w:rFonts w:ascii="Arial" w:cs="Arial" w:eastAsia="Arial" w:hAnsi="Arial"/>
          <w:sz w:val="23"/>
          <w:szCs w:val="23"/>
          <w:b w:val="1"/>
          <w:bCs w:val="1"/>
          <w:color w:val="0063A6"/>
        </w:rPr>
        <w:t>PROPOSAL 5 – AMENDMENT TO THE ITRON, INC. AMENDED AND RESTATED ARTICLES OF INCORPORATION TO INCLUDE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58293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0"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If Proposal 5 is adopted and effected, Article 9 of the Articles would be amended as follows (additions are shown as double underlined and deletions are shown as struck through):</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0063A6"/>
        </w:rPr>
        <w:t xml:space="preserve">ARTICLE 9. LIMITATION OF DIRECTOR LIABILITY </w:t>
      </w:r>
      <w:r>
        <w:rPr>
          <w:rFonts w:ascii="Arial" w:cs="Arial" w:eastAsia="Arial" w:hAnsi="Arial"/>
          <w:sz w:val="22"/>
          <w:szCs w:val="22"/>
          <w:b w:val="1"/>
          <w:bCs w:val="1"/>
          <w:u w:val="single" w:color="auto"/>
          <w:color w:val="0063A6"/>
        </w:rPr>
        <w:t>AND INDEMNIFICATION</w:t>
      </w:r>
    </w:p>
    <w:p>
      <w:pPr>
        <w:spacing w:after="0" w:line="18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u w:val="single" w:color="auto"/>
          <w:color w:val="0063A6"/>
        </w:rPr>
        <w:t>9.1</w:t>
      </w:r>
      <w:r>
        <w:rPr>
          <w:sz w:val="20"/>
          <w:szCs w:val="20"/>
          <w:color w:val="auto"/>
        </w:rPr>
        <w:tab/>
      </w:r>
      <w:r>
        <w:rPr>
          <w:rFonts w:ascii="Arial" w:cs="Arial" w:eastAsia="Arial" w:hAnsi="Arial"/>
          <w:sz w:val="19"/>
          <w:szCs w:val="19"/>
          <w:b w:val="1"/>
          <w:bCs w:val="1"/>
          <w:u w:val="single" w:color="auto"/>
          <w:color w:val="0063A6"/>
        </w:rPr>
        <w:t>Limitation of Liability</w:t>
      </w:r>
    </w:p>
    <w:p>
      <w:pPr>
        <w:spacing w:after="0" w:line="63" w:lineRule="exact"/>
        <w:rPr>
          <w:sz w:val="20"/>
          <w:szCs w:val="20"/>
          <w:color w:val="auto"/>
        </w:rPr>
      </w:pPr>
    </w:p>
    <w:p>
      <w:pPr>
        <w:ind w:left="360" w:right="120"/>
        <w:spacing w:after="0" w:line="266" w:lineRule="auto"/>
        <w:rPr>
          <w:sz w:val="20"/>
          <w:szCs w:val="20"/>
          <w:color w:val="auto"/>
        </w:rPr>
      </w:pPr>
      <w:r>
        <w:rPr>
          <w:rFonts w:ascii="Arial" w:cs="Arial" w:eastAsia="Arial" w:hAnsi="Arial"/>
          <w:sz w:val="16"/>
          <w:szCs w:val="16"/>
          <w:color w:val="auto"/>
        </w:rPr>
        <w:t>To the full extent that the Washington Business Corporation Act, as it exists on the date hereof or may hereafter be amended, permits the limitation or elimination of the liability of Directors, a Director of this corporation shall not be liable to this corporation or its shareholders for monetary damages for conduct as a Director.</w:t>
      </w:r>
    </w:p>
    <w:p>
      <w:pPr>
        <w:spacing w:after="0" w:line="121"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u w:val="single" w:color="auto"/>
          <w:color w:val="0063A6"/>
        </w:rPr>
        <w:t>9.2</w:t>
      </w:r>
      <w:r>
        <w:rPr>
          <w:sz w:val="20"/>
          <w:szCs w:val="20"/>
          <w:color w:val="auto"/>
        </w:rPr>
        <w:tab/>
      </w:r>
      <w:r>
        <w:rPr>
          <w:rFonts w:ascii="Arial" w:cs="Arial" w:eastAsia="Arial" w:hAnsi="Arial"/>
          <w:sz w:val="20"/>
          <w:szCs w:val="20"/>
          <w:b w:val="1"/>
          <w:bCs w:val="1"/>
          <w:u w:val="single" w:color="auto"/>
          <w:color w:val="0063A6"/>
        </w:rPr>
        <w:t>Indemnification</w:t>
      </w:r>
    </w:p>
    <w:p>
      <w:pPr>
        <w:spacing w:after="0" w:line="77" w:lineRule="exact"/>
        <w:rPr>
          <w:sz w:val="20"/>
          <w:szCs w:val="20"/>
          <w:color w:val="auto"/>
        </w:rPr>
      </w:pPr>
    </w:p>
    <w:p>
      <w:pPr>
        <w:ind w:left="360" w:right="20"/>
        <w:spacing w:after="0" w:line="256" w:lineRule="auto"/>
        <w:rPr>
          <w:sz w:val="20"/>
          <w:szCs w:val="20"/>
          <w:color w:val="auto"/>
        </w:rPr>
      </w:pPr>
      <w:r>
        <w:rPr>
          <w:rFonts w:ascii="Arial" w:cs="Arial" w:eastAsia="Arial" w:hAnsi="Arial"/>
          <w:sz w:val="16"/>
          <w:szCs w:val="16"/>
          <w:u w:val="single" w:color="auto"/>
          <w:color w:val="auto"/>
        </w:rPr>
        <w:t>This corporation shall indemnify, to the fullest extent permitted by law, any individual made a party to a proceeding because that individual is or was a Director or Officer of this corporation and shall advance or reimburse the expenses incurred by such individual in advance of final disposition of the proceeding, without regard to the limitations in RCW 23B.08.510 through 23B.08.550 of the Washington Business Corporation Act or any successor provision, or any other limitation which may hereafter be enacted to the extent such limitation may be disregarded if authorized by the Articles of Incorporation.</w:t>
      </w:r>
    </w:p>
    <w:p>
      <w:pPr>
        <w:spacing w:after="0" w:line="130"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20"/>
          <w:szCs w:val="20"/>
          <w:b w:val="1"/>
          <w:bCs w:val="1"/>
          <w:u w:val="single" w:color="auto"/>
          <w:color w:val="0063A6"/>
        </w:rPr>
        <w:t>9.3</w:t>
      </w:r>
      <w:r>
        <w:rPr>
          <w:sz w:val="20"/>
          <w:szCs w:val="20"/>
          <w:color w:val="auto"/>
        </w:rPr>
        <w:tab/>
      </w:r>
      <w:r>
        <w:rPr>
          <w:rFonts w:ascii="Arial" w:cs="Arial" w:eastAsia="Arial" w:hAnsi="Arial"/>
          <w:sz w:val="19"/>
          <w:szCs w:val="19"/>
          <w:b w:val="1"/>
          <w:bCs w:val="1"/>
          <w:u w:val="single" w:color="auto"/>
          <w:color w:val="0063A6"/>
        </w:rPr>
        <w:t>Change in Rights</w:t>
      </w:r>
    </w:p>
    <w:p>
      <w:pPr>
        <w:spacing w:after="0" w:line="63" w:lineRule="exact"/>
        <w:rPr>
          <w:sz w:val="20"/>
          <w:szCs w:val="20"/>
          <w:color w:val="auto"/>
        </w:rPr>
      </w:pPr>
    </w:p>
    <w:p>
      <w:pPr>
        <w:ind w:left="360" w:right="300"/>
        <w:spacing w:after="0" w:line="266" w:lineRule="auto"/>
        <w:rPr>
          <w:sz w:val="20"/>
          <w:szCs w:val="20"/>
          <w:color w:val="auto"/>
        </w:rPr>
      </w:pPr>
      <w:r>
        <w:rPr>
          <w:rFonts w:ascii="Arial" w:cs="Arial" w:eastAsia="Arial" w:hAnsi="Arial"/>
          <w:sz w:val="16"/>
          <w:szCs w:val="16"/>
          <w:color w:val="auto"/>
        </w:rPr>
        <w:t xml:space="preserve">Any amendments to or repeal of this Article 9 shall not adversely affect any right or protection </w:t>
      </w:r>
      <w:r>
        <w:rPr>
          <w:rFonts w:ascii="Arial" w:cs="Arial" w:eastAsia="Arial" w:hAnsi="Arial"/>
          <w:sz w:val="16"/>
          <w:szCs w:val="16"/>
          <w:u w:val="single" w:color="auto"/>
          <w:color w:val="auto"/>
        </w:rPr>
        <w:t>of any individual because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 individual is or was</w:t>
      </w:r>
      <w:r>
        <w:rPr>
          <w:rFonts w:ascii="Arial" w:cs="Arial" w:eastAsia="Arial" w:hAnsi="Arial"/>
          <w:sz w:val="16"/>
          <w:szCs w:val="16"/>
          <w:color w:val="auto"/>
        </w:rPr>
        <w:t xml:space="preserve"> a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this corporation for or with respect to any acts or omissions of such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individual</w:t>
      </w:r>
      <w:r>
        <w:rPr>
          <w:rFonts w:ascii="Arial" w:cs="Arial" w:eastAsia="Arial" w:hAnsi="Arial"/>
          <w:sz w:val="16"/>
          <w:szCs w:val="16"/>
          <w:color w:val="auto"/>
        </w:rPr>
        <w:t xml:space="preserve"> occurring prior to such 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58293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6" w:lineRule="exact"/>
        <w:rPr>
          <w:sz w:val="20"/>
          <w:szCs w:val="20"/>
          <w:color w:val="auto"/>
        </w:rPr>
      </w:pPr>
    </w:p>
    <w:p>
      <w:pPr>
        <w:ind w:left="40"/>
        <w:spacing w:after="0"/>
        <w:tabs>
          <w:tab w:leader="none" w:pos="3040" w:val="left"/>
          <w:tab w:leader="none" w:pos="8860"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9" w:name="page80"/>
    <w:bookmarkEnd w:id="7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6" w:lineRule="exact"/>
        <w:rPr>
          <w:sz w:val="20"/>
          <w:szCs w:val="20"/>
          <w:color w:val="auto"/>
        </w:rPr>
      </w:pPr>
    </w:p>
    <w:tbl>
      <w:tblPr>
        <w:tblLayout w:type="fixed"/>
        <w:tblInd w:w="6" w:type="dxa"/>
        <w:tblCellMar>
          <w:top w:w="0" w:type="dxa"/>
          <w:left w:w="0" w:type="dxa"/>
          <w:bottom w:w="0" w:type="dxa"/>
          <w:right w:w="0" w:type="dxa"/>
        </w:tblCellMar>
      </w:tblPr>
      <w:tr>
        <w:trPr>
          <w:trHeight w:val="322"/>
        </w:trPr>
        <w:tc>
          <w:tcPr>
            <w:tcW w:w="5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gridSpan w:val="4"/>
          </w:tcPr>
          <w:p>
            <w:pPr>
              <w:ind w:left="520"/>
              <w:spacing w:after="0"/>
              <w:rPr>
                <w:sz w:val="20"/>
                <w:szCs w:val="20"/>
                <w:color w:val="auto"/>
              </w:rPr>
            </w:pPr>
            <w:r>
              <w:rPr>
                <w:rFonts w:ascii="Arial" w:cs="Arial" w:eastAsia="Arial" w:hAnsi="Arial"/>
                <w:sz w:val="23"/>
                <w:szCs w:val="23"/>
                <w:b w:val="1"/>
                <w:bCs w:val="1"/>
                <w:color w:val="0063A6"/>
              </w:rPr>
              <w:t>APPENDIX D</w:t>
            </w:r>
          </w:p>
        </w:tc>
      </w:tr>
      <w:tr>
        <w:trPr>
          <w:trHeight w:val="459"/>
        </w:trPr>
        <w:tc>
          <w:tcPr>
            <w:tcW w:w="6320" w:type="dxa"/>
            <w:vAlign w:val="bottom"/>
            <w:gridSpan w:val="2"/>
          </w:tcPr>
          <w:p>
            <w:pPr>
              <w:ind w:left="2920"/>
              <w:spacing w:after="0"/>
              <w:rPr>
                <w:sz w:val="20"/>
                <w:szCs w:val="20"/>
                <w:color w:val="auto"/>
              </w:rPr>
            </w:pPr>
            <w:r>
              <w:rPr>
                <w:rFonts w:ascii="Arial" w:cs="Arial" w:eastAsia="Arial" w:hAnsi="Arial"/>
                <w:sz w:val="23"/>
                <w:szCs w:val="23"/>
                <w:b w:val="1"/>
                <w:bCs w:val="1"/>
                <w:color w:val="0063A6"/>
              </w:rPr>
              <w:t>NON-GAAP RECONCILIATION</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0"/>
        </w:trPr>
        <w:tc>
          <w:tcPr>
            <w:tcW w:w="5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gridSpan w:val="2"/>
          </w:tcPr>
          <w:p>
            <w:pPr>
              <w:spacing w:after="0"/>
              <w:rPr>
                <w:sz w:val="7"/>
                <w:szCs w:val="7"/>
                <w:color w:val="auto"/>
              </w:rPr>
            </w:pPr>
          </w:p>
        </w:tc>
        <w:tc>
          <w:tcPr>
            <w:tcW w:w="920" w:type="dxa"/>
            <w:vAlign w:val="bottom"/>
            <w:gridSpan w:val="2"/>
          </w:tcPr>
          <w:p>
            <w:pPr>
              <w:spacing w:after="0"/>
              <w:rPr>
                <w:sz w:val="7"/>
                <w:szCs w:val="7"/>
                <w:color w:val="auto"/>
              </w:rPr>
            </w:pPr>
          </w:p>
        </w:tc>
        <w:tc>
          <w:tcPr>
            <w:tcW w:w="60" w:type="dxa"/>
            <w:vAlign w:val="bottom"/>
          </w:tcPr>
          <w:p>
            <w:pPr>
              <w:spacing w:after="0"/>
              <w:rPr>
                <w:sz w:val="7"/>
                <w:szCs w:val="7"/>
                <w:color w:val="auto"/>
              </w:rPr>
            </w:pPr>
          </w:p>
        </w:tc>
      </w:tr>
      <w:tr>
        <w:trPr>
          <w:trHeight w:val="268"/>
        </w:trPr>
        <w:tc>
          <w:tcPr>
            <w:tcW w:w="5820" w:type="dxa"/>
            <w:vAlign w:val="bottom"/>
          </w:tcPr>
          <w:p>
            <w:pPr>
              <w:ind w:left="60"/>
              <w:spacing w:after="0"/>
              <w:rPr>
                <w:sz w:val="20"/>
                <w:szCs w:val="20"/>
                <w:color w:val="auto"/>
              </w:rPr>
            </w:pPr>
            <w:r>
              <w:rPr>
                <w:rFonts w:ascii="Arial" w:cs="Arial" w:eastAsia="Arial" w:hAnsi="Arial"/>
                <w:sz w:val="14"/>
                <w:szCs w:val="14"/>
                <w:b w:val="1"/>
                <w:bCs w:val="1"/>
                <w:color w:val="auto"/>
              </w:rPr>
              <w:t>TOTAL COMPANY RECONCILIATIONS</w:t>
            </w:r>
          </w:p>
        </w:tc>
        <w:tc>
          <w:tcPr>
            <w:tcW w:w="500" w:type="dxa"/>
            <w:vAlign w:val="bottom"/>
            <w:shd w:val="clear" w:color="auto" w:fill="0063A6"/>
          </w:tcPr>
          <w:p>
            <w:pPr>
              <w:spacing w:after="0"/>
              <w:rPr>
                <w:sz w:val="23"/>
                <w:szCs w:val="23"/>
                <w:color w:val="auto"/>
              </w:rPr>
            </w:pPr>
          </w:p>
        </w:tc>
        <w:tc>
          <w:tcPr>
            <w:tcW w:w="240" w:type="dxa"/>
            <w:vAlign w:val="bottom"/>
            <w:shd w:val="clear" w:color="auto" w:fill="0063A6"/>
          </w:tcPr>
          <w:p>
            <w:pPr>
              <w:spacing w:after="0"/>
              <w:rPr>
                <w:sz w:val="23"/>
                <w:szCs w:val="23"/>
                <w:color w:val="auto"/>
              </w:rPr>
            </w:pPr>
          </w:p>
        </w:tc>
        <w:tc>
          <w:tcPr>
            <w:tcW w:w="2620" w:type="dxa"/>
            <w:vAlign w:val="bottom"/>
            <w:gridSpan w:val="5"/>
            <w:shd w:val="clear" w:color="auto" w:fill="0063A6"/>
          </w:tcPr>
          <w:p>
            <w:pPr>
              <w:ind w:left="280"/>
              <w:spacing w:after="0"/>
              <w:rPr>
                <w:sz w:val="20"/>
                <w:szCs w:val="20"/>
                <w:color w:val="auto"/>
              </w:rPr>
            </w:pPr>
            <w:r>
              <w:rPr>
                <w:rFonts w:ascii="Arial" w:cs="Arial" w:eastAsia="Arial" w:hAnsi="Arial"/>
                <w:sz w:val="14"/>
                <w:szCs w:val="14"/>
                <w:b w:val="1"/>
                <w:bCs w:val="1"/>
                <w:color w:val="FFFFFF"/>
              </w:rPr>
              <w:t>Year Ended December 31,</w:t>
            </w:r>
          </w:p>
        </w:tc>
      </w:tr>
      <w:tr>
        <w:trPr>
          <w:trHeight w:val="252"/>
        </w:trPr>
        <w:tc>
          <w:tcPr>
            <w:tcW w:w="5820" w:type="dxa"/>
            <w:vAlign w:val="bottom"/>
            <w:tcBorders>
              <w:bottom w:val="single" w:sz="8" w:color="0063A6"/>
            </w:tcBorders>
          </w:tcPr>
          <w:p>
            <w:pPr>
              <w:ind w:left="60"/>
              <w:spacing w:after="0"/>
              <w:rPr>
                <w:sz w:val="20"/>
                <w:szCs w:val="20"/>
                <w:color w:val="auto"/>
              </w:rPr>
            </w:pPr>
            <w:r>
              <w:rPr>
                <w:rFonts w:ascii="Arial" w:cs="Arial" w:eastAsia="Arial" w:hAnsi="Arial"/>
                <w:sz w:val="14"/>
                <w:szCs w:val="14"/>
                <w:i w:val="1"/>
                <w:iCs w:val="1"/>
                <w:color w:val="auto"/>
              </w:rPr>
              <w:t>In thousands, except per share data</w:t>
            </w:r>
          </w:p>
        </w:tc>
        <w:tc>
          <w:tcPr>
            <w:tcW w:w="500" w:type="dxa"/>
            <w:vAlign w:val="bottom"/>
            <w:tcBorders>
              <w:bottom w:val="single" w:sz="8" w:color="0063A6"/>
            </w:tcBorders>
            <w:shd w:val="clear" w:color="auto" w:fill="0063A6"/>
          </w:tcPr>
          <w:p>
            <w:pPr>
              <w:spacing w:after="0"/>
              <w:rPr>
                <w:sz w:val="21"/>
                <w:szCs w:val="21"/>
                <w:color w:val="auto"/>
              </w:rPr>
            </w:pPr>
          </w:p>
        </w:tc>
        <w:tc>
          <w:tcPr>
            <w:tcW w:w="240" w:type="dxa"/>
            <w:vAlign w:val="bottom"/>
            <w:tcBorders>
              <w:bottom w:val="single" w:sz="8" w:color="0063A6"/>
            </w:tcBorders>
            <w:shd w:val="clear" w:color="auto" w:fill="0063A6"/>
          </w:tcPr>
          <w:p>
            <w:pPr>
              <w:spacing w:after="0"/>
              <w:rPr>
                <w:sz w:val="21"/>
                <w:szCs w:val="21"/>
                <w:color w:val="auto"/>
              </w:rPr>
            </w:pPr>
          </w:p>
        </w:tc>
        <w:tc>
          <w:tcPr>
            <w:tcW w:w="6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2024</w:t>
            </w:r>
          </w:p>
        </w:tc>
        <w:tc>
          <w:tcPr>
            <w:tcW w:w="980" w:type="dxa"/>
            <w:vAlign w:val="bottom"/>
            <w:tcBorders>
              <w:bottom w:val="single" w:sz="8" w:color="0063A6"/>
            </w:tcBorders>
            <w:shd w:val="clear" w:color="auto" w:fill="0063A6"/>
          </w:tcPr>
          <w:p>
            <w:pPr>
              <w:spacing w:after="0"/>
              <w:rPr>
                <w:sz w:val="21"/>
                <w:szCs w:val="21"/>
                <w:color w:val="auto"/>
              </w:rPr>
            </w:pPr>
          </w:p>
        </w:tc>
        <w:tc>
          <w:tcPr>
            <w:tcW w:w="260" w:type="dxa"/>
            <w:vAlign w:val="bottom"/>
            <w:tcBorders>
              <w:bottom w:val="single" w:sz="8" w:color="0063A6"/>
            </w:tcBorders>
            <w:shd w:val="clear" w:color="auto" w:fill="0063A6"/>
          </w:tcPr>
          <w:p>
            <w:pPr>
              <w:spacing w:after="0"/>
              <w:rPr>
                <w:sz w:val="21"/>
                <w:szCs w:val="21"/>
                <w:color w:val="auto"/>
              </w:rPr>
            </w:pPr>
          </w:p>
        </w:tc>
        <w:tc>
          <w:tcPr>
            <w:tcW w:w="660" w:type="dxa"/>
            <w:vAlign w:val="bottom"/>
            <w:tcBorders>
              <w:bottom w:val="single" w:sz="8" w:color="0063A6"/>
            </w:tcBorders>
            <w:shd w:val="clear" w:color="auto" w:fill="0063A6"/>
          </w:tcPr>
          <w:p>
            <w:pPr>
              <w:jc w:val="right"/>
              <w:ind w:right="219"/>
              <w:spacing w:after="0"/>
              <w:rPr>
                <w:sz w:val="20"/>
                <w:szCs w:val="20"/>
                <w:color w:val="auto"/>
              </w:rPr>
            </w:pPr>
            <w:r>
              <w:rPr>
                <w:rFonts w:ascii="Arial" w:cs="Arial" w:eastAsia="Arial" w:hAnsi="Arial"/>
                <w:sz w:val="14"/>
                <w:szCs w:val="14"/>
                <w:b w:val="1"/>
                <w:bCs w:val="1"/>
                <w:color w:val="FFFFFF"/>
              </w:rPr>
              <w:t>2023</w:t>
            </w:r>
          </w:p>
        </w:tc>
        <w:tc>
          <w:tcPr>
            <w:tcW w:w="60" w:type="dxa"/>
            <w:vAlign w:val="bottom"/>
            <w:tcBorders>
              <w:bottom w:val="single" w:sz="8" w:color="0063A6"/>
            </w:tcBorders>
            <w:shd w:val="clear" w:color="auto" w:fill="0063A6"/>
          </w:tcPr>
          <w:p>
            <w:pPr>
              <w:spacing w:after="0"/>
              <w:rPr>
                <w:sz w:val="21"/>
                <w:szCs w:val="21"/>
                <w:color w:val="auto"/>
              </w:rPr>
            </w:pPr>
          </w:p>
        </w:tc>
      </w:tr>
      <w:tr>
        <w:trPr>
          <w:trHeight w:val="249"/>
        </w:trPr>
        <w:tc>
          <w:tcPr>
            <w:tcW w:w="6320" w:type="dxa"/>
            <w:vAlign w:val="bottom"/>
            <w:gridSpan w:val="2"/>
          </w:tcPr>
          <w:p>
            <w:pPr>
              <w:ind w:left="60"/>
              <w:spacing w:after="0"/>
              <w:rPr>
                <w:sz w:val="20"/>
                <w:szCs w:val="20"/>
                <w:color w:val="auto"/>
              </w:rPr>
            </w:pPr>
            <w:r>
              <w:rPr>
                <w:rFonts w:ascii="Arial" w:cs="Arial" w:eastAsia="Arial" w:hAnsi="Arial"/>
                <w:sz w:val="16"/>
                <w:szCs w:val="16"/>
                <w:b w:val="1"/>
                <w:bCs w:val="1"/>
                <w:color w:val="auto"/>
              </w:rPr>
              <w:t>NON-GAAP NET INCOME &amp; DILUTED EPS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5"/>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GAAP net income attributable to Itron, Inc.</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239,105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96,923</w:t>
            </w:r>
          </w:p>
        </w:tc>
        <w:tc>
          <w:tcPr>
            <w:tcW w:w="60" w:type="dxa"/>
            <w:vAlign w:val="bottom"/>
          </w:tcPr>
          <w:p>
            <w:pPr>
              <w:spacing w:after="0"/>
              <w:rPr>
                <w:sz w:val="23"/>
                <w:szCs w:val="23"/>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17,828</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18,918</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Amortization of debt placement fees</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5,314</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3,489</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2,679</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43,989</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Loss on sale of business</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667</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Strategic initiative</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4"/>
                <w:szCs w:val="24"/>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Acquisition and integration</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723</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24"/>
                <w:szCs w:val="24"/>
                <w:color w:val="auto"/>
              </w:rPr>
            </w:pPr>
          </w:p>
        </w:tc>
      </w:tr>
      <w:tr>
        <w:trPr>
          <w:trHeight w:val="339"/>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6"/>
                <w:szCs w:val="26"/>
                <w:color w:val="auto"/>
                <w:vertAlign w:val="superscript"/>
              </w:rPr>
              <w:t>(1)</w:t>
            </w:r>
          </w:p>
        </w:tc>
        <w:tc>
          <w:tcPr>
            <w:tcW w:w="240" w:type="dxa"/>
            <w:vAlign w:val="bottom"/>
            <w:tcBorders>
              <w:bottom w:val="single" w:sz="8" w:color="0063A6"/>
            </w:tcBorders>
          </w:tcPr>
          <w:p>
            <w:pPr>
              <w:spacing w:after="0"/>
              <w:rPr>
                <w:sz w:val="24"/>
                <w:szCs w:val="24"/>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(6,446)</w:t>
            </w:r>
          </w:p>
        </w:tc>
        <w:tc>
          <w:tcPr>
            <w:tcW w:w="980" w:type="dxa"/>
            <w:vAlign w:val="bottom"/>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(10,339)</w:t>
            </w:r>
          </w:p>
        </w:tc>
        <w:tc>
          <w:tcPr>
            <w:tcW w:w="60" w:type="dxa"/>
            <w:vAlign w:val="bottom"/>
          </w:tcPr>
          <w:p>
            <w:pPr>
              <w:spacing w:after="0"/>
              <w:rPr>
                <w:sz w:val="24"/>
                <w:szCs w:val="24"/>
                <w:color w:val="auto"/>
              </w:rPr>
            </w:pPr>
          </w:p>
        </w:tc>
      </w:tr>
      <w:tr>
        <w:trPr>
          <w:trHeight w:val="257"/>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Non-GAAP net income attributable to Itron, Inc.</w:t>
            </w:r>
          </w:p>
        </w:tc>
        <w:tc>
          <w:tcPr>
            <w:tcW w:w="24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259,800</w:t>
            </w:r>
          </w:p>
        </w:tc>
        <w:tc>
          <w:tcPr>
            <w:tcW w:w="980" w:type="dxa"/>
            <w:vAlign w:val="bottom"/>
          </w:tcPr>
          <w:p>
            <w:pPr>
              <w:spacing w:after="0"/>
              <w:rPr>
                <w:sz w:val="22"/>
                <w:szCs w:val="22"/>
                <w:color w:val="auto"/>
              </w:rPr>
            </w:pPr>
          </w:p>
        </w:tc>
        <w:tc>
          <w:tcPr>
            <w:tcW w:w="2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w w:val="96"/>
              </w:rPr>
              <w:t>153,786</w:t>
            </w:r>
          </w:p>
        </w:tc>
        <w:tc>
          <w:tcPr>
            <w:tcW w:w="60" w:type="dxa"/>
            <w:vAlign w:val="bottom"/>
          </w:tcPr>
          <w:p>
            <w:pPr>
              <w:spacing w:after="0"/>
              <w:rPr>
                <w:sz w:val="22"/>
                <w:szCs w:val="22"/>
                <w:color w:val="auto"/>
              </w:rPr>
            </w:pPr>
          </w:p>
        </w:tc>
      </w:tr>
      <w:tr>
        <w:trPr>
          <w:trHeight w:val="358"/>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Non-GAAP diluted EPS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3.36</w:t>
            </w:r>
          </w:p>
        </w:tc>
        <w:tc>
          <w:tcPr>
            <w:tcW w:w="60" w:type="dxa"/>
            <w:vAlign w:val="bottom"/>
          </w:tcPr>
          <w:p>
            <w:pPr>
              <w:spacing w:after="0"/>
              <w:rPr>
                <w:sz w:val="24"/>
                <w:szCs w:val="24"/>
                <w:color w:val="auto"/>
              </w:rPr>
            </w:pPr>
          </w:p>
        </w:tc>
      </w:tr>
      <w:tr>
        <w:trPr>
          <w:trHeight w:val="358"/>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Non-GAAP weighted average common shares outstanding - Diluted</w:t>
            </w:r>
          </w:p>
        </w:tc>
        <w:tc>
          <w:tcPr>
            <w:tcW w:w="240" w:type="dxa"/>
            <w:vAlign w:val="bottom"/>
            <w:tcBorders>
              <w:top w:val="single" w:sz="8" w:color="0063A6"/>
              <w:bottom w:val="single" w:sz="8" w:color="0063A6"/>
            </w:tcBorders>
          </w:tcPr>
          <w:p>
            <w:pPr>
              <w:spacing w:after="0"/>
              <w:rPr>
                <w:sz w:val="24"/>
                <w:szCs w:val="24"/>
                <w:color w:val="auto"/>
              </w:rPr>
            </w:pPr>
          </w:p>
        </w:tc>
        <w:tc>
          <w:tcPr>
            <w:tcW w:w="660" w:type="dxa"/>
            <w:vAlign w:val="bottom"/>
            <w:tcBorders>
              <w:top w:val="single" w:sz="8" w:color="0063A6"/>
              <w:bottom w:val="single" w:sz="8" w:color="0063A6"/>
            </w:tcBorders>
          </w:tcPr>
          <w:p>
            <w:pPr>
              <w:jc w:val="right"/>
              <w:spacing w:after="0"/>
              <w:rPr>
                <w:sz w:val="20"/>
                <w:szCs w:val="20"/>
                <w:color w:val="auto"/>
              </w:rPr>
            </w:pPr>
            <w:r>
              <w:rPr>
                <w:rFonts w:ascii="Arial" w:cs="Arial" w:eastAsia="Arial" w:hAnsi="Arial"/>
                <w:sz w:val="16"/>
                <w:szCs w:val="16"/>
                <w:color w:val="auto"/>
              </w:rPr>
              <w:t>46,187</w:t>
            </w:r>
          </w:p>
        </w:tc>
        <w:tc>
          <w:tcPr>
            <w:tcW w:w="980" w:type="dxa"/>
            <w:vAlign w:val="bottom"/>
          </w:tcPr>
          <w:p>
            <w:pPr>
              <w:spacing w:after="0"/>
              <w:rPr>
                <w:sz w:val="24"/>
                <w:szCs w:val="24"/>
                <w:color w:val="auto"/>
              </w:rPr>
            </w:pPr>
          </w:p>
        </w:tc>
        <w:tc>
          <w:tcPr>
            <w:tcW w:w="260" w:type="dxa"/>
            <w:vAlign w:val="bottom"/>
            <w:tcBorders>
              <w:top w:val="single" w:sz="8" w:color="0063A6"/>
              <w:bottom w:val="single" w:sz="8" w:color="0063A6"/>
            </w:tcBorders>
          </w:tcPr>
          <w:p>
            <w:pPr>
              <w:spacing w:after="0"/>
              <w:rPr>
                <w:sz w:val="24"/>
                <w:szCs w:val="24"/>
                <w:color w:val="auto"/>
              </w:rPr>
            </w:pPr>
          </w:p>
        </w:tc>
        <w:tc>
          <w:tcPr>
            <w:tcW w:w="660" w:type="dxa"/>
            <w:vAlign w:val="bottom"/>
            <w:tcBorders>
              <w:top w:val="single" w:sz="8" w:color="0063A6"/>
              <w:bottom w:val="single" w:sz="8" w:color="0063A6"/>
            </w:tcBorders>
          </w:tcPr>
          <w:p>
            <w:pPr>
              <w:jc w:val="right"/>
              <w:spacing w:after="0"/>
              <w:rPr>
                <w:sz w:val="20"/>
                <w:szCs w:val="20"/>
                <w:color w:val="auto"/>
              </w:rPr>
            </w:pPr>
            <w:r>
              <w:rPr>
                <w:rFonts w:ascii="Arial" w:cs="Arial" w:eastAsia="Arial" w:hAnsi="Arial"/>
                <w:sz w:val="16"/>
                <w:szCs w:val="16"/>
                <w:color w:val="auto"/>
              </w:rPr>
              <w:t>45,836</w:t>
            </w:r>
          </w:p>
        </w:tc>
        <w:tc>
          <w:tcPr>
            <w:tcW w:w="60" w:type="dxa"/>
            <w:vAlign w:val="bottom"/>
          </w:tcPr>
          <w:p>
            <w:pPr>
              <w:spacing w:after="0"/>
              <w:rPr>
                <w:sz w:val="24"/>
                <w:szCs w:val="24"/>
                <w:color w:val="auto"/>
              </w:rPr>
            </w:pPr>
          </w:p>
        </w:tc>
      </w:tr>
      <w:tr>
        <w:trPr>
          <w:trHeight w:val="343"/>
        </w:trPr>
        <w:tc>
          <w:tcPr>
            <w:tcW w:w="632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5"/>
        </w:trPr>
        <w:tc>
          <w:tcPr>
            <w:tcW w:w="6320" w:type="dxa"/>
            <w:vAlign w:val="bottom"/>
            <w:gridSpan w:val="2"/>
          </w:tcPr>
          <w:p>
            <w:pPr>
              <w:ind w:left="240"/>
              <w:spacing w:after="0"/>
              <w:rPr>
                <w:sz w:val="20"/>
                <w:szCs w:val="20"/>
                <w:color w:val="auto"/>
              </w:rPr>
            </w:pPr>
            <w:r>
              <w:rPr>
                <w:rFonts w:ascii="Arial" w:cs="Arial" w:eastAsia="Arial" w:hAnsi="Arial"/>
                <w:sz w:val="16"/>
                <w:szCs w:val="16"/>
                <w:color w:val="auto"/>
              </w:rPr>
              <w:t>GAAP net income attributable to Itron, Inc.</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239,105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96,923</w:t>
            </w:r>
          </w:p>
        </w:tc>
        <w:tc>
          <w:tcPr>
            <w:tcW w:w="60" w:type="dxa"/>
            <w:vAlign w:val="bottom"/>
          </w:tcPr>
          <w:p>
            <w:pPr>
              <w:spacing w:after="0"/>
              <w:rPr>
                <w:sz w:val="23"/>
                <w:szCs w:val="23"/>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6"/>
                <w:szCs w:val="16"/>
                <w:color w:val="auto"/>
                <w:w w:val="97"/>
              </w:rPr>
              <w:t>(34,577)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(9,314)</w:t>
            </w:r>
          </w:p>
        </w:tc>
        <w:tc>
          <w:tcPr>
            <w:tcW w:w="60" w:type="dxa"/>
            <w:vAlign w:val="bottom"/>
          </w:tcPr>
          <w:p>
            <w:pPr>
              <w:spacing w:after="0"/>
              <w:rPr>
                <w:sz w:val="24"/>
                <w:szCs w:val="24"/>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15,379</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8,349</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Income tax provision</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43,407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29,068</w:t>
            </w:r>
          </w:p>
        </w:tc>
        <w:tc>
          <w:tcPr>
            <w:tcW w:w="60" w:type="dxa"/>
            <w:vAlign w:val="bottom"/>
          </w:tcPr>
          <w:p>
            <w:pPr>
              <w:spacing w:after="0"/>
              <w:rPr>
                <w:sz w:val="24"/>
                <w:szCs w:val="24"/>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56,277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55,763</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2,679</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43,989</w:t>
            </w:r>
          </w:p>
        </w:tc>
        <w:tc>
          <w:tcPr>
            <w:tcW w:w="60" w:type="dxa"/>
            <w:vAlign w:val="bottom"/>
          </w:tcPr>
          <w:p>
            <w:pPr>
              <w:spacing w:after="0"/>
              <w:rPr>
                <w:sz w:val="24"/>
                <w:szCs w:val="24"/>
                <w:color w:val="auto"/>
              </w:rPr>
            </w:pPr>
          </w:p>
        </w:tc>
      </w:tr>
      <w:tr>
        <w:trPr>
          <w:trHeight w:val="283"/>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Loss on sale of business</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667</w:t>
            </w:r>
          </w:p>
        </w:tc>
        <w:tc>
          <w:tcPr>
            <w:tcW w:w="60" w:type="dxa"/>
            <w:vAlign w:val="bottom"/>
          </w:tcPr>
          <w:p>
            <w:pPr>
              <w:spacing w:after="0"/>
              <w:rPr>
                <w:sz w:val="24"/>
                <w:szCs w:val="24"/>
                <w:color w:val="auto"/>
              </w:rPr>
            </w:pPr>
          </w:p>
        </w:tc>
      </w:tr>
      <w:tr>
        <w:trPr>
          <w:trHeight w:val="284"/>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Strategic initiative</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4"/>
                <w:szCs w:val="24"/>
                <w:color w:val="auto"/>
              </w:rPr>
            </w:pPr>
          </w:p>
        </w:tc>
      </w:tr>
      <w:tr>
        <w:trPr>
          <w:trHeight w:val="306"/>
        </w:trPr>
        <w:tc>
          <w:tcPr>
            <w:tcW w:w="6320" w:type="dxa"/>
            <w:vAlign w:val="bottom"/>
            <w:gridSpan w:val="2"/>
          </w:tcPr>
          <w:p>
            <w:pPr>
              <w:ind w:left="420"/>
              <w:spacing w:after="0"/>
              <w:rPr>
                <w:sz w:val="20"/>
                <w:szCs w:val="20"/>
                <w:color w:val="auto"/>
              </w:rPr>
            </w:pPr>
            <w:r>
              <w:rPr>
                <w:rFonts w:ascii="Arial" w:cs="Arial" w:eastAsia="Arial" w:hAnsi="Arial"/>
                <w:sz w:val="16"/>
                <w:szCs w:val="16"/>
                <w:color w:val="auto"/>
              </w:rPr>
              <w:t>Acquisition and integration</w:t>
            </w:r>
          </w:p>
        </w:tc>
        <w:tc>
          <w:tcPr>
            <w:tcW w:w="240" w:type="dxa"/>
            <w:vAlign w:val="bottom"/>
            <w:tcBorders>
              <w:bottom w:val="single" w:sz="8" w:color="0063A6"/>
            </w:tcBorders>
          </w:tcPr>
          <w:p>
            <w:pPr>
              <w:spacing w:after="0"/>
              <w:rPr>
                <w:sz w:val="24"/>
                <w:szCs w:val="24"/>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723</w:t>
            </w:r>
          </w:p>
        </w:tc>
        <w:tc>
          <w:tcPr>
            <w:tcW w:w="980" w:type="dxa"/>
            <w:vAlign w:val="bottom"/>
          </w:tcPr>
          <w:p>
            <w:pPr>
              <w:spacing w:after="0"/>
              <w:rPr>
                <w:sz w:val="24"/>
                <w:szCs w:val="24"/>
                <w:color w:val="auto"/>
              </w:rPr>
            </w:pPr>
          </w:p>
        </w:tc>
        <w:tc>
          <w:tcPr>
            <w:tcW w:w="260" w:type="dxa"/>
            <w:vAlign w:val="bottom"/>
            <w:tcBorders>
              <w:bottom w:val="single" w:sz="8" w:color="0063A6"/>
            </w:tcBorders>
          </w:tcPr>
          <w:p>
            <w:pPr>
              <w:spacing w:after="0"/>
              <w:rPr>
                <w:sz w:val="24"/>
                <w:szCs w:val="24"/>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24"/>
                <w:szCs w:val="24"/>
                <w:color w:val="auto"/>
              </w:rPr>
            </w:pPr>
          </w:p>
        </w:tc>
      </w:tr>
      <w:tr>
        <w:trPr>
          <w:trHeight w:val="242"/>
        </w:trPr>
        <w:tc>
          <w:tcPr>
            <w:tcW w:w="6320" w:type="dxa"/>
            <w:vAlign w:val="bottom"/>
            <w:tcBorders>
              <w:bottom w:val="single" w:sz="8" w:color="0063A6"/>
            </w:tcBorders>
            <w:gridSpan w:val="2"/>
          </w:tcPr>
          <w:p>
            <w:pPr>
              <w:ind w:left="24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323,590</w:t>
            </w:r>
          </w:p>
        </w:tc>
        <w:tc>
          <w:tcPr>
            <w:tcW w:w="1240" w:type="dxa"/>
            <w:vAlign w:val="bottom"/>
            <w:tcBorders>
              <w:bottom w:val="single" w:sz="8" w:color="0063A6"/>
            </w:tcBorders>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w w:val="96"/>
              </w:rPr>
              <w:t>225,584</w:t>
            </w:r>
          </w:p>
        </w:tc>
        <w:tc>
          <w:tcPr>
            <w:tcW w:w="60" w:type="dxa"/>
            <w:vAlign w:val="bottom"/>
            <w:tcBorders>
              <w:bottom w:val="single" w:sz="8" w:color="0063A6"/>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8229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346" w:right="400" w:hanging="346"/>
        <w:spacing w:after="0" w:line="204" w:lineRule="auto"/>
        <w:tabs>
          <w:tab w:leader="none" w:pos="346"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8293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8" w:lineRule="exact"/>
        <w:rPr>
          <w:sz w:val="20"/>
          <w:szCs w:val="20"/>
          <w:color w:val="auto"/>
        </w:rPr>
      </w:pPr>
    </w:p>
    <w:p>
      <w:pPr>
        <w:ind w:left="46"/>
        <w:spacing w:after="0"/>
        <w:tabs>
          <w:tab w:leader="none" w:pos="3046" w:val="left"/>
          <w:tab w:leader="none" w:pos="8866" w:val="left"/>
        </w:tabs>
        <w:rPr>
          <w:sz w:val="20"/>
          <w:szCs w:val="20"/>
          <w:color w:val="auto"/>
        </w:rPr>
      </w:pPr>
      <w:r>
        <w:rPr>
          <w:rFonts w:ascii="Arial" w:cs="Arial" w:eastAsia="Arial" w:hAnsi="Arial"/>
          <w:sz w:val="16"/>
          <w:szCs w:val="16"/>
          <w:color w:val="5D6673"/>
        </w:rPr>
        <w:t>2025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102870</wp:posOffset>
            </wp:positionV>
            <wp:extent cx="6729095" cy="85807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29095" cy="858075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488315</wp:posOffset>
            </wp:positionV>
            <wp:extent cx="5923280" cy="75266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23280"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2134235</wp:posOffset>
            </wp:positionV>
            <wp:extent cx="5932170" cy="5897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32170" cy="589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488315</wp:posOffset>
            </wp:positionV>
            <wp:extent cx="5932170" cy="75266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32170"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2134235</wp:posOffset>
            </wp:positionV>
            <wp:extent cx="5932170" cy="5897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32170" cy="589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lvl w:ilvl="1">
      <w:lvlJc w:val="left"/>
      <w:lvlText w:val="☐"/>
      <w:numFmt w:val="bullet"/>
      <w:start w:val="1"/>
    </w:lvl>
  </w:abstractNum>
  <w:abstractNum w:abstractNumId="1">
    <w:nsid w:val="7C3DBD3D"/>
    <w:multiLevelType w:val="hybridMultilevel"/>
    <w:lvl w:ilvl="0">
      <w:lvlJc w:val="left"/>
      <w:lvlText w:val="☒"/>
      <w:numFmt w:val="bullet"/>
      <w:start w:val="1"/>
    </w:lvl>
    <w:lvl w:ilvl="1">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5"/>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
      <w:numFmt w:val="bullet"/>
      <w:start w:val="1"/>
    </w:lvl>
  </w:abstractNum>
  <w:abstractNum w:abstractNumId="21">
    <w:nsid w:val="153EA438"/>
    <w:multiLevelType w:val="hybridMultilevel"/>
    <w:lvl w:ilvl="0">
      <w:lvlJc w:val="left"/>
      <w:lvlText w:val=" "/>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lvl>
    <w:lvl w:ilvl="1">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lvl w:ilvl="1">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2"/>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lvl w:ilvl="1">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lowerRoman"/>
      <w:start w:val="10"/>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2"/>
    </w:lvl>
  </w:abstractNum>
  <w:abstractNum w:abstractNumId="49">
    <w:nsid w:val="23F9C13C"/>
    <w:multiLevelType w:val="hybridMultilevel"/>
    <w:lvl w:ilvl="0">
      <w:lvlJc w:val="left"/>
      <w:lvlText w:val="(%1)"/>
      <w:numFmt w:val="decimal"/>
      <w:start w:val="4"/>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lvl w:ilvl="1">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2025-03-24T13:17:26Z</dcterms:created>
  <dcterms:modified xsi:type="dcterms:W3CDTF">2025-03-24T13:17:26Z</dcterms:modified>
</cp:coreProperties>
</file>