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LEYDEN TIMOTHY M</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ITRON,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2111 N. MOLTER ROAD</w:t>
            </w:r>
          </w:p>
        </w:tc>
        <w:tc>
          <w:tcPr>
            <w:tcW w:w="13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LIBERTY</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99019</w:t>
            </w:r>
          </w:p>
        </w:tc>
        <w:tc>
          <w:tcPr>
            <w:tcW w:w="0" w:type="dxa"/>
            <w:vAlign w:val="bottom"/>
          </w:tcPr>
          <w:p>
            <w:pPr>
              <w:spacing w:after="0"/>
              <w:rPr>
                <w:sz w:val="1"/>
                <w:szCs w:val="1"/>
                <w:color w:val="auto"/>
              </w:rPr>
            </w:pPr>
          </w:p>
        </w:tc>
      </w:tr>
      <w:tr>
        <w:trPr>
          <w:trHeight w:val="1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LAKE</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248</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16,253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common stock independent members of Itron's board of directors receive quarterly as part of their annual compensation for board service. Mr. Leyden deferred receipt of 93 shares pursuant to Itron's Executive Deferred Compensation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8362"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2026-07-02T13:09:23Z</dcterms:created>
  <dcterms:modified xsi:type="dcterms:W3CDTF">2026-07-02T13:09:23Z</dcterms:modified>
</cp:coreProperties>
</file>