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000-22418 </w:t>
      </w:r>
    </w:p>
    <w:p>
      <w:pPr>
        <w:pStyle w:val="TextBody"/>
        <w:bidi w:val="0"/>
        <w:spacing w:lineRule="auto" w:line="288" w:before="60" w:after="283"/>
        <w:jc w:val="center"/>
        <w:rPr>
          <w:rFonts w:ascii="Times New Roman;sans-serif" w:hAnsi="Times New Roman;sans-serif"/>
          <w:b/>
          <w:color w:val="CB2C30"/>
          <w:sz w:val="44"/>
        </w:rPr>
      </w:pPr>
      <w:r>
        <w:rPr>
          <w:rFonts w:ascii="Times New Roman;sans-serif" w:hAnsi="Times New Roman;sans-serif"/>
          <w:b/>
          <w:color w:val="CB2C30"/>
          <w:sz w:val="44"/>
        </w:rPr>
        <w:t>Itron,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before="160" w:after="160"/>
        <w:jc w:val="center"/>
        <w:rPr/>
      </w:pPr>
      <w:r>
        <w:rPr/>
        <w:drawing>
          <wp:inline distT="0" distB="0" distL="0" distR="0">
            <wp:extent cx="11811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95300"/>
                    </a:xfrm>
                    <a:prstGeom prst="rect">
                      <a:avLst/>
                    </a:prstGeom>
                  </pic:spPr>
                </pic:pic>
              </a:graphicData>
            </a:graphic>
          </wp:inline>
        </w:drawing>
      </w:r>
    </w:p>
    <w:tbl>
      <w:tblPr>
        <w:tblW w:w="5575" w:type="dxa"/>
        <w:jc w:val="center"/>
        <w:tblInd w:w="0" w:type="dxa"/>
        <w:tblLayout w:type="fixed"/>
        <w:tblCellMar>
          <w:top w:w="28" w:type="dxa"/>
          <w:left w:w="28" w:type="dxa"/>
          <w:bottom w:w="28" w:type="dxa"/>
          <w:right w:w="28" w:type="dxa"/>
        </w:tblCellMar>
      </w:tblPr>
      <w:tblGrid>
        <w:gridCol w:w="765"/>
        <w:gridCol w:w="672"/>
        <w:gridCol w:w="677"/>
        <w:gridCol w:w="109"/>
        <w:gridCol w:w="109"/>
        <w:gridCol w:w="109"/>
        <w:gridCol w:w="915"/>
        <w:gridCol w:w="915"/>
        <w:gridCol w:w="130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91-1011792</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2111 N Molter Road, Liberty Lake, Washington 99019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(509) 924-9900 </w:t>
      </w:r>
    </w:p>
    <w:p>
      <w:pPr>
        <w:pStyle w:val="TextBody"/>
        <w:bidi w:val="0"/>
        <w:spacing w:lineRule="auto" w:line="288" w:before="0" w:after="0"/>
        <w:jc w:val="center"/>
        <w:rPr/>
      </w:pPr>
      <w:r>
        <w:rPr>
          <w:rFonts w:ascii="Times New Roman;sans-serif" w:hAnsi="Times New Roman;sans-serif"/>
          <w:b/>
          <w:color w:val="000000"/>
          <w:sz w:val="16"/>
        </w:rPr>
        <w:t>(Address and telephone number of registrant's principal executive offices)</w:t>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28, 2025, there were outstanding 45,588,071 shares of the registrant's common stock, no par value, which is the only class of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941" w:type="dxa"/>
        <w:jc w:val="left"/>
        <w:tblInd w:w="0" w:type="dxa"/>
        <w:tblLayout w:type="fixed"/>
        <w:tblCellMar>
          <w:top w:w="28" w:type="dxa"/>
          <w:left w:w="28" w:type="dxa"/>
          <w:bottom w:w="28" w:type="dxa"/>
          <w:right w:w="28" w:type="dxa"/>
        </w:tblCellMar>
      </w:tblPr>
      <w:tblGrid>
        <w:gridCol w:w="3032"/>
        <w:gridCol w:w="2663"/>
        <w:gridCol w:w="2675"/>
        <w:gridCol w:w="167"/>
        <w:gridCol w:w="167"/>
        <w:gridCol w:w="237"/>
      </w:tblGrid>
      <w:tr>
        <w:trPr/>
        <w:tc>
          <w:tcPr>
            <w:tcW w:w="303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1: </w:t>
            </w:r>
            <w:hyperlink w:anchor="iac3918a41c434d8da32989202ee252c6_13">
              <w:r>
                <w:rPr>
                  <w:rStyle w:val="InternetLink"/>
                  <w:rFonts w:ascii="Times New Roman;sans-serif" w:hAnsi="Times New Roman;sans-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16">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6">
              <w:r>
                <w:rPr>
                  <w:rStyle w:val="InternetLink"/>
                  <w:rFonts w:ascii="Times New Roman;sans-serif" w:hAnsi="Times New Roman;sans-serif"/>
                  <w:b w:val="false"/>
                  <w:color w:val="0000FF"/>
                  <w:sz w:val="20"/>
                  <w:u w:val="single"/>
                </w:rPr>
                <w:t>1</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19">
              <w:r>
                <w:rPr>
                  <w:rStyle w:val="InternetLink"/>
                  <w:rFonts w:ascii="Times New Roman;sans-serif" w:hAnsi="Times New Roman;sans-serif"/>
                  <w:b w:val="false"/>
                  <w:color w:val="0000FF"/>
                  <w:sz w:val="20"/>
                  <w:u w:val="single"/>
                </w:rPr>
                <w:t>Consolidated Statements of Comprehensive Income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9">
              <w:r>
                <w:rPr>
                  <w:rStyle w:val="InternetLink"/>
                  <w:rFonts w:ascii="Times New Roman;sans-serif" w:hAnsi="Times New Roman;sans-serif"/>
                  <w:b w:val="false"/>
                  <w:color w:val="0000FF"/>
                  <w:sz w:val="20"/>
                  <w:u w:val="single"/>
                </w:rPr>
                <w:t>2</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22">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2">
              <w:r>
                <w:rPr>
                  <w:rStyle w:val="InternetLink"/>
                  <w:rFonts w:ascii="Times New Roman;sans-serif" w:hAnsi="Times New Roman;sans-serif"/>
                  <w:b w:val="false"/>
                  <w:color w:val="0000FF"/>
                  <w:sz w:val="20"/>
                  <w:u w:val="single"/>
                </w:rPr>
                <w:t>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25">
              <w:r>
                <w:rPr>
                  <w:rStyle w:val="InternetLink"/>
                  <w:rFonts w:ascii="Times New Roman;sans-serif" w:hAnsi="Times New Roman;sans-serif"/>
                  <w:b w:val="false"/>
                  <w:color w:val="0000FF"/>
                  <w:sz w:val="20"/>
                  <w:u w:val="single"/>
                </w:rPr>
                <w:t>Consolidated Statements of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5">
              <w:r>
                <w:rPr>
                  <w:rStyle w:val="InternetLink"/>
                  <w:rFonts w:ascii="Times New Roman;sans-serif" w:hAnsi="Times New Roman;sans-serif"/>
                  <w:b w:val="false"/>
                  <w:color w:val="0000FF"/>
                  <w:sz w:val="20"/>
                  <w:u w:val="single"/>
                </w:rPr>
                <w:t>4</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2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8">
              <w:r>
                <w:rPr>
                  <w:rStyle w:val="InternetLink"/>
                  <w:rFonts w:ascii="Times New Roman;sans-serif" w:hAnsi="Times New Roman;sans-serif"/>
                  <w:b w:val="false"/>
                  <w:color w:val="0000FF"/>
                  <w:sz w:val="20"/>
                  <w:u w:val="single"/>
                </w:rPr>
                <w:t>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3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31">
              <w:r>
                <w:rPr>
                  <w:rStyle w:val="InternetLink"/>
                  <w:rFonts w:ascii="Times New Roman;sans-serif" w:hAnsi="Times New Roman;sans-serif"/>
                  <w:b w:val="false"/>
                  <w:color w:val="0000FF"/>
                  <w:sz w:val="20"/>
                  <w:u w:val="single"/>
                </w:rPr>
                <w:t>6</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2: </w:t>
            </w:r>
            <w:hyperlink w:anchor="iac3918a41c434d8da32989202ee252c6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21">
              <w:r>
                <w:rPr>
                  <w:rStyle w:val="InternetLink"/>
                  <w:rFonts w:ascii="Times New Roman;sans-serif" w:hAnsi="Times New Roman;sans-serif"/>
                  <w:b w:val="false"/>
                  <w:color w:val="0000FF"/>
                  <w:sz w:val="20"/>
                  <w:u w:val="single"/>
                </w:rPr>
                <w:t>26</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3: </w:t>
            </w:r>
            <w:hyperlink w:anchor="iac3918a41c434d8da32989202ee252c6_190">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90">
              <w:r>
                <w:rPr>
                  <w:rStyle w:val="InternetLink"/>
                  <w:rFonts w:ascii="Times New Roman;sans-serif" w:hAnsi="Times New Roman;sans-serif"/>
                  <w:b w:val="false"/>
                  <w:color w:val="0000FF"/>
                  <w:sz w:val="20"/>
                  <w:u w:val="single"/>
                </w:rPr>
                <w:t>43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4: </w:t>
            </w:r>
            <w:hyperlink w:anchor="iac3918a41c434d8da32989202ee252c6_193">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93">
              <w:r>
                <w:rPr>
                  <w:rStyle w:val="InternetLink"/>
                  <w:rFonts w:ascii="Times New Roman;sans-serif" w:hAnsi="Times New Roman;sans-serif"/>
                  <w:b w:val="false"/>
                  <w:color w:val="0000FF"/>
                  <w:sz w:val="20"/>
                  <w:u w:val="single"/>
                </w:rPr>
                <w:t>44</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196">
              <w:r>
                <w:rPr>
                  <w:rStyle w:val="InternetLink"/>
                  <w:rFonts w:ascii="Times New Roman;sans-serif" w:hAnsi="Times New Roman;sans-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1: </w:t>
            </w:r>
            <w:hyperlink w:anchor="iac3918a41c434d8da32989202ee252c6_199">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199">
              <w:r>
                <w:rPr>
                  <w:rStyle w:val="InternetLink"/>
                  <w:rFonts w:ascii="Times New Roman;sans-serif" w:hAnsi="Times New Roman;sans-serif"/>
                  <w:b w:val="false"/>
                  <w:color w:val="0000FF"/>
                  <w:sz w:val="20"/>
                  <w:u w:val="single"/>
                </w:rPr>
                <w:t>45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1A: </w:t>
            </w:r>
            <w:hyperlink w:anchor="iac3918a41c434d8da32989202ee252c6_202">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02">
              <w:r>
                <w:rPr>
                  <w:rStyle w:val="InternetLink"/>
                  <w:rFonts w:ascii="Times New Roman;sans-serif" w:hAnsi="Times New Roman;sans-serif"/>
                  <w:b w:val="false"/>
                  <w:color w:val="0000FF"/>
                  <w:sz w:val="20"/>
                  <w:u w:val="single"/>
                </w:rPr>
                <w:t>45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2: </w:t>
            </w:r>
            <w:hyperlink w:anchor="iac3918a41c434d8da32989202ee252c6_205">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05">
              <w:r>
                <w:rPr>
                  <w:rStyle w:val="InternetLink"/>
                  <w:rFonts w:ascii="Times New Roman;sans-serif" w:hAnsi="Times New Roman;sans-serif"/>
                  <w:b w:val="false"/>
                  <w:color w:val="0000FF"/>
                  <w:sz w:val="20"/>
                  <w:u w:val="single"/>
                </w:rPr>
                <w:t>45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5: </w:t>
            </w:r>
            <w:hyperlink w:anchor="iac3918a41c434d8da32989202ee252c6_208">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08">
              <w:r>
                <w:rPr>
                  <w:rStyle w:val="InternetLink"/>
                  <w:rFonts w:ascii="Times New Roman;sans-serif" w:hAnsi="Times New Roman;sans-serif"/>
                  <w:b w:val="false"/>
                  <w:color w:val="0000FF"/>
                  <w:sz w:val="20"/>
                  <w:u w:val="single"/>
                </w:rPr>
                <w:t>45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ans-serif" w:hAnsi="Times New Roman;sans-serif"/>
                <w:b w:val="false"/>
                <w:color w:val="000000"/>
                <w:sz w:val="20"/>
              </w:rPr>
              <w:t xml:space="preserve">Item 6: </w:t>
            </w:r>
            <w:hyperlink w:anchor="iac3918a41c434d8da32989202ee252c6_211">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11">
              <w:r>
                <w:rPr>
                  <w:rStyle w:val="InternetLink"/>
                  <w:rFonts w:ascii="Times New Roman;sans-serif" w:hAnsi="Times New Roman;sans-serif"/>
                  <w:b w:val="false"/>
                  <w:color w:val="0000FF"/>
                  <w:sz w:val="20"/>
                  <w:u w:val="single"/>
                </w:rPr>
                <w:t>46</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3918a41c434d8da32989202ee252c6_214">
              <w:r>
                <w:rPr>
                  <w:rStyle w:val="InternetLink"/>
                  <w:rFonts w:ascii="Times New Roman;sans-serif" w:hAnsi="Times New Roman;sans-serif"/>
                  <w:b/>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3918a41c434d8da32989202ee252c6_214">
              <w:r>
                <w:rPr>
                  <w:rStyle w:val="InternetLink"/>
                  <w:rFonts w:ascii="Times New Roman;sans-serif" w:hAnsi="Times New Roman;sans-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40" w:type="dxa"/>
        <w:jc w:val="center"/>
        <w:tblInd w:w="0" w:type="dxa"/>
        <w:tblLayout w:type="fixed"/>
        <w:tblCellMar>
          <w:top w:w="28" w:type="dxa"/>
          <w:left w:w="28" w:type="dxa"/>
          <w:bottom w:w="28" w:type="dxa"/>
          <w:right w:w="28" w:type="dxa"/>
        </w:tblCellMar>
      </w:tblPr>
      <w:tblGrid>
        <w:gridCol w:w="1710"/>
        <w:gridCol w:w="1503"/>
        <w:gridCol w:w="1512"/>
        <w:gridCol w:w="109"/>
        <w:gridCol w:w="109"/>
        <w:gridCol w:w="206"/>
        <w:gridCol w:w="206"/>
        <w:gridCol w:w="399"/>
        <w:gridCol w:w="1562"/>
        <w:gridCol w:w="206"/>
        <w:gridCol w:w="109"/>
        <w:gridCol w:w="109"/>
        <w:gridCol w:w="109"/>
        <w:gridCol w:w="211"/>
        <w:gridCol w:w="82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607,151 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14"/>
        <w:gridCol w:w="1943"/>
        <w:gridCol w:w="1953"/>
        <w:gridCol w:w="109"/>
        <w:gridCol w:w="109"/>
        <w:gridCol w:w="212"/>
        <w:gridCol w:w="212"/>
        <w:gridCol w:w="412"/>
        <w:gridCol w:w="1411"/>
        <w:gridCol w:w="212"/>
        <w:gridCol w:w="109"/>
        <w:gridCol w:w="109"/>
        <w:gridCol w:w="109"/>
        <w:gridCol w:w="211"/>
        <w:gridCol w:w="721"/>
        <w:gridCol w:w="159"/>
      </w:tblGrid>
      <w:tr>
        <w:trPr/>
        <w:tc>
          <w:tcPr>
            <w:tcW w:w="2214"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6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5"/>
        <w:gridCol w:w="2133"/>
        <w:gridCol w:w="2144"/>
        <w:gridCol w:w="228"/>
        <w:gridCol w:w="1057"/>
        <w:gridCol w:w="117"/>
        <w:gridCol w:w="109"/>
        <w:gridCol w:w="109"/>
        <w:gridCol w:w="109"/>
        <w:gridCol w:w="261"/>
        <w:gridCol w:w="1209"/>
        <w:gridCol w:w="194"/>
      </w:tblGrid>
      <w:tr>
        <w:trPr/>
        <w:tc>
          <w:tcPr>
            <w:tcW w:w="253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6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1,815,892 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3,407,623 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Wages and benefits payable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warranty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1,996,195 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2"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10,000 shares authorized, no shares issued or outstanding</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75,000 shares authorized, 45,572 and 45,131 shares issued and outstanding</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1,708,588 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Itron, Inc. shareholders' equity</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1,411,428 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3,503,142 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3,407,623 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Layout w:type="fixed"/>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25"/>
        <w:gridCol w:w="864"/>
        <w:gridCol w:w="127"/>
        <w:gridCol w:w="109"/>
        <w:gridCol w:w="109"/>
        <w:gridCol w:w="109"/>
        <w:gridCol w:w="196"/>
        <w:gridCol w:w="751"/>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Itron,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January 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(109,931)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(96,383)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1,509,079 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21" w:type="dxa"/>
        <w:jc w:val="center"/>
        <w:tblInd w:w="0" w:type="dxa"/>
        <w:tblLayout w:type="fixed"/>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46"/>
        <w:gridCol w:w="832"/>
        <w:gridCol w:w="138"/>
        <w:gridCol w:w="109"/>
        <w:gridCol w:w="109"/>
        <w:gridCol w:w="109"/>
        <w:gridCol w:w="196"/>
        <w:gridCol w:w="751"/>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Itron,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January 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Registration fee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45,850 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(92,098)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04" w:type="dxa"/>
        <w:jc w:val="center"/>
        <w:tblInd w:w="0" w:type="dxa"/>
        <w:tblLayout w:type="fixed"/>
        <w:tblCellMar>
          <w:top w:w="28" w:type="dxa"/>
          <w:left w:w="28" w:type="dxa"/>
          <w:bottom w:w="28" w:type="dxa"/>
          <w:right w:w="28" w:type="dxa"/>
        </w:tblCellMar>
      </w:tblPr>
      <w:tblGrid>
        <w:gridCol w:w="2067"/>
        <w:gridCol w:w="1820"/>
        <w:gridCol w:w="1828"/>
        <w:gridCol w:w="196"/>
        <w:gridCol w:w="871"/>
        <w:gridCol w:w="109"/>
        <w:gridCol w:w="109"/>
        <w:gridCol w:w="109"/>
        <w:gridCol w:w="109"/>
        <w:gridCol w:w="196"/>
        <w:gridCol w:w="73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prepaid debt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business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non-cash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 and sale of business: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other current liabilities, and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Wages and benefits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Unearned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and cash equivalents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debt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Supplemental disclosure of cash flow information: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the terms "we", "us", "our", "Itron", and the "Company" refer to Itron, Inc.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Preparation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2025 and 2024, Consolidated Statements of Equity for the three months ended March 31, 2025 and 2024, the Consolidated Statements of Cash Flows for the three months ended March 31, 2025 and 2024, and the Consolidated Balance Sheets as of March 31, 2025 and December 31, 2024, of Itron, Inc. and its subsidiaries. All entries required for the fair presentation of the financial statements are of a normal recurring nature, except as disclosed. The results of operations for the three months ended March 31, 2025 are not necessarily indicative of the results expected for the full year or for any other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2024 filed with the SEC in our Annual Report on Form 10-K on February 25, 2025 (2024 Annual Report). There have been no significant changes in financial statement preparation or significant accounting policies since December 31, 2024.</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 and Cash Equivalents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that are contractually restricted from operating use are classified as restricted cash and cash equivalents. We had $1.8 million pledged for standby letters of credit as of March 31, 2025 and December 31, 2024.</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and Uncertainties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pStyle w:val="TextBody"/>
        <w:bidi w:val="0"/>
        <w:spacing w:before="0" w:after="0"/>
        <w:ind w:left="0" w:right="0" w:firstLine="225"/>
        <w:jc w:val="both"/>
        <w:rPr/>
      </w:pPr>
      <w:r>
        <w:rPr/>
      </w:r>
    </w:p>
    <w:p>
      <w:pPr>
        <w:pStyle w:val="TextBody"/>
        <w:bidi w:val="0"/>
        <w:spacing w:lineRule="auto" w:line="288" w:before="0" w:after="0"/>
        <w:jc w:val="both"/>
        <w:rPr/>
      </w:pPr>
      <w:r>
        <w:rPr>
          <w:rFonts w:ascii="Times New Roman;sans-serif" w:hAnsi="Times New Roman;sans-serif"/>
          <w:b w:val="false"/>
          <w:color w:val="000000"/>
          <w:sz w:val="20"/>
        </w:rPr>
        <w:t>While we have limited direct business exposure in areas with current conflict, such as Ukraine and Israel,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tariffs, and resulting market and/or supply disruptions are impossible to predict but could be substantial, and our management continues to monitor these events closely</w:t>
      </w:r>
      <w:r>
        <w:rPr>
          <w:rFonts w:ascii="Times New Roman;sans-serif" w:hAnsi="Times New Roman;sans-serif"/>
          <w:b w:val="false"/>
          <w:color w:val="333333"/>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Standards Not Yet Adopted</w:t>
      </w:r>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Financial Accounting Standards Board (FASB) issued Accounting Standards Update (ASU)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 xml:space="preserve">which amends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however, retrospective application is permitted. We plan to adopt the standard when it becomes effective for us beginning in our fiscal year 2025 annual financial statements, and we expect the adoption of the standard will impact certain areas of our income tax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The new guidance is intended to enhance transparency and disclosures by requiring public business entities to disclose additional information about specific expense categories in the notes to financial statements at interim and annual reporting periods. The FASB further clarified the effective date in January 2025 with the issuance of ASU 2025-01,</w:t>
      </w:r>
      <w:r>
        <w:rPr>
          <w:color w:val="000000"/>
        </w:rPr>
        <w:t xml:space="preserve"> </w:t>
      </w:r>
      <w:r>
        <w:rPr>
          <w:rFonts w:ascii="Times New Roman;sans-serif" w:hAnsi="Times New Roman;sans-serif"/>
          <w:b w:val="false"/>
          <w:i/>
          <w:color w:val="000000"/>
          <w:sz w:val="20"/>
        </w:rPr>
        <w:t>Income Statement - Reporting Comprehensive Income - Expense Disaggregation Disclosures (Subtopic 220-40): Clarifying the Effective Date.</w:t>
      </w:r>
      <w:r>
        <w:rPr>
          <w:color w:val="000000"/>
        </w:rPr>
        <w:t xml:space="preserve"> </w:t>
      </w:r>
      <w:r>
        <w:rPr>
          <w:rFonts w:ascii="Times New Roman;sans-serif" w:hAnsi="Times New Roman;sans-serif"/>
          <w:b w:val="false"/>
          <w:color w:val="000000"/>
          <w:sz w:val="20"/>
        </w:rPr>
        <w:t>The ASU is effective for our annual report 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2024, the FASB issued ASU 2024-04, </w:t>
      </w:r>
      <w:r>
        <w:rPr>
          <w:rFonts w:ascii="Times New Roman;sans-serif" w:hAnsi="Times New Roman;sans-serif"/>
          <w:b w:val="false"/>
          <w:i/>
          <w:color w:val="000000"/>
          <w:sz w:val="20"/>
        </w:rPr>
        <w:t>Debt—Debt with Conversion and Other Options (Subtopic 470-20) Induced Conversions of Convertible Debt Instruments.</w:t>
      </w:r>
      <w:r>
        <w:rPr>
          <w:color w:val="000000"/>
        </w:rPr>
        <w:t xml:space="preserve"> </w:t>
      </w:r>
      <w:r>
        <w:rPr>
          <w:rFonts w:ascii="Times New Roman;sans-serif" w:hAnsi="Times New Roman;sans-serif"/>
          <w:b w:val="false"/>
          <w:color w:val="000000"/>
          <w:sz w:val="20"/>
        </w:rPr>
        <w:t>The new guidance clarifies the assessment of whether a transaction should be accounted for as an induced conversion or extinguishment of convertible debt when changes are made to conversion features as part of an offer to settle the instrument. The ASU is effective beginning in 2026, with early adoption permitted. We will utilize this guidance for any future induced conversions or extinguishments of our convertible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Earnings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(EPS):</w:t>
      </w:r>
    </w:p>
    <w:tbl>
      <w:tblPr>
        <w:tblW w:w="8198" w:type="dxa"/>
        <w:jc w:val="left"/>
        <w:tblInd w:w="0" w:type="dxa"/>
        <w:tblLayout w:type="fixed"/>
        <w:tblCellMar>
          <w:top w:w="28" w:type="dxa"/>
          <w:left w:w="28" w:type="dxa"/>
          <w:bottom w:w="28" w:type="dxa"/>
          <w:right w:w="28" w:type="dxa"/>
        </w:tblCellMar>
      </w:tblPr>
      <w:tblGrid>
        <w:gridCol w:w="1476"/>
        <w:gridCol w:w="1300"/>
        <w:gridCol w:w="1303"/>
        <w:gridCol w:w="109"/>
        <w:gridCol w:w="109"/>
        <w:gridCol w:w="240"/>
        <w:gridCol w:w="240"/>
        <w:gridCol w:w="432"/>
        <w:gridCol w:w="1426"/>
        <w:gridCol w:w="240"/>
        <w:gridCol w:w="109"/>
        <w:gridCol w:w="109"/>
        <w:gridCol w:w="109"/>
        <w:gridCol w:w="196"/>
        <w:gridCol w:w="64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46,172 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Awards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16,000 and 57,000 stock-based awards were excluded from the calculation of diluted EPS for the three months ended March 31, 2025 and 2024 because they were anti-dilutive. These stock-based awards could be dilutive in future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Notes and Share Hedges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2021 Notes, Warrants and Call Option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closing prices of our common stock for the quarter ended March 31, 2025 were used as the basis for determining the dilutive effect on EPS. The quarterly average closing prices for our common stock did not exceed the conversion price of $126.00, and therefore all associated shares were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months ended March 31, 2025, the quarterly average closing prices of our common stock did not exceed the warrant strike price and therefore 3.7 million shares were considered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2024 Notes and Capped Call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2025 were used as the basis for determining the dilutive effect on EPS. The quarterly average closing prices for our common stock did not exceed the conversion price of $131.24, and therefore all associated shares were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Certain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accounts receivable from contracts with customers is as follows:</w:t>
      </w:r>
    </w:p>
    <w:tbl>
      <w:tblPr>
        <w:tblW w:w="7317" w:type="dxa"/>
        <w:jc w:val="left"/>
        <w:tblInd w:w="0" w:type="dxa"/>
        <w:tblLayout w:type="fixed"/>
        <w:tblCellMar>
          <w:top w:w="28" w:type="dxa"/>
          <w:left w:w="28" w:type="dxa"/>
          <w:bottom w:w="28" w:type="dxa"/>
          <w:right w:w="28" w:type="dxa"/>
        </w:tblCellMar>
      </w:tblPr>
      <w:tblGrid>
        <w:gridCol w:w="1490"/>
        <w:gridCol w:w="1308"/>
        <w:gridCol w:w="1312"/>
        <w:gridCol w:w="243"/>
        <w:gridCol w:w="912"/>
        <w:gridCol w:w="135"/>
        <w:gridCol w:w="109"/>
        <w:gridCol w:w="109"/>
        <w:gridCol w:w="109"/>
        <w:gridCol w:w="287"/>
        <w:gridCol w:w="1078"/>
        <w:gridCol w:w="225"/>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Accounts receivable, net</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 of allowance of $1,637 and $417)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316,429 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346,599 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350,473 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72" w:type="dxa"/>
        <w:jc w:val="left"/>
        <w:tblInd w:w="0" w:type="dxa"/>
        <w:tblLayout w:type="fixed"/>
        <w:tblCellMar>
          <w:top w:w="28" w:type="dxa"/>
          <w:left w:w="28" w:type="dxa"/>
          <w:bottom w:w="28" w:type="dxa"/>
          <w:right w:w="28" w:type="dxa"/>
        </w:tblCellMar>
      </w:tblPr>
      <w:tblGrid>
        <w:gridCol w:w="1151"/>
        <w:gridCol w:w="1010"/>
        <w:gridCol w:w="1018"/>
        <w:gridCol w:w="109"/>
        <w:gridCol w:w="109"/>
        <w:gridCol w:w="260"/>
        <w:gridCol w:w="260"/>
        <w:gridCol w:w="468"/>
        <w:gridCol w:w="1329"/>
        <w:gridCol w:w="260"/>
        <w:gridCol w:w="109"/>
        <w:gridCol w:w="109"/>
        <w:gridCol w:w="109"/>
        <w:gridCol w:w="196"/>
        <w:gridCol w:w="4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Allowance for credit losses account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recovered (written-off),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472"/>
        <w:gridCol w:w="415"/>
        <w:gridCol w:w="418"/>
        <w:gridCol w:w="243"/>
        <w:gridCol w:w="912"/>
        <w:gridCol w:w="135"/>
        <w:gridCol w:w="109"/>
        <w:gridCol w:w="109"/>
        <w:gridCol w:w="109"/>
        <w:gridCol w:w="287"/>
        <w:gridCol w:w="1078"/>
        <w:gridCol w:w="22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Inventories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205,943 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270,725 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377" w:type="dxa"/>
        <w:jc w:val="left"/>
        <w:tblInd w:w="0" w:type="dxa"/>
        <w:tblLayout w:type="fixed"/>
        <w:tblCellMar>
          <w:top w:w="28" w:type="dxa"/>
          <w:left w:w="28" w:type="dxa"/>
          <w:bottom w:w="28" w:type="dxa"/>
          <w:right w:w="28" w:type="dxa"/>
        </w:tblCellMar>
      </w:tblPr>
      <w:tblGrid>
        <w:gridCol w:w="1509"/>
        <w:gridCol w:w="1328"/>
        <w:gridCol w:w="1333"/>
        <w:gridCol w:w="243"/>
        <w:gridCol w:w="912"/>
        <w:gridCol w:w="135"/>
        <w:gridCol w:w="109"/>
        <w:gridCol w:w="109"/>
        <w:gridCol w:w="109"/>
        <w:gridCol w:w="287"/>
        <w:gridCol w:w="1078"/>
        <w:gridCol w:w="225"/>
      </w:tblGrid>
      <w:tr>
        <w:trPr/>
        <w:tc>
          <w:tcPr>
            <w:tcW w:w="15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Property, plant, and equipment, net</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297,514 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furniture, and improvements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 including purchased equipment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551,106 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560,187 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(444,759)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677" w:type="dxa"/>
        <w:jc w:val="left"/>
        <w:tblInd w:w="0" w:type="dxa"/>
        <w:tblLayout w:type="fixed"/>
        <w:tblCellMar>
          <w:top w:w="28" w:type="dxa"/>
          <w:left w:w="28" w:type="dxa"/>
          <w:bottom w:w="28" w:type="dxa"/>
          <w:right w:w="28" w:type="dxa"/>
        </w:tblCellMar>
      </w:tblPr>
      <w:tblGrid>
        <w:gridCol w:w="598"/>
        <w:gridCol w:w="524"/>
        <w:gridCol w:w="527"/>
        <w:gridCol w:w="109"/>
        <w:gridCol w:w="109"/>
        <w:gridCol w:w="260"/>
        <w:gridCol w:w="260"/>
        <w:gridCol w:w="468"/>
        <w:gridCol w:w="1329"/>
        <w:gridCol w:w="260"/>
        <w:gridCol w:w="109"/>
        <w:gridCol w:w="109"/>
        <w:gridCol w:w="109"/>
        <w:gridCol w:w="196"/>
        <w:gridCol w:w="55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(accretion) of our intangible assets, other than goodwill, were as follows:</w:t>
      </w:r>
    </w:p>
    <w:tbl>
      <w:tblPr>
        <w:tblW w:w="10205" w:type="dxa"/>
        <w:jc w:val="left"/>
        <w:tblInd w:w="0" w:type="dxa"/>
        <w:tblLayout w:type="fixed"/>
        <w:tblCellMar>
          <w:top w:w="28" w:type="dxa"/>
          <w:left w:w="28" w:type="dxa"/>
          <w:bottom w:w="28" w:type="dxa"/>
          <w:right w:w="28" w:type="dxa"/>
        </w:tblCellMar>
      </w:tblPr>
      <w:tblGrid>
        <w:gridCol w:w="649"/>
        <w:gridCol w:w="556"/>
        <w:gridCol w:w="432"/>
        <w:gridCol w:w="196"/>
        <w:gridCol w:w="736"/>
        <w:gridCol w:w="109"/>
        <w:gridCol w:w="109"/>
        <w:gridCol w:w="109"/>
        <w:gridCol w:w="109"/>
        <w:gridCol w:w="269"/>
        <w:gridCol w:w="1032"/>
        <w:gridCol w:w="150"/>
        <w:gridCol w:w="109"/>
        <w:gridCol w:w="109"/>
        <w:gridCol w:w="109"/>
        <w:gridCol w:w="196"/>
        <w:gridCol w:w="646"/>
        <w:gridCol w:w="109"/>
        <w:gridCol w:w="109"/>
        <w:gridCol w:w="109"/>
        <w:gridCol w:w="109"/>
        <w:gridCol w:w="196"/>
        <w:gridCol w:w="736"/>
        <w:gridCol w:w="109"/>
        <w:gridCol w:w="109"/>
        <w:gridCol w:w="109"/>
        <w:gridCol w:w="109"/>
        <w:gridCol w:w="269"/>
        <w:gridCol w:w="1032"/>
        <w:gridCol w:w="150"/>
        <w:gridCol w:w="109"/>
        <w:gridCol w:w="109"/>
        <w:gridCol w:w="109"/>
        <w:gridCol w:w="196"/>
        <w:gridCol w:w="646"/>
        <w:gridCol w:w="156"/>
      </w:tblGrid>
      <w:tr>
        <w:trPr/>
        <w:tc>
          <w:tcPr>
            <w:tcW w:w="6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Core-developed 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 and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(372,260)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(362,499)</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is as follows:</w:t>
      </w:r>
    </w:p>
    <w:tbl>
      <w:tblPr>
        <w:tblW w:w="6701" w:type="dxa"/>
        <w:jc w:val="left"/>
        <w:tblInd w:w="0" w:type="dxa"/>
        <w:tblLayout w:type="fixed"/>
        <w:tblCellMar>
          <w:top w:w="28" w:type="dxa"/>
          <w:left w:w="28" w:type="dxa"/>
          <w:bottom w:w="28" w:type="dxa"/>
          <w:right w:w="28" w:type="dxa"/>
        </w:tblCellMar>
      </w:tblPr>
      <w:tblGrid>
        <w:gridCol w:w="1198"/>
        <w:gridCol w:w="1056"/>
        <w:gridCol w:w="1060"/>
        <w:gridCol w:w="109"/>
        <w:gridCol w:w="109"/>
        <w:gridCol w:w="109"/>
        <w:gridCol w:w="531"/>
        <w:gridCol w:w="1751"/>
        <w:gridCol w:w="297"/>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Annual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(amount remaining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38,744 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amortization expense within Amortization of intangible assets in the Consolidated Statements of Operations. These expenses relate to intangible assets acquired as part of business combinations.</w:t>
      </w:r>
    </w:p>
    <w:tbl>
      <w:tblPr>
        <w:tblW w:w="180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changes in the carrying amount of goodwill for the three months ended March 31, 2025:</w:t>
      </w:r>
    </w:p>
    <w:tbl>
      <w:tblPr>
        <w:tblW w:w="9189" w:type="dxa"/>
        <w:jc w:val="left"/>
        <w:tblInd w:w="0" w:type="dxa"/>
        <w:tblLayout w:type="fixed"/>
        <w:tblCellMar>
          <w:top w:w="28" w:type="dxa"/>
          <w:left w:w="28" w:type="dxa"/>
          <w:bottom w:w="28" w:type="dxa"/>
          <w:right w:w="28" w:type="dxa"/>
        </w:tblCellMar>
      </w:tblPr>
      <w:tblGrid>
        <w:gridCol w:w="983"/>
        <w:gridCol w:w="862"/>
        <w:gridCol w:w="869"/>
        <w:gridCol w:w="375"/>
        <w:gridCol w:w="778"/>
        <w:gridCol w:w="211"/>
        <w:gridCol w:w="109"/>
        <w:gridCol w:w="109"/>
        <w:gridCol w:w="109"/>
        <w:gridCol w:w="324"/>
        <w:gridCol w:w="1220"/>
        <w:gridCol w:w="180"/>
        <w:gridCol w:w="109"/>
        <w:gridCol w:w="109"/>
        <w:gridCol w:w="109"/>
        <w:gridCol w:w="196"/>
        <w:gridCol w:w="736"/>
        <w:gridCol w:w="109"/>
        <w:gridCol w:w="109"/>
        <w:gridCol w:w="109"/>
        <w:gridCol w:w="109"/>
        <w:gridCol w:w="219"/>
        <w:gridCol w:w="974"/>
        <w:gridCol w:w="172"/>
      </w:tblGrid>
      <w:tr>
        <w:trPr/>
        <w:tc>
          <w:tcPr>
            <w:tcW w:w="98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January 1, 2025</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894,819 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1,052,130 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March 31, 2025</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903,961 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1,062,665 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borrowings were as follows:</w:t>
      </w:r>
    </w:p>
    <w:tbl>
      <w:tblPr>
        <w:tblW w:w="7601" w:type="dxa"/>
        <w:jc w:val="left"/>
        <w:tblInd w:w="0" w:type="dxa"/>
        <w:tblLayout w:type="fixed"/>
        <w:tblCellMar>
          <w:top w:w="28" w:type="dxa"/>
          <w:left w:w="28" w:type="dxa"/>
          <w:bottom w:w="28" w:type="dxa"/>
          <w:right w:w="28" w:type="dxa"/>
        </w:tblCellMar>
      </w:tblPr>
      <w:tblGrid>
        <w:gridCol w:w="1588"/>
        <w:gridCol w:w="1394"/>
        <w:gridCol w:w="1413"/>
        <w:gridCol w:w="215"/>
        <w:gridCol w:w="956"/>
        <w:gridCol w:w="119"/>
        <w:gridCol w:w="109"/>
        <w:gridCol w:w="109"/>
        <w:gridCol w:w="109"/>
        <w:gridCol w:w="255"/>
        <w:gridCol w:w="1134"/>
        <w:gridCol w:w="200"/>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2021 Convertible notes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2024 Convertible notes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gross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current portion of debt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gross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long-term debt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22,576 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debt, net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786,137 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1,242,424 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sans-serif" w:hAnsi="Cambria;sans-serif"/>
          <w:b w:val="false"/>
          <w:color w:val="1F497D"/>
          <w:sz w:val="22"/>
        </w:rPr>
        <w:t>.</w:t>
      </w:r>
      <w:r>
        <w:rPr>
          <w:color w:val="000000"/>
        </w:rPr>
        <w:t xml:space="preserve"> </w:t>
      </w:r>
      <w:r>
        <w:rPr>
          <w:rFonts w:ascii="Times New Roman;sans-serif" w:hAnsi="Times New Roman;sans-serif"/>
          <w:b w:val="false"/>
          <w:color w:val="000000"/>
          <w:sz w:val="20"/>
        </w:rPr>
        <w:t>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pStyle w:val="TextBody"/>
        <w:bidi w:val="0"/>
        <w:spacing w:before="0" w:after="0"/>
        <w:jc w:val="both"/>
        <w:rPr/>
      </w:pPr>
      <w:r>
        <w:rPr/>
      </w:r>
    </w:p>
    <w:tbl>
      <w:tblPr>
        <w:tblW w:w="5496"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444"/>
        <w:gridCol w:w="444"/>
        <w:gridCol w:w="446"/>
        <w:gridCol w:w="109"/>
        <w:gridCol w:w="109"/>
        <w:gridCol w:w="109"/>
        <w:gridCol w:w="430"/>
        <w:gridCol w:w="430"/>
        <w:gridCol w:w="609"/>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 Fee</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SOFR + 250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40 bps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3.51 to 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SOFR + 225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 bps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2.51 to 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SOFR + 200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 bps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or equal to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SOFR + 175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25 bps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no outstanding loan balances under the 2018 credit facility, and $45.8 million was utilized by outstanding standby letters of credit, resulting in $454.2 million available for additional borrowings. As of March 31, 2025, $254.2 million was available for additional standby letters of credit under the letter of credit sub-facility, and no amounts were outstanding under the swingline sub-facility.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2021 Notes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 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2024 Notes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Maturities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required minimum principal payments on our long-term debt in aggregate over the next five years is as follows:</w:t>
      </w:r>
    </w:p>
    <w:tbl>
      <w:tblPr>
        <w:tblW w:w="4980" w:type="dxa"/>
        <w:jc w:val="left"/>
        <w:tblInd w:w="0" w:type="dxa"/>
        <w:tblLayout w:type="fixed"/>
        <w:tblCellMar>
          <w:top w:w="28" w:type="dxa"/>
          <w:left w:w="28" w:type="dxa"/>
          <w:bottom w:w="28" w:type="dxa"/>
          <w:right w:w="28" w:type="dxa"/>
        </w:tblCellMar>
      </w:tblPr>
      <w:tblGrid>
        <w:gridCol w:w="1184"/>
        <w:gridCol w:w="1041"/>
        <w:gridCol w:w="1044"/>
        <w:gridCol w:w="274"/>
        <w:gridCol w:w="1220"/>
        <w:gridCol w:w="217"/>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(amount remaining at March 31, 2025)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payments on debt</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strategy, we use derivative instruments to hedge certain foreign currency and interest rate exposures. Refer to Note 13: Shareholders' Equity and Note 14: Fair Value of Financial Instruments for additional disclosures on our derivative instruments.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Relationships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2025, a total of 32 contracts were offsetting our exposures from the euro, pound sterling, Indonesian rupiah, Canadian dollar, Australian dollar, and various other currencies, with notional amounts ranging from $112,486 to $23.5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assess our interest rate and foreign exchange risk and may institute additional derivative instruments to manage such risk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Defined Benefit Pension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on the Consolidated Balance Sheets consist of:</w:t>
      </w:r>
    </w:p>
    <w:tbl>
      <w:tblPr>
        <w:tblW w:w="8650" w:type="dxa"/>
        <w:jc w:val="left"/>
        <w:tblInd w:w="0" w:type="dxa"/>
        <w:tblLayout w:type="fixed"/>
        <w:tblCellMar>
          <w:top w:w="28" w:type="dxa"/>
          <w:left w:w="28" w:type="dxa"/>
          <w:bottom w:w="28" w:type="dxa"/>
          <w:right w:w="28" w:type="dxa"/>
        </w:tblCellMar>
      </w:tblPr>
      <w:tblGrid>
        <w:gridCol w:w="1973"/>
        <w:gridCol w:w="1728"/>
        <w:gridCol w:w="1744"/>
        <w:gridCol w:w="266"/>
        <w:gridCol w:w="876"/>
        <w:gridCol w:w="147"/>
        <w:gridCol w:w="109"/>
        <w:gridCol w:w="109"/>
        <w:gridCol w:w="109"/>
        <w:gridCol w:w="313"/>
        <w:gridCol w:w="1031"/>
        <w:gridCol w:w="245"/>
      </w:tblGrid>
      <w:tr>
        <w:trPr/>
        <w:tc>
          <w:tcPr>
            <w:tcW w:w="197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assets in other long-term assets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pension benefit obligation in wages and benefits payable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pension benefit obligation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 obligation, net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cost for our plans include the following components:</w:t>
      </w:r>
    </w:p>
    <w:tbl>
      <w:tblPr>
        <w:tblW w:w="6716" w:type="dxa"/>
        <w:jc w:val="left"/>
        <w:tblInd w:w="0" w:type="dxa"/>
        <w:tblLayout w:type="fixed"/>
        <w:tblCellMar>
          <w:top w:w="28" w:type="dxa"/>
          <w:left w:w="28" w:type="dxa"/>
          <w:bottom w:w="28" w:type="dxa"/>
          <w:right w:w="28" w:type="dxa"/>
        </w:tblCellMar>
      </w:tblPr>
      <w:tblGrid>
        <w:gridCol w:w="934"/>
        <w:gridCol w:w="819"/>
        <w:gridCol w:w="826"/>
        <w:gridCol w:w="109"/>
        <w:gridCol w:w="109"/>
        <w:gridCol w:w="109"/>
        <w:gridCol w:w="260"/>
        <w:gridCol w:w="260"/>
        <w:gridCol w:w="468"/>
        <w:gridCol w:w="1329"/>
        <w:gridCol w:w="260"/>
        <w:gridCol w:w="109"/>
        <w:gridCol w:w="109"/>
        <w:gridCol w:w="109"/>
        <w:gridCol w:w="196"/>
        <w:gridCol w:w="55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 other than the service cost component, are included in total other income (expense) on the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March 31, 2025, 3,852,873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award phantom stock units, which are settled in cash upon vesting and accounted for as liability-based awards, with no impact to the shares available for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maintain the Employee Stock Purchase Plan (ESPP), for which 469,917 shares of common stock were available for future issuance at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and stock-based grants other than stock options and restricted stock units were not significant for the three months ended March 31, 2025 and 2024.</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and the related tax benefit were as follows:</w:t>
      </w:r>
    </w:p>
    <w:tbl>
      <w:tblPr>
        <w:tblW w:w="6503" w:type="dxa"/>
        <w:jc w:val="left"/>
        <w:tblInd w:w="0" w:type="dxa"/>
        <w:tblLayout w:type="fixed"/>
        <w:tblCellMar>
          <w:top w:w="28" w:type="dxa"/>
          <w:left w:w="28" w:type="dxa"/>
          <w:bottom w:w="28" w:type="dxa"/>
          <w:right w:w="28" w:type="dxa"/>
        </w:tblCellMar>
      </w:tblPr>
      <w:tblGrid>
        <w:gridCol w:w="863"/>
        <w:gridCol w:w="757"/>
        <w:gridCol w:w="764"/>
        <w:gridCol w:w="109"/>
        <w:gridCol w:w="109"/>
        <w:gridCol w:w="240"/>
        <w:gridCol w:w="240"/>
        <w:gridCol w:w="432"/>
        <w:gridCol w:w="1426"/>
        <w:gridCol w:w="240"/>
        <w:gridCol w:w="109"/>
        <w:gridCol w:w="109"/>
        <w:gridCol w:w="109"/>
        <w:gridCol w:w="196"/>
        <w:gridCol w:w="64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Phantom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17,257 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is as follows:</w:t>
      </w:r>
    </w:p>
    <w:tbl>
      <w:tblPr>
        <w:tblW w:w="10117" w:type="dxa"/>
        <w:jc w:val="left"/>
        <w:tblInd w:w="0" w:type="dxa"/>
        <w:tblLayout w:type="fixed"/>
        <w:tblCellMar>
          <w:top w:w="28" w:type="dxa"/>
          <w:left w:w="28" w:type="dxa"/>
          <w:bottom w:w="28" w:type="dxa"/>
          <w:right w:w="28" w:type="dxa"/>
        </w:tblCellMar>
      </w:tblPr>
      <w:tblGrid>
        <w:gridCol w:w="803"/>
        <w:gridCol w:w="707"/>
        <w:gridCol w:w="709"/>
        <w:gridCol w:w="344"/>
        <w:gridCol w:w="344"/>
        <w:gridCol w:w="348"/>
        <w:gridCol w:w="109"/>
        <w:gridCol w:w="109"/>
        <w:gridCol w:w="109"/>
        <w:gridCol w:w="321"/>
        <w:gridCol w:w="911"/>
        <w:gridCol w:w="179"/>
        <w:gridCol w:w="109"/>
        <w:gridCol w:w="109"/>
        <w:gridCol w:w="109"/>
        <w:gridCol w:w="505"/>
        <w:gridCol w:w="505"/>
        <w:gridCol w:w="506"/>
        <w:gridCol w:w="109"/>
        <w:gridCol w:w="109"/>
        <w:gridCol w:w="109"/>
        <w:gridCol w:w="259"/>
        <w:gridCol w:w="856"/>
        <w:gridCol w:w="146"/>
        <w:gridCol w:w="109"/>
        <w:gridCol w:w="109"/>
        <w:gridCol w:w="109"/>
        <w:gridCol w:w="354"/>
        <w:gridCol w:w="733"/>
        <w:gridCol w:w="27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w:t>
              <w:b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2024</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2024</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2025</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2025</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March 31, 2025</w:t>
            </w:r>
          </w:p>
        </w:tc>
        <w:tc>
          <w:tcPr>
            <w:tcW w:w="68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3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8,322 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all stock-based compensation expense related to nonvested stock options has been recognized.</w:t>
      </w:r>
    </w:p>
    <w:p>
      <w:pPr>
        <w:pStyle w:val="TextBody"/>
        <w:bidi w:val="0"/>
        <w:spacing w:before="0" w:after="0"/>
        <w:jc w:val="left"/>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w:t>
      </w:r>
    </w:p>
    <w:tbl>
      <w:tblPr>
        <w:tblW w:w="8111" w:type="dxa"/>
        <w:jc w:val="left"/>
        <w:tblInd w:w="0" w:type="dxa"/>
        <w:tblLayout w:type="fixed"/>
        <w:tblCellMar>
          <w:top w:w="28" w:type="dxa"/>
          <w:left w:w="28" w:type="dxa"/>
          <w:bottom w:w="28" w:type="dxa"/>
          <w:right w:w="28" w:type="dxa"/>
        </w:tblCellMar>
      </w:tblPr>
      <w:tblGrid>
        <w:gridCol w:w="1085"/>
        <w:gridCol w:w="956"/>
        <w:gridCol w:w="958"/>
        <w:gridCol w:w="610"/>
        <w:gridCol w:w="610"/>
        <w:gridCol w:w="611"/>
        <w:gridCol w:w="109"/>
        <w:gridCol w:w="109"/>
        <w:gridCol w:w="109"/>
        <w:gridCol w:w="300"/>
        <w:gridCol w:w="853"/>
        <w:gridCol w:w="168"/>
        <w:gridCol w:w="109"/>
        <w:gridCol w:w="109"/>
        <w:gridCol w:w="109"/>
        <w:gridCol w:w="257"/>
        <w:gridCol w:w="847"/>
        <w:gridCol w:w="202"/>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fair value</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2024</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2024</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2025</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2025</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but not released, March 31, 2025</w:t>
            </w:r>
          </w:p>
        </w:tc>
        <w:tc>
          <w:tcPr>
            <w:tcW w:w="122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Shares released is presented as gross shares and does not reflect shares withheld by us for employee payroll tax obligations.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total unrecognized compensation expense on restricted stock units was $78.2 million, which is expected to be recognized over a weighted average period of approximately 1.9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estimate the fair value of performance-based restricted stock units granted with a service and market condition and the resulting weighted average fair value are as follows:</w:t>
      </w:r>
    </w:p>
    <w:tbl>
      <w:tblPr>
        <w:tblW w:w="6260" w:type="dxa"/>
        <w:jc w:val="left"/>
        <w:tblInd w:w="0" w:type="dxa"/>
        <w:tblLayout w:type="fixed"/>
        <w:tblCellMar>
          <w:top w:w="28" w:type="dxa"/>
          <w:left w:w="28" w:type="dxa"/>
          <w:bottom w:w="28" w:type="dxa"/>
          <w:right w:w="28" w:type="dxa"/>
        </w:tblCellMar>
      </w:tblPr>
      <w:tblGrid>
        <w:gridCol w:w="754"/>
        <w:gridCol w:w="664"/>
        <w:gridCol w:w="666"/>
        <w:gridCol w:w="109"/>
        <w:gridCol w:w="109"/>
        <w:gridCol w:w="213"/>
        <w:gridCol w:w="213"/>
        <w:gridCol w:w="384"/>
        <w:gridCol w:w="1266"/>
        <w:gridCol w:w="502"/>
        <w:gridCol w:w="109"/>
        <w:gridCol w:w="109"/>
        <w:gridCol w:w="109"/>
        <w:gridCol w:w="196"/>
        <w:gridCol w:w="556"/>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80"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rate for the three months ended March 31, 2025 of 21% was in line with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our tax rate for the three months ended March 31, 2024 of 21% was in line with the federal statutory rate of 21%, it was overall impacted by the effect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 benefit related to stock-based compensation, tax credits, state taxes, and uncertain tax 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expense and penalties related to unrecognized tax benefits and interest income on tax overpayments as components of income tax expense. The net interest and penalties expense recognized were as follows:</w:t>
      </w:r>
    </w:p>
    <w:tbl>
      <w:tblPr>
        <w:tblW w:w="6397" w:type="dxa"/>
        <w:jc w:val="left"/>
        <w:tblInd w:w="0" w:type="dxa"/>
        <w:tblLayout w:type="fixed"/>
        <w:tblCellMar>
          <w:top w:w="28" w:type="dxa"/>
          <w:left w:w="28" w:type="dxa"/>
          <w:bottom w:w="28" w:type="dxa"/>
          <w:right w:w="28" w:type="dxa"/>
        </w:tblCellMar>
      </w:tblPr>
      <w:tblGrid>
        <w:gridCol w:w="907"/>
        <w:gridCol w:w="795"/>
        <w:gridCol w:w="802"/>
        <w:gridCol w:w="109"/>
        <w:gridCol w:w="109"/>
        <w:gridCol w:w="260"/>
        <w:gridCol w:w="260"/>
        <w:gridCol w:w="468"/>
        <w:gridCol w:w="1329"/>
        <w:gridCol w:w="260"/>
        <w:gridCol w:w="109"/>
        <w:gridCol w:w="109"/>
        <w:gridCol w:w="109"/>
        <w:gridCol w:w="196"/>
        <w:gridCol w:w="42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and penalties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penalties recognized were as follows:</w:t>
      </w:r>
    </w:p>
    <w:tbl>
      <w:tblPr>
        <w:tblW w:w="4584" w:type="dxa"/>
        <w:jc w:val="left"/>
        <w:tblInd w:w="0" w:type="dxa"/>
        <w:tblLayout w:type="fixed"/>
        <w:tblCellMar>
          <w:top w:w="28" w:type="dxa"/>
          <w:left w:w="28" w:type="dxa"/>
          <w:bottom w:w="28" w:type="dxa"/>
          <w:right w:w="28" w:type="dxa"/>
        </w:tblCellMar>
      </w:tblPr>
      <w:tblGrid>
        <w:gridCol w:w="500"/>
        <w:gridCol w:w="438"/>
        <w:gridCol w:w="441"/>
        <w:gridCol w:w="293"/>
        <w:gridCol w:w="833"/>
        <w:gridCol w:w="163"/>
        <w:gridCol w:w="109"/>
        <w:gridCol w:w="109"/>
        <w:gridCol w:w="109"/>
        <w:gridCol w:w="343"/>
        <w:gridCol w:w="976"/>
        <w:gridCol w:w="270"/>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penalties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related to uncertain tax positions and the amount of unrecognized tax benefits that, if recognized, would affect our effective tax rate were as follows:</w:t>
      </w:r>
    </w:p>
    <w:tbl>
      <w:tblPr>
        <w:tblW w:w="9972" w:type="dxa"/>
        <w:jc w:val="left"/>
        <w:tblInd w:w="0" w:type="dxa"/>
        <w:tblLayout w:type="fixed"/>
        <w:tblCellMar>
          <w:top w:w="28" w:type="dxa"/>
          <w:left w:w="28" w:type="dxa"/>
          <w:bottom w:w="28" w:type="dxa"/>
          <w:right w:w="28" w:type="dxa"/>
        </w:tblCellMar>
      </w:tblPr>
      <w:tblGrid>
        <w:gridCol w:w="2448"/>
        <w:gridCol w:w="2150"/>
        <w:gridCol w:w="2167"/>
        <w:gridCol w:w="243"/>
        <w:gridCol w:w="912"/>
        <w:gridCol w:w="135"/>
        <w:gridCol w:w="109"/>
        <w:gridCol w:w="109"/>
        <w:gridCol w:w="109"/>
        <w:gridCol w:w="287"/>
        <w:gridCol w:w="1078"/>
        <w:gridCol w:w="225"/>
      </w:tblGrid>
      <w:tr>
        <w:trPr/>
        <w:tc>
          <w:tcPr>
            <w:tcW w:w="244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related to uncertain tax positions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 amount of unrecognized tax benefits that, if recognized, would affect our effective tax rate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income tax returns in various jurisdictions. The material jurisdictions where we are subject to examination include, among others, the United States, France, Germany, India, Italy, Indonesia, and the United Kingdom.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Guarantees and Indemnifications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available lines of credit, outstanding standby LOCs, and bonds were as follows:</w:t>
      </w:r>
    </w:p>
    <w:tbl>
      <w:tblPr>
        <w:tblW w:w="9477" w:type="dxa"/>
        <w:jc w:val="left"/>
        <w:tblInd w:w="0" w:type="dxa"/>
        <w:tblLayout w:type="fixed"/>
        <w:tblCellMar>
          <w:top w:w="28" w:type="dxa"/>
          <w:left w:w="28" w:type="dxa"/>
          <w:bottom w:w="28" w:type="dxa"/>
          <w:right w:w="28" w:type="dxa"/>
        </w:tblCellMar>
      </w:tblPr>
      <w:tblGrid>
        <w:gridCol w:w="2266"/>
        <w:gridCol w:w="1989"/>
        <w:gridCol w:w="2015"/>
        <w:gridCol w:w="243"/>
        <w:gridCol w:w="912"/>
        <w:gridCol w:w="135"/>
        <w:gridCol w:w="109"/>
        <w:gridCol w:w="109"/>
        <w:gridCol w:w="109"/>
        <w:gridCol w:w="287"/>
        <w:gridCol w:w="1078"/>
        <w:gridCol w:w="225"/>
      </w:tblGrid>
      <w:tr>
        <w:trPr/>
        <w:tc>
          <w:tcPr>
            <w:tcW w:w="226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(46,013)</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under the multicurrency revolving line of credit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standby LOCs under sub-facility</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Unsecured multicurrency revolving lines of credit with various financial institutions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lines of credit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and LOCs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67,689 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surety bonds in force</w:t>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362,830 </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363,097 </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any such standby LOC or bond were called, we would be obligated to reimburse the issuer of the standby LOC or bond. As of May 1, 2025, we are not aware of any valid claims against our outstanding standby LOCs or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warranty accrual account activity is as follows:</w:t>
      </w:r>
    </w:p>
    <w:tbl>
      <w:tblPr>
        <w:tblW w:w="6954" w:type="dxa"/>
        <w:jc w:val="left"/>
        <w:tblInd w:w="0" w:type="dxa"/>
        <w:tblLayout w:type="fixed"/>
        <w:tblCellMar>
          <w:top w:w="28" w:type="dxa"/>
          <w:left w:w="28" w:type="dxa"/>
          <w:bottom w:w="28" w:type="dxa"/>
          <w:right w:w="28" w:type="dxa"/>
        </w:tblCellMar>
      </w:tblPr>
      <w:tblGrid>
        <w:gridCol w:w="1027"/>
        <w:gridCol w:w="900"/>
        <w:gridCol w:w="908"/>
        <w:gridCol w:w="109"/>
        <w:gridCol w:w="109"/>
        <w:gridCol w:w="240"/>
        <w:gridCol w:w="240"/>
        <w:gridCol w:w="432"/>
        <w:gridCol w:w="1426"/>
        <w:gridCol w:w="240"/>
        <w:gridCol w:w="109"/>
        <w:gridCol w:w="109"/>
        <w:gridCol w:w="109"/>
        <w:gridCol w:w="196"/>
        <w:gridCol w:w="64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product warranties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and expirations,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Claims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22,517 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warranty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7,583 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warranty expense is classified within cost of revenues and consists of new product warranties issued, costs related to insurance and supplier recoveries, other changes and adjustments to warranties, and customer claims.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Warranty expense was as follows:</w:t>
      </w:r>
    </w:p>
    <w:tbl>
      <w:tblPr>
        <w:tblW w:w="5798" w:type="dxa"/>
        <w:jc w:val="left"/>
        <w:tblInd w:w="0" w:type="dxa"/>
        <w:tblLayout w:type="fixed"/>
        <w:tblCellMar>
          <w:top w:w="28" w:type="dxa"/>
          <w:left w:w="28" w:type="dxa"/>
          <w:bottom w:w="28" w:type="dxa"/>
          <w:right w:w="28" w:type="dxa"/>
        </w:tblCellMar>
      </w:tblPr>
      <w:tblGrid>
        <w:gridCol w:w="641"/>
        <w:gridCol w:w="562"/>
        <w:gridCol w:w="567"/>
        <w:gridCol w:w="109"/>
        <w:gridCol w:w="109"/>
        <w:gridCol w:w="260"/>
        <w:gridCol w:w="260"/>
        <w:gridCol w:w="468"/>
        <w:gridCol w:w="1329"/>
        <w:gridCol w:w="260"/>
        <w:gridCol w:w="109"/>
        <w:gridCol w:w="109"/>
        <w:gridCol w:w="109"/>
        <w:gridCol w:w="196"/>
        <w:gridCol w:w="55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warranty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Restructuring</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Projects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substantially complete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2023 Projects were as follows:</w:t>
      </w:r>
    </w:p>
    <w:tbl>
      <w:tblPr>
        <w:tblW w:w="10205" w:type="dxa"/>
        <w:jc w:val="left"/>
        <w:tblInd w:w="0" w:type="dxa"/>
        <w:tblLayout w:type="fixed"/>
        <w:tblCellMar>
          <w:top w:w="28" w:type="dxa"/>
          <w:left w:w="28" w:type="dxa"/>
          <w:bottom w:w="28" w:type="dxa"/>
          <w:right w:w="28" w:type="dxa"/>
        </w:tblCellMar>
      </w:tblPr>
      <w:tblGrid>
        <w:gridCol w:w="736"/>
        <w:gridCol w:w="539"/>
        <w:gridCol w:w="543"/>
        <w:gridCol w:w="316"/>
        <w:gridCol w:w="1044"/>
        <w:gridCol w:w="176"/>
        <w:gridCol w:w="109"/>
        <w:gridCol w:w="109"/>
        <w:gridCol w:w="109"/>
        <w:gridCol w:w="295"/>
        <w:gridCol w:w="972"/>
        <w:gridCol w:w="165"/>
        <w:gridCol w:w="109"/>
        <w:gridCol w:w="109"/>
        <w:gridCol w:w="109"/>
        <w:gridCol w:w="527"/>
        <w:gridCol w:w="1540"/>
        <w:gridCol w:w="295"/>
        <w:gridCol w:w="109"/>
        <w:gridCol w:w="109"/>
        <w:gridCol w:w="109"/>
        <w:gridCol w:w="446"/>
        <w:gridCol w:w="1269"/>
        <w:gridCol w:w="361"/>
      </w:tblGrid>
      <w:tr>
        <w:trPr/>
        <w:tc>
          <w:tcPr>
            <w:tcW w:w="7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 Recognized During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March 31, 2025</w:t>
            </w:r>
          </w:p>
        </w:tc>
      </w:tr>
      <w:tr>
        <w:trPr/>
        <w:tc>
          <w:tcPr>
            <w:tcW w:w="1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(gain) on sale or disposal</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within the restructuring related balance sheet accounts for the 2023 Projects during the three months ended March 31, 2025:</w:t>
      </w:r>
    </w:p>
    <w:tbl>
      <w:tblPr>
        <w:tblW w:w="10205" w:type="dxa"/>
        <w:jc w:val="left"/>
        <w:tblInd w:w="0" w:type="dxa"/>
        <w:tblLayout w:type="fixed"/>
        <w:tblCellMar>
          <w:top w:w="28" w:type="dxa"/>
          <w:left w:w="28" w:type="dxa"/>
          <w:bottom w:w="28" w:type="dxa"/>
          <w:right w:w="28" w:type="dxa"/>
        </w:tblCellMar>
      </w:tblPr>
      <w:tblGrid>
        <w:gridCol w:w="688"/>
        <w:gridCol w:w="598"/>
        <w:gridCol w:w="603"/>
        <w:gridCol w:w="361"/>
        <w:gridCol w:w="1191"/>
        <w:gridCol w:w="200"/>
        <w:gridCol w:w="109"/>
        <w:gridCol w:w="109"/>
        <w:gridCol w:w="109"/>
        <w:gridCol w:w="846"/>
        <w:gridCol w:w="1753"/>
        <w:gridCol w:w="472"/>
        <w:gridCol w:w="109"/>
        <w:gridCol w:w="109"/>
        <w:gridCol w:w="109"/>
        <w:gridCol w:w="307"/>
        <w:gridCol w:w="874"/>
        <w:gridCol w:w="171"/>
        <w:gridCol w:w="109"/>
        <w:gridCol w:w="109"/>
        <w:gridCol w:w="109"/>
        <w:gridCol w:w="196"/>
        <w:gridCol w:w="646"/>
        <w:gridCol w:w="318"/>
      </w:tblGrid>
      <w:tr>
        <w:trPr/>
        <w:tc>
          <w:tcPr>
            <w:tcW w:w="6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Accrued Employee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Impairments &amp; Net Loss (Gain) on Sale or Disposal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2025</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Costs charged to expense</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Cash receipts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disposed and impaired</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March 31, 2025</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33,022 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impairments are determined at the asset group level. Revenues and net operating income from the activities we have exited or will exit under the restructuring projects are not material to our operating segments or consolidated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portions of restructuring liabilities were $19.3 million and $24.3 million as of March 31, 2025 and December 31, 2024 and are classified within other current liabilities on the Consolidated Balance Sheets. The long-term portions of restructuring liabilities were $13.7 million and $17.0 million as of March 31, 2025 and December 31, 2024. The long-term portions of restructuring liabilities are classified within other long-term obligations on the Consolidated Balance Sheets and include severance accruals and facility exit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Shareholders' Equity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2025 or December 31, 2024.</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11, 2023, Itron's Board of Directors authorized a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2024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Call Option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Accounting Standards Codification (ASC) 815-40 to be classified within Stockholders' Equity, and therefore they are not revalued after their issuance.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Capped Call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 (Loss)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accumulated other comprehensive income (loss) (AOCI), net of tax, were as follows:</w:t>
      </w:r>
    </w:p>
    <w:tbl>
      <w:tblPr>
        <w:tblW w:w="10205" w:type="dxa"/>
        <w:jc w:val="left"/>
        <w:tblInd w:w="0" w:type="dxa"/>
        <w:tblLayout w:type="fixed"/>
        <w:tblCellMar>
          <w:top w:w="28" w:type="dxa"/>
          <w:left w:w="28" w:type="dxa"/>
          <w:bottom w:w="28" w:type="dxa"/>
          <w:right w:w="28" w:type="dxa"/>
        </w:tblCellMar>
      </w:tblPr>
      <w:tblGrid>
        <w:gridCol w:w="745"/>
        <w:gridCol w:w="352"/>
        <w:gridCol w:w="355"/>
        <w:gridCol w:w="281"/>
        <w:gridCol w:w="950"/>
        <w:gridCol w:w="157"/>
        <w:gridCol w:w="109"/>
        <w:gridCol w:w="109"/>
        <w:gridCol w:w="109"/>
        <w:gridCol w:w="380"/>
        <w:gridCol w:w="849"/>
        <w:gridCol w:w="213"/>
        <w:gridCol w:w="109"/>
        <w:gridCol w:w="109"/>
        <w:gridCol w:w="109"/>
        <w:gridCol w:w="320"/>
        <w:gridCol w:w="1083"/>
        <w:gridCol w:w="180"/>
        <w:gridCol w:w="109"/>
        <w:gridCol w:w="109"/>
        <w:gridCol w:w="109"/>
        <w:gridCol w:w="307"/>
        <w:gridCol w:w="875"/>
        <w:gridCol w:w="173"/>
        <w:gridCol w:w="109"/>
        <w:gridCol w:w="109"/>
        <w:gridCol w:w="109"/>
        <w:gridCol w:w="296"/>
        <w:gridCol w:w="1138"/>
        <w:gridCol w:w="243"/>
      </w:tblGrid>
      <w:tr>
        <w:trPr/>
        <w:tc>
          <w:tcPr>
            <w:tcW w:w="7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Nonderivative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 Obligation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r>
      <w:tr>
        <w:trPr/>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2024</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(81,190)</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2024</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(92,098)</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2025</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(109,931)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2025</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(96,383)</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before-tax, income tax (provision) benefit, and net-of-tax amounts related to each component of other comprehensive income (OCI) were as follows:</w:t>
      </w:r>
    </w:p>
    <w:tbl>
      <w:tblPr>
        <w:tblW w:w="9128" w:type="dxa"/>
        <w:jc w:val="left"/>
        <w:tblInd w:w="0" w:type="dxa"/>
        <w:tblLayout w:type="fixed"/>
        <w:tblCellMar>
          <w:top w:w="28" w:type="dxa"/>
          <w:left w:w="28" w:type="dxa"/>
          <w:bottom w:w="28" w:type="dxa"/>
          <w:right w:w="28" w:type="dxa"/>
        </w:tblCellMar>
      </w:tblPr>
      <w:tblGrid>
        <w:gridCol w:w="1788"/>
        <w:gridCol w:w="1567"/>
        <w:gridCol w:w="1579"/>
        <w:gridCol w:w="109"/>
        <w:gridCol w:w="109"/>
        <w:gridCol w:w="240"/>
        <w:gridCol w:w="240"/>
        <w:gridCol w:w="432"/>
        <w:gridCol w:w="1426"/>
        <w:gridCol w:w="240"/>
        <w:gridCol w:w="109"/>
        <w:gridCol w:w="109"/>
        <w:gridCol w:w="109"/>
        <w:gridCol w:w="196"/>
        <w:gridCol w:w="72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Before-tax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Net-of-tax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at March 31, 2025 and December 31, 2024 do not reflect subsequent changes in the economy, interest rates, tax rates, and other variables that may affect the determination of fair value.</w:t>
      </w:r>
    </w:p>
    <w:tbl>
      <w:tblPr>
        <w:tblW w:w="7753" w:type="dxa"/>
        <w:jc w:val="left"/>
        <w:tblInd w:w="0" w:type="dxa"/>
        <w:tblLayout w:type="fixed"/>
        <w:tblCellMar>
          <w:top w:w="28" w:type="dxa"/>
          <w:left w:w="28" w:type="dxa"/>
          <w:bottom w:w="28" w:type="dxa"/>
          <w:right w:w="28" w:type="dxa"/>
        </w:tblCellMar>
      </w:tblPr>
      <w:tblGrid>
        <w:gridCol w:w="1003"/>
        <w:gridCol w:w="880"/>
        <w:gridCol w:w="892"/>
        <w:gridCol w:w="283"/>
        <w:gridCol w:w="588"/>
        <w:gridCol w:w="125"/>
        <w:gridCol w:w="109"/>
        <w:gridCol w:w="109"/>
        <w:gridCol w:w="109"/>
        <w:gridCol w:w="283"/>
        <w:gridCol w:w="588"/>
        <w:gridCol w:w="109"/>
        <w:gridCol w:w="109"/>
        <w:gridCol w:w="109"/>
        <w:gridCol w:w="109"/>
        <w:gridCol w:w="283"/>
        <w:gridCol w:w="588"/>
        <w:gridCol w:w="125"/>
        <w:gridCol w:w="109"/>
        <w:gridCol w:w="109"/>
        <w:gridCol w:w="109"/>
        <w:gridCol w:w="283"/>
        <w:gridCol w:w="588"/>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1,243,884 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1,242,424 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in estimating fair values: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Due to the liquid nature of these instruments, the carrying amount approximates fair value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Credit facility - multicurrency revolving line of credit: </w:t>
      </w:r>
      <w:r>
        <w:rPr>
          <w:rFonts w:ascii="Times New Roman;sans-serif" w:hAnsi="Times New Roman;sans-serif"/>
          <w:b w:val="false"/>
          <w:color w:val="000000"/>
          <w:sz w:val="20"/>
        </w:rPr>
        <w:t>The revolver is not traded publicly. 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Convertible notes:</w:t>
      </w:r>
      <w:r>
        <w:rPr>
          <w:color w:val="000000"/>
        </w:rPr>
        <w:t xml:space="preserve"> </w:t>
      </w:r>
      <w:r>
        <w:rPr>
          <w:rFonts w:ascii="Times New Roman;sans-serif" w:hAnsi="Times New Roman;sans-serif"/>
          <w:b w:val="false"/>
          <w:color w:val="000000"/>
          <w:sz w:val="20"/>
        </w:rPr>
        <w:t>The convertible notes are not listed on any securities exchange but may be actively traded. The fair value is estimated using Level 1 inputs, as it is based on quoted prices for these instruments in active markets.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color w:val="000000"/>
          <w:sz w:val="20"/>
        </w:rPr>
        <w:t>Each derivative asset and liability has a carrying value equal to fair value. 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w:t>
      </w:r>
      <w:r>
        <w:rPr>
          <w:rFonts w:ascii="Times New Roman;sans-serif" w:hAnsi="Times New Roman;sans-serif"/>
          <w:b w:val="false"/>
          <w:color w:val="000000"/>
          <w:sz w:val="20"/>
          <w:shd w:fill="FFFFFF" w:val="clear"/>
        </w:rPr>
        <w:t>ket. We have utilized the mid-market pricing convention for these inputs.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Segment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under the Itron brand worldwide and manage and report under three operating segments: Device Solutions, Networked Solutions, and Outcomes.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Segment Products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Device Solutions</w:t>
      </w:r>
      <w:r>
        <w:rPr>
          <w:color w:val="000000"/>
        </w:rPr>
        <w:t xml:space="preserve"> – </w:t>
      </w:r>
      <w:r>
        <w:rPr>
          <w:rFonts w:ascii="Times New Roman;sans-serif" w:hAnsi="Times New Roman;sans-serif"/>
          <w:b w:val="false"/>
          <w:color w:val="000000"/>
          <w:sz w:val="20"/>
        </w:rPr>
        <w:t>This segment primarily includes hardware products used for measurement, control, or sensing that can have communications capability 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Networked Solutions</w:t>
      </w:r>
      <w:r>
        <w:rPr>
          <w:color w:val="000000"/>
        </w:rPr>
        <w:t xml:space="preserve"> – </w:t>
      </w:r>
      <w:r>
        <w:rPr>
          <w:rFonts w:ascii="Times New Roman;sans-serif" w:hAnsi="Times New Roman;sans-serif"/>
          <w:b w:val="false"/>
          <w:color w:val="000000"/>
          <w:sz w:val="20"/>
        </w:rPr>
        <w:t>This segment primarily includes a combination of communicating devices (e.g., smart meters, modules, endpoints, and sensors), 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Outcomes</w:t>
      </w:r>
      <w:r>
        <w:rPr>
          <w:color w:val="000000"/>
        </w:rPr>
        <w:t xml:space="preserve"> – </w:t>
      </w:r>
      <w:r>
        <w:rPr>
          <w:rFonts w:ascii="Times New Roman;sans-serif" w:hAnsi="Times New Roman;sans-serif"/>
          <w:b w:val="false"/>
          <w:color w:val="000000"/>
          <w:sz w:val="20"/>
        </w:rPr>
        <w:t>This segment primarily includes our value-added, enhanced software and services in which we enable grid edge intelligence and manage, 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CODM assesses the segments' performance primarily by using each segment's revenues and gross profit (gross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No asset information for reportable segments is provided to the CODM. We do not manage the performance of the segments on a balance sheet basis.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CODM assesses revenues and gross profit for each segment predominantly in the annual budget and periodic forecasting process. The CODM considers budget-to-actual and forecast-to-actual variances for these measures when making decisions about the allocation of operating and capital resources to each segment. The CODM primarily uses segment gross profit for evaluating pricing strategy and the performance of each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reporting segments and Corporate unallocated and the reconciliation to income before income taxes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1"/>
        <w:gridCol w:w="447"/>
        <w:gridCol w:w="392"/>
        <w:gridCol w:w="109"/>
        <w:gridCol w:w="109"/>
        <w:gridCol w:w="109"/>
        <w:gridCol w:w="210"/>
        <w:gridCol w:w="790"/>
        <w:gridCol w:w="117"/>
        <w:gridCol w:w="109"/>
        <w:gridCol w:w="109"/>
        <w:gridCol w:w="109"/>
        <w:gridCol w:w="226"/>
        <w:gridCol w:w="850"/>
        <w:gridCol w:w="125"/>
        <w:gridCol w:w="109"/>
        <w:gridCol w:w="109"/>
        <w:gridCol w:w="109"/>
        <w:gridCol w:w="196"/>
        <w:gridCol w:w="646"/>
        <w:gridCol w:w="109"/>
        <w:gridCol w:w="109"/>
        <w:gridCol w:w="109"/>
        <w:gridCol w:w="109"/>
        <w:gridCol w:w="218"/>
        <w:gridCol w:w="820"/>
        <w:gridCol w:w="121"/>
        <w:gridCol w:w="109"/>
        <w:gridCol w:w="109"/>
        <w:gridCol w:w="109"/>
        <w:gridCol w:w="233"/>
        <w:gridCol w:w="855"/>
        <w:gridCol w:w="129"/>
        <w:gridCol w:w="109"/>
        <w:gridCol w:w="109"/>
        <w:gridCol w:w="109"/>
        <w:gridCol w:w="230"/>
        <w:gridCol w:w="759"/>
        <w:gridCol w:w="189"/>
      </w:tblGrid>
      <w:tr>
        <w:trPr/>
        <w:tc>
          <w:tcPr>
            <w:tcW w:w="58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Segments 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116,109 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1"/>
        <w:gridCol w:w="447"/>
        <w:gridCol w:w="392"/>
        <w:gridCol w:w="109"/>
        <w:gridCol w:w="109"/>
        <w:gridCol w:w="109"/>
        <w:gridCol w:w="210"/>
        <w:gridCol w:w="790"/>
        <w:gridCol w:w="117"/>
        <w:gridCol w:w="109"/>
        <w:gridCol w:w="109"/>
        <w:gridCol w:w="109"/>
        <w:gridCol w:w="226"/>
        <w:gridCol w:w="850"/>
        <w:gridCol w:w="125"/>
        <w:gridCol w:w="109"/>
        <w:gridCol w:w="109"/>
        <w:gridCol w:w="109"/>
        <w:gridCol w:w="196"/>
        <w:gridCol w:w="646"/>
        <w:gridCol w:w="109"/>
        <w:gridCol w:w="109"/>
        <w:gridCol w:w="109"/>
        <w:gridCol w:w="109"/>
        <w:gridCol w:w="218"/>
        <w:gridCol w:w="820"/>
        <w:gridCol w:w="121"/>
        <w:gridCol w:w="109"/>
        <w:gridCol w:w="109"/>
        <w:gridCol w:w="109"/>
        <w:gridCol w:w="233"/>
        <w:gridCol w:w="855"/>
        <w:gridCol w:w="129"/>
        <w:gridCol w:w="109"/>
        <w:gridCol w:w="109"/>
        <w:gridCol w:w="109"/>
        <w:gridCol w:w="230"/>
        <w:gridCol w:w="759"/>
        <w:gridCol w:w="189"/>
      </w:tblGrid>
      <w:tr>
        <w:trPr/>
        <w:tc>
          <w:tcPr>
            <w:tcW w:w="58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Segments 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381,305 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116,678 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147,472 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no single customer represented more than 10% of total company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region were as follows:</w:t>
      </w:r>
    </w:p>
    <w:tbl>
      <w:tblPr>
        <w:tblW w:w="6624" w:type="dxa"/>
        <w:jc w:val="left"/>
        <w:tblInd w:w="0" w:type="dxa"/>
        <w:tblLayout w:type="fixed"/>
        <w:tblCellMar>
          <w:top w:w="28" w:type="dxa"/>
          <w:left w:w="28" w:type="dxa"/>
          <w:bottom w:w="28" w:type="dxa"/>
          <w:right w:w="28" w:type="dxa"/>
        </w:tblCellMar>
      </w:tblPr>
      <w:tblGrid>
        <w:gridCol w:w="875"/>
        <w:gridCol w:w="766"/>
        <w:gridCol w:w="774"/>
        <w:gridCol w:w="109"/>
        <w:gridCol w:w="109"/>
        <w:gridCol w:w="223"/>
        <w:gridCol w:w="223"/>
        <w:gridCol w:w="401"/>
        <w:gridCol w:w="1508"/>
        <w:gridCol w:w="223"/>
        <w:gridCol w:w="109"/>
        <w:gridCol w:w="109"/>
        <w:gridCol w:w="109"/>
        <w:gridCol w:w="196"/>
        <w:gridCol w:w="73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486,212 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607,151 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is allocated to the operating segments based upon each segment's use of the assets. All amortization expense is recognized within Corporate unallocated. Depreciation and amortization of intangible assets expense associated with our operating segments was as follows:</w:t>
      </w:r>
    </w:p>
    <w:tbl>
      <w:tblPr>
        <w:tblW w:w="5784" w:type="dxa"/>
        <w:jc w:val="left"/>
        <w:tblInd w:w="0" w:type="dxa"/>
        <w:tblLayout w:type="fixed"/>
        <w:tblCellMar>
          <w:top w:w="28" w:type="dxa"/>
          <w:left w:w="28" w:type="dxa"/>
          <w:bottom w:w="28" w:type="dxa"/>
          <w:right w:w="28" w:type="dxa"/>
        </w:tblCellMar>
      </w:tblPr>
      <w:tblGrid>
        <w:gridCol w:w="603"/>
        <w:gridCol w:w="529"/>
        <w:gridCol w:w="533"/>
        <w:gridCol w:w="109"/>
        <w:gridCol w:w="109"/>
        <w:gridCol w:w="240"/>
        <w:gridCol w:w="240"/>
        <w:gridCol w:w="432"/>
        <w:gridCol w:w="1426"/>
        <w:gridCol w:w="240"/>
        <w:gridCol w:w="109"/>
        <w:gridCol w:w="109"/>
        <w:gridCol w:w="109"/>
        <w:gridCol w:w="196"/>
        <w:gridCol w:w="6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Revenues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significant net changes in the contract assets and the contract liabilities balances during the period is as follows:</w:t>
      </w:r>
    </w:p>
    <w:tbl>
      <w:tblPr>
        <w:tblW w:w="7274" w:type="dxa"/>
        <w:jc w:val="left"/>
        <w:tblInd w:w="0" w:type="dxa"/>
        <w:tblLayout w:type="fixed"/>
        <w:tblCellMar>
          <w:top w:w="28" w:type="dxa"/>
          <w:left w:w="28" w:type="dxa"/>
          <w:bottom w:w="28" w:type="dxa"/>
          <w:right w:w="28" w:type="dxa"/>
        </w:tblCellMar>
      </w:tblPr>
      <w:tblGrid>
        <w:gridCol w:w="1424"/>
        <w:gridCol w:w="1248"/>
        <w:gridCol w:w="1258"/>
        <w:gridCol w:w="603"/>
        <w:gridCol w:w="2267"/>
        <w:gridCol w:w="47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Liabilities, Less Contract Assets</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2025</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127,557 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beginning contract liability</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(56,028)</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catch-up adjustments</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due to amounts collected or due</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118,848 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current period increases</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(13,922)</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March 31, 2025</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176,566 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2025, total contract assets were $65.4 million and total contract liabilities were $193.0 million. On March 31, 2025, total contract assets were $55.2 million and total contract liabilities were $231.8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the remaining performance obligations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transaction price allocated to remaining performance obligations related to contracts is approximately $1.1 billion for the next 12 months and approximately $1.2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over the extended warranty period, and hardware, which is recognized as units are delivered. The estimate of when remaining performance obligations will be recognized requires significant judgment.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to obtain a contract and cost to fulfill a contract with a customer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should be read in conjunction with the unaudited consolidated financial statements and notes included in this report and with the consolidated financial statements and the notes thereto for the fiscal year ended December 31, 2024 filed with the Securities and Exchange Commission (SEC) in our Annual Report on Form 10-K on February 25, 2025 (2024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Documents we provide to the SEC are available free of charge under the Investors section of our website at </w:t>
      </w:r>
      <w:r>
        <w:rPr>
          <w:rFonts w:ascii="Times New Roman;sans-serif" w:hAnsi="Times New Roman;sans-serif"/>
          <w:b w:val="false"/>
          <w:i/>
          <w:color w:val="000000"/>
          <w:sz w:val="20"/>
        </w:rPr>
        <w:t>www.itron.com</w:t>
      </w:r>
      <w:r>
        <w:rPr>
          <w:color w:val="000000"/>
        </w:rPr>
        <w:t xml:space="preserve"> </w:t>
      </w:r>
      <w:r>
        <w:rPr>
          <w:rFonts w:ascii="Times New Roman;sans-serif" w:hAnsi="Times New Roman;sans-serif"/>
          <w:b w:val="false"/>
          <w:color w:val="000000"/>
          <w:sz w:val="20"/>
        </w:rPr>
        <w:t>as soon as practicable after they are filed with or furnished to the SEC. In addition, these documents are available at the SEC's website (</w:t>
      </w:r>
      <w:r>
        <w:rPr>
          <w:rFonts w:ascii="Times New Roman;sans-serif" w:hAnsi="Times New Roman;sans-serif"/>
          <w:b w:val="false"/>
          <w:i/>
          <w:color w:val="000000"/>
          <w:sz w:val="20"/>
        </w:rPr>
        <w:t>http</w:t>
      </w:r>
      <w:r>
        <w:rPr>
          <w:rFonts w:ascii="Times New Roman;sans-serif" w:hAnsi="Times New Roman;sans-serif"/>
          <w:b w:val="false"/>
          <w:color w:val="000000"/>
          <w:sz w:val="20"/>
        </w:rPr>
        <w:t>://</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2024 Annual Report and other reports on file with the SEC. We undertake no obligation to update or revise any forward-looking statement, whether written or oral.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the Itron brand worldwide and manage and report under three operating segments: Device Solutions, Networked Solutions, and Outcomes. The product and operating definitions of the three segments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Device Solutions</w:t>
      </w:r>
      <w:r>
        <w:rPr>
          <w:color w:val="000000"/>
        </w:rPr>
        <w:t xml:space="preserve"> – </w:t>
      </w:r>
      <w:r>
        <w:rPr>
          <w:rFonts w:ascii="Times New Roman;sans-serif" w:hAnsi="Times New Roman;sans-serif"/>
          <w:b w:val="false"/>
          <w:color w:val="000000"/>
          <w:sz w:val="20"/>
        </w:rPr>
        <w:t>This segment primarily includes hardware products used for measurement, control, or sensing that can have communications capability 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Networked Solutions</w:t>
      </w:r>
      <w:r>
        <w:rPr>
          <w:color w:val="000000"/>
        </w:rPr>
        <w:t xml:space="preserve"> – </w:t>
      </w:r>
      <w:r>
        <w:rPr>
          <w:rFonts w:ascii="Times New Roman;sans-serif" w:hAnsi="Times New Roman;sans-serif"/>
          <w:b w:val="false"/>
          <w:color w:val="000000"/>
          <w:sz w:val="20"/>
        </w:rPr>
        <w:t>This segment primarily includes a combination of communicating devices (e.g., smart meters, modules, endpoints, and sensors), 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Outcomes</w:t>
      </w:r>
      <w:r>
        <w:rPr>
          <w:color w:val="000000"/>
        </w:rPr>
        <w:t xml:space="preserve"> – </w:t>
      </w:r>
      <w:r>
        <w:rPr>
          <w:rFonts w:ascii="Times New Roman;sans-serif" w:hAnsi="Times New Roman;sans-serif"/>
          <w:b w:val="false"/>
          <w:color w:val="000000"/>
          <w:sz w:val="20"/>
        </w:rPr>
        <w:t>This segment primarily includes our value-added, enhanced software and services in which we enable grid edge intelligence and manage, organize, analyze, and interpret raw, anonymized data using artificial intelligence, machine learning, statistical modeling, and other analytics. This delivers new value for utilities and smart cities through improving decision making, maximizing operational profitability, engaging consumers, enhancing resource efficiency, and improving grid resiliency and reliability.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sans-serif" w:hAnsi="Times New Roman;sans-serif"/>
          <w:b w:val="false"/>
          <w:color w:val="222222"/>
          <w:sz w:val="20"/>
        </w:rPr>
        <w:t>"</w:t>
      </w:r>
      <w:r>
        <w:rPr>
          <w:rFonts w:ascii="Times New Roman;sans-serif" w:hAnsi="Times New Roman;sans-serif"/>
          <w:b w:val="false"/>
          <w:color w:val="000000"/>
          <w:sz w:val="20"/>
        </w:rPr>
        <w:t>constant currency</w:t>
      </w:r>
      <w:r>
        <w:rPr>
          <w:rFonts w:ascii="Times New Roman;sans-serif" w:hAnsi="Times New Roman;sans-serif"/>
          <w:b w:val="false"/>
          <w:color w:val="222222"/>
          <w:sz w:val="20"/>
        </w:rPr>
        <w:t>",</w:t>
      </w:r>
      <w:r>
        <w:rPr>
          <w:color w:val="000000"/>
        </w:rPr>
        <w:t xml:space="preserve"> </w:t>
      </w:r>
      <w:r>
        <w:rPr>
          <w:rFonts w:ascii="Times New Roman;sans-serif" w:hAnsi="Times New Roman;sans-serif"/>
          <w:b w:val="false"/>
          <w:color w:val="000000"/>
          <w:sz w:val="20"/>
        </w:rPr>
        <w:t>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Refer to the </w:t>
      </w:r>
      <w:r>
        <w:rPr>
          <w:rFonts w:ascii="Times New Roman;sans-serif" w:hAnsi="Times New Roman;sans-serif"/>
          <w:b w:val="false"/>
          <w:i/>
          <w:color w:val="000000"/>
          <w:sz w:val="20"/>
        </w:rPr>
        <w:t>Non-GAAP Measures</w:t>
      </w:r>
      <w:r>
        <w:rPr>
          <w:color w:val="000000"/>
        </w:rPr>
        <w:t xml:space="preserve"> </w:t>
      </w:r>
      <w:r>
        <w:rPr>
          <w:rFonts w:ascii="Times New Roman;sans-serif" w:hAnsi="Times New Roman;sans-serif"/>
          <w:b w:val="false"/>
          <w:color w:val="000000"/>
          <w:sz w:val="20"/>
        </w:rPr>
        <w:t>section below on pages 40-43 for information about these non-GAAP measures and the detailed reconciliation of items that impacted non-GAAP operating expenses, non-GAAP operating income, non-GAAP net income, non-GAAP diluted EPS, adjusted EBITDA, and free cash flow in the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Company Highlights</w:t>
      </w:r>
    </w:p>
    <w:p>
      <w:pPr>
        <w:pStyle w:val="TextBody"/>
        <w:bidi w:val="0"/>
        <w:spacing w:before="0" w:after="0"/>
        <w:jc w:val="both"/>
        <w:rPr/>
      </w:pPr>
      <w:r>
        <w:rPr/>
      </w:r>
    </w:p>
    <w:p>
      <w:pPr>
        <w:pStyle w:val="TextBody"/>
        <w:bidi w:val="0"/>
        <w:spacing w:lineRule="auto" w:line="288" w:before="0" w:after="60"/>
        <w:jc w:val="both"/>
        <w:rPr/>
      </w:pPr>
      <w:r>
        <w:rPr>
          <w:rFonts w:ascii="Times New Roman;sans-serif" w:hAnsi="Times New Roman;sans-serif"/>
          <w:b w:val="false"/>
          <w:i/>
          <w:color w:val="222222"/>
          <w:sz w:val="20"/>
        </w:rPr>
        <w:t xml:space="preserve">Highlights and significant developments for the </w:t>
      </w:r>
      <w:r>
        <w:rPr>
          <w:rFonts w:ascii="Times New Roman;sans-serif" w:hAnsi="Times New Roman;sans-serif"/>
          <w:b w:val="false"/>
          <w:i/>
          <w:color w:val="000000"/>
          <w:sz w:val="20"/>
        </w:rPr>
        <w:t>three</w:t>
      </w:r>
      <w:r>
        <w:rPr>
          <w:color w:val="222222"/>
        </w:rPr>
        <w:t xml:space="preserve"> </w:t>
      </w:r>
      <w:r>
        <w:rPr>
          <w:rFonts w:ascii="Times New Roman;sans-serif" w:hAnsi="Times New Roman;sans-serif"/>
          <w:b w:val="false"/>
          <w:i/>
          <w:color w:val="222222"/>
          <w:sz w:val="20"/>
        </w:rPr>
        <w:t xml:space="preserve">months ended </w:t>
      </w:r>
      <w:r>
        <w:rPr>
          <w:rFonts w:ascii="Times New Roman;sans-serif" w:hAnsi="Times New Roman;sans-serif"/>
          <w:b w:val="false"/>
          <w:i/>
          <w:color w:val="000000"/>
          <w:sz w:val="20"/>
        </w:rPr>
        <w:t>March 31, 2025 compared with the three months ended March 31, 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Revenues were $607.2 million compared with $603.4 million in 2024, an increase of $3.7 million, or 1%</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Gross margin was 35.8% compared with 34.0% in 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Operating expenses decreased $1.6 million, or 1%, compared with 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000000"/>
          <w:sz w:val="20"/>
        </w:rPr>
        <w:t xml:space="preserve">Net income attributable to Itron, Inc. was $65.5 million compared with net income of $51.7 million in </w:t>
      </w:r>
      <w:r>
        <w:rPr>
          <w:rFonts w:ascii="Times New Roman;sans-serif" w:hAnsi="Times New Roman;sans-serif"/>
          <w:b w:val="false"/>
          <w:color w:val="222222"/>
          <w:sz w:val="20"/>
        </w:rPr>
        <w:t>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GAAP diluted EPS increased by $0.30 to $1.42 in 2025</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 xml:space="preserve">Non-GAAP net income attributable to Itron, Inc. was </w:t>
      </w:r>
      <w:r>
        <w:rPr>
          <w:rFonts w:ascii="Times New Roman;sans-serif" w:hAnsi="Times New Roman;sans-serif"/>
          <w:b w:val="false"/>
          <w:color w:val="000000"/>
          <w:sz w:val="20"/>
        </w:rPr>
        <w:t>$70.1 million</w:t>
      </w:r>
      <w:r>
        <w:rPr>
          <w:color w:val="222222"/>
        </w:rPr>
        <w:t xml:space="preserve"> </w:t>
      </w:r>
      <w:r>
        <w:rPr>
          <w:rFonts w:ascii="Times New Roman;sans-serif" w:hAnsi="Times New Roman;sans-serif"/>
          <w:b w:val="false"/>
          <w:color w:val="222222"/>
          <w:sz w:val="20"/>
        </w:rPr>
        <w:t xml:space="preserve">compared with </w:t>
      </w:r>
      <w:r>
        <w:rPr>
          <w:rFonts w:ascii="Times New Roman;sans-serif" w:hAnsi="Times New Roman;sans-serif"/>
          <w:b w:val="false"/>
          <w:color w:val="000000"/>
          <w:sz w:val="20"/>
        </w:rPr>
        <w:t>$57.3 million</w:t>
      </w:r>
      <w:r>
        <w:rPr>
          <w:color w:val="222222"/>
        </w:rPr>
        <w:t xml:space="preserve"> </w:t>
      </w:r>
      <w:r>
        <w:rPr>
          <w:rFonts w:ascii="Times New Roman;sans-serif" w:hAnsi="Times New Roman;sans-serif"/>
          <w:b w:val="false"/>
          <w:color w:val="222222"/>
          <w:sz w:val="20"/>
        </w:rPr>
        <w:t>in 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Non-GAAP diluted EPS was $1.52, an increase of $0.28 compared with 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000000"/>
          <w:sz w:val="20"/>
        </w:rPr>
        <w:t xml:space="preserve">Adjusted EBITDA was $87.9 million compared with $76.5 million in </w:t>
      </w:r>
      <w:r>
        <w:rPr>
          <w:rFonts w:ascii="Times New Roman;sans-serif" w:hAnsi="Times New Roman;sans-serif"/>
          <w:b w:val="false"/>
          <w:color w:val="222222"/>
          <w:sz w:val="20"/>
        </w:rPr>
        <w:t>2024</w:t>
      </w:r>
    </w:p>
    <w:p>
      <w:pPr>
        <w:pStyle w:val="TextBody"/>
        <w:bidi w:val="0"/>
        <w:spacing w:lineRule="auto" w:line="288" w:before="0" w:after="60"/>
        <w:ind w:left="0" w:right="0" w:hanging="180"/>
        <w:jc w:val="both"/>
        <w:rPr/>
      </w:pPr>
      <w:r>
        <w:rPr>
          <w:color w:val="222222"/>
        </w:rPr>
        <w:t>•</w:t>
      </w:r>
      <w:r>
        <w:rPr>
          <w:rFonts w:ascii="Times New Roman;sans-serif" w:hAnsi="Times New Roman;sans-serif"/>
          <w:b w:val="false"/>
          <w:color w:val="222222"/>
          <w:sz w:val="20"/>
        </w:rPr>
        <w:t xml:space="preserve">Total backlog was $4.7 billion and twelve-month backlog was $1.6 billion at </w:t>
      </w:r>
      <w:r>
        <w:rPr>
          <w:rFonts w:ascii="Times New Roman;sans-serif" w:hAnsi="Times New Roman;sans-serif"/>
          <w:b w:val="false"/>
          <w:color w:val="000000"/>
          <w:sz w:val="20"/>
        </w:rPr>
        <w:t xml:space="preserve">March 31, 2025, compared with </w:t>
      </w:r>
      <w:r>
        <w:rPr>
          <w:rFonts w:ascii="Times New Roman;sans-serif" w:hAnsi="Times New Roman;sans-serif"/>
          <w:b w:val="false"/>
          <w:color w:val="222222"/>
          <w:sz w:val="20"/>
        </w:rPr>
        <w:t>$4.3 billion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22222"/>
          <w:sz w:val="20"/>
        </w:rPr>
        <w:t>$1.9 billion</w:t>
      </w:r>
      <w:r>
        <w:rPr>
          <w:color w:val="000000"/>
        </w:rPr>
        <w:t xml:space="preserve"> </w:t>
      </w:r>
      <w:r>
        <w:rPr>
          <w:rFonts w:ascii="Times New Roman;sans-serif" w:hAnsi="Times New Roman;sans-serif"/>
          <w:b w:val="false"/>
          <w:color w:val="000000"/>
          <w:sz w:val="20"/>
        </w:rPr>
        <w:t>at March 31, 2024</w:t>
      </w:r>
    </w:p>
    <w:p>
      <w:pPr>
        <w:pStyle w:val="TextBody"/>
        <w:bidi w:val="0"/>
        <w:spacing w:before="0" w:after="60"/>
        <w:jc w:val="both"/>
        <w:rPr/>
      </w:pPr>
      <w:r>
        <w:rPr/>
      </w:r>
    </w:p>
    <w:p>
      <w:pPr>
        <w:pStyle w:val="TextBody"/>
        <w:bidi w:val="0"/>
        <w:spacing w:lineRule="auto" w:line="288" w:before="0" w:after="6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before="0" w:after="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Company GAAP and Non-GAAP Highlights and Endpoints Under Management:</w:t>
      </w:r>
    </w:p>
    <w:tbl>
      <w:tblPr>
        <w:tblW w:w="9184" w:type="dxa"/>
        <w:jc w:val="left"/>
        <w:tblInd w:w="0" w:type="dxa"/>
        <w:tblLayout w:type="fixed"/>
        <w:tblCellMar>
          <w:top w:w="28" w:type="dxa"/>
          <w:left w:w="28" w:type="dxa"/>
          <w:bottom w:w="28" w:type="dxa"/>
          <w:right w:w="28" w:type="dxa"/>
        </w:tblCellMar>
      </w:tblPr>
      <w:tblGrid>
        <w:gridCol w:w="1292"/>
        <w:gridCol w:w="1137"/>
        <w:gridCol w:w="1141"/>
        <w:gridCol w:w="109"/>
        <w:gridCol w:w="109"/>
        <w:gridCol w:w="173"/>
        <w:gridCol w:w="173"/>
        <w:gridCol w:w="173"/>
        <w:gridCol w:w="173"/>
        <w:gridCol w:w="311"/>
        <w:gridCol w:w="1169"/>
        <w:gridCol w:w="406"/>
        <w:gridCol w:w="109"/>
        <w:gridCol w:w="109"/>
        <w:gridCol w:w="109"/>
        <w:gridCol w:w="196"/>
        <w:gridCol w:w="736"/>
        <w:gridCol w:w="256"/>
        <w:gridCol w:w="109"/>
        <w:gridCol w:w="109"/>
        <w:gridCol w:w="109"/>
        <w:gridCol w:w="285"/>
        <w:gridCol w:w="285"/>
        <w:gridCol w:w="406"/>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818" w:type="dxa"/>
            <w:gridSpan w:val="1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margin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607,151 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217,219 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76,213 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Non-GAAP</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136,950 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80,269 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 Margins and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 xml:space="preserve">Non-GAAP EPS </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These measures exclude certain expenses that we do not believe are indicative of our core operating results. See pages 40-43 for information about these non-GAAP measures and reconciliations to the most comparable GAAP measures.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an Endpoint Under Management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metric primarily includes Itron or third-party endpoints deployed within the electricity, water, and gas utility industries, as well as within cities and municipalities around the globe. Endpoints under management also include smart communication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endpoints under management is as follows:</w:t>
      </w:r>
    </w:p>
    <w:tbl>
      <w:tblPr>
        <w:tblW w:w="4929" w:type="dxa"/>
        <w:jc w:val="left"/>
        <w:tblInd w:w="0" w:type="dxa"/>
        <w:tblLayout w:type="fixed"/>
        <w:tblCellMar>
          <w:top w:w="28" w:type="dxa"/>
          <w:left w:w="28" w:type="dxa"/>
          <w:bottom w:w="28" w:type="dxa"/>
          <w:right w:w="28" w:type="dxa"/>
        </w:tblCellMar>
      </w:tblPr>
      <w:tblGrid>
        <w:gridCol w:w="804"/>
        <w:gridCol w:w="706"/>
        <w:gridCol w:w="710"/>
        <w:gridCol w:w="368"/>
        <w:gridCol w:w="368"/>
        <w:gridCol w:w="156"/>
        <w:gridCol w:w="148"/>
        <w:gridCol w:w="148"/>
        <w:gridCol w:w="148"/>
        <w:gridCol w:w="368"/>
        <w:gridCol w:w="368"/>
        <w:gridCol w:w="156"/>
        <w:gridCol w:w="109"/>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Units in thousands</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Endpoints under management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 and Gross Margin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revenues and gross profit were as follows:</w:t>
      </w:r>
    </w:p>
    <w:tbl>
      <w:tblPr>
        <w:tblW w:w="10205" w:type="dxa"/>
        <w:jc w:val="left"/>
        <w:tblInd w:w="0" w:type="dxa"/>
        <w:tblLayout w:type="fixed"/>
        <w:tblCellMar>
          <w:top w:w="28" w:type="dxa"/>
          <w:left w:w="28" w:type="dxa"/>
          <w:bottom w:w="28" w:type="dxa"/>
          <w:right w:w="28" w:type="dxa"/>
        </w:tblCellMar>
      </w:tblPr>
      <w:tblGrid>
        <w:gridCol w:w="194"/>
        <w:gridCol w:w="171"/>
        <w:gridCol w:w="171"/>
        <w:gridCol w:w="293"/>
        <w:gridCol w:w="293"/>
        <w:gridCol w:w="301"/>
        <w:gridCol w:w="202"/>
        <w:gridCol w:w="762"/>
        <w:gridCol w:w="112"/>
        <w:gridCol w:w="112"/>
        <w:gridCol w:w="112"/>
        <w:gridCol w:w="112"/>
        <w:gridCol w:w="202"/>
        <w:gridCol w:w="762"/>
        <w:gridCol w:w="112"/>
        <w:gridCol w:w="109"/>
        <w:gridCol w:w="109"/>
        <w:gridCol w:w="109"/>
        <w:gridCol w:w="564"/>
        <w:gridCol w:w="1789"/>
        <w:gridCol w:w="313"/>
        <w:gridCol w:w="109"/>
        <w:gridCol w:w="109"/>
        <w:gridCol w:w="109"/>
        <w:gridCol w:w="359"/>
        <w:gridCol w:w="1018"/>
        <w:gridCol w:w="199"/>
        <w:gridCol w:w="109"/>
        <w:gridCol w:w="109"/>
        <w:gridCol w:w="109"/>
        <w:gridCol w:w="228"/>
        <w:gridCol w:w="649"/>
        <w:gridCol w:w="194"/>
      </w:tblGrid>
      <w:tr>
        <w:trPr/>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7" w:type="dxa"/>
            <w:gridSpan w:val="15"/>
            <w:tcBorders/>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301" w:type="dxa"/>
            <w:gridSpan w:val="12"/>
            <w:tcBorders/>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2025 vs. Three months ended March 31, 2024</w:t>
      </w:r>
    </w:p>
    <w:p>
      <w:pPr>
        <w:pStyle w:val="TextBody"/>
        <w:bidi w:val="0"/>
        <w:spacing w:lineRule="auto" w:line="288" w:before="0" w:after="0"/>
        <w:jc w:val="both"/>
        <w:rPr/>
      </w:pPr>
      <w:r>
        <w:rPr>
          <w:rFonts w:ascii="Times New Roman;sans-serif" w:hAnsi="Times New Roman;sans-serif"/>
          <w:b w:val="false"/>
          <w:color w:val="222222"/>
          <w:sz w:val="20"/>
        </w:rPr>
        <w:t xml:space="preserve">Total revenues increased $3.7 million, or 1%, compared with the same period in </w:t>
      </w:r>
      <w:r>
        <w:rPr>
          <w:rFonts w:ascii="Times New Roman;sans-serif" w:hAnsi="Times New Roman;sans-serif"/>
          <w:b w:val="false"/>
          <w:color w:val="000000"/>
          <w:sz w:val="20"/>
        </w:rPr>
        <w:t xml:space="preserve">2024. Product revenues decreased by $4.7 million, and service revenues increased by $8.4 million. </w:t>
      </w:r>
      <w:r>
        <w:rPr>
          <w:rFonts w:ascii="Times New Roman;sans-serif" w:hAnsi="Times New Roman;sans-serif"/>
          <w:b w:val="false"/>
          <w:color w:val="222222"/>
          <w:sz w:val="20"/>
        </w:rPr>
        <w:t xml:space="preserve">Device Solutions decreased by $0.9 million; Networked Solutions decreased by </w:t>
      </w:r>
      <w:r>
        <w:rPr>
          <w:rFonts w:ascii="Times New Roman;sans-serif" w:hAnsi="Times New Roman;sans-serif"/>
          <w:b w:val="false"/>
          <w:color w:val="000000"/>
          <w:sz w:val="20"/>
        </w:rPr>
        <w:t>$4.8 million</w:t>
      </w:r>
      <w:r>
        <w:rPr>
          <w:rFonts w:ascii="Times New Roman;sans-serif" w:hAnsi="Times New Roman;sans-serif"/>
          <w:b w:val="false"/>
          <w:color w:val="222222"/>
          <w:sz w:val="20"/>
        </w:rPr>
        <w:t>; and Outcomes increased by $9.4 million when compared with the same period last year. C</w:t>
      </w:r>
      <w:r>
        <w:rPr>
          <w:rFonts w:ascii="Times New Roman;sans-serif" w:hAnsi="Times New Roman;sans-serif"/>
          <w:b w:val="false"/>
          <w:color w:val="000000"/>
          <w:sz w:val="20"/>
        </w:rPr>
        <w:t xml:space="preserve">hanges in exchange rates unfavorably impacted total revenues by </w:t>
      </w:r>
      <w:r>
        <w:rPr>
          <w:rFonts w:ascii="Times New Roman;sans-serif" w:hAnsi="Times New Roman;sans-serif"/>
          <w:b w:val="false"/>
          <w:color w:val="222222"/>
          <w:sz w:val="20"/>
        </w:rPr>
        <w:t>$5.2 million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2025 vs. Three months ended March 31, 2024</w:t>
      </w:r>
    </w:p>
    <w:p>
      <w:pPr>
        <w:pStyle w:val="TextBody"/>
        <w:bidi w:val="0"/>
        <w:spacing w:lineRule="auto" w:line="288" w:before="0" w:after="0"/>
        <w:jc w:val="both"/>
        <w:rPr/>
      </w:pPr>
      <w:r>
        <w:rPr>
          <w:rFonts w:ascii="Times New Roman;sans-serif" w:hAnsi="Times New Roman;sans-serif"/>
          <w:b w:val="false"/>
          <w:color w:val="222222"/>
          <w:sz w:val="20"/>
        </w:rPr>
        <w:t xml:space="preserve">Gross margin was 35.8%, compared with 34.0% in </w:t>
      </w:r>
      <w:r>
        <w:rPr>
          <w:rFonts w:ascii="Times New Roman;sans-serif" w:hAnsi="Times New Roman;sans-serif"/>
          <w:b w:val="false"/>
          <w:color w:val="000000"/>
          <w:sz w:val="20"/>
        </w:rPr>
        <w:t>2024</w:t>
      </w:r>
      <w:r>
        <w:rPr>
          <w:rFonts w:ascii="Times New Roman;sans-serif" w:hAnsi="Times New Roman;sans-serif"/>
          <w:b w:val="false"/>
          <w:color w:val="222222"/>
          <w:sz w:val="20"/>
        </w:rPr>
        <w:t xml:space="preserve">. Product sales gross margin increased to 33.8%, compared with 32.4% in </w:t>
      </w:r>
      <w:r>
        <w:rPr>
          <w:rFonts w:ascii="Times New Roman;sans-serif" w:hAnsi="Times New Roman;sans-serif"/>
          <w:b w:val="false"/>
          <w:color w:val="000000"/>
          <w:sz w:val="20"/>
        </w:rPr>
        <w:t>2024,</w:t>
      </w:r>
      <w:r>
        <w:rPr>
          <w:color w:val="222222"/>
        </w:rPr>
        <w:t xml:space="preserve"> </w:t>
      </w:r>
      <w:r>
        <w:rPr>
          <w:rFonts w:ascii="Times New Roman;sans-serif" w:hAnsi="Times New Roman;sans-serif"/>
          <w:b w:val="false"/>
          <w:color w:val="222222"/>
          <w:sz w:val="20"/>
        </w:rPr>
        <w:t xml:space="preserve">and gross margin on service revenues increased to 48.2%, compared with 45.3% in </w:t>
      </w:r>
      <w:r>
        <w:rPr>
          <w:rFonts w:ascii="Times New Roman;sans-serif" w:hAnsi="Times New Roman;sans-serif"/>
          <w:b w:val="false"/>
          <w:color w:val="000000"/>
          <w:sz w:val="20"/>
        </w:rPr>
        <w:t>2024</w:t>
      </w:r>
      <w:r>
        <w:rPr>
          <w:rFonts w:ascii="Times New Roman;sans-serif" w:hAnsi="Times New Roman;sans-serif"/>
          <w:b w:val="false"/>
          <w:color w:val="222222"/>
          <w:sz w:val="2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Operating Segment Results section below for further detail on total company revenues and gross margin.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operating expenses were as follows:</w:t>
      </w:r>
    </w:p>
    <w:tbl>
      <w:tblPr>
        <w:tblW w:w="10205" w:type="dxa"/>
        <w:jc w:val="left"/>
        <w:tblInd w:w="0" w:type="dxa"/>
        <w:tblLayout w:type="fixed"/>
        <w:tblCellMar>
          <w:top w:w="28" w:type="dxa"/>
          <w:left w:w="28" w:type="dxa"/>
          <w:bottom w:w="28" w:type="dxa"/>
          <w:right w:w="28" w:type="dxa"/>
        </w:tblCellMar>
      </w:tblPr>
      <w:tblGrid>
        <w:gridCol w:w="181"/>
        <w:gridCol w:w="160"/>
        <w:gridCol w:w="160"/>
        <w:gridCol w:w="510"/>
        <w:gridCol w:w="510"/>
        <w:gridCol w:w="524"/>
        <w:gridCol w:w="109"/>
        <w:gridCol w:w="109"/>
        <w:gridCol w:w="109"/>
        <w:gridCol w:w="200"/>
        <w:gridCol w:w="753"/>
        <w:gridCol w:w="111"/>
        <w:gridCol w:w="111"/>
        <w:gridCol w:w="111"/>
        <w:gridCol w:w="111"/>
        <w:gridCol w:w="200"/>
        <w:gridCol w:w="753"/>
        <w:gridCol w:w="111"/>
        <w:gridCol w:w="109"/>
        <w:gridCol w:w="109"/>
        <w:gridCol w:w="109"/>
        <w:gridCol w:w="536"/>
        <w:gridCol w:w="1194"/>
        <w:gridCol w:w="301"/>
        <w:gridCol w:w="109"/>
        <w:gridCol w:w="109"/>
        <w:gridCol w:w="109"/>
        <w:gridCol w:w="288"/>
        <w:gridCol w:w="889"/>
        <w:gridCol w:w="160"/>
        <w:gridCol w:w="109"/>
        <w:gridCol w:w="109"/>
        <w:gridCol w:w="109"/>
        <w:gridCol w:w="210"/>
        <w:gridCol w:w="638"/>
        <w:gridCol w:w="175"/>
      </w:tblGrid>
      <w:tr>
        <w:trPr/>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50" w:type="dxa"/>
            <w:gridSpan w:val="6"/>
            <w:tcBorders/>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5" w:type="dxa"/>
            <w:gridSpan w:val="15"/>
            <w:tcBorders/>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014" w:type="dxa"/>
            <w:gridSpan w:val="12"/>
            <w:tcBorders/>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tcPr>
          <w:p>
            <w:pPr>
              <w:pStyle w:val="TableContents"/>
              <w:bidi w:val="0"/>
              <w:spacing w:before="0" w:after="283"/>
              <w:jc w:val="left"/>
              <w:rPr>
                <w:sz w:val="4"/>
                <w:szCs w:val="4"/>
              </w:rPr>
            </w:pPr>
            <w:r>
              <w:rPr>
                <w:sz w:val="4"/>
                <w:szCs w:val="4"/>
              </w:rPr>
            </w:r>
          </w:p>
        </w:tc>
      </w:tr>
      <w:tr>
        <w:trPr/>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142,579 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$1.6 million for the three months ended March 31, 2025 as compared with the same period in 2024. This was primarily the result of a $2.3 million decrease in research and development expenses driven by reduced labor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other income (expense):</w:t>
      </w:r>
    </w:p>
    <w:tbl>
      <w:tblPr>
        <w:tblW w:w="8022" w:type="dxa"/>
        <w:jc w:val="left"/>
        <w:tblInd w:w="0" w:type="dxa"/>
        <w:tblLayout w:type="fixed"/>
        <w:tblCellMar>
          <w:top w:w="28" w:type="dxa"/>
          <w:left w:w="28" w:type="dxa"/>
          <w:bottom w:w="28" w:type="dxa"/>
          <w:right w:w="28" w:type="dxa"/>
        </w:tblCellMar>
      </w:tblPr>
      <w:tblGrid>
        <w:gridCol w:w="902"/>
        <w:gridCol w:w="790"/>
        <w:gridCol w:w="797"/>
        <w:gridCol w:w="109"/>
        <w:gridCol w:w="109"/>
        <w:gridCol w:w="109"/>
        <w:gridCol w:w="109"/>
        <w:gridCol w:w="240"/>
        <w:gridCol w:w="466"/>
        <w:gridCol w:w="432"/>
        <w:gridCol w:w="1426"/>
        <w:gridCol w:w="240"/>
        <w:gridCol w:w="155"/>
        <w:gridCol w:w="155"/>
        <w:gridCol w:w="156"/>
        <w:gridCol w:w="211"/>
        <w:gridCol w:w="601"/>
        <w:gridCol w:w="119"/>
        <w:gridCol w:w="109"/>
        <w:gridCol w:w="109"/>
        <w:gridCol w:w="109"/>
        <w:gridCol w:w="166"/>
        <w:gridCol w:w="166"/>
        <w:gridCol w:w="237"/>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896"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204%</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prepaid debt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279%</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151%</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for the three months ended March 31, 2025 was income of $6.1 million, compared with income of $2.4 million in the same period in 2024. The increase in net other income for the three months ended March 31, 2025, as compared with the same period in 2024, was driven by the $7.9 million increase in interest income primarily due to interest earned from the cash proceeds of the 2024 Notes. This increase was offset by an increase in other interest expense driven by a $2.8 million interest accrual for the 2024 Notes recognized during the period. Refer to Item 1: Financial Statements (Unaudited), Note 6: Debt and Note 13: Shareholders' Equity included in this Quarterly Report on Form 10-Q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our income tax expense was $16.9 million, compared with income tax expense of $13.4 million for the same period in 2024. Our tax rate for the three months ended March 31, 2025 of 21% was in line with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 While our tax rate for the three months ended March 31, 2024 of 21% was in line with the federal statutory rate of 21%, it was overall impacted by the effect of valuation allowances on deferred tax assets, the forecasted mix of earnings in domestic and international jurisdictions, U.S. taxation of foreign earnings including GILTI (Global Intangible Low Taxed Income), net of Section 250 deduction, Subpart F income, a benefit related to stock-based compensation, tax credits, state taxes, and uncertain tax positions.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Consistent with calculations for calendar year 2024, the Company anticipates it will meet the safe harbors in most jurisdictions in 2025, and any remaining top-up tax should be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discussion related to income taxes, see Item 1: Financial Statements (Unaudited), Note 10: Income Taxes included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Segment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W w:w="10205" w:type="dxa"/>
        <w:jc w:val="left"/>
        <w:tblInd w:w="0" w:type="dxa"/>
        <w:tblLayout w:type="fixed"/>
        <w:tblCellMar>
          <w:top w:w="28" w:type="dxa"/>
          <w:left w:w="28" w:type="dxa"/>
          <w:bottom w:w="28" w:type="dxa"/>
          <w:right w:w="28" w:type="dxa"/>
        </w:tblCellMar>
      </w:tblPr>
      <w:tblGrid>
        <w:gridCol w:w="1258"/>
        <w:gridCol w:w="1099"/>
        <w:gridCol w:w="1106"/>
        <w:gridCol w:w="109"/>
        <w:gridCol w:w="109"/>
        <w:gridCol w:w="123"/>
        <w:gridCol w:w="123"/>
        <w:gridCol w:w="155"/>
        <w:gridCol w:w="155"/>
        <w:gridCol w:w="177"/>
        <w:gridCol w:w="172"/>
        <w:gridCol w:w="310"/>
        <w:gridCol w:w="1168"/>
        <w:gridCol w:w="172"/>
        <w:gridCol w:w="109"/>
        <w:gridCol w:w="109"/>
        <w:gridCol w:w="109"/>
        <w:gridCol w:w="196"/>
        <w:gridCol w:w="736"/>
        <w:gridCol w:w="109"/>
        <w:gridCol w:w="109"/>
        <w:gridCol w:w="109"/>
        <w:gridCol w:w="109"/>
        <w:gridCol w:w="196"/>
        <w:gridCol w:w="736"/>
        <w:gridCol w:w="109"/>
        <w:gridCol w:w="109"/>
        <w:gridCol w:w="109"/>
        <w:gridCol w:w="109"/>
        <w:gridCol w:w="263"/>
        <w:gridCol w:w="263"/>
        <w:gridCol w:w="380"/>
      </w:tblGrid>
      <w:tr>
        <w:trPr/>
        <w:tc>
          <w:tcPr>
            <w:tcW w:w="125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607,151 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969" w:type="dxa"/>
            <w:gridSpan w:val="18"/>
            <w:tcBorders/>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601" w:type="dxa"/>
            <w:gridSpan w:val="12"/>
            <w:tcBorders/>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Margin</w:t>
            </w:r>
          </w:p>
        </w:tc>
      </w:tr>
      <w:tr>
        <w:trPr/>
        <w:tc>
          <w:tcPr>
            <w:tcW w:w="3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gross profit and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37.1%</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35.1%</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 and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34.0%</w:t>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969" w:type="dxa"/>
            <w:gridSpan w:val="18"/>
            <w:tcBorders/>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7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601" w:type="dxa"/>
            <w:gridSpan w:val="12"/>
            <w:tcBorders/>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Operating</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Operating</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Margin</w:t>
            </w:r>
          </w:p>
        </w:tc>
      </w:tr>
      <w:tr>
        <w:trPr/>
        <w:tc>
          <w:tcPr>
            <w:tcW w:w="3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Segment operating income and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17.1%</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28.6%</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and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76,213 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Device Solutions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Device Solutions segment financial results were as follows:</w:t>
      </w:r>
    </w:p>
    <w:tbl>
      <w:tblPr>
        <w:tblW w:w="10205" w:type="dxa"/>
        <w:jc w:val="left"/>
        <w:tblInd w:w="0" w:type="dxa"/>
        <w:tblLayout w:type="fixed"/>
        <w:tblCellMar>
          <w:top w:w="28" w:type="dxa"/>
          <w:left w:w="28" w:type="dxa"/>
          <w:bottom w:w="28" w:type="dxa"/>
          <w:right w:w="28" w:type="dxa"/>
        </w:tblCellMar>
      </w:tblPr>
      <w:tblGrid>
        <w:gridCol w:w="255"/>
        <w:gridCol w:w="224"/>
        <w:gridCol w:w="224"/>
        <w:gridCol w:w="404"/>
        <w:gridCol w:w="404"/>
        <w:gridCol w:w="314"/>
        <w:gridCol w:w="201"/>
        <w:gridCol w:w="759"/>
        <w:gridCol w:w="112"/>
        <w:gridCol w:w="112"/>
        <w:gridCol w:w="112"/>
        <w:gridCol w:w="112"/>
        <w:gridCol w:w="201"/>
        <w:gridCol w:w="759"/>
        <w:gridCol w:w="112"/>
        <w:gridCol w:w="109"/>
        <w:gridCol w:w="109"/>
        <w:gridCol w:w="109"/>
        <w:gridCol w:w="519"/>
        <w:gridCol w:w="1640"/>
        <w:gridCol w:w="288"/>
        <w:gridCol w:w="109"/>
        <w:gridCol w:w="109"/>
        <w:gridCol w:w="109"/>
        <w:gridCol w:w="339"/>
        <w:gridCol w:w="962"/>
        <w:gridCol w:w="188"/>
        <w:gridCol w:w="109"/>
        <w:gridCol w:w="109"/>
        <w:gridCol w:w="109"/>
        <w:gridCol w:w="233"/>
        <w:gridCol w:w="557"/>
        <w:gridCol w:w="193"/>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1310" w:type="dxa"/>
            <w:gridSpan w:val="6"/>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3" w:type="dxa"/>
            <w:gridSpan w:val="15"/>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126" w:type="dxa"/>
            <w:gridSpan w:val="12"/>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Device Solutions Segment</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decreased $0.9 million, or 1%. The decrease was primarily from changes in foreign currency exchange rates, which unfavorably impacted revenues by $3.2 million. Revenues were impacted by increased smart water product sales, and partially offset by lower electric meter sales.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gross margin was 30.0%, compared with 23.7% for the same period in 2024. The 630 basis point increase over the prior year was primarily due to an improved product mix and manufacturing efficiencies.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$1.1 million, or 13%, for the first three months of 2025, compared with the same period in 2024. The decrease was primarily due to lower product development and marketing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Networked Solutions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Networked Solutions segment financial results were as follows:</w:t>
      </w:r>
    </w:p>
    <w:tbl>
      <w:tblPr>
        <w:tblW w:w="10205" w:type="dxa"/>
        <w:jc w:val="left"/>
        <w:tblInd w:w="0" w:type="dxa"/>
        <w:tblLayout w:type="fixed"/>
        <w:tblCellMar>
          <w:top w:w="28" w:type="dxa"/>
          <w:left w:w="28" w:type="dxa"/>
          <w:bottom w:w="28" w:type="dxa"/>
          <w:right w:w="28" w:type="dxa"/>
        </w:tblCellMar>
      </w:tblPr>
      <w:tblGrid>
        <w:gridCol w:w="294"/>
        <w:gridCol w:w="255"/>
        <w:gridCol w:w="241"/>
        <w:gridCol w:w="429"/>
        <w:gridCol w:w="376"/>
        <w:gridCol w:w="297"/>
        <w:gridCol w:w="201"/>
        <w:gridCol w:w="758"/>
        <w:gridCol w:w="111"/>
        <w:gridCol w:w="111"/>
        <w:gridCol w:w="111"/>
        <w:gridCol w:w="111"/>
        <w:gridCol w:w="201"/>
        <w:gridCol w:w="758"/>
        <w:gridCol w:w="111"/>
        <w:gridCol w:w="109"/>
        <w:gridCol w:w="109"/>
        <w:gridCol w:w="109"/>
        <w:gridCol w:w="499"/>
        <w:gridCol w:w="1574"/>
        <w:gridCol w:w="277"/>
        <w:gridCol w:w="109"/>
        <w:gridCol w:w="109"/>
        <w:gridCol w:w="109"/>
        <w:gridCol w:w="312"/>
        <w:gridCol w:w="972"/>
        <w:gridCol w:w="173"/>
        <w:gridCol w:w="109"/>
        <w:gridCol w:w="109"/>
        <w:gridCol w:w="109"/>
        <w:gridCol w:w="214"/>
        <w:gridCol w:w="656"/>
        <w:gridCol w:w="182"/>
      </w:tblGrid>
      <w:tr>
        <w:trPr/>
        <w:tc>
          <w:tcPr>
            <w:tcW w:w="2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3" w:type="dxa"/>
            <w:gridSpan w:val="15"/>
            <w:tcBorders/>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163" w:type="dxa"/>
            <w:gridSpan w:val="12"/>
            <w:tcBorders/>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Networked Solutions Segment</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2025 vs. Three months ended March 31, 2024</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decreased $4.8 million, or 1%, for the first three months of 2025, compared with the same period in 2024. The decrease was primarily due to an unusually large first quarter 2024 level, which included a significant amount of catch-up from previously constrained revenue.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was 36.9% for the 2025 period, compared with 37.1% in 2024. The 20 basis point decrease was primarily related to unfavorable product mix.</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$1.7 million, or 5%, for the first three months of 2025, compared with the same period in 2024. The decrease was primarily related to lower product development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Outcomes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Outcomes segment financial results were as follows:</w:t>
      </w:r>
    </w:p>
    <w:tbl>
      <w:tblPr>
        <w:tblW w:w="10205" w:type="dxa"/>
        <w:jc w:val="left"/>
        <w:tblInd w:w="0" w:type="dxa"/>
        <w:tblLayout w:type="fixed"/>
        <w:tblCellMar>
          <w:top w:w="28" w:type="dxa"/>
          <w:left w:w="28" w:type="dxa"/>
          <w:bottom w:w="28" w:type="dxa"/>
          <w:right w:w="28" w:type="dxa"/>
        </w:tblCellMar>
      </w:tblPr>
      <w:tblGrid>
        <w:gridCol w:w="217"/>
        <w:gridCol w:w="190"/>
        <w:gridCol w:w="190"/>
        <w:gridCol w:w="381"/>
        <w:gridCol w:w="373"/>
        <w:gridCol w:w="383"/>
        <w:gridCol w:w="210"/>
        <w:gridCol w:w="694"/>
        <w:gridCol w:w="117"/>
        <w:gridCol w:w="117"/>
        <w:gridCol w:w="117"/>
        <w:gridCol w:w="117"/>
        <w:gridCol w:w="210"/>
        <w:gridCol w:w="694"/>
        <w:gridCol w:w="117"/>
        <w:gridCol w:w="109"/>
        <w:gridCol w:w="109"/>
        <w:gridCol w:w="109"/>
        <w:gridCol w:w="665"/>
        <w:gridCol w:w="1481"/>
        <w:gridCol w:w="373"/>
        <w:gridCol w:w="109"/>
        <w:gridCol w:w="109"/>
        <w:gridCol w:w="109"/>
        <w:gridCol w:w="346"/>
        <w:gridCol w:w="983"/>
        <w:gridCol w:w="192"/>
        <w:gridCol w:w="109"/>
        <w:gridCol w:w="109"/>
        <w:gridCol w:w="109"/>
        <w:gridCol w:w="226"/>
        <w:gridCol w:w="642"/>
        <w:gridCol w:w="189"/>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1384" w:type="dxa"/>
            <w:gridSpan w:val="6"/>
            <w:tcBorders/>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1" w:type="dxa"/>
            <w:gridSpan w:val="15"/>
            <w:tcBorders/>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32" w:type="dxa"/>
            <w:gridSpan w:val="12"/>
            <w:tcBorders/>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Outcomes Segment</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2025 vs. Three months ended March 31, 2024</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$9.4 million, or 14%, for the first three months of 2025, compared with 2024. This increase was driven by managed services and maintenance, as well as software licenses. Changes in foreign currency exchange rates unfavorably impacted revenues by $0.4 million.</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increased to 39.2% for the period ending in 2025, compared with 35.1% for last year. The 410 basis point increase was driven by software license and services mix.</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first three months of 2025 increased $1.2 million, or 8%, compared with the same period last year. This was primarily related to increased product development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Corporate Unallocated</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Unallocated Expenses - Three months ended March 31, 2025 vs. Three months ended March 31,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three months of 2025, Corporate unallocated expenses were substantially flat compared with the 2024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Bookings and Backlog of Orders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tbl>
      <w:tblPr>
        <w:tblW w:w="4830" w:type="dxa"/>
        <w:jc w:val="left"/>
        <w:tblInd w:w="0" w:type="dxa"/>
        <w:tblLayout w:type="fixed"/>
        <w:tblCellMar>
          <w:top w:w="28" w:type="dxa"/>
          <w:left w:w="28" w:type="dxa"/>
          <w:bottom w:w="28" w:type="dxa"/>
          <w:right w:w="28" w:type="dxa"/>
        </w:tblCellMar>
      </w:tblPr>
      <w:tblGrid>
        <w:gridCol w:w="559"/>
        <w:gridCol w:w="491"/>
        <w:gridCol w:w="494"/>
        <w:gridCol w:w="231"/>
        <w:gridCol w:w="496"/>
        <w:gridCol w:w="129"/>
        <w:gridCol w:w="109"/>
        <w:gridCol w:w="109"/>
        <w:gridCol w:w="109"/>
        <w:gridCol w:w="196"/>
        <w:gridCol w:w="556"/>
        <w:gridCol w:w="109"/>
        <w:gridCol w:w="109"/>
        <w:gridCol w:w="109"/>
        <w:gridCol w:w="109"/>
        <w:gridCol w:w="198"/>
        <w:gridCol w:w="562"/>
        <w:gridCol w:w="155"/>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w:t>
              <w:br/>
              <w:t>Bookings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w:t>
              <w:br/>
              <w:t>Total</w:t>
              <w:br/>
              <w:t xml:space="preserve">Backlog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w:t>
              <w:br/>
              <w:t>12-Month</w:t>
              <w:br/>
              <w:t xml:space="preserve">Backlog </w:t>
            </w:r>
          </w:p>
        </w:tc>
      </w:tr>
      <w:tr>
        <w:trPr/>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86"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2024</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 Information</w:t>
      </w:r>
    </w:p>
    <w:tbl>
      <w:tblPr>
        <w:tblW w:w="7614" w:type="dxa"/>
        <w:jc w:val="left"/>
        <w:tblInd w:w="0" w:type="dxa"/>
        <w:tblLayout w:type="fixed"/>
        <w:tblCellMar>
          <w:top w:w="28" w:type="dxa"/>
          <w:left w:w="28" w:type="dxa"/>
          <w:bottom w:w="28" w:type="dxa"/>
          <w:right w:w="28" w:type="dxa"/>
        </w:tblCellMar>
      </w:tblPr>
      <w:tblGrid>
        <w:gridCol w:w="1810"/>
        <w:gridCol w:w="1585"/>
        <w:gridCol w:w="1600"/>
        <w:gridCol w:w="226"/>
        <w:gridCol w:w="745"/>
        <w:gridCol w:w="125"/>
        <w:gridCol w:w="125"/>
        <w:gridCol w:w="125"/>
        <w:gridCol w:w="125"/>
        <w:gridCol w:w="226"/>
        <w:gridCol w:w="745"/>
        <w:gridCol w:w="177"/>
      </w:tblGrid>
      <w:tr>
        <w:trPr/>
        <w:tc>
          <w:tcPr>
            <w:tcW w:w="181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$1.12 billion at March 31, 2025, compared with $1.05 billion at December 31, 2024. The $72.0 million increase in cash and cash equivalents during the 2025 period was primarily net cash provided by operations as a result of higher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three months in 2025 was $72.1 million compared with $41.3 million during the same period in 2024. The increase was primarily due to increased earnings and working capital conversion, partially offset by increased income tax payments in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net cash used in investing activities was $4.6 million compared with $41.1 million in 2024, resulting in a change of $36.5 million. The movement was primarily related to net cash used for the acquisition of Elpis Squared for $34.1 million in 2024 along with $2.5 million in reduced purchases of property, plant, and equipment in 2025 compared with the same period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in 2025 was $1.8 million, compared with net cash provided of $1.1 million for the same period in 2024. The change is due primarily to increased proceeds from the issuance of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 on cash and cash equivalents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exchange rates on the cash balances of currencies held in foreign denominations at March 31, 2025 was an increase of $2.8 million, compared with a decrease of $2.7 million for the same period in 2024. Our foreign currency exposure relates to non-U.S. dollar denominated balances in our international subsidiary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Free cash flow (Non-GAAP)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tbl>
      <w:tblPr>
        <w:tblW w:w="6038" w:type="dxa"/>
        <w:jc w:val="left"/>
        <w:tblInd w:w="0" w:type="dxa"/>
        <w:tblLayout w:type="fixed"/>
        <w:tblCellMar>
          <w:top w:w="28" w:type="dxa"/>
          <w:left w:w="28" w:type="dxa"/>
          <w:bottom w:w="28" w:type="dxa"/>
          <w:right w:w="28" w:type="dxa"/>
        </w:tblCellMar>
      </w:tblPr>
      <w:tblGrid>
        <w:gridCol w:w="1239"/>
        <w:gridCol w:w="1085"/>
        <w:gridCol w:w="1095"/>
        <w:gridCol w:w="226"/>
        <w:gridCol w:w="745"/>
        <w:gridCol w:w="125"/>
        <w:gridCol w:w="125"/>
        <w:gridCol w:w="125"/>
        <w:gridCol w:w="125"/>
        <w:gridCol w:w="226"/>
        <w:gridCol w:w="745"/>
        <w:gridCol w:w="177"/>
      </w:tblGrid>
      <w:tr>
        <w:trPr/>
        <w:tc>
          <w:tcPr>
            <w:tcW w:w="123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9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increased due to higher operating cash flow and reduced spending on property, plant, and equipment. See the cash flow discussion of operating and investing activities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financing agreements or guarantees as defined by Item 303 of Regulation S-K at March 31, 2025 and December 31, 2024 that we believe could reasonably likely have a current or future effect on our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Borrowings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originally entered into our credit facility on January 5, 2018 (together with the subsequent eight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As of March 31, 2025, no amount was outstanding under the 2018 credit facility, and $45.8 million was utilized by outstanding standby letters of credit, resulting in $454.2 million available for borrowing. As of March 31, 2025, $254.2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 accrued and unpaid interest must be repaid. However, that date may be advanced to December 14, 2025 if Itron does not settle or extend a sufficient portion of the outstanding 2021 convertible notes, as detailed in the seventh amendment.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we closed the sale of $460 million in convertible notes (the 2021 Notes) in a private placement to qualified institutional buyers. These convertible notes do not bear regular interest, and the principal amount does not accrete. The convertible notes will mature on March 15, 2026, unless earlier repurchased, redeemed, or converted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notes will mature on July 15, 2030, unless earlier repurchased, redeemed, or converted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description of our borrowings, refer to Item 1: Financial Statements (Unaudited), Note 6: Debt included in this Quarterly Report on Form 10-Q.</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letters of credit and performance bonds, and the amounts available for additional borrowings or letters of credit under our lines of credit, including the revolver that is part of our 2018 credit facility, refer to Item 1: Financial Statements (Unaudited), Note 11: Commitments and Contingencies included in this Quarterly Report on Form 10-Q.</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substantially complete as of March 31, 2025. For the three months ended March 31, 2025, we paid out $9.2 million related to all our restructuring projects. As of March 31, 2025, $33.0 million was accrued for all restructuring projects, of which $19.3 million is expected to be paid within the next 12 months and the remainder through 2027.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regarding our restructuring activities, refer to Item 1: Financial Statements (Unaudited), Note 12: Restructuring included in this Quarterly Report on Form 10-Q.</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have repurchased no shares under the 2024 Stock Repurchase Program.</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Liquidity Considerations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$60 million in U.S federal taxes, $12 million in state taxes, and $16 million in local and foreign taxes during 2025. For a discussion of our tax provision and unrecognized tax benefits, see Item 1: Financial Statements (Unaudited), Note 10: Income Taxes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$44.9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2025, $3.5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Liquidity Overview</w:t>
      </w:r>
    </w:p>
    <w:p>
      <w:pPr>
        <w:pStyle w:val="TextBody"/>
        <w:bidi w:val="0"/>
        <w:spacing w:lineRule="auto" w:line="288" w:before="0" w:after="0"/>
        <w:jc w:val="both"/>
        <w:rPr/>
      </w:pPr>
      <w:r>
        <w:rPr>
          <w:rFonts w:ascii="Times New Roman;sans-serif" w:hAnsi="Times New Roman;sans-serif"/>
          <w:b w:val="false"/>
          <w:color w:val="000000"/>
          <w:sz w:val="20"/>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sans-serif" w:hAnsi="Times New Roman;sans-serif"/>
          <w:b w:val="false"/>
          <w:color w:val="222222"/>
          <w:sz w:val="20"/>
        </w:rPr>
        <w:t xml:space="preserve">our dependence on certain key vendors and components, </w:t>
      </w:r>
      <w:r>
        <w:rPr>
          <w:rFonts w:ascii="Times New Roman;sans-serif" w:hAnsi="Times New Roman;sans-serif"/>
          <w:b w:val="false"/>
          <w:color w:val="000000"/>
          <w:sz w:val="20"/>
        </w:rPr>
        <w:t>changes in estimated liabilities for product warranties and/or litigation, supply constraints, future business combinations, capital market fluctuations, international risks, and other factors described under Part I, Item 1A: Risk Factors of our 2024 Annual Report, as well as Part I, Item 3: Quantitative and Qualitative Disclosures About Market Risk included in this Quarterly Report on Form 10-Q.</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11: Commitments and Contingencies included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2024 Annual Report and have not changed materially.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 Summary of Significant Accounting Policies included in this Quarterly Report on Form 10-Q for further disclosures regarding new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Non-GAAP operating expenses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operating income</w:t>
      </w:r>
      <w:r>
        <w:rPr>
          <w:color w:val="000000"/>
        </w:rPr>
        <w:t xml:space="preserve"> – </w:t>
      </w:r>
      <w:r>
        <w:rPr>
          <w:rFonts w:ascii="Times New Roman;sans-serif" w:hAnsi="Times New Roman;sans-serif"/>
          <w:b w:val="false"/>
          <w:color w:val="000000"/>
          <w:sz w:val="20"/>
        </w:rPr>
        <w:t>We define non-GAAP operating expenses as operating expenses excluding certain expenses related to the amortization of intangible assets, restructuring, loss on sale of business, and acquisition and integration related expenses. We define non-GAAP operating income as operating income excluding the expenses related to the amortization of intangible assets, restructuring,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Non-GAAP net income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diluted EPS</w:t>
      </w:r>
      <w:r>
        <w:rPr>
          <w:color w:val="000000"/>
        </w:rPr>
        <w:t xml:space="preserve"> – </w:t>
      </w:r>
      <w:r>
        <w:rPr>
          <w:rFonts w:ascii="Times New Roman;sans-serif" w:hAnsi="Times New Roman;sans-serif"/>
          <w:b w:val="false"/>
          <w:color w:val="000000"/>
          <w:sz w:val="20"/>
        </w:rPr>
        <w:t>We define non-GAAP net income as net income attributable to Itron, Inc. excluding the expenses associated with amortization of intangible assets, amortization of debt placement fees, restructuring,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Adjusted EBITDA</w:t>
      </w:r>
      <w:r>
        <w:rPr>
          <w:color w:val="000000"/>
        </w:rPr>
        <w:t xml:space="preserve"> – </w:t>
      </w:r>
      <w:r>
        <w:rPr>
          <w:rFonts w:ascii="Times New Roman;sans-serif" w:hAnsi="Times New Roman;sans-serif"/>
          <w:b w:val="false"/>
          <w:color w:val="000000"/>
          <w:sz w:val="20"/>
        </w:rPr>
        <w:t>We define adjusted EBITDA as net income (a) minus interest income, (b) plus interest expense, depreciation and amortization, restructuring,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Free cash flow</w:t>
      </w:r>
      <w:r>
        <w:rPr>
          <w:color w:val="000000"/>
        </w:rPr>
        <w:t xml:space="preserve"> – </w:t>
      </w:r>
      <w:r>
        <w:rPr>
          <w:rFonts w:ascii="Times New Roman;sans-serif" w:hAnsi="Times New Roman;sans-serif"/>
          <w:b w:val="false"/>
          <w:color w:val="000000"/>
          <w:sz w:val="20"/>
        </w:rPr>
        <w:t>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Constant currency</w:t>
      </w:r>
      <w:r>
        <w:rPr>
          <w:color w:val="000000"/>
        </w:rPr>
        <w:t xml:space="preserve"> – </w:t>
      </w:r>
      <w:r>
        <w:rPr>
          <w:rFonts w:ascii="Times New Roman;sans-serif" w:hAnsi="Times New Roman;sans-serif"/>
          <w:b w:val="false"/>
          <w:color w:val="000000"/>
          <w:sz w:val="20"/>
        </w:rPr>
        <w:t>We refer to the impact of foreign currency exchange rate fluctuations in our discussions of financial results, 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Reconciliations of Non-GAAP Financial Measures to the Most Directly Comparable GAAP Financial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the non-GAAP financial measures of operating expenses, operating income, net income, diluted EPS, adjusted EBITDA, and free cash flow with the most directly comparable GAAP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6"/>
        <w:gridCol w:w="268"/>
        <w:gridCol w:w="268"/>
        <w:gridCol w:w="321"/>
        <w:gridCol w:w="321"/>
        <w:gridCol w:w="321"/>
        <w:gridCol w:w="363"/>
        <w:gridCol w:w="363"/>
        <w:gridCol w:w="363"/>
        <w:gridCol w:w="1088"/>
        <w:gridCol w:w="1083"/>
        <w:gridCol w:w="1139"/>
        <w:gridCol w:w="109"/>
        <w:gridCol w:w="109"/>
        <w:gridCol w:w="204"/>
        <w:gridCol w:w="204"/>
        <w:gridCol w:w="367"/>
        <w:gridCol w:w="1382"/>
        <w:gridCol w:w="204"/>
        <w:gridCol w:w="109"/>
        <w:gridCol w:w="109"/>
        <w:gridCol w:w="109"/>
        <w:gridCol w:w="196"/>
        <w:gridCol w:w="736"/>
        <w:gridCol w:w="163"/>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COMPANY RECONCILIATIONS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22" w:type="dxa"/>
            <w:gridSpan w:val="6"/>
            <w:tcBorders/>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136,950 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80,269 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67,325 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NET INCOME &amp;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placement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effect of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46,172 </w:t>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46,357 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1422" w:type="dxa"/>
            <w:gridSpan w:val="6"/>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4001" w:type="dxa"/>
            <w:gridSpan w:val="13"/>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1422" w:type="dxa"/>
            <w:gridSpan w:val="6"/>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1422" w:type="dxa"/>
            <w:gridSpan w:val="6"/>
            <w:tcBorders/>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4"/>
        <w:gridCol w:w="274"/>
        <w:gridCol w:w="276"/>
        <w:gridCol w:w="276"/>
        <w:gridCol w:w="276"/>
        <w:gridCol w:w="480"/>
        <w:gridCol w:w="480"/>
        <w:gridCol w:w="480"/>
        <w:gridCol w:w="1049"/>
        <w:gridCol w:w="1017"/>
        <w:gridCol w:w="1055"/>
        <w:gridCol w:w="109"/>
        <w:gridCol w:w="109"/>
        <w:gridCol w:w="224"/>
        <w:gridCol w:w="224"/>
        <w:gridCol w:w="403"/>
        <w:gridCol w:w="1332"/>
        <w:gridCol w:w="224"/>
        <w:gridCol w:w="109"/>
        <w:gridCol w:w="109"/>
        <w:gridCol w:w="109"/>
        <w:gridCol w:w="196"/>
        <w:gridCol w:w="646"/>
        <w:gridCol w:w="161"/>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COMPANY RECONCILIATIONS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30" w:type="dxa"/>
            <w:gridSpan w:val="6"/>
            <w:tcBorders/>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attributable to Itron,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be exposed to interest rate risk through variable rate debt instruments, namely the multicurrency revolving line of credit. At March 31, 2025, we had no outstanding variable rate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monitor and assess our interest rate risk and may institute additional interest rate swaps or other derivative instruments to manage such risk in the future if we were to have variable rate debt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 number of countries. Revenues denominated in functional currencies other than the U.S. dollar were 25% of total revenues for the three months ended March 31, 2025 and 2024.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2025, a total of 32 contracts were offsetting our exposures from the euro, pound sterling, Indonesian rupiah, Canadian dollar, Australian dollar, and various other currencies, with notional amounts ranging from $112,486 to $23.5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future periods, we may use additional derivative contracts to protect against foreign currency exchange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2025,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March 31, 2025 that materially affected, or are reasonably likely to materially affect,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11: Commitments and Contingencies included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complete list of Risk Factors, refer to Part I, Item 1A: Risk Factors of our Annual Report on Form 10-K for the fiscal year ended December 31, 2024, which was filed with the Securities and Exchange Commission on February 25,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00" w:after="1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Not applicable.</w:t>
      </w:r>
    </w:p>
    <w:p>
      <w:pPr>
        <w:pStyle w:val="TextBody"/>
        <w:bidi w:val="0"/>
        <w:spacing w:lineRule="auto" w:line="288" w:before="0" w:after="1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 applicable.</w:t>
      </w:r>
    </w:p>
    <w:p>
      <w:pPr>
        <w:pStyle w:val="TextBody"/>
        <w:bidi w:val="0"/>
        <w:spacing w:lineRule="auto" w:line="288" w:before="0" w:after="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Issuer Repurchase of Equity Securities.</w:t>
      </w:r>
    </w:p>
    <w:tbl>
      <w:tblPr>
        <w:tblW w:w="10205" w:type="dxa"/>
        <w:jc w:val="left"/>
        <w:tblInd w:w="0" w:type="dxa"/>
        <w:tblLayout w:type="fixed"/>
        <w:tblCellMar>
          <w:top w:w="28" w:type="dxa"/>
          <w:left w:w="28" w:type="dxa"/>
          <w:bottom w:w="28" w:type="dxa"/>
          <w:right w:w="28" w:type="dxa"/>
        </w:tblCellMar>
      </w:tblPr>
      <w:tblGrid>
        <w:gridCol w:w="572"/>
        <w:gridCol w:w="446"/>
        <w:gridCol w:w="451"/>
        <w:gridCol w:w="391"/>
        <w:gridCol w:w="391"/>
        <w:gridCol w:w="393"/>
        <w:gridCol w:w="109"/>
        <w:gridCol w:w="109"/>
        <w:gridCol w:w="109"/>
        <w:gridCol w:w="338"/>
        <w:gridCol w:w="703"/>
        <w:gridCol w:w="190"/>
        <w:gridCol w:w="109"/>
        <w:gridCol w:w="109"/>
        <w:gridCol w:w="109"/>
        <w:gridCol w:w="856"/>
        <w:gridCol w:w="856"/>
        <w:gridCol w:w="859"/>
        <w:gridCol w:w="109"/>
        <w:gridCol w:w="109"/>
        <w:gridCol w:w="109"/>
        <w:gridCol w:w="499"/>
        <w:gridCol w:w="1878"/>
        <w:gridCol w:w="401"/>
      </w:tblGrid>
      <w:tr>
        <w:trPr/>
        <w:tc>
          <w:tcPr>
            <w:tcW w:w="5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11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w:t>
            </w:r>
          </w:p>
          <w:p>
            <w:pPr>
              <w:pStyle w:val="TableContents"/>
              <w:bidi w:val="0"/>
              <w:spacing w:lineRule="auto" w:line="240" w:before="0" w:after="0"/>
              <w:jc w:val="center"/>
              <w:rPr/>
            </w:pPr>
            <w:r>
              <w:rPr>
                <w:rFonts w:ascii="Times New Roman;sans-serif" w:hAnsi="Times New Roman;sans-serif"/>
                <w:b/>
                <w:color w:val="000000"/>
                <w:sz w:val="18"/>
              </w:rPr>
              <w:t xml:space="preserve">Shares Purchased </w:t>
            </w:r>
            <w:r>
              <w:rPr>
                <w:rFonts w:ascii="Times New Roman;sans-serif" w:hAnsi="Times New Roman;sans-serif"/>
                <w:b/>
                <w:color w:val="000000"/>
                <w:sz w:val="12"/>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Average Price Paid per Share </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Dollar Value of Shares that May Yet Be Purchased Under the Plans or Programs</w:t>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2025 through January 31, 2025</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2025 through February 28, 2025</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2025 through March 31, 2025</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Effective September 19, 2024, Itron's Board of Directors authorized a repurchase program of up to $100 million of Itron's common stock over an 18-month period. </w:t>
      </w:r>
    </w:p>
    <w:p>
      <w:pPr>
        <w:pStyle w:val="TextBody"/>
        <w:bidi w:val="0"/>
        <w:spacing w:lineRule="auto" w:line="288" w:before="0" w:after="6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Excludes commissions.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Shares purchased may include shares transferred to us by certain employees who vested in restricted stock units and used shares to pay all, or a portion of, the related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information was required to be disclosed in a report on Form 8-K during the first quarter of 2025 that was not reported.</w:t>
      </w:r>
    </w:p>
    <w:p>
      <w:pPr>
        <w:pStyle w:val="TextBody"/>
        <w:bidi w:val="0"/>
        <w:spacing w:lineRule="auto" w:line="288" w:before="0" w:after="1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 applicable.</w:t>
      </w:r>
    </w:p>
    <w:p>
      <w:pPr>
        <w:pStyle w:val="TextBody"/>
        <w:bidi w:val="0"/>
        <w:spacing w:lineRule="auto" w:line="288" w:before="0" w:after="1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Insider Trading Arrangements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as defined in Rule 16a-1(f) under the Securities Exchange Act of 1934 (the Exchange Act), and directors from time to time enter into contracts, instructions or written plans for the purchase or sale of our securities that are intended to satisfy the affirmative defense conditions of Rule 10b5-1(c) against liability for trading in securities on the basis of material nonpublic information. During the quarter ended March 31, 2025, the following Section 16 officers adopted, modified, or terminated trading arrangements (as defined in Item 408 of Regulation S-K of the Exchange 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On March 4, 2025, Thomas L. Deitrich, President and Chief Executive Officer, adopted a written trading plan designed to be in effect until February 24, 2026 with respect to the exercise of up to 35,461 stock options of Itron, Inc. common stock, subject to certain conditions.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On March 4, 2025, John F. Marcolini, Senior Vice President, Networked Solutions, adopted a written trading plan designed to be in effect until September 30, 2025 with respect to the sale of up to 6,904 shares and exercise of up to 3,783 stock options of Itron, Inc. common stock, subject to certain conditions.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On March 6, 2025, Justin K. Patrick, Senior Vice President, Device Solutions, adopted a written trading plan designed to be in effect until December 31, 2025 with respect to the sale of up to 9,036 shares of Itron, Inc. common stock, subject to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3129"/>
        <w:gridCol w:w="2887"/>
        <w:gridCol w:w="2895"/>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triex-31103312025.htm">
              <w:r>
                <w:rPr>
                  <w:rStyle w:val="InternetLink"/>
                  <w:rFonts w:ascii="Times New Roman;sans-serif" w:hAnsi="Times New Roman;sans-serif"/>
                  <w:b w:val="false"/>
                  <w:color w:val="0000FF"/>
                  <w:sz w:val="20"/>
                  <w:u w:val="single"/>
                </w:rPr>
                <w:t>Certification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riex-31203312025.htm">
              <w:r>
                <w:rPr>
                  <w:rStyle w:val="InternetLink"/>
                  <w:rFonts w:ascii="Times New Roman;sans-serif" w:hAnsi="Times New Roman;sans-serif"/>
                  <w:b w:val="false"/>
                  <w:color w:val="0000FF"/>
                  <w:sz w:val="20"/>
                  <w:u w:val="single"/>
                </w:rPr>
                <w:t>Certification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riex-32103312025.htm">
              <w:r>
                <w:rPr>
                  <w:rStyle w:val="InternetLink"/>
                  <w:rFonts w:ascii="Times New Roman;sans-serif" w:hAnsi="Times New Roman;sans-serif"/>
                  <w:b w:val="false"/>
                  <w:color w:val="0000FF"/>
                  <w:sz w:val="20"/>
                  <w:u w:val="single"/>
                </w:rPr>
                <w:t>Certification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Itron, Inc.'s Quarterly Report on Form 10-Q for the quarter ended March 31, 2025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c3918a41c434d8da32989202ee252c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59"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86"/>
        <w:gridCol w:w="186"/>
        <w:gridCol w:w="186"/>
        <w:gridCol w:w="1249"/>
        <w:gridCol w:w="1249"/>
        <w:gridCol w:w="182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L. Deitrich,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Itron,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right"/>
        <w:rPr>
          <w:color w:val="000000"/>
        </w:rPr>
      </w:pPr>
      <w:r>
        <w:rPr>
          <w:color w:val="000000"/>
        </w:rPr>
        <w:t> </w:t>
      </w:r>
    </w:p>
    <w:tbl>
      <w:tblPr>
        <w:tblW w:w="4075"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516"/>
        <w:gridCol w:w="516"/>
        <w:gridCol w:w="516"/>
        <w:gridCol w:w="516"/>
        <w:gridCol w:w="516"/>
        <w:gridCol w:w="74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0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Joan S. Hooper, certify that: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Itron,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5064"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69"/>
        <w:gridCol w:w="669"/>
        <w:gridCol w:w="669"/>
        <w:gridCol w:w="669"/>
        <w:gridCol w:w="669"/>
        <w:gridCol w:w="97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50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certification set forth below is being submitted in connection with the Quarterly Report of Itron, Inc. (the Company) on Form 10-Q for the quarterly period ended March 31, 2025 (the Report) for the purpose of complying with Rule 13a-14(b) or Rule 15d-14(b) of the Securities Exchange Act of 1934 and Section 1350 of Chapter 63 of Title 18 of the United States Code.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Thomas L. Deitrich, the Chief Executive Officer, and Joan S. Hooper, the Chief Financial Officer, of the Company each certifies that to the best of his or her knowledge: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ind w:left="0" w:right="0" w:hanging="450"/>
        <w:jc w:val="left"/>
        <w:rPr/>
      </w:pPr>
      <w:r>
        <w:rPr/>
      </w:r>
    </w:p>
    <w:p>
      <w:pPr>
        <w:pStyle w:val="TextBody"/>
        <w:bidi w:val="0"/>
        <w:spacing w:lineRule="auto" w:line="288" w:before="0" w:after="0"/>
        <w:jc w:val="left"/>
        <w:rPr>
          <w:color w:val="000000"/>
        </w:rPr>
      </w:pPr>
      <w:r>
        <w:rPr>
          <w:color w:val="000000"/>
        </w:rPr>
        <w:t> </w:t>
      </w:r>
    </w:p>
    <w:tbl>
      <w:tblPr>
        <w:tblW w:w="5802" w:type="dxa"/>
        <w:jc w:val="left"/>
        <w:tblInd w:w="0" w:type="dxa"/>
        <w:tblLayout w:type="fixed"/>
        <w:tblCellMar>
          <w:top w:w="28" w:type="dxa"/>
          <w:left w:w="28" w:type="dxa"/>
          <w:bottom w:w="28" w:type="dxa"/>
          <w:right w:w="28" w:type="dxa"/>
        </w:tblCellMar>
      </w:tblPr>
      <w:tblGrid>
        <w:gridCol w:w="1554"/>
        <w:gridCol w:w="1367"/>
        <w:gridCol w:w="1369"/>
        <w:gridCol w:w="109"/>
        <w:gridCol w:w="109"/>
        <w:gridCol w:w="109"/>
        <w:gridCol w:w="347"/>
        <w:gridCol w:w="347"/>
        <w:gridCol w:w="491"/>
      </w:tblGrid>
      <w:tr>
        <w:trPr/>
        <w:tc>
          <w:tcPr>
            <w:tcW w:w="155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23043</Words>
  <Characters>128626</Characters>
  <CharactersWithSpaces>149944</CharactersWithSpaces>
  <Paragraphs>2870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