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10-Q/A</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NO.1 TO QUARTERLY REPORT PURSUANT TO SECTION 13 OR 15(d)</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For the quarterly period ended September 30, 2001</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9"/>
          </w:cols>
          <w:pgMar w:left="230" w:top="740" w:right="1440" w:bottom="1440" w:gutter="0" w:footer="0" w:header="0"/>
        </w:sectPr>
      </w:pP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 THE 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EXCHANGE ACT OF 1934 (NO FEE REQUIRED)</w:t>
      </w:r>
    </w:p>
    <w:p>
      <w:pPr>
        <w:ind w:left="1320"/>
        <w:spacing w:after="0"/>
        <w:tabs>
          <w:tab w:leader="none" w:pos="4220" w:val="left"/>
        </w:tabs>
        <w:rPr>
          <w:sz w:val="20"/>
          <w:szCs w:val="20"/>
          <w:color w:val="auto"/>
        </w:rPr>
      </w:pPr>
      <w:r>
        <w:rPr>
          <w:rFonts w:ascii="Courier New" w:cs="Courier New" w:eastAsia="Courier New" w:hAnsi="Courier New"/>
          <w:sz w:val="15"/>
          <w:szCs w:val="15"/>
          <w:color w:val="auto"/>
        </w:rPr>
        <w:t>For the transition period from</w:t>
        <w:tab/>
        <w:t>to</w:t>
      </w:r>
    </w:p>
    <w:p>
      <w:pPr>
        <w:spacing w:after="0" w:line="169" w:lineRule="exact"/>
        <w:rPr>
          <w:sz w:val="24"/>
          <w:szCs w:val="24"/>
          <w:color w:val="auto"/>
        </w:rPr>
      </w:pPr>
    </w:p>
    <w:p>
      <w:pPr>
        <w:sectPr>
          <w:pgSz w:w="11900" w:h="16838" w:orient="portrait"/>
          <w:cols w:equalWidth="0" w:num="2">
            <w:col w:w="270" w:space="520"/>
            <w:col w:w="9439"/>
          </w:cols>
          <w:pgMar w:left="230" w:top="740"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5"/>
          <w:szCs w:val="15"/>
          <w:color w:val="auto"/>
        </w:rPr>
        <w:t>Commission file number 0-22418</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740" w:right="1440" w:bottom="1440" w:gutter="0" w:footer="0" w:header="0"/>
          <w:type w:val="continuous"/>
        </w:sectPr>
      </w:pPr>
    </w:p>
    <w:p>
      <w:pPr>
        <w:spacing w:after="0" w:line="175" w:lineRule="exact"/>
        <w:rPr>
          <w:sz w:val="24"/>
          <w:szCs w:val="24"/>
          <w:color w:val="auto"/>
        </w:rPr>
      </w:pPr>
    </w:p>
    <w:p>
      <w:pPr>
        <w:jc w:val="center"/>
        <w:ind w:right="33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jc w:val="center"/>
        <w:ind w:right="33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5" w:lineRule="exact"/>
        <w:rPr>
          <w:sz w:val="24"/>
          <w:szCs w:val="24"/>
          <w:color w:val="auto"/>
        </w:rPr>
      </w:pPr>
    </w:p>
    <w:p>
      <w:pPr>
        <w:sectPr>
          <w:pgSz w:w="11900" w:h="16838" w:orient="portrait"/>
          <w:cols w:equalWidth="0" w:num="2">
            <w:col w:w="2630" w:space="720"/>
            <w:col w:w="6879"/>
          </w:cols>
          <w:pgMar w:left="230" w:top="740"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2818 North Sullivan Road</w:t>
      </w:r>
    </w:p>
    <w:p>
      <w:pPr>
        <w:jc w:val="center"/>
        <w:ind w:right="3170"/>
        <w:spacing w:after="0"/>
        <w:rPr>
          <w:sz w:val="20"/>
          <w:szCs w:val="20"/>
          <w:color w:val="auto"/>
        </w:rPr>
      </w:pPr>
      <w:r>
        <w:rPr>
          <w:rFonts w:ascii="Courier New" w:cs="Courier New" w:eastAsia="Courier New" w:hAnsi="Courier New"/>
          <w:sz w:val="15"/>
          <w:szCs w:val="15"/>
          <w:color w:val="auto"/>
        </w:rPr>
        <w:t>Spokane, Washington 99216-1897</w:t>
      </w:r>
    </w:p>
    <w:p>
      <w:pPr>
        <w:jc w:val="center"/>
        <w:ind w:right="3170"/>
        <w:spacing w:after="0"/>
        <w:rPr>
          <w:sz w:val="20"/>
          <w:szCs w:val="20"/>
          <w:color w:val="auto"/>
        </w:rPr>
      </w:pPr>
      <w:r>
        <w:rPr>
          <w:rFonts w:ascii="Courier New" w:cs="Courier New" w:eastAsia="Courier New" w:hAnsi="Courier New"/>
          <w:sz w:val="15"/>
          <w:szCs w:val="15"/>
          <w:color w:val="auto"/>
        </w:rPr>
        <w:t>(509) 924-9900</w:t>
      </w:r>
    </w:p>
    <w:p>
      <w:pPr>
        <w:spacing w:after="0" w:line="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350" w:lineRule="exact"/>
        <w:rPr>
          <w:sz w:val="24"/>
          <w:szCs w:val="24"/>
          <w:color w:val="auto"/>
        </w:rPr>
      </w:pPr>
    </w:p>
    <w:p>
      <w:pPr>
        <w:ind w:left="350" w:right="3539" w:firstLine="441"/>
        <w:spacing w:after="0" w:line="256"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w:t>
      </w:r>
    </w:p>
    <w:p>
      <w:pPr>
        <w:sectPr>
          <w:pgSz w:w="11900" w:h="16838" w:orient="portrait"/>
          <w:cols w:equalWidth="0" w:num="1">
            <w:col w:w="10229"/>
          </w:cols>
          <w:pgMar w:left="230" w:top="740" w:right="1440" w:bottom="1440" w:gutter="0" w:footer="0" w:header="0"/>
          <w:type w:val="continuous"/>
        </w:sectPr>
      </w:pPr>
    </w:p>
    <w:p>
      <w:pPr>
        <w:spacing w:after="0" w:line="1" w:lineRule="exact"/>
        <w:rPr>
          <w:sz w:val="24"/>
          <w:szCs w:val="24"/>
          <w:color w:val="auto"/>
        </w:rPr>
      </w:pPr>
    </w:p>
    <w:p>
      <w:pPr>
        <w:ind w:left="170" w:right="3179" w:hanging="87"/>
        <w:spacing w:after="0" w:line="235" w:lineRule="auto"/>
        <w:rPr>
          <w:sz w:val="20"/>
          <w:szCs w:val="20"/>
          <w:color w:val="auto"/>
        </w:rPr>
      </w:pPr>
      <w:r>
        <w:rPr>
          <w:rFonts w:ascii="Courier New" w:cs="Courier New" w:eastAsia="Courier New" w:hAnsi="Courier New"/>
          <w:sz w:val="15"/>
          <w:szCs w:val="15"/>
          <w:color w:val="auto"/>
        </w:rPr>
        <w:t>period that the registrant was required to file such reports), and (2) has been subject to such filing requirements for the past 90 days. Yes X No_____</w:t>
      </w:r>
    </w:p>
    <w:p>
      <w:pPr>
        <w:spacing w:after="0" w:line="1" w:lineRule="exact"/>
        <w:rPr>
          <w:sz w:val="24"/>
          <w:szCs w:val="24"/>
          <w:color w:val="auto"/>
        </w:rPr>
      </w:pPr>
    </w:p>
    <w:p>
      <w:pPr>
        <w:ind w:left="555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The number of shares outstanding of the registrant's common stock as of October 31, 2001 was 15,916,103.</w:t>
      </w: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740" w:right="1440" w:bottom="1440" w:gutter="0" w:footer="0" w:header="0"/>
          <w:type w:val="continuous"/>
        </w:sectPr>
      </w:pPr>
    </w:p>
    <w:bookmarkStart w:id="1" w:name="page2"/>
    <w:bookmarkEnd w:id="1"/>
    <w:p>
      <w:pPr>
        <w:ind w:right="3179"/>
        <w:spacing w:after="0" w:line="238" w:lineRule="auto"/>
        <w:rPr>
          <w:sz w:val="20"/>
          <w:szCs w:val="20"/>
          <w:color w:val="auto"/>
        </w:rPr>
      </w:pPr>
      <w:r>
        <w:rPr>
          <w:rFonts w:ascii="Courier New" w:cs="Courier New" w:eastAsia="Courier New" w:hAnsi="Courier New"/>
          <w:sz w:val="15"/>
          <w:szCs w:val="15"/>
          <w:color w:val="auto"/>
        </w:rPr>
        <w:t>This amendment on Form 10-Q of Itron, Inc. incorporates certain revisions to historical financial data and related descriptions but is not intended to update other information presented in this report as originally filed, except where specifically noted. The amendment reflects the restatement of the Registrant's condensed consolidated financial statements for the three and nine months ended September 30, 2001 and 2000 included in its Form 10-Q for the three and nine months ended September 30, 2001 and 2000, filed on November 8, 2001, related to its accounting for certain outsourcing contracts under which the Company retains title to the related equipment. See Note 8 to our condensed consolidated financial statements for further discussion of the matter.</w:t>
      </w:r>
    </w:p>
    <w:p>
      <w:pPr>
        <w:sectPr>
          <w:pgSz w:w="11900" w:h="16838" w:orient="portrait"/>
          <w:cols w:equalWidth="0" w:num="1">
            <w:col w:w="9959"/>
          </w:cols>
          <w:pgMar w:left="500" w:top="627"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Itron, Inc.</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ind w:left="28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620" w:type="dxa"/>
            <w:vAlign w:val="bottom"/>
          </w:tcPr>
          <w:p>
            <w:pPr>
              <w:spacing w:after="0"/>
              <w:rPr>
                <w:sz w:val="14"/>
                <w:szCs w:val="14"/>
                <w:color w:val="auto"/>
              </w:rPr>
            </w:pPr>
          </w:p>
        </w:tc>
      </w:tr>
      <w:tr>
        <w:trPr>
          <w:trHeight w:val="339"/>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Item 1: FINANCIAL STATEMENTS (UNAUDITED)</w:t>
            </w:r>
          </w:p>
        </w:tc>
        <w:tc>
          <w:tcPr>
            <w:tcW w:w="620" w:type="dxa"/>
            <w:vAlign w:val="bottom"/>
          </w:tcPr>
          <w:p>
            <w:pPr>
              <w:spacing w:after="0"/>
              <w:rPr>
                <w:sz w:val="24"/>
                <w:szCs w:val="24"/>
                <w:color w:val="auto"/>
              </w:rPr>
            </w:pPr>
          </w:p>
        </w:tc>
      </w:tr>
      <w:tr>
        <w:trPr>
          <w:trHeight w:val="339"/>
        </w:trPr>
        <w:tc>
          <w:tcPr>
            <w:tcW w:w="7740" w:type="dxa"/>
            <w:vAlign w:val="bottom"/>
          </w:tcPr>
          <w:p>
            <w:pPr>
              <w:ind w:left="1580"/>
              <w:spacing w:after="0"/>
              <w:rPr>
                <w:sz w:val="20"/>
                <w:szCs w:val="20"/>
                <w:color w:val="auto"/>
              </w:rPr>
            </w:pPr>
            <w:r>
              <w:rPr>
                <w:rFonts w:ascii="Courier New" w:cs="Courier New" w:eastAsia="Courier New" w:hAnsi="Courier New"/>
                <w:sz w:val="15"/>
                <w:szCs w:val="15"/>
                <w:color w:val="auto"/>
              </w:rPr>
              <w:t>Condensed Consolidated Statements of Operations and Comprehensive</w:t>
            </w:r>
          </w:p>
        </w:tc>
        <w:tc>
          <w:tcPr>
            <w:tcW w:w="620" w:type="dxa"/>
            <w:vAlign w:val="bottom"/>
          </w:tcPr>
          <w:p>
            <w:pPr>
              <w:spacing w:after="0"/>
              <w:rPr>
                <w:sz w:val="24"/>
                <w:szCs w:val="24"/>
                <w:color w:val="auto"/>
              </w:rPr>
            </w:pP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Income (Loss)(As Restated)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7740" w:type="dxa"/>
            <w:vAlign w:val="bottom"/>
          </w:tcPr>
          <w:p>
            <w:pPr>
              <w:ind w:left="1580"/>
              <w:spacing w:after="0"/>
              <w:rPr>
                <w:sz w:val="20"/>
                <w:szCs w:val="20"/>
                <w:color w:val="auto"/>
              </w:rPr>
            </w:pPr>
            <w:r>
              <w:rPr>
                <w:rFonts w:ascii="Courier New" w:cs="Courier New" w:eastAsia="Courier New" w:hAnsi="Courier New"/>
                <w:sz w:val="15"/>
                <w:szCs w:val="15"/>
                <w:color w:val="auto"/>
              </w:rPr>
              <w:t>Condensed Consolidated Balance Sheets (As Restated)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7740" w:type="dxa"/>
            <w:vAlign w:val="bottom"/>
          </w:tcPr>
          <w:p>
            <w:pPr>
              <w:ind w:left="1580"/>
              <w:spacing w:after="0"/>
              <w:rPr>
                <w:sz w:val="20"/>
                <w:szCs w:val="20"/>
                <w:color w:val="auto"/>
              </w:rPr>
            </w:pPr>
            <w:r>
              <w:rPr>
                <w:rFonts w:ascii="Courier New" w:cs="Courier New" w:eastAsia="Courier New" w:hAnsi="Courier New"/>
                <w:sz w:val="15"/>
                <w:szCs w:val="15"/>
                <w:color w:val="auto"/>
              </w:rPr>
              <w:t>Condensed Consolidated Statements of Cash Flows (As Restated)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39"/>
        </w:trPr>
        <w:tc>
          <w:tcPr>
            <w:tcW w:w="7740" w:type="dxa"/>
            <w:vAlign w:val="bottom"/>
          </w:tcPr>
          <w:p>
            <w:pPr>
              <w:ind w:left="15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620" w:type="dxa"/>
            <w:vAlign w:val="bottom"/>
          </w:tcPr>
          <w:p>
            <w:pPr>
              <w:spacing w:after="0"/>
              <w:rPr>
                <w:sz w:val="24"/>
                <w:szCs w:val="24"/>
                <w:color w:val="auto"/>
              </w:rPr>
            </w:pP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1: Basis of Presentation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2: Earnings Per Share and Capital Structure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3: Balance Sheet Components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4: Segment Information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5: Restructuring</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6: Contingencies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7: Recent Accounting Pronouncements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Note 8: Restatement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39"/>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620" w:type="dxa"/>
            <w:vAlign w:val="bottom"/>
          </w:tcPr>
          <w:p>
            <w:pPr>
              <w:spacing w:after="0"/>
              <w:rPr>
                <w:sz w:val="24"/>
                <w:szCs w:val="24"/>
                <w:color w:val="auto"/>
              </w:rPr>
            </w:pP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CONDITION AND RESULTS OF OPERATIONS</w:t>
            </w:r>
          </w:p>
        </w:tc>
        <w:tc>
          <w:tcPr>
            <w:tcW w:w="620" w:type="dxa"/>
            <w:vAlign w:val="bottom"/>
          </w:tcPr>
          <w:p>
            <w:pPr>
              <w:spacing w:after="0"/>
              <w:rPr>
                <w:sz w:val="14"/>
                <w:szCs w:val="14"/>
                <w:color w:val="auto"/>
              </w:rPr>
            </w:pP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Certain Forward-Looking Statements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OVERVIEW</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RESULTS OF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Revenues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Gross Margin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7740" w:type="dxa"/>
            <w:vAlign w:val="bottom"/>
          </w:tcPr>
          <w:p>
            <w:pPr>
              <w:ind w:left="2380"/>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7740" w:type="dxa"/>
            <w:vAlign w:val="bottom"/>
          </w:tcPr>
          <w:p>
            <w:pPr>
              <w:ind w:left="2100"/>
              <w:spacing w:after="0"/>
              <w:rPr>
                <w:sz w:val="20"/>
                <w:szCs w:val="20"/>
                <w:color w:val="auto"/>
              </w:rPr>
            </w:pPr>
            <w:r>
              <w:rPr>
                <w:rFonts w:ascii="Courier New" w:cs="Courier New" w:eastAsia="Courier New" w:hAnsi="Courier New"/>
                <w:sz w:val="15"/>
                <w:szCs w:val="15"/>
                <w:color w:val="auto"/>
              </w:rPr>
              <w:t>FINANCIAL CONDITION</w:t>
            </w:r>
          </w:p>
        </w:tc>
        <w:tc>
          <w:tcPr>
            <w:tcW w:w="620" w:type="dxa"/>
            <w:vAlign w:val="bottom"/>
          </w:tcPr>
          <w:p>
            <w:pPr>
              <w:spacing w:after="0"/>
              <w:rPr>
                <w:sz w:val="14"/>
                <w:szCs w:val="14"/>
                <w:color w:val="auto"/>
              </w:rPr>
            </w:pPr>
          </w:p>
        </w:tc>
      </w:tr>
      <w:tr>
        <w:trPr>
          <w:trHeight w:val="170"/>
        </w:trPr>
        <w:tc>
          <w:tcPr>
            <w:tcW w:w="7740" w:type="dxa"/>
            <w:vAlign w:val="bottom"/>
          </w:tcPr>
          <w:p>
            <w:pPr>
              <w:ind w:left="2460"/>
              <w:spacing w:after="0"/>
              <w:rPr>
                <w:sz w:val="20"/>
                <w:szCs w:val="20"/>
                <w:color w:val="auto"/>
              </w:rPr>
            </w:pPr>
            <w:r>
              <w:rPr>
                <w:rFonts w:ascii="Courier New" w:cs="Courier New" w:eastAsia="Courier New" w:hAnsi="Courier New"/>
                <w:sz w:val="15"/>
                <w:szCs w:val="15"/>
                <w:color w:val="auto"/>
              </w:rPr>
              <w:t>Cash Flow Information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7740" w:type="dxa"/>
            <w:vAlign w:val="bottom"/>
          </w:tcPr>
          <w:p>
            <w:pPr>
              <w:ind w:left="2460"/>
              <w:spacing w:after="0"/>
              <w:rPr>
                <w:sz w:val="20"/>
                <w:szCs w:val="20"/>
                <w:color w:val="auto"/>
              </w:rPr>
            </w:pPr>
            <w:r>
              <w:rPr>
                <w:rFonts w:ascii="Courier New" w:cs="Courier New" w:eastAsia="Courier New" w:hAnsi="Courier New"/>
                <w:sz w:val="15"/>
                <w:szCs w:val="15"/>
                <w:color w:val="auto"/>
              </w:rPr>
              <w:t>Business Outlook</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9"/>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Item 3: QUALITATIVE AND QUANTITATIVE DISCLOSURES ABOUT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7740" w:type="dxa"/>
            <w:vAlign w:val="bottom"/>
          </w:tcPr>
          <w:p>
            <w:pPr>
              <w:ind w:left="1580"/>
              <w:spacing w:after="0"/>
              <w:rPr>
                <w:sz w:val="20"/>
                <w:szCs w:val="20"/>
                <w:color w:val="auto"/>
              </w:rPr>
            </w:pPr>
            <w:r>
              <w:rPr>
                <w:rFonts w:ascii="Courier New" w:cs="Courier New" w:eastAsia="Courier New" w:hAnsi="Courier New"/>
                <w:sz w:val="15"/>
                <w:szCs w:val="15"/>
                <w:color w:val="auto"/>
              </w:rPr>
              <w:t>MARKET RISK</w:t>
            </w:r>
          </w:p>
        </w:tc>
        <w:tc>
          <w:tcPr>
            <w:tcW w:w="620" w:type="dxa"/>
            <w:vAlign w:val="bottom"/>
          </w:tcPr>
          <w:p>
            <w:pPr>
              <w:spacing w:after="0"/>
              <w:rPr>
                <w:sz w:val="14"/>
                <w:szCs w:val="14"/>
                <w:color w:val="auto"/>
              </w:rPr>
            </w:pP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620" w:type="dxa"/>
            <w:vAlign w:val="bottom"/>
          </w:tcPr>
          <w:p>
            <w:pPr>
              <w:spacing w:after="0"/>
              <w:rPr>
                <w:sz w:val="24"/>
                <w:szCs w:val="24"/>
                <w:color w:val="auto"/>
              </w:rPr>
            </w:pPr>
          </w:p>
        </w:tc>
      </w:tr>
      <w:tr>
        <w:trPr>
          <w:trHeight w:val="339"/>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Item 1: Legal Proceedings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Item 6: Exhibits and Reports on Form 8-K</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9"/>
        </w:trPr>
        <w:tc>
          <w:tcPr>
            <w:tcW w:w="7740" w:type="dxa"/>
            <w:vAlign w:val="bottom"/>
          </w:tcPr>
          <w:p>
            <w:pPr>
              <w:ind w:left="780"/>
              <w:spacing w:after="0"/>
              <w:rPr>
                <w:sz w:val="20"/>
                <w:szCs w:val="20"/>
                <w:color w:val="auto"/>
              </w:rPr>
            </w:pPr>
            <w:r>
              <w:rPr>
                <w:rFonts w:ascii="Courier New" w:cs="Courier New" w:eastAsia="Courier New" w:hAnsi="Courier New"/>
                <w:sz w:val="15"/>
                <w:szCs w:val="15"/>
                <w:color w:val="auto"/>
              </w:rPr>
              <w:t>Signature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19"/>
          </w:cols>
          <w:pgMar w:left="240" w:top="622" w:right="1440" w:bottom="1440" w:gutter="0" w:footer="0" w:header="0"/>
        </w:sectPr>
      </w:pPr>
    </w:p>
    <w:bookmarkStart w:id="3" w:name="page4"/>
    <w:bookmarkEnd w:id="3"/>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 (UNAUDITED)</w:t>
      </w:r>
    </w:p>
    <w:p>
      <w:pPr>
        <w:ind w:left="3080"/>
        <w:spacing w:after="0"/>
        <w:rPr>
          <w:sz w:val="20"/>
          <w:szCs w:val="20"/>
          <w:color w:val="auto"/>
        </w:rPr>
      </w:pPr>
      <w:r>
        <w:rPr>
          <w:rFonts w:ascii="Courier New" w:cs="Courier New" w:eastAsia="Courier New" w:hAnsi="Courier New"/>
          <w:sz w:val="15"/>
          <w:szCs w:val="15"/>
          <w:color w:val="auto"/>
        </w:rPr>
        <w:t>ITRON, INC.</w:t>
      </w:r>
    </w:p>
    <w:p>
      <w:pPr>
        <w:ind w:left="1320"/>
        <w:spacing w:after="0"/>
        <w:rPr>
          <w:sz w:val="20"/>
          <w:szCs w:val="20"/>
          <w:color w:val="auto"/>
        </w:rPr>
      </w:pPr>
      <w:r>
        <w:rPr>
          <w:rFonts w:ascii="Courier New" w:cs="Courier New" w:eastAsia="Courier New" w:hAnsi="Courier New"/>
          <w:sz w:val="15"/>
          <w:szCs w:val="15"/>
          <w:color w:val="auto"/>
        </w:rPr>
        <w:t>CONDENSED CONSOLIDATED STATEMENTS OF OPERATIONS AND</w:t>
      </w:r>
    </w:p>
    <w:p>
      <w:pPr>
        <w:ind w:left="1760"/>
        <w:spacing w:after="0" w:line="238" w:lineRule="auto"/>
        <w:rPr>
          <w:sz w:val="20"/>
          <w:szCs w:val="20"/>
          <w:color w:val="auto"/>
        </w:rPr>
      </w:pPr>
      <w:r>
        <w:rPr>
          <w:rFonts w:ascii="Courier New" w:cs="Courier New" w:eastAsia="Courier New" w:hAnsi="Courier New"/>
          <w:sz w:val="15"/>
          <w:szCs w:val="15"/>
          <w:color w:val="auto"/>
        </w:rPr>
        <w:t>COMPREHENSIVE INCOME (LOSS) (AS RESTATED)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30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Three months ended September 30,</w:t>
            </w: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339"/>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Revenues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50,424</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31,468</w:t>
            </w: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$ 130,060</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103,340</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10,431</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9,224</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31,280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28,847</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Total revenues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60,855</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40,692</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161,340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132,187</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27,127</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18,538</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72,232</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61,419</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6,675</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5,825</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20,232</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19,569</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Total cost of revenues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33,802</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24,363</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92,464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80,988</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27,053</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16,329</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68,876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51,199</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7,390</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5,086</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19,461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15,325</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8,210</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4,632</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21,591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16,114</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3,778</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4,363</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10,656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13,046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377</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465</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Restructuring</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(807)</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19,755</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14,546</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52,010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45,696</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7,298</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1,783</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16,866</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7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5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w:t>
            </w:r>
          </w:p>
        </w:tc>
        <w:tc>
          <w:tcPr>
            <w:tcW w:w="70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7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(911)</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(915)</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(2,942)</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(3,114)</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7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(3,057)</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(2,221)</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6,313</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1,006</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13,809</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7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(2,409)</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(5,258)</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(1,241)</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3,904</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624</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8,551</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Extraordinary gain on early extinguishment of debt,</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of income taxes of $570</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principle, net of income taxes of $1,581</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(2,562)</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3,904</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8,551</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comprehensive income, net of tax:</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Foreign currency translation adjustments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339</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(181)</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w:t>
            </w:r>
          </w:p>
        </w:tc>
      </w:tr>
      <w:tr>
        <w:trPr>
          <w:trHeight w:val="170"/>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Unrealized holding gains</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w:t>
            </w:r>
          </w:p>
        </w:tc>
        <w:tc>
          <w:tcPr>
            <w:tcW w:w="5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7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384</w:t>
            </w:r>
          </w:p>
        </w:tc>
        <w:tc>
          <w:tcPr>
            <w:tcW w:w="5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w:t>
            </w:r>
          </w:p>
        </w:tc>
        <w:tc>
          <w:tcPr>
            <w:tcW w:w="7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w:t>
            </w:r>
          </w:p>
        </w:tc>
        <w:tc>
          <w:tcPr>
            <w:tcW w:w="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4,288</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8,444</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5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jc w:val="center"/>
        <w:ind w:right="3620"/>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740"/>
          </w:cols>
          <w:pgMar w:left="240" w:top="622" w:right="919" w:bottom="1440" w:gutter="0" w:footer="0" w:header="0"/>
        </w:sectPr>
      </w:pPr>
    </w:p>
    <w:bookmarkStart w:id="4" w:name="page5"/>
    <w:bookmarkEnd w:id="4"/>
    <w:p>
      <w:pPr>
        <w:jc w:val="center"/>
        <w:ind w:right="4140"/>
        <w:spacing w:after="0"/>
        <w:rPr>
          <w:sz w:val="20"/>
          <w:szCs w:val="20"/>
          <w:color w:val="auto"/>
        </w:rPr>
      </w:pPr>
      <w:r>
        <w:rPr>
          <w:rFonts w:ascii="Courier New" w:cs="Courier New" w:eastAsia="Courier New" w:hAnsi="Courier New"/>
          <w:sz w:val="15"/>
          <w:szCs w:val="15"/>
          <w:color w:val="auto"/>
        </w:rPr>
        <w:t>ITRON, INC.</w:t>
      </w:r>
    </w:p>
    <w:p>
      <w:pPr>
        <w:jc w:val="center"/>
        <w:ind w:right="4140"/>
        <w:spacing w:after="0"/>
        <w:rPr>
          <w:sz w:val="20"/>
          <w:szCs w:val="20"/>
          <w:color w:val="auto"/>
        </w:rPr>
      </w:pPr>
      <w:r>
        <w:rPr>
          <w:rFonts w:ascii="Courier New" w:cs="Courier New" w:eastAsia="Courier New" w:hAnsi="Courier New"/>
          <w:sz w:val="15"/>
          <w:szCs w:val="15"/>
          <w:color w:val="auto"/>
        </w:rPr>
        <w:t>CONDENSED CONSOLIDATED STATEMENTS OF OPERATIONS AND</w:t>
      </w:r>
    </w:p>
    <w:p>
      <w:pPr>
        <w:jc w:val="center"/>
        <w:ind w:right="4160"/>
        <w:spacing w:after="0"/>
        <w:rPr>
          <w:sz w:val="20"/>
          <w:szCs w:val="20"/>
          <w:color w:val="auto"/>
        </w:rPr>
      </w:pPr>
      <w:r>
        <w:rPr>
          <w:rFonts w:ascii="Courier New" w:cs="Courier New" w:eastAsia="Courier New" w:hAnsi="Courier New"/>
          <w:sz w:val="15"/>
          <w:szCs w:val="15"/>
          <w:color w:val="auto"/>
        </w:rPr>
        <w:t>COMPREHENSIVE INCOME (LOSS) (AS RESTATED)</w:t>
      </w:r>
    </w:p>
    <w:p>
      <w:pPr>
        <w:jc w:val="center"/>
        <w:ind w:right="414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34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Three months ended September 30,</w:t>
            </w:r>
          </w:p>
        </w:tc>
        <w:tc>
          <w:tcPr>
            <w:tcW w:w="28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Nine months ended September</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2001</w:t>
            </w:r>
          </w:p>
        </w:tc>
        <w:tc>
          <w:tcPr>
            <w:tcW w:w="520" w:type="dxa"/>
            <w:vAlign w:val="bottom"/>
          </w:tcPr>
          <w:p>
            <w:pPr>
              <w:spacing w:after="0"/>
              <w:rPr>
                <w:sz w:val="14"/>
                <w:szCs w:val="14"/>
                <w:color w:val="auto"/>
              </w:rPr>
            </w:pPr>
          </w:p>
        </w:tc>
        <w:tc>
          <w:tcPr>
            <w:tcW w:w="11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2000</w:t>
            </w:r>
          </w:p>
        </w:tc>
        <w:tc>
          <w:tcPr>
            <w:tcW w:w="66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0.55</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Cumulative effect</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(0.17)</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0.55</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0.49</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Cumulative effect</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(0.17)</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0.49</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15,667</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15,237</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15,522</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15,132</w:t>
            </w: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19,071</w:t>
            </w:r>
          </w:p>
        </w:tc>
        <w:tc>
          <w:tcPr>
            <w:tcW w:w="52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15,512</w:t>
            </w:r>
          </w:p>
        </w:tc>
        <w:tc>
          <w:tcPr>
            <w:tcW w:w="6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18,414</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15,408</w:t>
            </w:r>
          </w:p>
        </w:tc>
      </w:tr>
    </w:tbl>
    <w:p>
      <w:pPr>
        <w:spacing w:after="0" w:line="344" w:lineRule="exact"/>
        <w:rPr>
          <w:sz w:val="20"/>
          <w:szCs w:val="20"/>
          <w:color w:val="auto"/>
        </w:rPr>
      </w:pPr>
    </w:p>
    <w:p>
      <w:pPr>
        <w:ind w:right="468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280"/>
          </w:cols>
          <w:pgMar w:left="240" w:top="622" w:right="379" w:bottom="1440" w:gutter="0" w:footer="0" w:header="0"/>
        </w:sectPr>
      </w:pPr>
    </w:p>
    <w:bookmarkStart w:id="5" w:name="page6"/>
    <w:bookmarkEnd w:id="5"/>
    <w:p>
      <w:pPr>
        <w:ind w:left="3080"/>
        <w:spacing w:after="0"/>
        <w:rPr>
          <w:sz w:val="20"/>
          <w:szCs w:val="20"/>
          <w:color w:val="auto"/>
        </w:rPr>
      </w:pPr>
      <w:r>
        <w:rPr>
          <w:rFonts w:ascii="Courier New" w:cs="Courier New" w:eastAsia="Courier New" w:hAnsi="Courier New"/>
          <w:sz w:val="15"/>
          <w:szCs w:val="15"/>
          <w:color w:val="auto"/>
        </w:rPr>
        <w:t>ITRON, INC.</w:t>
      </w:r>
    </w:p>
    <w:tbl>
      <w:tblPr>
        <w:tblLayout w:type="fixed"/>
        <w:tblInd w:w="0" w:type="dxa"/>
        <w:tblCellMar>
          <w:top w:w="0" w:type="dxa"/>
          <w:left w:w="0" w:type="dxa"/>
          <w:bottom w:w="0" w:type="dxa"/>
          <w:right w:w="0" w:type="dxa"/>
        </w:tblCellMar>
      </w:tblPr>
      <w:tr>
        <w:trPr>
          <w:trHeight w:val="170"/>
        </w:trPr>
        <w:tc>
          <w:tcPr>
            <w:tcW w:w="6560" w:type="dxa"/>
            <w:vAlign w:val="bottom"/>
          </w:tcPr>
          <w:p>
            <w:pPr>
              <w:ind w:left="1840"/>
              <w:spacing w:after="0"/>
              <w:rPr>
                <w:sz w:val="20"/>
                <w:szCs w:val="20"/>
                <w:color w:val="auto"/>
              </w:rPr>
            </w:pPr>
            <w:r>
              <w:rPr>
                <w:rFonts w:ascii="Courier New" w:cs="Courier New" w:eastAsia="Courier New" w:hAnsi="Courier New"/>
                <w:sz w:val="15"/>
                <w:szCs w:val="15"/>
                <w:color w:val="auto"/>
              </w:rPr>
              <w:t>CONDENSED CONSOLIDATED BALANCE SHEETS</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78"/>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(Unaudited, in thousands)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6560" w:type="dxa"/>
            <w:vAlign w:val="bottom"/>
          </w:tcPr>
          <w:p>
            <w:pPr>
              <w:ind w:left="4040"/>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65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440" w:type="dxa"/>
            <w:vAlign w:val="bottom"/>
          </w:tcPr>
          <w:p>
            <w:pPr>
              <w:spacing w:after="0"/>
              <w:rPr>
                <w:sz w:val="14"/>
                <w:szCs w:val="1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(As Restated)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13,043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21,216</w:t>
            </w: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Short-term investments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15,675</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44,796</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49,859</w:t>
            </w: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Inventories, net</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16,929</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17,196</w:t>
            </w: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2,909</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4,852</w:t>
            </w:r>
          </w:p>
        </w:tc>
      </w:tr>
      <w:tr>
        <w:trPr>
          <w:trHeight w:val="170"/>
        </w:trPr>
        <w:tc>
          <w:tcPr>
            <w:tcW w:w="65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906</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899</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94,258</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94,022</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0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23,715</w:t>
            </w:r>
          </w:p>
        </w:tc>
        <w:tc>
          <w:tcPr>
            <w:tcW w:w="44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25,197</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13,163</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14,150</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11,412</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12,836</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5,100</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24,189</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27,287</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6,485</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3,739</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$ 178,322</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$ 177,231</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560" w:type="dxa"/>
            <w:vAlign w:val="bottom"/>
          </w:tcPr>
          <w:p>
            <w:pPr>
              <w:ind w:left="2820"/>
              <w:spacing w:after="0"/>
              <w:rPr>
                <w:sz w:val="20"/>
                <w:szCs w:val="20"/>
                <w:color w:val="auto"/>
              </w:rPr>
            </w:pPr>
            <w:r>
              <w:rPr>
                <w:rFonts w:ascii="Courier New" w:cs="Courier New" w:eastAsia="Courier New" w:hAnsi="Courier New"/>
                <w:sz w:val="15"/>
                <w:szCs w:val="15"/>
                <w:color w:val="auto"/>
              </w:rPr>
              <w:t>LIABILITIES AND SHAREHOLDERS' EQUITY</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25,611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30,171</w:t>
            </w: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Wages and benefits payable</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8,984</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9,244</w:t>
            </w: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Mortgage notes and leases payable</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w:t>
            </w: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Deferred revenue</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5,757</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9,025</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40,587</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48,682</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0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53,429</w:t>
            </w:r>
          </w:p>
        </w:tc>
        <w:tc>
          <w:tcPr>
            <w:tcW w:w="44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53,459</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Mortgage notes and leases payable</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4,945</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5,074</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6,234</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6,671</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11,275</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11,253</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116,470</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125,139</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111,046</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109,730</w:t>
            </w: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Accumulated other comprehensive loss</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(1,947)</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(1,840)</w:t>
            </w:r>
          </w:p>
        </w:tc>
      </w:tr>
      <w:tr>
        <w:trPr>
          <w:trHeight w:val="170"/>
        </w:trPr>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Accumulated deficit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(47,247)</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(55,798)</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10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61,852</w:t>
            </w:r>
          </w:p>
        </w:tc>
        <w:tc>
          <w:tcPr>
            <w:tcW w:w="4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52,092</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$ 178,322</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$ 177,231</w:t>
            </w:r>
          </w:p>
        </w:tc>
      </w:tr>
      <w:tr>
        <w:trPr>
          <w:trHeight w:val="170"/>
        </w:trPr>
        <w:tc>
          <w:tcPr>
            <w:tcW w:w="656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6" w:name="page7"/>
    <w:bookmarkEnd w:id="6"/>
    <w:p>
      <w:pPr>
        <w:jc w:val="center"/>
        <w:ind w:right="3079"/>
        <w:spacing w:after="0"/>
        <w:rPr>
          <w:sz w:val="20"/>
          <w:szCs w:val="20"/>
          <w:color w:val="auto"/>
        </w:rPr>
      </w:pPr>
      <w:r>
        <w:rPr>
          <w:rFonts w:ascii="Courier New" w:cs="Courier New" w:eastAsia="Courier New" w:hAnsi="Courier New"/>
          <w:sz w:val="15"/>
          <w:szCs w:val="15"/>
          <w:color w:val="auto"/>
        </w:rPr>
        <w:t>ITRON, INC.</w:t>
      </w:r>
    </w:p>
    <w:p>
      <w:pPr>
        <w:jc w:val="center"/>
        <w:ind w:right="3079"/>
        <w:spacing w:after="0"/>
        <w:rPr>
          <w:sz w:val="20"/>
          <w:szCs w:val="20"/>
          <w:color w:val="auto"/>
        </w:rPr>
      </w:pPr>
      <w:r>
        <w:rPr>
          <w:rFonts w:ascii="Courier New" w:cs="Courier New" w:eastAsia="Courier New" w:hAnsi="Courier New"/>
          <w:sz w:val="15"/>
          <w:szCs w:val="15"/>
          <w:color w:val="auto"/>
        </w:rPr>
        <w:t>CONDENSED CONSOLIDATED STATEMENTS OF CASH FLOWS (AS RESTATED)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4020" w:type="dxa"/>
            <w:vAlign w:val="bottom"/>
            <w:gridSpan w:val="3"/>
          </w:tcPr>
          <w:p>
            <w:pPr>
              <w:ind w:left="1280"/>
              <w:spacing w:after="0"/>
              <w:rPr>
                <w:sz w:val="20"/>
                <w:szCs w:val="20"/>
                <w:color w:val="auto"/>
              </w:rPr>
            </w:pPr>
            <w:r>
              <w:rPr>
                <w:rFonts w:ascii="Courier New" w:cs="Courier New" w:eastAsia="Courier New" w:hAnsi="Courier New"/>
                <w:sz w:val="15"/>
                <w:szCs w:val="15"/>
                <w:color w:val="auto"/>
                <w:w w:val="97"/>
              </w:rPr>
              <w:t>Nine months ended September 30,</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(Unaudited, in thousands)</w:t>
            </w:r>
          </w:p>
        </w:tc>
        <w:tc>
          <w:tcPr>
            <w:tcW w:w="25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020" w:type="dxa"/>
            <w:vAlign w:val="bottom"/>
          </w:tcPr>
          <w:p>
            <w:pPr>
              <w:spacing w:after="0"/>
              <w:rPr>
                <w:sz w:val="14"/>
                <w:szCs w:val="14"/>
                <w:color w:val="auto"/>
              </w:rPr>
            </w:pP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8,551</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7,548</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10,438</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Deferred income tax provision</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5,041</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2,346</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Equity in affiliates, net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115</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(717)</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 debt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2,562</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w:t>
            </w: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5,063</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9,629</w:t>
            </w: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267</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(427)</w:t>
            </w: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accrued expenses</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(4,503)</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(8,726)</w:t>
            </w: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Wages and benefits payable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(9,265)</w:t>
            </w: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Deferred revenue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(3,268)</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(3,697)</w:t>
            </w:r>
          </w:p>
        </w:tc>
      </w:tr>
      <w:tr>
        <w:trPr>
          <w:trHeight w:val="170"/>
        </w:trPr>
        <w:tc>
          <w:tcPr>
            <w:tcW w:w="602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711</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19,265</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1,269</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Purchase of short-term investments</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(15,675)</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Reclassification of restricted cash balance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(5,100)</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(3,713)</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(3,636)</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(6,570)</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used in outsourcing, net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32,750</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Proceeds from sale of business interest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870</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(3,630)</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(1,608)</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provided (used) by investing activities</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(28,116)</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21,806</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Change in short-term borrowings, net</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(3,646)</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Proceeds from (payments on) project financing, net</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(437)</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 repurchase</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(2,104)</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Issuance of common stock, net of repurchases</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1,316</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1,789</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provided (used) by financing activities</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678</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(4,914)</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(8,173)</w:t>
            </w:r>
          </w:p>
        </w:tc>
        <w:tc>
          <w:tcPr>
            <w:tcW w:w="58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18,161</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21,216</w:t>
            </w:r>
          </w:p>
        </w:tc>
        <w:tc>
          <w:tcPr>
            <w:tcW w:w="58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1,538</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$ 13,043</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$ 19,699</w:t>
            </w:r>
          </w:p>
        </w:tc>
      </w:tr>
      <w:tr>
        <w:trPr>
          <w:trHeight w:val="170"/>
        </w:trPr>
        <w:tc>
          <w:tcPr>
            <w:tcW w:w="6020" w:type="dxa"/>
            <w:vAlign w:val="bottom"/>
          </w:tcPr>
          <w:p>
            <w:pPr>
              <w:spacing w:after="0"/>
              <w:rPr>
                <w:sz w:val="14"/>
                <w:szCs w:val="14"/>
                <w:color w:val="auto"/>
              </w:rPr>
            </w:pPr>
          </w:p>
        </w:tc>
        <w:tc>
          <w:tcPr>
            <w:tcW w:w="25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170"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7" w:name="page8"/>
    <w:bookmarkEnd w:id="7"/>
    <w:p>
      <w:pPr>
        <w:jc w:val="center"/>
        <w:ind w:right="600"/>
        <w:spacing w:after="0"/>
        <w:rPr>
          <w:sz w:val="20"/>
          <w:szCs w:val="20"/>
          <w:color w:val="auto"/>
        </w:rPr>
      </w:pPr>
      <w:r>
        <w:rPr>
          <w:rFonts w:ascii="Courier New" w:cs="Courier New" w:eastAsia="Courier New" w:hAnsi="Courier New"/>
          <w:sz w:val="15"/>
          <w:szCs w:val="15"/>
          <w:color w:val="auto"/>
        </w:rPr>
        <w:t>ITRON, INC.</w:t>
      </w:r>
    </w:p>
    <w:p>
      <w:pPr>
        <w:jc w:val="center"/>
        <w:ind w:right="700"/>
        <w:spacing w:after="0"/>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620"/>
        <w:spacing w:after="0"/>
        <w:rPr>
          <w:sz w:val="20"/>
          <w:szCs w:val="20"/>
          <w:color w:val="auto"/>
        </w:rPr>
      </w:pPr>
      <w:r>
        <w:rPr>
          <w:rFonts w:ascii="Courier New" w:cs="Courier New" w:eastAsia="Courier New" w:hAnsi="Courier New"/>
          <w:sz w:val="15"/>
          <w:szCs w:val="15"/>
          <w:color w:val="auto"/>
        </w:rPr>
        <w:t>September 30, 2001 and 2000</w:t>
      </w:r>
    </w:p>
    <w:p>
      <w:pPr>
        <w:jc w:val="center"/>
        <w:ind w:right="60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Basis of Presentation</w:t>
      </w:r>
    </w:p>
    <w:p>
      <w:pPr>
        <w:spacing w:after="0" w:line="175" w:lineRule="exact"/>
        <w:rPr>
          <w:sz w:val="20"/>
          <w:szCs w:val="20"/>
          <w:color w:val="auto"/>
        </w:rPr>
      </w:pPr>
    </w:p>
    <w:p>
      <w:pPr>
        <w:ind w:right="700"/>
        <w:spacing w:after="0" w:line="257" w:lineRule="auto"/>
        <w:rPr>
          <w:sz w:val="20"/>
          <w:szCs w:val="20"/>
          <w:color w:val="auto"/>
        </w:rPr>
      </w:pPr>
      <w:r>
        <w:rPr>
          <w:rFonts w:ascii="Courier New" w:cs="Courier New" w:eastAsia="Courier New" w:hAnsi="Courier New"/>
          <w:sz w:val="14"/>
          <w:szCs w:val="14"/>
          <w:color w:val="auto"/>
        </w:rPr>
        <w:t>The consolidated financial statements presented in this Form 10-Q/A are unaudited and reflect, in the opinion of management, all normal recurring adjustments necessary for a fair presentation of operations for the three- and nine-month periods ended September 30, 2001 and 2000.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Form 10-K/A for the year ended December 31, 2000, as filed with the Securities and Exchange Commission on March 1, 2002. The results of operations for the three-and nine-month periods ended September 30, 2001 are not necessarily indicative of the results expected for the full fiscal year or for any other fiscal period.</w:t>
      </w:r>
    </w:p>
    <w:p>
      <w:pPr>
        <w:spacing w:after="0" w:line="165"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During the fourth quarter of 2000, the Company implemented SEC Staff Accounting Bulletin No. 101 (SAB 101), which outlines the Staff's views on revenue recognition. As a result, we have changed our revenue recognition for certain transactions related to customer acceptance and F.O.B. destination shipments. The implementation has been accounted for as a cumulative change in accounting principle in 2000. We restated our financial results for each quarter of 2000 to conform revenue recognition to the requirements of SAB 101.</w:t>
      </w:r>
    </w:p>
    <w:p>
      <w:pPr>
        <w:spacing w:after="0" w:line="177" w:lineRule="exact"/>
        <w:rPr>
          <w:sz w:val="20"/>
          <w:szCs w:val="20"/>
          <w:color w:val="auto"/>
        </w:rPr>
      </w:pPr>
    </w:p>
    <w:p>
      <w:pPr>
        <w:ind w:right="700"/>
        <w:spacing w:after="0" w:line="237" w:lineRule="auto"/>
        <w:rPr>
          <w:sz w:val="20"/>
          <w:szCs w:val="20"/>
          <w:color w:val="auto"/>
        </w:rPr>
      </w:pPr>
      <w:r>
        <w:rPr>
          <w:rFonts w:ascii="Courier New" w:cs="Courier New" w:eastAsia="Courier New" w:hAnsi="Courier New"/>
          <w:sz w:val="15"/>
          <w:szCs w:val="15"/>
          <w:color w:val="auto"/>
        </w:rPr>
        <w:t>In addition, subsequent to the issuance of our consolidated financial statements for the year ended December 31, 2000, we changed our revenue recognition practice retroactively to January 1, 2000 for our two outsourcing contracts under which we retain title to the related equipment. See Note 8.</w:t>
      </w:r>
    </w:p>
    <w:p>
      <w:pPr>
        <w:spacing w:after="0" w:line="176"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5"/>
          <w:szCs w:val="15"/>
          <w:color w:val="auto"/>
        </w:rPr>
        <w:t>We have invested in short-term securities in 2001 and account for these investments in accordance with Statement of Financial Accounting Standards (SFAS) No. 115, Accounting for Certain Investments in Debt and Equity Securities. We consider our short-term securities to be available-for-sale and, in accordance with SFAS No., 115, the securities are reported at fair value, with unrealized gains and losses excluded from earnings and recorded net of deferred taxes directly to stockholders' equity as accumulated other comprehensive income.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 and Capital Structure</w:t>
      </w:r>
    </w:p>
    <w:p>
      <w:pPr>
        <w:spacing w:after="0" w:line="175" w:lineRule="exact"/>
        <w:rPr>
          <w:sz w:val="20"/>
          <w:szCs w:val="20"/>
          <w:color w:val="auto"/>
        </w:rPr>
      </w:pPr>
    </w:p>
    <w:p>
      <w:pPr>
        <w:ind w:right="700"/>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Three months</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30,</w:t>
            </w:r>
          </w:p>
        </w:tc>
      </w:tr>
      <w:tr>
        <w:trPr>
          <w:trHeight w:val="170"/>
        </w:trPr>
        <w:tc>
          <w:tcPr>
            <w:tcW w:w="558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9"/>
              </w:rPr>
              <w:t>2001</w:t>
            </w:r>
          </w:p>
        </w:tc>
        <w:tc>
          <w:tcPr>
            <w:tcW w:w="2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shareholders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3,904</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15,667</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15,237</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 shareholders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3,904</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Non-discretionary adjustment, net of income taxes</w:t>
            </w:r>
          </w:p>
        </w:tc>
        <w:tc>
          <w:tcPr>
            <w:tcW w:w="28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on convertible debt, net of income taxes</w:t>
            </w:r>
          </w:p>
        </w:tc>
        <w:tc>
          <w:tcPr>
            <w:tcW w:w="2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9"/>
              </w:rPr>
              <w:t>Adjusted net income available to common shareholders, assuming</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conversion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4,056</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80" w:type="dxa"/>
            <w:vAlign w:val="bottom"/>
          </w:tcPr>
          <w:p>
            <w:pPr>
              <w:spacing w:after="0"/>
              <w:rPr>
                <w:sz w:val="24"/>
                <w:szCs w:val="2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15,667</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15,237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2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1,853</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Convertible debt</w:t>
            </w:r>
          </w:p>
        </w:tc>
        <w:tc>
          <w:tcPr>
            <w:tcW w:w="2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1,551</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Adjusted weighted average shares and assumed conversions</w:t>
            </w:r>
          </w:p>
        </w:tc>
        <w:tc>
          <w:tcPr>
            <w:tcW w:w="28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19,071</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15,512</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r>
      <w:tr>
        <w:trPr>
          <w:trHeight w:val="170"/>
        </w:trPr>
        <w:tc>
          <w:tcPr>
            <w:tcW w:w="5580" w:type="dxa"/>
            <w:vAlign w:val="bottom"/>
          </w:tcPr>
          <w:p>
            <w:pPr>
              <w:spacing w:after="0"/>
              <w:rPr>
                <w:sz w:val="14"/>
                <w:szCs w:val="14"/>
                <w:color w:val="auto"/>
              </w:rPr>
            </w:pPr>
          </w:p>
        </w:tc>
        <w:tc>
          <w:tcPr>
            <w:tcW w:w="1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Nine months ended</w:t>
      </w:r>
    </w:p>
    <w:p>
      <w:pPr>
        <w:jc w:val="center"/>
        <w:spacing w:after="0"/>
        <w:rPr>
          <w:sz w:val="20"/>
          <w:szCs w:val="20"/>
          <w:color w:val="auto"/>
        </w:rPr>
      </w:pPr>
      <w:r>
        <w:rPr>
          <w:rFonts w:ascii="Courier New" w:cs="Courier New" w:eastAsia="Courier New" w:hAnsi="Courier New"/>
          <w:sz w:val="15"/>
          <w:szCs w:val="15"/>
          <w:color w:val="auto"/>
        </w:rPr>
        <w:t>September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8,551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1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15,522</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15,132</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0.55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8,551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bl>
    <w:p>
      <w:pPr>
        <w:spacing w:after="0" w:line="5" w:lineRule="exact"/>
        <w:rPr>
          <w:sz w:val="20"/>
          <w:szCs w:val="20"/>
          <w:color w:val="auto"/>
        </w:rPr>
      </w:pPr>
    </w:p>
    <w:p>
      <w:pPr>
        <w:ind w:left="1940" w:hanging="1504"/>
        <w:spacing w:after="0"/>
        <w:tabs>
          <w:tab w:leader="none" w:pos="19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17" w:lineRule="exact"/>
        <w:rPr>
          <w:rFonts w:ascii="Courier New" w:cs="Courier New" w:eastAsia="Courier New" w:hAnsi="Courier New"/>
          <w:sz w:val="13"/>
          <w:szCs w:val="13"/>
          <w:color w:val="auto"/>
        </w:rPr>
      </w:pPr>
    </w:p>
    <w:p>
      <w:pPr>
        <w:ind w:left="440"/>
        <w:spacing w:after="0"/>
        <w:rPr>
          <w:rFonts w:ascii="Courier New" w:cs="Courier New" w:eastAsia="Courier New" w:hAnsi="Courier New"/>
          <w:sz w:val="13"/>
          <w:szCs w:val="13"/>
          <w:color w:val="auto"/>
        </w:rPr>
      </w:pPr>
      <w:r>
        <w:rPr>
          <w:rFonts w:ascii="Courier New" w:cs="Courier New" w:eastAsia="Courier New" w:hAnsi="Courier New"/>
          <w:sz w:val="15"/>
          <w:szCs w:val="15"/>
          <w:color w:val="auto"/>
        </w:rPr>
        <w:t>478</w:t>
      </w:r>
      <w:r>
        <w:rPr>
          <w:rFonts w:ascii="Courier New" w:cs="Courier New" w:eastAsia="Courier New" w:hAnsi="Courier New"/>
          <w:sz w:val="13"/>
          <w:szCs w:val="13"/>
          <w:color w:val="auto"/>
        </w:rPr>
        <w:t>-</w:t>
      </w:r>
    </w:p>
    <w:tbl>
      <w:tblPr>
        <w:tblLayout w:type="fixed"/>
        <w:tblInd w:w="0" w:type="dxa"/>
        <w:tblCellMar>
          <w:top w:w="0" w:type="dxa"/>
          <w:left w:w="0" w:type="dxa"/>
          <w:bottom w:w="0" w:type="dxa"/>
          <w:right w:w="0" w:type="dxa"/>
        </w:tblCellMar>
      </w:tblPr>
      <w:tr>
        <w:trPr>
          <w:trHeight w:val="169"/>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9,018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523</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20" w:type="dxa"/>
            <w:vAlign w:val="bottom"/>
          </w:tcPr>
          <w:p>
            <w:pPr>
              <w:spacing w:after="0"/>
              <w:rPr>
                <w:sz w:val="24"/>
                <w:szCs w:val="2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15,522</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15,132</w:t>
            </w:r>
          </w:p>
        </w:tc>
      </w:tr>
      <w:tr>
        <w:trPr>
          <w:trHeight w:val="339"/>
        </w:trPr>
        <w:tc>
          <w:tcPr>
            <w:tcW w:w="120" w:type="dxa"/>
            <w:vAlign w:val="bottom"/>
          </w:tcPr>
          <w:p>
            <w:pPr>
              <w:spacing w:after="0"/>
              <w:rPr>
                <w:sz w:val="24"/>
                <w:szCs w:val="2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1,341</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70"/>
        </w:trPr>
        <w:tc>
          <w:tcPr>
            <w:tcW w:w="12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1,551</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18,414</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15,408</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0"/>
        </w:trPr>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40" w:space="540"/>
            <w:col w:w="2020"/>
          </w:cols>
          <w:pgMar w:left="240" w:top="622" w:right="1359" w:bottom="1440" w:gutter="0" w:footer="0" w:header="0"/>
        </w:sectPr>
      </w:pPr>
    </w:p>
    <w:bookmarkStart w:id="8" w:name="page9"/>
    <w:bookmarkEnd w:id="8"/>
    <w:p>
      <w:pPr>
        <w:ind w:left="10"/>
        <w:spacing w:after="0" w:line="237" w:lineRule="auto"/>
        <w:rPr>
          <w:sz w:val="20"/>
          <w:szCs w:val="20"/>
          <w:color w:val="auto"/>
        </w:rPr>
      </w:pPr>
      <w:r>
        <w:rPr>
          <w:rFonts w:ascii="Courier New" w:cs="Courier New" w:eastAsia="Courier New" w:hAnsi="Courier New"/>
          <w:sz w:val="15"/>
          <w:szCs w:val="15"/>
          <w:color w:val="auto"/>
        </w:rPr>
        <w:t>We have granted options to purchase shares of our common stock to directors, employees and other key personnel at fair market value on the date of grant. The average price of Itron common stock was $19.17 in the third quarter of 2001, compared to $13.98 in the second quarter of 2001 and $6.60 in the third quarter of 2000.</w:t>
      </w:r>
    </w:p>
    <w:p>
      <w:pPr>
        <w:spacing w:after="0" w:line="178" w:lineRule="exact"/>
        <w:rPr>
          <w:sz w:val="20"/>
          <w:szCs w:val="20"/>
          <w:color w:val="auto"/>
        </w:rPr>
      </w:pPr>
    </w:p>
    <w:p>
      <w:pPr>
        <w:jc w:val="both"/>
        <w:ind w:left="10" w:right="80"/>
        <w:spacing w:after="0" w:line="237" w:lineRule="auto"/>
        <w:rPr>
          <w:sz w:val="20"/>
          <w:szCs w:val="20"/>
          <w:color w:val="auto"/>
        </w:rPr>
      </w:pPr>
      <w:r>
        <w:rPr>
          <w:rFonts w:ascii="Courier New" w:cs="Courier New" w:eastAsia="Courier New" w:hAnsi="Courier New"/>
          <w:sz w:val="15"/>
          <w:szCs w:val="15"/>
          <w:color w:val="auto"/>
        </w:rPr>
        <w:t>The dilutive effect of options is calculated using the "treasury stock" method. The dilutive earnings per share impact of the additional 1.9 million shares was $0.024, or 10%, for the third quarter of 2001.</w:t>
      </w:r>
    </w:p>
    <w:p>
      <w:pPr>
        <w:spacing w:after="0" w:line="175" w:lineRule="exact"/>
        <w:rPr>
          <w:sz w:val="20"/>
          <w:szCs w:val="20"/>
          <w:color w:val="auto"/>
        </w:rPr>
      </w:pPr>
    </w:p>
    <w:p>
      <w:pPr>
        <w:ind w:left="10"/>
        <w:spacing w:after="0" w:line="238" w:lineRule="auto"/>
        <w:rPr>
          <w:sz w:val="20"/>
          <w:szCs w:val="20"/>
          <w:color w:val="auto"/>
        </w:rPr>
      </w:pPr>
      <w:r>
        <w:rPr>
          <w:rFonts w:ascii="Courier New" w:cs="Courier New" w:eastAsia="Courier New" w:hAnsi="Courier New"/>
          <w:sz w:val="15"/>
          <w:szCs w:val="15"/>
          <w:color w:val="auto"/>
        </w:rPr>
        <w:t>We also have subordinated convertible debt outstanding with conversion prices of $9.65, representing 1.5 million shares, and $23.70, representing an additional 1.6 million shares. The dilutive effect of these notes is calculated using the "if converted" method. Under this method, the after-tax amount of interest expense related to the convertible debt is added back to net income. In addition, net income is adjusted for non-discretionary items based on income that would have been computed differently had interest on the convertible debt not been recognized. The dilutive earnings per share impact of convertible debt was $0.012, or 5%, for the third quarter of 2001.</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During the third quarter of 2001, we announced a plan to repurchase up to</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300,000 shares of our common stock. As of September 30, 2001, we had repurchased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52,000 shares at an average price of $17.58.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3: Balance Sheet Components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Accounts Receivable</w:t>
      </w:r>
    </w:p>
    <w:p>
      <w:pPr>
        <w:spacing w:after="0" w:line="5" w:lineRule="exact"/>
        <w:rPr>
          <w:sz w:val="20"/>
          <w:szCs w:val="20"/>
          <w:color w:val="auto"/>
        </w:rPr>
      </w:pPr>
    </w:p>
    <w:p>
      <w:pPr>
        <w:ind w:left="170" w:right="960"/>
        <w:spacing w:after="0" w:line="235" w:lineRule="auto"/>
        <w:rPr>
          <w:sz w:val="20"/>
          <w:szCs w:val="20"/>
          <w:color w:val="auto"/>
        </w:rPr>
      </w:pPr>
      <w:r>
        <w:rPr>
          <w:rFonts w:ascii="Courier New" w:cs="Courier New" w:eastAsia="Courier New" w:hAnsi="Courier New"/>
          <w:sz w:val="15"/>
          <w:szCs w:val="15"/>
          <w:color w:val="auto"/>
        </w:rPr>
        <w:t>Trade (net of allowance for doubtful accounts of $1,544 and $1,144) Unbilled revenue</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Total accounts receivable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Inventories, net</w:t>
      </w:r>
    </w:p>
    <w:p>
      <w:pPr>
        <w:ind w:left="170"/>
        <w:spacing w:after="0"/>
        <w:rPr>
          <w:sz w:val="20"/>
          <w:szCs w:val="20"/>
          <w:color w:val="auto"/>
        </w:rPr>
      </w:pPr>
      <w:r>
        <w:rPr>
          <w:rFonts w:ascii="Courier New" w:cs="Courier New" w:eastAsia="Courier New" w:hAnsi="Courier New"/>
          <w:sz w:val="15"/>
          <w:szCs w:val="15"/>
          <w:color w:val="auto"/>
        </w:rPr>
        <w:t>Material</w:t>
      </w:r>
    </w:p>
    <w:p>
      <w:pPr>
        <w:ind w:left="170"/>
        <w:spacing w:after="0"/>
        <w:rPr>
          <w:sz w:val="20"/>
          <w:szCs w:val="20"/>
          <w:color w:val="auto"/>
        </w:rPr>
      </w:pPr>
      <w:r>
        <w:rPr>
          <w:rFonts w:ascii="Courier New" w:cs="Courier New" w:eastAsia="Courier New" w:hAnsi="Courier New"/>
          <w:sz w:val="15"/>
          <w:szCs w:val="15"/>
          <w:color w:val="auto"/>
        </w:rPr>
        <w:t>Work in process</w:t>
      </w:r>
    </w:p>
    <w:p>
      <w:pPr>
        <w:ind w:left="170"/>
        <w:spacing w:after="0" w:line="238" w:lineRule="auto"/>
        <w:rPr>
          <w:sz w:val="20"/>
          <w:szCs w:val="20"/>
          <w:color w:val="auto"/>
        </w:rPr>
      </w:pPr>
      <w:r>
        <w:rPr>
          <w:rFonts w:ascii="Courier New" w:cs="Courier New" w:eastAsia="Courier New" w:hAnsi="Courier New"/>
          <w:sz w:val="15"/>
          <w:szCs w:val="15"/>
          <w:color w:val="auto"/>
        </w:rPr>
        <w:t>Finished goods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Total manufacturing inventories</w:t>
      </w:r>
    </w:p>
    <w:p>
      <w:pPr>
        <w:ind w:left="170"/>
        <w:spacing w:after="0"/>
        <w:rPr>
          <w:sz w:val="20"/>
          <w:szCs w:val="20"/>
          <w:color w:val="auto"/>
        </w:rPr>
      </w:pPr>
      <w:r>
        <w:rPr>
          <w:rFonts w:ascii="Courier New" w:cs="Courier New" w:eastAsia="Courier New" w:hAnsi="Courier New"/>
          <w:sz w:val="15"/>
          <w:szCs w:val="15"/>
          <w:color w:val="auto"/>
        </w:rPr>
        <w:t>Service inventories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Total inventories</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4: Segment Information</w:t>
      </w:r>
    </w:p>
    <w:p>
      <w:pPr>
        <w:spacing w:after="0" w:line="175" w:lineRule="exact"/>
        <w:rPr>
          <w:sz w:val="20"/>
          <w:szCs w:val="20"/>
          <w:color w:val="auto"/>
        </w:rPr>
      </w:pPr>
    </w:p>
    <w:p>
      <w:pPr>
        <w:ind w:left="10"/>
        <w:spacing w:after="0" w:line="237" w:lineRule="auto"/>
        <w:rPr>
          <w:sz w:val="20"/>
          <w:szCs w:val="20"/>
          <w:color w:val="auto"/>
        </w:rPr>
      </w:pPr>
      <w:r>
        <w:rPr>
          <w:rFonts w:ascii="Courier New" w:cs="Courier New" w:eastAsia="Courier New" w:hAnsi="Courier New"/>
          <w:sz w:val="15"/>
          <w:szCs w:val="15"/>
          <w:color w:val="auto"/>
        </w:rPr>
        <w:t>We are internally organized around six strategic business units ("SBUs") focused on the customer segments that we serve. These SBUs are Electric Systems, Natural Gas Systems, Water &amp; Public Power Systems, Energy Information Systems ("EIS"), International Systems, and Client Services.</w:t>
      </w:r>
    </w:p>
    <w:p>
      <w:pPr>
        <w:spacing w:after="0" w:line="176" w:lineRule="exact"/>
        <w:rPr>
          <w:sz w:val="20"/>
          <w:szCs w:val="20"/>
          <w:color w:val="auto"/>
        </w:rPr>
      </w:pPr>
    </w:p>
    <w:p>
      <w:pPr>
        <w:ind w:left="10"/>
        <w:spacing w:after="0" w:line="256" w:lineRule="auto"/>
        <w:rPr>
          <w:sz w:val="20"/>
          <w:szCs w:val="20"/>
          <w:color w:val="auto"/>
        </w:rPr>
      </w:pPr>
      <w:r>
        <w:rPr>
          <w:rFonts w:ascii="Courier New" w:cs="Courier New" w:eastAsia="Courier New" w:hAnsi="Courier New"/>
          <w:sz w:val="14"/>
          <w:szCs w:val="14"/>
          <w:color w:val="auto"/>
        </w:rPr>
        <w:t>Revenues for Electric, Natural Gas, and Water &amp; Public Power Systems include hardware, custom and licensed software, project management, installation and support activities, and outsourcing services, where we own and operate, or simply operate, systems for a periodic fee. Client Services revenues include post-sale support activities, primarily for our Electric, Natural Gas, and Water</w:t>
      </w:r>
    </w:p>
    <w:p>
      <w:pPr>
        <w:spacing w:after="0" w:line="2" w:lineRule="exact"/>
        <w:rPr>
          <w:sz w:val="20"/>
          <w:szCs w:val="20"/>
          <w:color w:val="auto"/>
        </w:rPr>
      </w:pPr>
    </w:p>
    <w:p>
      <w:pPr>
        <w:ind w:left="10" w:right="80" w:hanging="10"/>
        <w:spacing w:after="0" w:line="238" w:lineRule="auto"/>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Power Systems SBUs. EIS has two main areas of focus: advanced software solutions for commercial and industrial users of energy; and advanced software systems for financial settlements, load analysis and billing for wholesale energy markets. EIS also provides consulting services in these areas as well. Revenues for EIS and International generally include all of the above types of revenues. Inter-segment revenues are immaterial.</w:t>
      </w:r>
    </w:p>
    <w:p>
      <w:pPr>
        <w:spacing w:after="0" w:line="176" w:lineRule="exact"/>
        <w:rPr>
          <w:sz w:val="20"/>
          <w:szCs w:val="20"/>
          <w:color w:val="auto"/>
        </w:rPr>
      </w:pPr>
    </w:p>
    <w:p>
      <w:pPr>
        <w:ind w:left="10"/>
        <w:spacing w:after="0" w:line="257" w:lineRule="auto"/>
        <w:rPr>
          <w:sz w:val="20"/>
          <w:szCs w:val="20"/>
          <w:color w:val="auto"/>
        </w:rPr>
      </w:pPr>
      <w:r>
        <w:rPr>
          <w:rFonts w:ascii="Courier New" w:cs="Courier New" w:eastAsia="Courier New" w:hAnsi="Courier New"/>
          <w:sz w:val="14"/>
          <w:szCs w:val="14"/>
          <w:color w:val="auto"/>
        </w:rPr>
        <w:t>Management has three primary measures for each of our operating segments: revenue, gross margin, and operating income. Of these three measures, operating income is our primary profit and loss measure. It is defined as operating income after the allocation of basic services (such as floor space and communication expense), excluding the allocation of corporate product development, marketing, miscellaneous manufacturing and certain other corporate expenses. Operating income is calculated as revenue, less direct costs associated with that revenue, less operating expenses directly incurred by the segment and less the allocations mentioned above. Operating expenses directly associated with each segment may include sales, marketing, development, or administrative expenses. Corporate consists of operating expenses not allocated to the other segments. Certain amounts in the 2000 financial statements have been reclassified to conform with the 2001 presentation, including all amounts related to Client Services, which was newly formed, effective January 1, 2001.</w:t>
      </w:r>
    </w:p>
    <w:p>
      <w:pPr>
        <w:spacing w:after="0" w:line="15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$ 36,044</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$ 42,218</w:t>
            </w:r>
          </w:p>
        </w:tc>
      </w:tr>
      <w:tr>
        <w:trPr>
          <w:trHeight w:val="170"/>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8,752</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7,641</w:t>
            </w:r>
          </w:p>
        </w:tc>
      </w:tr>
      <w:tr>
        <w:trPr>
          <w:trHeight w:val="170"/>
        </w:trPr>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$ 44,796</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$ 49,859</w:t>
            </w:r>
          </w:p>
        </w:tc>
      </w:tr>
      <w:tr>
        <w:trPr>
          <w:trHeight w:val="170"/>
        </w:trPr>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509"/>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4,485</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5,721</w:t>
            </w:r>
          </w:p>
        </w:tc>
      </w:tr>
      <w:tr>
        <w:trPr>
          <w:trHeight w:val="170"/>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641</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737</w:t>
            </w:r>
          </w:p>
        </w:tc>
      </w:tr>
      <w:tr>
        <w:trPr>
          <w:trHeight w:val="170"/>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11,067</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9,723</w:t>
            </w:r>
          </w:p>
        </w:tc>
      </w:tr>
      <w:tr>
        <w:trPr>
          <w:trHeight w:val="170"/>
        </w:trPr>
        <w:tc>
          <w:tcPr>
            <w:tcW w:w="17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16,193</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16,181</w:t>
            </w:r>
          </w:p>
        </w:tc>
      </w:tr>
    </w:tbl>
    <w:p>
      <w:pPr>
        <w:ind w:left="2660" w:hanging="1420"/>
        <w:spacing w:after="0"/>
        <w:tabs>
          <w:tab w:leader="none" w:pos="26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$ 16,929</w:t>
      </w:r>
      <w:r>
        <w:rPr>
          <w:sz w:val="20"/>
          <w:szCs w:val="20"/>
          <w:color w:val="auto"/>
        </w:rPr>
        <w:tab/>
      </w:r>
      <w:r>
        <w:rPr>
          <w:rFonts w:ascii="Courier New" w:cs="Courier New" w:eastAsia="Courier New" w:hAnsi="Courier New"/>
          <w:sz w:val="14"/>
          <w:szCs w:val="14"/>
          <w:color w:val="auto"/>
        </w:rPr>
        <w:t>$ 17,196</w:t>
      </w:r>
    </w:p>
    <w:p>
      <w:pPr>
        <w:spacing w:after="0" w:line="238" w:lineRule="auto"/>
        <w:tabs>
          <w:tab w:leader="none" w:pos="1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050" w:space="260"/>
            <w:col w:w="3260"/>
          </w:cols>
          <w:pgMar w:left="230" w:top="627" w:right="1099" w:bottom="904" w:gutter="0" w:footer="0" w:header="0"/>
        </w:sectPr>
      </w:pPr>
    </w:p>
    <w:bookmarkStart w:id="9" w:name="page10"/>
    <w:bookmarkEnd w:id="9"/>
    <w:p>
      <w:pPr>
        <w:ind w:right="4560"/>
        <w:spacing w:after="0" w:line="235" w:lineRule="auto"/>
        <w:rPr>
          <w:sz w:val="20"/>
          <w:szCs w:val="20"/>
          <w:color w:val="auto"/>
        </w:rPr>
      </w:pPr>
      <w:r>
        <w:rPr>
          <w:rFonts w:ascii="Courier New" w:cs="Courier New" w:eastAsia="Courier New" w:hAnsi="Courier New"/>
          <w:sz w:val="15"/>
          <w:szCs w:val="15"/>
          <w:color w:val="auto"/>
        </w:rPr>
        <w:t>Segment revenues and operating results for the comparable quarters are detailed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8"/>
              </w:rPr>
              <w:t>Three months ended September 30,</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Electric</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Natural Gas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Water &amp; PP</w:t>
            </w:r>
          </w:p>
        </w:tc>
        <w:tc>
          <w:tcPr>
            <w:tcW w:w="540" w:type="dxa"/>
            <w:vAlign w:val="bottom"/>
          </w:tcPr>
          <w:p>
            <w:pPr>
              <w:spacing w:after="0"/>
              <w:rPr>
                <w:sz w:val="14"/>
                <w:szCs w:val="14"/>
                <w:color w:val="auto"/>
              </w:rPr>
            </w:pPr>
          </w:p>
        </w:tc>
        <w:tc>
          <w:tcPr>
            <w:tcW w:w="84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6"/>
              </w:rPr>
              <w:t>EIS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Internat'l</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Client Svcs</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Corporate</w:t>
            </w:r>
          </w:p>
        </w:tc>
        <w:tc>
          <w:tcPr>
            <w:tcW w:w="440" w:type="dxa"/>
            <w:vAlign w:val="bottom"/>
          </w:tcPr>
          <w:p>
            <w:pPr>
              <w:spacing w:after="0"/>
              <w:rPr>
                <w:sz w:val="14"/>
                <w:szCs w:val="14"/>
                <w:color w:val="auto"/>
              </w:rPr>
            </w:pPr>
          </w:p>
        </w:tc>
        <w:tc>
          <w:tcPr>
            <w:tcW w:w="6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1400" w:type="dxa"/>
            <w:vAlign w:val="bottom"/>
          </w:tcPr>
          <w:p>
            <w:pPr>
              <w:spacing w:after="0"/>
              <w:rPr>
                <w:sz w:val="14"/>
                <w:szCs w:val="14"/>
                <w:color w:val="auto"/>
              </w:rPr>
            </w:pP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37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 ----------- --------------</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center"/>
              <w:ind w:left="8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$ 18,760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8,649</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$ 16,922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3,651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7,551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$ 60,855</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10,407</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3,844</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8,573</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1,958</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2,930</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5,611</w:t>
            </w:r>
          </w:p>
        </w:tc>
        <w:tc>
          <w:tcPr>
            <w:tcW w:w="4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479</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33,802</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8,353</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4,805</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8,349</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1,693</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2,392</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1,940</w:t>
            </w:r>
          </w:p>
        </w:tc>
        <w:tc>
          <w:tcPr>
            <w:tcW w:w="44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27,053</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5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1,391</w:t>
            </w:r>
          </w:p>
        </w:tc>
        <w:tc>
          <w:tcPr>
            <w:tcW w:w="44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888</w:t>
            </w:r>
          </w:p>
        </w:tc>
        <w:tc>
          <w:tcPr>
            <w:tcW w:w="5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2,200</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2,435</w:t>
            </w:r>
          </w:p>
        </w:tc>
        <w:tc>
          <w:tcPr>
            <w:tcW w:w="50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w:t>
            </w:r>
          </w:p>
        </w:tc>
        <w:tc>
          <w:tcPr>
            <w:tcW w:w="4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12,048</w:t>
            </w:r>
          </w:p>
        </w:tc>
        <w:tc>
          <w:tcPr>
            <w:tcW w:w="44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19,755</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income/(loss)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4,109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7,461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1,843</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$(12,527)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7,298</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7,656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3,776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$ 40,692</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3,524</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3,812</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5,363</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2,551</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2,135</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5,308</w:t>
            </w:r>
          </w:p>
        </w:tc>
        <w:tc>
          <w:tcPr>
            <w:tcW w:w="4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1,670</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24,363</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4,132</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4,516</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4,452</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2,027</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1,641</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1,231</w:t>
            </w:r>
          </w:p>
        </w:tc>
        <w:tc>
          <w:tcPr>
            <w:tcW w:w="44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(1,670)</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16,329</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5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822</w:t>
            </w:r>
          </w:p>
        </w:tc>
        <w:tc>
          <w:tcPr>
            <w:tcW w:w="44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560</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686</w:t>
            </w:r>
          </w:p>
        </w:tc>
        <w:tc>
          <w:tcPr>
            <w:tcW w:w="5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1,494</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1,182</w:t>
            </w:r>
          </w:p>
        </w:tc>
        <w:tc>
          <w:tcPr>
            <w:tcW w:w="50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218</w:t>
            </w:r>
          </w:p>
        </w:tc>
        <w:tc>
          <w:tcPr>
            <w:tcW w:w="4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9,584</w:t>
            </w:r>
          </w:p>
        </w:tc>
        <w:tc>
          <w:tcPr>
            <w:tcW w:w="44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14,546</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income/(loss)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3,766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1,013</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$(11,254)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1,783</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(in thousands)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Electric</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Natural Gas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Water &amp; PP</w:t>
            </w:r>
          </w:p>
        </w:tc>
        <w:tc>
          <w:tcPr>
            <w:tcW w:w="540" w:type="dxa"/>
            <w:vAlign w:val="bottom"/>
          </w:tcPr>
          <w:p>
            <w:pPr>
              <w:spacing w:after="0"/>
              <w:rPr>
                <w:sz w:val="14"/>
                <w:szCs w:val="14"/>
                <w:color w:val="auto"/>
              </w:rPr>
            </w:pPr>
          </w:p>
        </w:tc>
        <w:tc>
          <w:tcPr>
            <w:tcW w:w="84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6"/>
              </w:rPr>
              <w:t>EIS</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Internat'l</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Client Svcs</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Corporate</w:t>
            </w:r>
          </w:p>
        </w:tc>
        <w:tc>
          <w:tcPr>
            <w:tcW w:w="440" w:type="dxa"/>
            <w:vAlign w:val="bottom"/>
          </w:tcPr>
          <w:p>
            <w:pPr>
              <w:spacing w:after="0"/>
              <w:rPr>
                <w:sz w:val="14"/>
                <w:szCs w:val="14"/>
                <w:color w:val="auto"/>
              </w:rPr>
            </w:pPr>
          </w:p>
        </w:tc>
        <w:tc>
          <w:tcPr>
            <w:tcW w:w="6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1400" w:type="dxa"/>
            <w:vAlign w:val="bottom"/>
          </w:tcPr>
          <w:p>
            <w:pPr>
              <w:spacing w:after="0"/>
              <w:rPr>
                <w:sz w:val="14"/>
                <w:szCs w:val="14"/>
                <w:color w:val="auto"/>
              </w:rPr>
            </w:pP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378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8"/>
              </w:rPr>
              <w:t>-------------- ----------- --------------</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center"/>
              <w:ind w:left="8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$ 47,321</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$ 23,049</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$ 35,787</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$ 12,621</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$ 20,105</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$ 22,457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$161,340</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25,800</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10,127</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18,322</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6,632</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12,220</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16,653</w:t>
            </w:r>
          </w:p>
        </w:tc>
        <w:tc>
          <w:tcPr>
            <w:tcW w:w="4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2,710</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92,464</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21,521</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12,922</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17,465</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5,989</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7,885</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5,804</w:t>
            </w:r>
          </w:p>
        </w:tc>
        <w:tc>
          <w:tcPr>
            <w:tcW w:w="44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(2,710)</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68,876</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5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3,623</w:t>
            </w:r>
          </w:p>
        </w:tc>
        <w:tc>
          <w:tcPr>
            <w:tcW w:w="44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1,938</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2,478</w:t>
            </w:r>
          </w:p>
        </w:tc>
        <w:tc>
          <w:tcPr>
            <w:tcW w:w="5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5,481</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5,750</w:t>
            </w:r>
          </w:p>
        </w:tc>
        <w:tc>
          <w:tcPr>
            <w:tcW w:w="50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w:t>
            </w:r>
          </w:p>
        </w:tc>
        <w:tc>
          <w:tcPr>
            <w:tcW w:w="4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32,433</w:t>
            </w:r>
          </w:p>
        </w:tc>
        <w:tc>
          <w:tcPr>
            <w:tcW w:w="44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52,010</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income/(loss)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$ 17,898</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$ 10,984</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$ 14,987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2,135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5,497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$(35,143)</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$ 16,866</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$ 24,315</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$ 28,662</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$ 33,353</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$ 15,661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9,436</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$ 20,760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$132,187</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11,109</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12,296</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17,640</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8,091</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5,186</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18,382</w:t>
            </w:r>
          </w:p>
        </w:tc>
        <w:tc>
          <w:tcPr>
            <w:tcW w:w="4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8,284</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80,988</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13,206</w:t>
            </w:r>
          </w:p>
        </w:tc>
        <w:tc>
          <w:tcPr>
            <w:tcW w:w="44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16,366</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15,713</w:t>
            </w:r>
          </w:p>
        </w:tc>
        <w:tc>
          <w:tcPr>
            <w:tcW w:w="54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7,570</w:t>
            </w:r>
          </w:p>
        </w:tc>
        <w:tc>
          <w:tcPr>
            <w:tcW w:w="30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4,250</w:t>
            </w:r>
          </w:p>
        </w:tc>
        <w:tc>
          <w:tcPr>
            <w:tcW w:w="50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2,378</w:t>
            </w:r>
          </w:p>
        </w:tc>
        <w:tc>
          <w:tcPr>
            <w:tcW w:w="44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(8,284)</w:t>
            </w:r>
          </w:p>
        </w:tc>
        <w:tc>
          <w:tcPr>
            <w:tcW w:w="44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51,199</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5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2,633</w:t>
            </w:r>
          </w:p>
        </w:tc>
        <w:tc>
          <w:tcPr>
            <w:tcW w:w="44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1,889</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2,100</w:t>
            </w:r>
          </w:p>
        </w:tc>
        <w:tc>
          <w:tcPr>
            <w:tcW w:w="5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4,559</w:t>
            </w:r>
          </w:p>
        </w:tc>
        <w:tc>
          <w:tcPr>
            <w:tcW w:w="300" w:type="dxa"/>
            <w:vAlign w:val="bottom"/>
          </w:tcPr>
          <w:p>
            <w:pPr>
              <w:spacing w:after="0"/>
              <w:rPr>
                <w:sz w:val="24"/>
                <w:szCs w:val="2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4,204</w:t>
            </w:r>
          </w:p>
        </w:tc>
        <w:tc>
          <w:tcPr>
            <w:tcW w:w="500" w:type="dxa"/>
            <w:vAlign w:val="bottom"/>
          </w:tcPr>
          <w:p>
            <w:pPr>
              <w:spacing w:after="0"/>
              <w:rPr>
                <w:sz w:val="24"/>
                <w:szCs w:val="24"/>
                <w:color w:val="auto"/>
              </w:rPr>
            </w:pP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660</w:t>
            </w:r>
          </w:p>
        </w:tc>
        <w:tc>
          <w:tcPr>
            <w:tcW w:w="440" w:type="dxa"/>
            <w:vAlign w:val="bottom"/>
          </w:tcPr>
          <w:p>
            <w:pPr>
              <w:spacing w:after="0"/>
              <w:rPr>
                <w:sz w:val="24"/>
                <w:szCs w:val="2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29,651</w:t>
            </w:r>
          </w:p>
        </w:tc>
        <w:tc>
          <w:tcPr>
            <w:tcW w:w="44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45,696</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income/(loss)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$ 10,573</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$ 14,477</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$ 13,613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3,011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1,718</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$(37,935)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5,503</w:t>
            </w:r>
          </w:p>
        </w:tc>
      </w:tr>
      <w:tr>
        <w:trPr>
          <w:trHeight w:val="170"/>
        </w:trPr>
        <w:tc>
          <w:tcPr>
            <w:tcW w:w="140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Restructuring</w:t>
      </w:r>
    </w:p>
    <w:p>
      <w:pPr>
        <w:spacing w:after="0" w:line="175" w:lineRule="exact"/>
        <w:rPr>
          <w:sz w:val="20"/>
          <w:szCs w:val="20"/>
          <w:color w:val="auto"/>
        </w:rPr>
      </w:pPr>
    </w:p>
    <w:p>
      <w:pPr>
        <w:ind w:right="4480"/>
        <w:spacing w:after="0" w:line="238" w:lineRule="auto"/>
        <w:rPr>
          <w:sz w:val="20"/>
          <w:szCs w:val="20"/>
          <w:color w:val="auto"/>
        </w:rPr>
      </w:pPr>
      <w:r>
        <w:rPr>
          <w:rFonts w:ascii="Courier New" w:cs="Courier New" w:eastAsia="Courier New" w:hAnsi="Courier New"/>
          <w:sz w:val="15"/>
          <w:szCs w:val="15"/>
          <w:color w:val="auto"/>
        </w:rPr>
        <w:t>We recorded charges totaling $16.3 million in 1999 for restructuring activities that have improved efficiencies and reduced costs. Our restructuring actions included the consolidation of high volume manufacturing to our plant in Minnesota, a reduction of products and software platforms supported by the Company, consolidation of product development locations, and a reduction in activities in Europe not related to our core business. The majority of our restructuring charges were related to a reduction in force of approximately 300 people of which approximately 50% were in manufacturing, 25% in product development and the remainder throughout the Company. Twenty-five percent of the reductions were management positions. The remaining charges relate to impairment of equipment and estimated future lease payments for abandoned facilities. In the second quarter of 2001, we increased our severance reserve by $0.2 million for remaining obligations that will be fully realized by the third quarter of 2002, and decreased our consolidation of facilities reserve by $1million based on our sublease of vacated space and related issues. Restructuring reserve balance adjustments and payments for the first nine months of 2001 are detailed below (in thousands):</w:t>
      </w:r>
    </w:p>
    <w:p>
      <w:pPr>
        <w:spacing w:after="0" w:line="181"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0"/>
          </w:cols>
          <w:pgMar w:left="240" w:top="627" w:right="139" w:bottom="1074" w:gutter="0" w:footer="0" w:header="0"/>
        </w:sectPr>
      </w:pPr>
    </w:p>
    <w:bookmarkStart w:id="10" w:name="page11"/>
    <w:bookmarkEnd w:id="10"/>
    <w:p>
      <w:pPr>
        <w:jc w:val="both"/>
        <w:ind w:left="5100"/>
        <w:spacing w:after="0"/>
        <w:tabs>
          <w:tab w:leader="none" w:pos="6760" w:val="left"/>
        </w:tabs>
        <w:rPr>
          <w:sz w:val="20"/>
          <w:szCs w:val="20"/>
          <w:color w:val="auto"/>
        </w:rPr>
      </w:pPr>
      <w:r>
        <w:rPr>
          <w:rFonts w:ascii="Courier New" w:cs="Courier New" w:eastAsia="Courier New" w:hAnsi="Courier New"/>
          <w:sz w:val="15"/>
          <w:szCs w:val="15"/>
          <w:color w:val="auto"/>
        </w:rPr>
        <w:t>Reserve</w:t>
      </w:r>
      <w:r>
        <w:rPr>
          <w:sz w:val="20"/>
          <w:szCs w:val="20"/>
          <w:color w:val="auto"/>
        </w:rPr>
        <w:tab/>
      </w:r>
      <w:r>
        <w:rPr>
          <w:rFonts w:ascii="Courier New" w:cs="Courier New" w:eastAsia="Courier New" w:hAnsi="Courier New"/>
          <w:sz w:val="15"/>
          <w:szCs w:val="15"/>
          <w:color w:val="auto"/>
        </w:rPr>
        <w:t>Reserve</w:t>
      </w:r>
    </w:p>
    <w:p>
      <w:pPr>
        <w:jc w:val="both"/>
        <w:ind w:left="3700"/>
        <w:spacing w:after="0"/>
        <w:tabs>
          <w:tab w:leader="none" w:pos="5080" w:val="left"/>
          <w:tab w:leader="none" w:pos="6760" w:val="left"/>
        </w:tabs>
        <w:rPr>
          <w:sz w:val="20"/>
          <w:szCs w:val="20"/>
          <w:color w:val="auto"/>
        </w:rPr>
      </w:pP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4"/>
          <w:szCs w:val="14"/>
          <w:color w:val="auto"/>
        </w:rPr>
        <w:t>Balance</w:t>
      </w:r>
    </w:p>
    <w:p>
      <w:pPr>
        <w:spacing w:after="0"/>
        <w:tabs>
          <w:tab w:leader="none" w:pos="3500" w:val="left"/>
          <w:tab w:leader="none" w:pos="5080" w:val="left"/>
          <w:tab w:leader="none" w:pos="6580" w:val="left"/>
        </w:tabs>
        <w:rPr>
          <w:sz w:val="20"/>
          <w:szCs w:val="20"/>
          <w:color w:val="auto"/>
        </w:rPr>
      </w:pPr>
      <w:r>
        <w:rPr>
          <w:rFonts w:ascii="Courier New" w:cs="Courier New" w:eastAsia="Courier New" w:hAnsi="Courier New"/>
          <w:sz w:val="15"/>
          <w:szCs w:val="15"/>
          <w:color w:val="auto"/>
        </w:rPr>
        <w:t>(Unaudited, in thousands)</w:t>
      </w:r>
      <w:r>
        <w:rPr>
          <w:sz w:val="20"/>
          <w:szCs w:val="20"/>
          <w:color w:val="auto"/>
        </w:rPr>
        <w:tab/>
      </w:r>
      <w:r>
        <w:rPr>
          <w:rFonts w:ascii="Courier New" w:cs="Courier New" w:eastAsia="Courier New" w:hAnsi="Courier New"/>
          <w:sz w:val="15"/>
          <w:szCs w:val="15"/>
          <w:color w:val="auto"/>
        </w:rPr>
        <w:t>Non-Cash</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4"/>
          <w:szCs w:val="14"/>
          <w:color w:val="auto"/>
        </w:rPr>
        <w:t>Adjustments</w:t>
      </w:r>
    </w:p>
    <w:p>
      <w:pPr>
        <w:ind w:left="3340"/>
        <w:spacing w:after="0"/>
        <w:tabs>
          <w:tab w:leader="none" w:pos="4820" w:val="left"/>
          <w:tab w:leader="none" w:pos="6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3580" w:val="left"/>
          <w:tab w:leader="none" w:pos="5260" w:val="left"/>
          <w:tab w:leader="none" w:pos="5620" w:val="left"/>
          <w:tab w:leader="none" w:pos="6840" w:val="left"/>
          <w:tab w:leader="none" w:pos="7200" w:val="left"/>
        </w:tabs>
        <w:rPr>
          <w:sz w:val="20"/>
          <w:szCs w:val="20"/>
          <w:color w:val="auto"/>
        </w:rPr>
      </w:pPr>
      <w:r>
        <w:rPr>
          <w:rFonts w:ascii="Courier New" w:cs="Courier New" w:eastAsia="Courier New" w:hAnsi="Courier New"/>
          <w:sz w:val="15"/>
          <w:szCs w:val="15"/>
          <w:color w:val="auto"/>
        </w:rPr>
        <w:t>Severance and related charges</w:t>
      </w:r>
      <w:r>
        <w:rPr>
          <w:sz w:val="20"/>
          <w:szCs w:val="20"/>
          <w:color w:val="auto"/>
        </w:rPr>
        <w:tab/>
      </w: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206</w:t>
      </w:r>
    </w:p>
    <w:p>
      <w:pPr>
        <w:spacing w:after="0"/>
        <w:tabs>
          <w:tab w:leader="none" w:pos="3580" w:val="left"/>
          <w:tab w:leader="none" w:pos="5440" w:val="left"/>
          <w:tab w:leader="none" w:pos="6940" w:val="left"/>
        </w:tabs>
        <w:rPr>
          <w:sz w:val="20"/>
          <w:szCs w:val="20"/>
          <w:color w:val="auto"/>
        </w:rPr>
      </w:pPr>
      <w:r>
        <w:rPr>
          <w:rFonts w:ascii="Courier New" w:cs="Courier New" w:eastAsia="Courier New" w:hAnsi="Courier New"/>
          <w:sz w:val="15"/>
          <w:szCs w:val="15"/>
          <w:color w:val="auto"/>
        </w:rPr>
        <w:t>Consolidation of facilities</w:t>
      </w:r>
      <w:r>
        <w:rPr>
          <w:sz w:val="20"/>
          <w:szCs w:val="20"/>
          <w:color w:val="auto"/>
        </w:rPr>
        <w:tab/>
      </w: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5"/>
          <w:szCs w:val="15"/>
          <w:color w:val="auto"/>
        </w:rPr>
        <w:t>2,616</w:t>
      </w:r>
      <w:r>
        <w:rPr>
          <w:sz w:val="20"/>
          <w:szCs w:val="20"/>
          <w:color w:val="auto"/>
        </w:rPr>
        <w:tab/>
      </w:r>
      <w:r>
        <w:rPr>
          <w:rFonts w:ascii="Courier New" w:cs="Courier New" w:eastAsia="Courier New" w:hAnsi="Courier New"/>
          <w:sz w:val="14"/>
          <w:szCs w:val="14"/>
          <w:color w:val="auto"/>
        </w:rPr>
        <w:t>(1,013)</w:t>
      </w:r>
    </w:p>
    <w:p>
      <w:pPr>
        <w:ind w:left="4840"/>
        <w:spacing w:after="0"/>
        <w:tabs>
          <w:tab w:leader="none" w:pos="6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5260" w:val="left"/>
          <w:tab w:leader="none" w:pos="6840" w:val="left"/>
          <w:tab w:leader="none" w:pos="7120" w:val="left"/>
        </w:tabs>
        <w:rPr>
          <w:sz w:val="20"/>
          <w:szCs w:val="20"/>
          <w:color w:val="auto"/>
        </w:rPr>
      </w:pPr>
      <w:r>
        <w:rPr>
          <w:rFonts w:ascii="Courier New" w:cs="Courier New" w:eastAsia="Courier New" w:hAnsi="Courier New"/>
          <w:sz w:val="15"/>
          <w:szCs w:val="15"/>
          <w:color w:val="auto"/>
        </w:rPr>
        <w:t>Totals</w:t>
      </w:r>
      <w:r>
        <w:rPr>
          <w:sz w:val="20"/>
          <w:szCs w:val="20"/>
          <w:color w:val="auto"/>
        </w:rPr>
        <w:tab/>
      </w:r>
      <w:r>
        <w:rPr>
          <w:rFonts w:ascii="Courier New" w:cs="Courier New" w:eastAsia="Courier New" w:hAnsi="Courier New"/>
          <w:sz w:val="15"/>
          <w:szCs w:val="15"/>
          <w:color w:val="auto"/>
        </w:rPr>
        <w:t>$ 2,775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(807)</w:t>
      </w:r>
    </w:p>
    <w:p>
      <w:pPr>
        <w:jc w:val="both"/>
        <w:ind w:left="4840"/>
        <w:spacing w:after="0"/>
        <w:tabs>
          <w:tab w:leader="none" w:pos="6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Contingencies</w:t>
      </w:r>
    </w:p>
    <w:p>
      <w:pPr>
        <w:spacing w:after="0" w:line="175"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We enter into performance and bid bonds for certain customers. Performance bonds usually cover the installation phase of a contract and may on occasion cover the operations and maintenance phase of outsourcing contracts. Bonds in force were $39.7 million and $48.0 million at September 30, 2001 and 2000, respectively. Additionally, we have standby letters of credit to guarantee our performance under certain contracts. The outstanding amounts of standby letters of credit were $12.3 million and $11.3 million at September 30, 2001 and 2000, respectively. $5.1 million of cash is restricted and backs a $5.0 million standby letter of credit.</w:t>
      </w:r>
    </w:p>
    <w:p>
      <w:pPr>
        <w:spacing w:after="0" w:line="179" w:lineRule="exact"/>
        <w:rPr>
          <w:sz w:val="20"/>
          <w:szCs w:val="20"/>
          <w:color w:val="auto"/>
        </w:rPr>
      </w:pPr>
    </w:p>
    <w:p>
      <w:pPr>
        <w:ind w:right="780"/>
        <w:spacing w:after="0" w:line="237"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w:t>
      </w:r>
    </w:p>
    <w:p>
      <w:pPr>
        <w:spacing w:after="0" w:line="176"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5"/>
          <w:szCs w:val="15"/>
          <w:color w:val="auto"/>
        </w:rPr>
        <w:t>In addition, we are both a plaintiff and a defendant in litigation concerning potential patent infringement. We are also both a plaintiff and a defendant in litigation relating to the sublease of our Lakeville, Minnesota facility. While the ultimate outcome and its impact on our financial statements is undeterminable at this time, if we do not prevail or reach a favorable settlement in either of these cases, the impact could have a material adverse affect on our financial condition.</w:t>
      </w:r>
    </w:p>
    <w:p>
      <w:pPr>
        <w:spacing w:after="0" w:line="177" w:lineRule="exact"/>
        <w:rPr>
          <w:sz w:val="20"/>
          <w:szCs w:val="20"/>
          <w:color w:val="auto"/>
        </w:rPr>
      </w:pPr>
    </w:p>
    <w:p>
      <w:pPr>
        <w:ind w:right="700"/>
        <w:spacing w:after="0" w:line="239" w:lineRule="auto"/>
        <w:rPr>
          <w:sz w:val="20"/>
          <w:szCs w:val="20"/>
          <w:color w:val="auto"/>
        </w:rPr>
      </w:pPr>
      <w:r>
        <w:rPr>
          <w:rFonts w:ascii="Courier New" w:cs="Courier New" w:eastAsia="Courier New" w:hAnsi="Courier New"/>
          <w:sz w:val="15"/>
          <w:szCs w:val="15"/>
          <w:color w:val="auto"/>
        </w:rPr>
        <w:t>We have a long-term outsourcing contract with Southern California Edison ("SCE") in which we own, operate and maintain a Mobile Automated Meter Reading System for approximately 360,000 of their meters, and sell meter reading data to them. At September 30, 2001, we had trade and contracts receivable totaling $393,000 from SCE and net capitalized equipment related to this contract of $9.2 million. In January 2001, in response to the California energy market situation, SCE announced it was suspending payments on certain debt and purchased power obligations. SCE has not notified us of any intention to suspend payments on our contract and has continued to make timely monthly payments. If SCE were to suspend payments to us, we believe the outsourcing contract provides us with the right to cease operations, which cessation would mean SCE would not have meter reading data to use in billing approximately 360,000 customers unless they were to hire manual meter readers. However, if SCE were to enter into bankruptcy proceedings, such action could result in a full or partial write-off of the assets and receivables. No loss contingency for this uncertainty has been accrued in our financial statements, as management believes that events resulting in a full or partial write-off of assets related to SCE are not probable.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880"/>
        <w:spacing w:after="0" w:line="257" w:lineRule="auto"/>
        <w:rPr>
          <w:sz w:val="20"/>
          <w:szCs w:val="20"/>
          <w:color w:val="auto"/>
        </w:rPr>
      </w:pPr>
      <w:r>
        <w:rPr>
          <w:rFonts w:ascii="Courier New" w:cs="Courier New" w:eastAsia="Courier New" w:hAnsi="Courier New"/>
          <w:sz w:val="14"/>
          <w:szCs w:val="14"/>
          <w:color w:val="auto"/>
        </w:rPr>
        <w:t>In late July 2001, the Financial Accounting Standards Board (FASB) issued Statement of Financial Accounting Standards (SFAS) No. 141, Business Combinations, and SFAS No. 142, Goodwill and Other Intangible Assets. SFAS 141 requires that all business combinations be accounted for using the purchase method of accounting; therefore, the pooling-of-interests method of accounting is prohibited. SFAS No. 141 also requires that intangible assets acquired in a business combination be recognized apart from goodwill if: (i) the intangible assets arise from contractual or other legal rights or (ii) the acquired intangible assets are capable of being separated from the acquired enterprise, as defined in SFAS No. 141. SFAS No. 141 is effective for all business combinations completed after June 30, 2001 and accounted for as a purchase and for all business combinations "initiated" after June 30, 2001.</w:t>
      </w:r>
    </w:p>
    <w:p>
      <w:pPr>
        <w:spacing w:after="0" w:line="166" w:lineRule="exact"/>
        <w:rPr>
          <w:sz w:val="20"/>
          <w:szCs w:val="20"/>
          <w:color w:val="auto"/>
        </w:rPr>
      </w:pPr>
    </w:p>
    <w:p>
      <w:pPr>
        <w:ind w:right="700"/>
        <w:spacing w:after="0" w:line="238" w:lineRule="auto"/>
        <w:rPr>
          <w:sz w:val="20"/>
          <w:szCs w:val="20"/>
          <w:color w:val="auto"/>
        </w:rPr>
      </w:pPr>
      <w:r>
        <w:rPr>
          <w:rFonts w:ascii="Courier New" w:cs="Courier New" w:eastAsia="Courier New" w:hAnsi="Courier New"/>
          <w:sz w:val="15"/>
          <w:szCs w:val="15"/>
          <w:color w:val="auto"/>
        </w:rPr>
        <w:t>SFAS No. 142 requires that goodwill should not be amortized but should be tested for impairment at the "reporting unit level" (Reporting Unit) at least annually and more frequently upon the occurrence of certain events, as defined by SFAS No. 142. A Reporting Unit is the same level as or one level below an "operating segment," as defined by SFAS No. 131, Disclosures About Segments of an Enterprise and Related Information. Identifiable intangible assets with a finite life, as defined in SFAS No. 142, will be amortized.</w:t>
      </w:r>
    </w:p>
    <w:p>
      <w:pPr>
        <w:spacing w:after="0" w:line="177" w:lineRule="exact"/>
        <w:rPr>
          <w:sz w:val="20"/>
          <w:szCs w:val="20"/>
          <w:color w:val="auto"/>
        </w:rPr>
      </w:pPr>
    </w:p>
    <w:p>
      <w:pPr>
        <w:ind w:right="700"/>
        <w:spacing w:after="0" w:line="260" w:lineRule="auto"/>
        <w:rPr>
          <w:sz w:val="20"/>
          <w:szCs w:val="20"/>
          <w:color w:val="auto"/>
        </w:rPr>
      </w:pPr>
      <w:r>
        <w:rPr>
          <w:rFonts w:ascii="Courier New" w:cs="Courier New" w:eastAsia="Courier New" w:hAnsi="Courier New"/>
          <w:sz w:val="14"/>
          <w:szCs w:val="14"/>
          <w:color w:val="auto"/>
        </w:rPr>
        <w:t>SFAS No. 142 requires that goodwill be tested for impairment in a two-step process. First, a company must compare the "estimated fair value" of a Reporting Unit to its carrying amount, including goodwill, to determine if the fair value</w:t>
      </w:r>
    </w:p>
    <w:p>
      <w:pPr>
        <w:spacing w:after="0" w:line="157"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Reserve</w:t>
            </w:r>
          </w:p>
        </w:tc>
      </w:tr>
      <w:tr>
        <w:trPr>
          <w:trHeight w:val="170"/>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Balance</w:t>
            </w:r>
          </w:p>
        </w:tc>
      </w:tr>
      <w:tr>
        <w:trPr>
          <w:trHeight w:val="170"/>
        </w:trPr>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Payments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9/30/01</w:t>
            </w:r>
          </w:p>
        </w:tc>
      </w:tr>
      <w:tr>
        <w:trPr>
          <w:trHeight w:val="170"/>
        </w:trPr>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168</w:t>
            </w:r>
          </w:p>
        </w:tc>
      </w:tr>
      <w:tr>
        <w:trPr>
          <w:trHeight w:val="170"/>
        </w:trPr>
        <w:tc>
          <w:tcPr>
            <w:tcW w:w="4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1,012</w:t>
            </w:r>
          </w:p>
        </w:tc>
      </w:tr>
      <w:tr>
        <w:trPr>
          <w:trHeight w:val="170"/>
        </w:trPr>
        <w:tc>
          <w:tcPr>
            <w:tcW w:w="12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$ 1,180</w:t>
            </w:r>
          </w:p>
        </w:tc>
      </w:tr>
      <w:tr>
        <w:trPr>
          <w:trHeight w:val="170"/>
        </w:trPr>
        <w:tc>
          <w:tcPr>
            <w:tcW w:w="12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40" w:space="360"/>
            <w:col w:w="2380"/>
          </w:cols>
          <w:pgMar w:left="240" w:top="961" w:right="1179" w:bottom="1074" w:gutter="0" w:footer="0" w:header="0"/>
        </w:sectPr>
      </w:pPr>
    </w:p>
    <w:bookmarkStart w:id="11" w:name="page12"/>
    <w:bookmarkEnd w:id="11"/>
    <w:p>
      <w:pPr>
        <w:ind w:right="3179"/>
        <w:spacing w:after="0" w:line="238" w:lineRule="auto"/>
        <w:rPr>
          <w:sz w:val="20"/>
          <w:szCs w:val="20"/>
          <w:color w:val="auto"/>
        </w:rPr>
      </w:pPr>
      <w:r>
        <w:rPr>
          <w:rFonts w:ascii="Courier New" w:cs="Courier New" w:eastAsia="Courier New" w:hAnsi="Courier New"/>
          <w:sz w:val="15"/>
          <w:szCs w:val="15"/>
          <w:color w:val="auto"/>
        </w:rPr>
        <w:t>of a Reporting Unit to its carrying amount, including goodwill, to determine if the fair value of the Reporting Unit is less than the carrying amount, which would indicate that goodwill is impaired. If the company determines that goodwill is impaired, the Company must compare the "implied fair value" of the goodwill to its carrying amount to determine if there is an impairment loss. The "implied fair value" is calculated by allocating the fair value of the Reporting Unit to all assets and liabilities as if the Reporting Unit had been acquired in a business combination and accounted for under SFAS No. 141.</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goodwill and intangible assets acquired in business combinations completed prior to July 1, 2001, SFAS No. 142 is effective on January 1, 2002, the date the Company is required to adopt SFAS No. 142. Goodwill and intangible assets acquired in a business combination completed after June 30, 2001 are required to be accounted for in accordance with the "amortization and nonamortization" provisions of SFAS No. 142.</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does not expect the adoption of SFAS No. 141 and SFAS No. 142 to have a significant impact on the Company's financial position and results of operations, absent possible future business combinations that might give rise to either significant amortization expense from the acquisition of intangible assets with a finite life or goodwill with significant impairment risk.</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FASB issued SFAS No. 144, Accounting for the Impairment or Disposal of Long-Lived Assets, that supercedes FASB Statement No. 121, Accounting for the Impairment of Long-Lived Assets and for Long-Lived Assets to be Disposed Of, in August, 2001. Statement No. 144 requires that long-lived assets be measured at the lower of carrying amount or fair-value less cost to sell, whether reported in continuing operations or in discontinued operations, to include all components of an entity with operations that can be distinguished from the rest of the entity and that will be eliminated from the ongoing operations of the entity in a disposal transaction. The provisions of Statement 144 are effective for financial statements issued for fiscal years beginning after December 15, 2001. Management does not expect the adoption of SFAS 144 to have a significant impact on the financial position or results of operations of the Company, relative to its existing assets.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Restatement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February 2002, subsequent to the issuance of the Company's financial statements for the nine months ended September 30, 2001, the Company determined that in our adoption of SAB 101 we should have adopted service contract accounting for certain of our outsourcing contracts where we retain title to the related equipment. Accordingly, the Company changed its method of accounting for these contracts from the percentage of completion method under SOP 81-1 to service contract accounting. As a result, the accompanying consolidated financial statements for the three and nine months ended September 30, 2001 and 2000 have been restated to give effect to the changes as of January 1, 2000. A summary of the significant effects of the restatement is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14"/>
                <w:szCs w:val="14"/>
                <w:color w:val="auto"/>
              </w:rPr>
            </w:pP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previously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previously</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Reported</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As Restated</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Reported</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At September 30, 2001:</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44,662</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44,796</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3,168</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9,039</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13,163</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2,262</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22,999</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24,189</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24"/>
                <w:szCs w:val="2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5,166</w:t>
            </w:r>
          </w:p>
        </w:tc>
        <w:tc>
          <w:tcPr>
            <w:tcW w:w="160" w:type="dxa"/>
            <w:vAlign w:val="bottom"/>
          </w:tcPr>
          <w:p>
            <w:pPr>
              <w:spacing w:after="0"/>
              <w:rPr>
                <w:sz w:val="24"/>
                <w:szCs w:val="2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5,757</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9,908</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11,275</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(45,307)</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(47,247)</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9"/>
        </w:trPr>
        <w:tc>
          <w:tcPr>
            <w:tcW w:w="4440" w:type="dxa"/>
            <w:vAlign w:val="bottom"/>
          </w:tcPr>
          <w:p>
            <w:pPr>
              <w:spacing w:after="0"/>
              <w:rPr>
                <w:sz w:val="20"/>
                <w:szCs w:val="20"/>
                <w:color w:val="auto"/>
              </w:rPr>
            </w:pPr>
            <w:r>
              <w:rPr>
                <w:rFonts w:ascii="Courier New" w:cs="Courier New" w:eastAsia="Courier New" w:hAnsi="Courier New"/>
                <w:sz w:val="15"/>
                <w:szCs w:val="15"/>
                <w:color w:val="auto"/>
              </w:rPr>
              <w:t>For the three months ended September 30:</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10,281</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10,431</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10,351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9,224</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Service cost of revenues</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6,580</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6,675</w:t>
            </w: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6,580</w:t>
            </w:r>
          </w:p>
        </w:tc>
        <w:tc>
          <w:tcPr>
            <w:tcW w:w="7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5,825</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3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(2,389)</w:t>
            </w:r>
          </w:p>
        </w:tc>
        <w:tc>
          <w:tcPr>
            <w:tcW w:w="1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(2,409)</w:t>
            </w:r>
          </w:p>
        </w:tc>
        <w:tc>
          <w:tcPr>
            <w:tcW w:w="4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w:t>
            </w:r>
          </w:p>
        </w:tc>
        <w:tc>
          <w:tcPr>
            <w:tcW w:w="7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effect of change in accounting principle</w:t>
            </w:r>
          </w:p>
        </w:tc>
        <w:tc>
          <w:tcPr>
            <w:tcW w:w="3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3,870</w:t>
            </w:r>
          </w:p>
        </w:tc>
        <w:tc>
          <w:tcPr>
            <w:tcW w:w="1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3,904</w:t>
            </w: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w:t>
            </w:r>
          </w:p>
        </w:tc>
        <w:tc>
          <w:tcPr>
            <w:tcW w:w="7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3,870</w:t>
            </w:r>
          </w:p>
        </w:tc>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3,904</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w:t>
            </w:r>
          </w:p>
        </w:tc>
      </w:tr>
      <w:tr>
        <w:trPr>
          <w:trHeight w:val="509"/>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2001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66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previously</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previously</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Reported</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As Restated</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Reported</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170"/>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r>
      <w:tr>
        <w:trPr>
          <w:trHeight w:val="509"/>
        </w:trPr>
        <w:tc>
          <w:tcPr>
            <w:tcW w:w="4520" w:type="dxa"/>
            <w:vAlign w:val="bottom"/>
          </w:tcPr>
          <w:p>
            <w:pPr>
              <w:spacing w:after="0"/>
              <w:rPr>
                <w:sz w:val="20"/>
                <w:szCs w:val="20"/>
                <w:color w:val="auto"/>
              </w:rPr>
            </w:pPr>
            <w:r>
              <w:rPr>
                <w:rFonts w:ascii="Courier New" w:cs="Courier New" w:eastAsia="Courier New" w:hAnsi="Courier New"/>
                <w:sz w:val="15"/>
                <w:szCs w:val="15"/>
                <w:color w:val="auto"/>
              </w:rPr>
              <w:t>For the nine months ended September 30:</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30,997</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31,280</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28,847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Service cost of revenues</w:t>
            </w:r>
          </w:p>
        </w:tc>
        <w:tc>
          <w:tcPr>
            <w:tcW w:w="2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19,966</w:t>
            </w:r>
          </w:p>
        </w:tc>
        <w:tc>
          <w:tcPr>
            <w:tcW w:w="5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20,232</w:t>
            </w: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21,609</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19,569</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2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(5,252)</w:t>
            </w:r>
          </w:p>
        </w:tc>
        <w:tc>
          <w:tcPr>
            <w:tcW w:w="580" w:type="dxa"/>
            <w:vAlign w:val="bottom"/>
          </w:tcPr>
          <w:p>
            <w:pPr>
              <w:spacing w:after="0"/>
              <w:rPr>
                <w:sz w:val="14"/>
                <w:szCs w:val="1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(5,258)</w:t>
            </w:r>
          </w:p>
        </w:tc>
        <w:tc>
          <w:tcPr>
            <w:tcW w:w="4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(1,836)</w:t>
            </w:r>
          </w:p>
        </w:tc>
        <w:tc>
          <w:tcPr>
            <w:tcW w:w="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 cumulative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effect of change in accounting principle</w:t>
            </w:r>
          </w:p>
        </w:tc>
        <w:tc>
          <w:tcPr>
            <w:tcW w:w="2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8,540</w:t>
            </w:r>
          </w:p>
        </w:tc>
        <w:tc>
          <w:tcPr>
            <w:tcW w:w="5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8,551</w:t>
            </w: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3,010</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w w:val="98"/>
              </w:rPr>
              <w:t>Cumulative effect of change in accounting principle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w:t>
            </w:r>
          </w:p>
        </w:tc>
        <w:tc>
          <w:tcPr>
            <w:tcW w:w="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(2,562)</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8,540</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8,551</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Cumulative effect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Cumulative effect</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net income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509"/>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13" w:name="page14"/>
    <w:bookmarkEnd w:id="13"/>
    <w:p>
      <w:pPr>
        <w:ind w:right="325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presented below reflects certain restatements to our previously reported results of operations for these periods. See Note 8 to the condensed consolidated financial statements for a discussion of this matter. Also, as discussed in Note 4 to the condensed consolidated financial statements, we realigned our business segments in 2001. Information for the quarter ended September 30, 2000 has been reclassified to conform to the 2001 presentation.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discussion and analysis should be read in conjunction with our unaudited condensed financial statements and accompanying notes included in this document and the 2000 audited financial statements and notes thereto included in our Annual Report on Form 10-K/A, which was filed with the Securities and Exchange Commission on March 1, 2002.</w:t>
      </w:r>
    </w:p>
    <w:p>
      <w:pPr>
        <w:spacing w:after="0" w:line="178"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increased competition and various other matters, many of which are beyond our control. You should not place undue reliance on these forward-looking statements, which apply only as of the date of the Form 10-Q filed November 8, 2001.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 included in our Annual Report on Form 10-K/A for the year ended December 31, 2000, as filed with the Securities and Exchange Commission on March 1, 2002.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Itron Inc. is a leading technology provider and source of knowledge to the energy and water industry for collecting, analyzing, and applying critical data about electric, gas and water usage. We design, develop, manufacture, market, install and service hardware, software and integrated systems. 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Itron technology touches more than $200 billion in energy and water transactions annually. Today, Itron systems are installed at approximately 2,000 utilities in over 45 countries around the world and are being used to collect data from 275 million electric, gas, and water meters. Of those, more than 700 customers use Itron's radio and telephone-based technology to automatically collect information from more than 19 million of those meters. Itron technology is also in use at a number of the newly created wholesale energy markets in the U.S. and Canada to provide critical billing and settlement systems for the power flowing into and out of those deregulating markets.</w:t>
      </w:r>
    </w:p>
    <w:p>
      <w:pPr>
        <w:spacing w:after="0" w:line="16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Only about 11% of the electric, gas and water meters in North America are read using automated meter data collection and communication systems from all suppliers. While we are aggressively pursuing numerous opportunities remaining for advanced metering and billing systems to penetrate beyond 11%, we also intend to use our core technology and industry knowledge to move beyond meter reading into other opportunities for optimizing the delivery and use of energy and water.</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4" w:name="page15"/>
    <w:bookmarkEnd w:id="14"/>
    <w:p>
      <w:pPr>
        <w:ind w:right="3540"/>
        <w:spacing w:after="0" w:line="237"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end-user customers, wholesale power markets, and others.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440"/>
        <w:spacing w:after="0" w:line="235" w:lineRule="auto"/>
        <w:rPr>
          <w:sz w:val="20"/>
          <w:szCs w:val="20"/>
          <w:color w:val="auto"/>
        </w:rPr>
      </w:pPr>
      <w:r>
        <w:rPr>
          <w:rFonts w:ascii="Courier New" w:cs="Courier New" w:eastAsia="Courier New" w:hAnsi="Courier New"/>
          <w:sz w:val="15"/>
          <w:szCs w:val="15"/>
          <w:color w:val="auto"/>
        </w:rPr>
        <w:t>The following tables show our revenue and percentage change from the prior year by sales or service and by segment.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10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Three months ended September 30,</w:t>
            </w:r>
          </w:p>
        </w:tc>
        <w:tc>
          <w:tcPr>
            <w:tcW w:w="3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2680" w:type="dxa"/>
            <w:vAlign w:val="bottom"/>
          </w:tcPr>
          <w:p>
            <w:pPr>
              <w:spacing w:after="0"/>
              <w:rPr>
                <w:sz w:val="14"/>
                <w:szCs w:val="14"/>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76"/>
              </w:rPr>
              <w:t>--------------------------------</w:t>
            </w:r>
          </w:p>
        </w:tc>
        <w:tc>
          <w:tcPr>
            <w:tcW w:w="1140" w:type="dxa"/>
            <w:vAlign w:val="bottom"/>
          </w:tcPr>
          <w:p>
            <w:pPr>
              <w:spacing w:after="0"/>
              <w:rPr>
                <w:sz w:val="14"/>
                <w:szCs w:val="14"/>
                <w:color w:val="auto"/>
              </w:rPr>
            </w:pPr>
          </w:p>
        </w:tc>
        <w:tc>
          <w:tcPr>
            <w:tcW w:w="3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(Unaudited, in millions)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Increase</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Increase</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(Decrease)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(Decrease)</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$ 50.4</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$ 31.5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$130.1</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$ 103.3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31.2</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$ 60.8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$161.3</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$ 132.1</w:t>
            </w:r>
          </w:p>
        </w:tc>
        <w:tc>
          <w:tcPr>
            <w:tcW w:w="106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Segment Revenues</w:t>
            </w:r>
          </w:p>
        </w:tc>
        <w:tc>
          <w:tcPr>
            <w:tcW w:w="410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Three months ended September 30,</w:t>
            </w:r>
          </w:p>
        </w:tc>
        <w:tc>
          <w:tcPr>
            <w:tcW w:w="3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2680" w:type="dxa"/>
            <w:vAlign w:val="bottom"/>
          </w:tcPr>
          <w:p>
            <w:pPr>
              <w:spacing w:after="0"/>
              <w:rPr>
                <w:sz w:val="14"/>
                <w:szCs w:val="14"/>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76"/>
              </w:rPr>
              <w:t>--------------------------------</w:t>
            </w:r>
          </w:p>
        </w:tc>
        <w:tc>
          <w:tcPr>
            <w:tcW w:w="1140" w:type="dxa"/>
            <w:vAlign w:val="bottom"/>
          </w:tcPr>
          <w:p>
            <w:pPr>
              <w:spacing w:after="0"/>
              <w:rPr>
                <w:sz w:val="14"/>
                <w:szCs w:val="14"/>
                <w:color w:val="auto"/>
              </w:rPr>
            </w:pPr>
          </w:p>
        </w:tc>
        <w:tc>
          <w:tcPr>
            <w:tcW w:w="36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(Unaudited, in millions)</w:t>
            </w:r>
          </w:p>
        </w:tc>
        <w:tc>
          <w:tcPr>
            <w:tcW w:w="1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Increase</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Increase</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(Decrease)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(Decrease)</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$ 18.7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$ 47.3</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24.3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Natural Gas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Water &amp; Public Power</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35.8</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Energy Information Systems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Client Services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7.6</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$ 60.8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$ 40.7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$161.3</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$ 132.1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r>
      <w:tr>
        <w:trPr>
          <w:trHeight w:val="170"/>
        </w:trPr>
        <w:tc>
          <w:tcPr>
            <w:tcW w:w="268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pacing w:after="0" w:line="344" w:lineRule="exact"/>
        <w:rPr>
          <w:sz w:val="20"/>
          <w:szCs w:val="20"/>
          <w:color w:val="auto"/>
        </w:rPr>
      </w:pPr>
    </w:p>
    <w:p>
      <w:pPr>
        <w:ind w:right="3440"/>
        <w:spacing w:after="0" w:line="257" w:lineRule="auto"/>
        <w:rPr>
          <w:sz w:val="20"/>
          <w:szCs w:val="20"/>
          <w:color w:val="auto"/>
        </w:rPr>
      </w:pPr>
      <w:r>
        <w:rPr>
          <w:rFonts w:ascii="Courier New" w:cs="Courier New" w:eastAsia="Courier New" w:hAnsi="Courier New"/>
          <w:sz w:val="14"/>
          <w:szCs w:val="14"/>
          <w:color w:val="auto"/>
        </w:rPr>
        <w:t>Electric revenues are higher in 2001, both for the quarter and year to date, primarily as a result of the sale of a Mobile Automated Meter Reading System to a large electric utility. This customer accounted for 52% of Electric revenues during the third quarter of 2001 and 16% of total Itron revenues for the third quarter. We have a multi-year contract with this utility, with shipments currently scheduled to run into the third quarter of 2002. We expect continued strong revenue growth in this segment for the remainder of 2001.</w:t>
      </w:r>
    </w:p>
    <w:p>
      <w:pPr>
        <w:spacing w:after="0" w:line="167" w:lineRule="exact"/>
        <w:rPr>
          <w:sz w:val="20"/>
          <w:szCs w:val="20"/>
          <w:color w:val="auto"/>
        </w:rPr>
      </w:pPr>
    </w:p>
    <w:p>
      <w:pPr>
        <w:ind w:right="3360"/>
        <w:spacing w:after="0" w:line="237" w:lineRule="auto"/>
        <w:rPr>
          <w:sz w:val="20"/>
          <w:szCs w:val="20"/>
          <w:color w:val="auto"/>
        </w:rPr>
      </w:pPr>
      <w:r>
        <w:rPr>
          <w:rFonts w:ascii="Courier New" w:cs="Courier New" w:eastAsia="Courier New" w:hAnsi="Courier New"/>
          <w:sz w:val="15"/>
          <w:szCs w:val="15"/>
          <w:color w:val="auto"/>
        </w:rPr>
        <w:t>Natural Gas Systems revenue increased slightly in the third quarter of 2001 primarily due to the initial deployment of a 10,000 unit automated meter reading system to a new customer and the expansion of a system for an existing customer. We expect that revenues in this segment for 2001 will be lower than 2000 as several large projects were completed in 2000.</w:t>
      </w:r>
    </w:p>
    <w:p>
      <w:pPr>
        <w:spacing w:after="0" w:line="178" w:lineRule="exact"/>
        <w:rPr>
          <w:sz w:val="20"/>
          <w:szCs w:val="20"/>
          <w:color w:val="auto"/>
        </w:rPr>
      </w:pPr>
    </w:p>
    <w:p>
      <w:pPr>
        <w:ind w:right="3360"/>
        <w:spacing w:after="0" w:line="258" w:lineRule="auto"/>
        <w:rPr>
          <w:sz w:val="20"/>
          <w:szCs w:val="20"/>
          <w:color w:val="auto"/>
        </w:rPr>
      </w:pPr>
      <w:r>
        <w:rPr>
          <w:rFonts w:ascii="Courier New" w:cs="Courier New" w:eastAsia="Courier New" w:hAnsi="Courier New"/>
          <w:sz w:val="14"/>
          <w:szCs w:val="14"/>
          <w:color w:val="auto"/>
        </w:rPr>
        <w:t>Water and Public Power revenues are higher in the third quarter of 2001 compared to last year primarily due to the initial deployment of a 150,000 unit installation for a mobile AMR system to a public utility in Washington state and increasing demand from water meter manufacturers. Third quarter revenues increased $5 million, or 41%, from the second quarter of this year. We expect continued strong revenue performance in this segment for the remainder of 2001.</w:t>
      </w:r>
    </w:p>
    <w:p>
      <w:pPr>
        <w:spacing w:after="0" w:line="164" w:lineRule="exact"/>
        <w:rPr>
          <w:sz w:val="20"/>
          <w:szCs w:val="20"/>
          <w:color w:val="auto"/>
        </w:rPr>
      </w:pPr>
    </w:p>
    <w:p>
      <w:pPr>
        <w:ind w:right="3360"/>
        <w:spacing w:after="0" w:line="237" w:lineRule="auto"/>
        <w:rPr>
          <w:sz w:val="20"/>
          <w:szCs w:val="20"/>
          <w:color w:val="auto"/>
        </w:rPr>
      </w:pPr>
      <w:r>
        <w:rPr>
          <w:rFonts w:ascii="Courier New" w:cs="Courier New" w:eastAsia="Courier New" w:hAnsi="Courier New"/>
          <w:sz w:val="15"/>
          <w:szCs w:val="15"/>
          <w:color w:val="auto"/>
        </w:rPr>
        <w:t>Revenues in our Energy Information Systems segment decreased by 20% from the third quarter last year. Revenues in this segment can fluctuate on a quarterly basis due primarily to customized development work for wholesale energy systems, which has been at a much lower level in 2001 than in 2000. We expect revenues in this segment to be lower in 2001 compared with 2000.</w:t>
      </w:r>
    </w:p>
    <w:p>
      <w:pPr>
        <w:spacing w:after="0" w:line="178" w:lineRule="exact"/>
        <w:rPr>
          <w:sz w:val="20"/>
          <w:szCs w:val="20"/>
          <w:color w:val="auto"/>
        </w:rPr>
      </w:pPr>
    </w:p>
    <w:p>
      <w:pPr>
        <w:ind w:right="3800"/>
        <w:spacing w:after="0" w:line="237" w:lineRule="auto"/>
        <w:rPr>
          <w:sz w:val="20"/>
          <w:szCs w:val="20"/>
          <w:color w:val="auto"/>
        </w:rPr>
      </w:pPr>
      <w:r>
        <w:rPr>
          <w:rFonts w:ascii="Courier New" w:cs="Courier New" w:eastAsia="Courier New" w:hAnsi="Courier New"/>
          <w:sz w:val="15"/>
          <w:szCs w:val="15"/>
          <w:color w:val="auto"/>
        </w:rPr>
        <w:t>International revenues increased 39% over the third quarter of 2000, due to increased meter module sales in France and a large hardware install in Australia. Revenues in this segment are expected to be lower in the fourth quarter but higher for the full year 2001 compared with 2000.</w:t>
      </w:r>
    </w:p>
    <w:p>
      <w:pPr>
        <w:spacing w:after="0" w:line="176" w:lineRule="exact"/>
        <w:rPr>
          <w:sz w:val="20"/>
          <w:szCs w:val="20"/>
          <w:color w:val="auto"/>
        </w:rPr>
      </w:pPr>
    </w:p>
    <w:p>
      <w:pPr>
        <w:ind w:right="3360"/>
        <w:spacing w:after="0" w:line="237" w:lineRule="auto"/>
        <w:rPr>
          <w:sz w:val="20"/>
          <w:szCs w:val="20"/>
          <w:color w:val="auto"/>
        </w:rPr>
      </w:pPr>
      <w:r>
        <w:rPr>
          <w:rFonts w:ascii="Courier New" w:cs="Courier New" w:eastAsia="Courier New" w:hAnsi="Courier New"/>
          <w:sz w:val="15"/>
          <w:szCs w:val="15"/>
          <w:color w:val="auto"/>
        </w:rPr>
        <w:t>Client Services revenue increased 17% in the third quarter of 2001 compared with the third quarter of 2000, from increased hardware and software maintenance contracts, as well as higher billable repair activity.</w:t>
      </w:r>
    </w:p>
    <w:p>
      <w:pPr>
        <w:spacing w:after="0" w:line="175" w:lineRule="exact"/>
        <w:rPr>
          <w:sz w:val="20"/>
          <w:szCs w:val="20"/>
          <w:color w:val="auto"/>
        </w:rPr>
      </w:pPr>
    </w:p>
    <w:p>
      <w:pPr>
        <w:ind w:right="3720"/>
        <w:spacing w:after="0" w:line="235" w:lineRule="auto"/>
        <w:rPr>
          <w:sz w:val="20"/>
          <w:szCs w:val="20"/>
          <w:color w:val="auto"/>
        </w:rPr>
      </w:pPr>
      <w:r>
        <w:rPr>
          <w:rFonts w:ascii="Courier New" w:cs="Courier New" w:eastAsia="Courier New" w:hAnsi="Courier New"/>
          <w:sz w:val="15"/>
          <w:szCs w:val="15"/>
          <w:color w:val="auto"/>
        </w:rPr>
        <w:t>We do not place any particular significance on quarter-to-quarter variations reported in revenue by segment, except as noted.</w:t>
      </w:r>
    </w:p>
    <w:p>
      <w:pPr>
        <w:spacing w:after="0" w:line="170"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400"/>
          </w:cols>
          <w:pgMar w:left="240" w:top="627" w:right="1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39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Three months ended September 30,</w:t>
            </w:r>
          </w:p>
        </w:tc>
        <w:tc>
          <w:tcPr>
            <w:tcW w:w="35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3200" w:type="dxa"/>
            <w:vAlign w:val="bottom"/>
          </w:tcPr>
          <w:p>
            <w:pPr>
              <w:spacing w:after="0"/>
              <w:rPr>
                <w:sz w:val="14"/>
                <w:szCs w:val="14"/>
                <w:color w:val="auto"/>
              </w:rPr>
            </w:pPr>
          </w:p>
        </w:tc>
        <w:tc>
          <w:tcPr>
            <w:tcW w:w="39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5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(as a % of corresponding revenue)</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Increase</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320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(Decrease)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320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Natural Gas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Water &amp; Public Power</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Energy Information Systems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Client Services</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Corporate /(1)/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r>
      <w:tr>
        <w:trPr>
          <w:trHeight w:val="170"/>
        </w:trPr>
        <w:tc>
          <w:tcPr>
            <w:tcW w:w="32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gross margin</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r>
      <w:tr>
        <w:trPr>
          <w:trHeight w:val="170"/>
        </w:trPr>
        <w:tc>
          <w:tcPr>
            <w:tcW w:w="320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Percent of total company revenue.</w:t>
      </w:r>
    </w:p>
    <w:p>
      <w:pPr>
        <w:spacing w:after="0" w:line="175" w:lineRule="exact"/>
        <w:rPr>
          <w:sz w:val="20"/>
          <w:szCs w:val="20"/>
          <w:color w:val="auto"/>
        </w:rPr>
      </w:pPr>
    </w:p>
    <w:p>
      <w:pPr>
        <w:ind w:right="3780"/>
        <w:spacing w:after="0" w:line="258" w:lineRule="auto"/>
        <w:rPr>
          <w:sz w:val="20"/>
          <w:szCs w:val="20"/>
          <w:color w:val="auto"/>
        </w:rPr>
      </w:pPr>
      <w:r>
        <w:rPr>
          <w:rFonts w:ascii="Courier New" w:cs="Courier New" w:eastAsia="Courier New" w:hAnsi="Courier New"/>
          <w:sz w:val="14"/>
          <w:szCs w:val="14"/>
          <w:color w:val="auto"/>
        </w:rPr>
        <w:t>Total gross margin was 44% for the third quarter, up from 40% a year ago. We continue to realize increased domestic manufacturing efficiencies from the consolidation of our high volume manufacturing operations, the spin-off of our low-volume manufacturing operations, and increased production volumes in our electric product. In addition, we are benefiting from lower material costs, due in part to favorable pricing in the general market for electronic components.</w:t>
      </w:r>
    </w:p>
    <w:p>
      <w:pPr>
        <w:spacing w:after="0" w:line="164" w:lineRule="exact"/>
        <w:rPr>
          <w:sz w:val="20"/>
          <w:szCs w:val="20"/>
          <w:color w:val="auto"/>
        </w:rPr>
      </w:pPr>
    </w:p>
    <w:p>
      <w:pPr>
        <w:ind w:right="3700"/>
        <w:spacing w:after="0" w:line="237" w:lineRule="auto"/>
        <w:rPr>
          <w:sz w:val="20"/>
          <w:szCs w:val="20"/>
          <w:color w:val="auto"/>
        </w:rPr>
      </w:pPr>
      <w:r>
        <w:rPr>
          <w:rFonts w:ascii="Courier New" w:cs="Courier New" w:eastAsia="Courier New" w:hAnsi="Courier New"/>
          <w:sz w:val="15"/>
          <w:szCs w:val="15"/>
          <w:color w:val="auto"/>
        </w:rPr>
        <w:t>Gross margin for the Electric segment decreased 9% due to a change in the mix of customers and products from the first three quarters of 2000 to 2001. Gross margins can vary from period-to-period depending on the component mix and committed volumes.</w:t>
      </w:r>
    </w:p>
    <w:p>
      <w:pPr>
        <w:spacing w:after="0" w:line="176" w:lineRule="exact"/>
        <w:rPr>
          <w:sz w:val="20"/>
          <w:szCs w:val="20"/>
          <w:color w:val="auto"/>
        </w:rPr>
      </w:pPr>
    </w:p>
    <w:p>
      <w:pPr>
        <w:ind w:right="3700"/>
        <w:spacing w:after="0" w:line="237" w:lineRule="auto"/>
        <w:rPr>
          <w:sz w:val="20"/>
          <w:szCs w:val="20"/>
          <w:color w:val="auto"/>
        </w:rPr>
      </w:pPr>
      <w:r>
        <w:rPr>
          <w:rFonts w:ascii="Courier New" w:cs="Courier New" w:eastAsia="Courier New" w:hAnsi="Courier New"/>
          <w:sz w:val="15"/>
          <w:szCs w:val="15"/>
          <w:color w:val="auto"/>
        </w:rPr>
        <w:t>Water and Public Power margins have improved 4% primarily due to the replacement of a high cost component with a less expensive solution effective late last year.</w:t>
      </w:r>
    </w:p>
    <w:p>
      <w:pPr>
        <w:spacing w:after="0" w:line="175" w:lineRule="exact"/>
        <w:rPr>
          <w:sz w:val="20"/>
          <w:szCs w:val="20"/>
          <w:color w:val="auto"/>
        </w:rPr>
      </w:pPr>
    </w:p>
    <w:p>
      <w:pPr>
        <w:ind w:right="3700"/>
        <w:spacing w:after="0" w:line="238" w:lineRule="auto"/>
        <w:rPr>
          <w:sz w:val="20"/>
          <w:szCs w:val="20"/>
          <w:color w:val="auto"/>
        </w:rPr>
      </w:pPr>
      <w:r>
        <w:rPr>
          <w:rFonts w:ascii="Courier New" w:cs="Courier New" w:eastAsia="Courier New" w:hAnsi="Courier New"/>
          <w:sz w:val="15"/>
          <w:szCs w:val="15"/>
          <w:color w:val="auto"/>
        </w:rPr>
        <w:t>EIS segment revenue is primarily related to custom software development activities and licenses. Gross margins can vary from period-to-period depending on the mix of license revenues versus custom development activities. The gross margin in the third quarter of 2000 was negatively impacted by a large number of outside contractors temporarily hired to complete work on a large project that was active last year.</w:t>
      </w:r>
    </w:p>
    <w:p>
      <w:pPr>
        <w:spacing w:after="0" w:line="176" w:lineRule="exact"/>
        <w:rPr>
          <w:sz w:val="20"/>
          <w:szCs w:val="20"/>
          <w:color w:val="auto"/>
        </w:rPr>
      </w:pPr>
    </w:p>
    <w:p>
      <w:pPr>
        <w:ind w:right="3780"/>
        <w:spacing w:after="0" w:line="237" w:lineRule="auto"/>
        <w:rPr>
          <w:sz w:val="20"/>
          <w:szCs w:val="20"/>
          <w:color w:val="auto"/>
        </w:rPr>
      </w:pPr>
      <w:r>
        <w:rPr>
          <w:rFonts w:ascii="Courier New" w:cs="Courier New" w:eastAsia="Courier New" w:hAnsi="Courier New"/>
          <w:sz w:val="15"/>
          <w:szCs w:val="15"/>
          <w:color w:val="auto"/>
        </w:rPr>
        <w:t>The gross margin in the International segment during the third quarter of 2001 improved over the third quarter of 2000 due primarily to a larger proportion of higher margin software sales in 2001. Year to date, the lower gross margin is the result of large sales of handheld equipment to customers in Japan at lower margins.</w:t>
      </w:r>
    </w:p>
    <w:p>
      <w:pPr>
        <w:spacing w:after="0" w:line="178" w:lineRule="exact"/>
        <w:rPr>
          <w:sz w:val="20"/>
          <w:szCs w:val="20"/>
          <w:color w:val="auto"/>
        </w:rPr>
      </w:pPr>
    </w:p>
    <w:p>
      <w:pPr>
        <w:ind w:right="3700"/>
        <w:spacing w:after="0" w:line="238" w:lineRule="auto"/>
        <w:rPr>
          <w:sz w:val="20"/>
          <w:szCs w:val="20"/>
          <w:color w:val="auto"/>
        </w:rPr>
      </w:pPr>
      <w:r>
        <w:rPr>
          <w:rFonts w:ascii="Courier New" w:cs="Courier New" w:eastAsia="Courier New" w:hAnsi="Courier New"/>
          <w:sz w:val="15"/>
          <w:szCs w:val="15"/>
          <w:color w:val="auto"/>
        </w:rPr>
        <w:t>In the Client Services segment, gross margin increased by 7% in the third quarter of 2001 compared with the third quarter of 2000. Year to date, the gross margin improved 15%. The primary driver of the margin improvement is an increase in service contract revenues without a corresponding increase in costs to support those revenues. In addition, we are experiencing lower field service depot repair costs as a result of our outsourcing those services beginning in the second quarter of 2000.</w:t>
      </w:r>
    </w:p>
    <w:p>
      <w:pPr>
        <w:spacing w:after="0" w:line="177" w:lineRule="exact"/>
        <w:rPr>
          <w:sz w:val="20"/>
          <w:szCs w:val="20"/>
          <w:color w:val="auto"/>
        </w:rPr>
      </w:pPr>
    </w:p>
    <w:p>
      <w:pPr>
        <w:ind w:right="3700"/>
        <w:spacing w:after="0" w:line="237" w:lineRule="auto"/>
        <w:rPr>
          <w:sz w:val="20"/>
          <w:szCs w:val="20"/>
          <w:color w:val="auto"/>
        </w:rPr>
      </w:pPr>
      <w:r>
        <w:rPr>
          <w:rFonts w:ascii="Courier New" w:cs="Courier New" w:eastAsia="Courier New" w:hAnsi="Courier New"/>
          <w:sz w:val="15"/>
          <w:szCs w:val="15"/>
          <w:color w:val="auto"/>
        </w:rPr>
        <w:t>Unallocated corporate cost of sales was lower in 2001, compared to 2000, primarily due to efficiencies gained through the consolidation of our manufacturing facilities. Also, purchase price variances, which are reflected in unallocated corporate cost of sales, were favorable in 2001, due in part to lower market prices for many electronic components.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60" w:type="dxa"/>
            <w:vAlign w:val="bottom"/>
          </w:tcPr>
          <w:p>
            <w:pPr>
              <w:spacing w:after="0"/>
              <w:rPr>
                <w:sz w:val="14"/>
                <w:szCs w:val="14"/>
                <w:color w:val="auto"/>
              </w:rPr>
            </w:pPr>
          </w:p>
        </w:tc>
        <w:tc>
          <w:tcPr>
            <w:tcW w:w="3180" w:type="dxa"/>
            <w:vAlign w:val="bottom"/>
            <w:gridSpan w:val="3"/>
          </w:tcPr>
          <w:p>
            <w:pPr>
              <w:jc w:val="center"/>
              <w:ind w:right="287"/>
              <w:spacing w:after="0"/>
              <w:rPr>
                <w:sz w:val="20"/>
                <w:szCs w:val="20"/>
                <w:color w:val="auto"/>
              </w:rPr>
            </w:pPr>
            <w:r>
              <w:rPr>
                <w:rFonts w:ascii="Courier New" w:cs="Courier New" w:eastAsia="Courier New" w:hAnsi="Courier New"/>
                <w:sz w:val="15"/>
                <w:szCs w:val="15"/>
                <w:color w:val="auto"/>
                <w:w w:val="97"/>
              </w:rPr>
              <w:t>Three months ended September 30,</w:t>
            </w:r>
          </w:p>
        </w:tc>
        <w:tc>
          <w:tcPr>
            <w:tcW w:w="440" w:type="dxa"/>
            <w:vAlign w:val="bottom"/>
          </w:tcPr>
          <w:p>
            <w:pPr>
              <w:spacing w:after="0"/>
              <w:rPr>
                <w:sz w:val="14"/>
                <w:szCs w:val="14"/>
                <w:color w:val="auto"/>
              </w:rPr>
            </w:pPr>
          </w:p>
        </w:tc>
        <w:tc>
          <w:tcPr>
            <w:tcW w:w="30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6"/>
              </w:rPr>
              <w:t>Nine months ended September 30,</w:t>
            </w:r>
          </w:p>
        </w:tc>
      </w:tr>
      <w:tr>
        <w:trPr>
          <w:trHeight w:val="170"/>
        </w:trPr>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(Unaudited, in millions)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Increase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2001</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2000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(Decrease)</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8.2</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Restructurings</w:t>
            </w:r>
          </w:p>
        </w:tc>
        <w:tc>
          <w:tcPr>
            <w:tcW w:w="56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0"/>
        </w:trPr>
        <w:tc>
          <w:tcPr>
            <w:tcW w:w="26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19.8</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$ 14.5</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26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pacing w:after="0" w:line="344" w:lineRule="exact"/>
        <w:rPr>
          <w:sz w:val="20"/>
          <w:szCs w:val="20"/>
          <w:color w:val="auto"/>
        </w:rPr>
      </w:pPr>
    </w:p>
    <w:p>
      <w:pPr>
        <w:ind w:right="3880"/>
        <w:spacing w:after="0" w:line="237" w:lineRule="auto"/>
        <w:rPr>
          <w:sz w:val="20"/>
          <w:szCs w:val="20"/>
          <w:color w:val="auto"/>
        </w:rPr>
      </w:pPr>
      <w:r>
        <w:rPr>
          <w:rFonts w:ascii="Courier New" w:cs="Courier New" w:eastAsia="Courier New" w:hAnsi="Courier New"/>
          <w:sz w:val="15"/>
          <w:szCs w:val="15"/>
          <w:color w:val="auto"/>
        </w:rPr>
        <w:t>Sales and marketing expenses were 12.1% of revenues for the three and nine months ended September 30, 2001, compared to 12.5% and 11.6% for the three and nine months ended September 30, 2000, respectively. The increase year</w:t>
      </w:r>
    </w:p>
    <w:p>
      <w:pPr>
        <w:spacing w:after="0" w:line="169"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740"/>
          </w:cols>
          <w:pgMar w:left="240" w:top="961" w:right="919" w:bottom="904" w:gutter="0" w:footer="0" w:header="0"/>
        </w:sectPr>
      </w:pPr>
    </w:p>
    <w:bookmarkStart w:id="16" w:name="page17"/>
    <w:bookmarkEnd w:id="16"/>
    <w:p>
      <w:pPr>
        <w:ind w:right="3179"/>
        <w:spacing w:after="0" w:line="237" w:lineRule="auto"/>
        <w:rPr>
          <w:sz w:val="20"/>
          <w:szCs w:val="20"/>
          <w:color w:val="auto"/>
        </w:rPr>
      </w:pPr>
      <w:r>
        <w:rPr>
          <w:rFonts w:ascii="Courier New" w:cs="Courier New" w:eastAsia="Courier New" w:hAnsi="Courier New"/>
          <w:sz w:val="15"/>
          <w:szCs w:val="15"/>
          <w:color w:val="auto"/>
        </w:rPr>
        <w:t>to year was due to investments in marketing programs and systems, primarily a new eCRM (internet-based Customer Relationship Management) system, International bad debt reserves (as a component of sales expense), additional spending related to strategy and business development activities, and increased commissions due to higher revenues.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Product development expenses were 13.5% and 13.4% of revenues for the three months and nine months ended September 30, 2001, respectively, compared to 11.4% and 12.2% for the three and nine months ended September 30, 2000, respectively. The majority of the increase is due to a number of new products under development, which fall into a general description of next generation communication technology, and associated increased staffing. Longer-term, we believe product development will range between 11% and 13% of revenues, but we expect to exceed this range for the remainder of 2001.</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General and administrative costs were 6.2% and 6.6% of revenues for the three and nine months ended September 30, 2001, respectively, compared to 10.7% and 9.9% for the three months and nine months ended September 30, 2000, respectively. The primary drivers for the decrease in both periods in 2001 were the favorable negotiation of a new communications contract, reduced legal fees for patent and FCC matters, and increased allocations for distributing support-related expenses to internal departments.</w:t>
      </w:r>
    </w:p>
    <w:p>
      <w:pPr>
        <w:spacing w:after="0" w:line="17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Restructuring reserve adjustments for the nine months ended September 30, 2001 reflect a net credit. In the second quarter of 2001, based on the sublease of office space, we reversed $1.0 million of loss reserves previously accrued in 1999 for non-cancelable operating lease charges for closed facilities. We also accrued an additional $0.2 million in severance charges related to our 1999 restructuring in the second quarter of 2001.</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60" w:type="dxa"/>
            <w:vAlign w:val="bottom"/>
          </w:tcPr>
          <w:p>
            <w:pPr>
              <w:spacing w:after="0"/>
              <w:rPr>
                <w:sz w:val="14"/>
                <w:szCs w:val="14"/>
                <w:color w:val="auto"/>
              </w:rPr>
            </w:pPr>
          </w:p>
        </w:tc>
        <w:tc>
          <w:tcPr>
            <w:tcW w:w="29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Three months ended September 30</w:t>
            </w:r>
          </w:p>
        </w:tc>
        <w:tc>
          <w:tcPr>
            <w:tcW w:w="3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280" w:type="dxa"/>
            <w:vAlign w:val="bottom"/>
          </w:tcPr>
          <w:p>
            <w:pPr>
              <w:spacing w:after="0"/>
              <w:rPr>
                <w:sz w:val="14"/>
                <w:szCs w:val="14"/>
                <w:color w:val="auto"/>
              </w:rPr>
            </w:pPr>
          </w:p>
        </w:tc>
        <w:tc>
          <w:tcPr>
            <w:tcW w:w="3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(Unaudited, in millions)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Increase</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26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(Decrease)</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26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$ 0.1</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$ 0.9</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and other, net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170"/>
        </w:trPr>
        <w:tc>
          <w:tcPr>
            <w:tcW w:w="2640" w:type="dxa"/>
            <w:vAlign w:val="bottom"/>
          </w:tcPr>
          <w:p>
            <w:pPr>
              <w:spacing w:after="0"/>
              <w:rPr>
                <w:sz w:val="14"/>
                <w:szCs w:val="14"/>
                <w:color w:val="auto"/>
              </w:rPr>
            </w:pPr>
          </w:p>
        </w:tc>
        <w:tc>
          <w:tcPr>
            <w:tcW w:w="1500" w:type="dxa"/>
            <w:vAlign w:val="bottom"/>
            <w:gridSpan w:val="2"/>
          </w:tcPr>
          <w:p>
            <w:pPr>
              <w:jc w:val="right"/>
              <w:ind w:right="29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(3.1)</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70"/>
        </w:trPr>
        <w:tc>
          <w:tcPr>
            <w:tcW w:w="2640" w:type="dxa"/>
            <w:vAlign w:val="bottom"/>
          </w:tcPr>
          <w:p>
            <w:pPr>
              <w:spacing w:after="0"/>
              <w:rPr>
                <w:sz w:val="14"/>
                <w:szCs w:val="14"/>
                <w:color w:val="auto"/>
              </w:rPr>
            </w:pPr>
          </w:p>
        </w:tc>
        <w:tc>
          <w:tcPr>
            <w:tcW w:w="1500" w:type="dxa"/>
            <w:vAlign w:val="bottom"/>
            <w:gridSpan w:val="2"/>
          </w:tcPr>
          <w:p>
            <w:pPr>
              <w:jc w:val="right"/>
              <w:ind w:right="29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September 30, 2001, we recognized an expense of</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$112,000 for our portion of net losses incurred by two joint ventures in which we hold an equity position. For the comparable period in 2000, we recognized income from equity in affiliates related to a water segment marketing joint venture whose activities have declined. Also in 2000, we realized a $150,000 net gain on the sale of an interest in a partially owned venture.</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a three-month basis, net interest and other was approximately the same. On a nine-month basis, net interest and other decreased slightly in 2001 year to date due to higher interest income from higher levels of cash and investments in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effective income tax rate was 38% in 2001 and 2000. Our effective income tax rate can vary from period to period because of fluctuations in foreign operating results, changes in valuation allowances for deferred tax assets, new or revised tax legislation, and changes in the level of business performed in different domestic tax jurisdictions.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 - Gain on Early Retirement of Debt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the first quarter of 2000 we repurchased $3.8 million of principal amount of subordinated debt for $2.1 million in cash. The gain on this early retirement of debt, net of expenses and income taxes, was $1.0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 Change in Accounting Principle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the fourth quarter of 2000, the Company implemented the SEC Staff Accounting Bulletin No. 101 (SAB 101), which outlines the Staff's views on revenue recognition. As a result, we have changed our revenue recognition for certain transactions related to customer acceptance and F.O.B destination shipments. The implementation has been accounted for as a cumulative change in accounting principle in 2000. We restated our financial results for each quarter of 2000 to conform revenue recognition to the requirements of SAB 101.</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17" w:name="page18"/>
    <w:bookmarkEnd w:id="17"/>
    <w:p>
      <w:pPr>
        <w:ind w:right="3179"/>
        <w:spacing w:after="0" w:line="237" w:lineRule="auto"/>
        <w:rPr>
          <w:sz w:val="20"/>
          <w:szCs w:val="20"/>
          <w:color w:val="auto"/>
        </w:rPr>
      </w:pPr>
      <w:r>
        <w:rPr>
          <w:rFonts w:ascii="Courier New" w:cs="Courier New" w:eastAsia="Courier New" w:hAnsi="Courier New"/>
          <w:sz w:val="15"/>
          <w:szCs w:val="15"/>
          <w:color w:val="auto"/>
        </w:rPr>
        <w:t>In addition, subsequent to the issuance of our consolidated financial statements for the year ended December 31, 2000, we changed our revenue recognition practice retroactively to January 1, 2000 for our two outsourcing contracts under which we retain title to the related equipment. See Note 8 to the condensed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Cash Flow</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Information</w:t>
            </w:r>
          </w:p>
        </w:tc>
        <w:tc>
          <w:tcPr>
            <w:tcW w:w="402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Three months ended September 30,</w:t>
            </w:r>
          </w:p>
        </w:tc>
        <w:tc>
          <w:tcPr>
            <w:tcW w:w="34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0"/>
        </w:trPr>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2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(Unaudited, in millions)</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Increase</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(Decrease)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(Decrease)</w:t>
            </w:r>
          </w:p>
        </w:tc>
      </w:tr>
      <w:tr>
        <w:trPr>
          <w:trHeight w:val="170"/>
        </w:trPr>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activities</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$ 0.3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$ 19.2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1,377%</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Investing</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activities</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Financing</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activities</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w:t>
            </w:r>
          </w:p>
        </w:tc>
      </w:tr>
      <w:tr>
        <w:trPr>
          <w:trHeight w:val="170"/>
        </w:trPr>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$18.2</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Cash flow from operating activities was significantly higher in the 2001 periods. Operating cash flow in the first three quarters of 2000 was negatively impacted by the use of $9.1 million of cash for restructuring related payments. Without those payments, normalized cash flow in the first three quarters of 2000, would have been $10.4 million, compared to $19.2 million in 2001. Increased earnings is the primary factor driving the improved cash flow from operations in 2001. Cash flow from operations was lower in the third quarter of 2001 compared to the first half. Of note is the fact that we received approximately $6 million from one customer two days after September 30, 2001.</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rPr>
          <w:sz w:val="20"/>
          <w:szCs w:val="20"/>
          <w:color w:val="auto"/>
        </w:rPr>
      </w:pPr>
      <w:r>
        <w:rPr>
          <w:rFonts w:ascii="Courier New" w:cs="Courier New" w:eastAsia="Courier New" w:hAnsi="Courier New"/>
          <w:sz w:val="15"/>
          <w:szCs w:val="15"/>
          <w:color w:val="auto"/>
        </w:rPr>
        <w:t>The primary investing activity in the third quarter of 2001 was the purchase of</w:t>
      </w:r>
    </w:p>
    <w:p>
      <w:pPr>
        <w:spacing w:after="0"/>
        <w:rPr>
          <w:sz w:val="20"/>
          <w:szCs w:val="20"/>
          <w:color w:val="auto"/>
        </w:rPr>
      </w:pPr>
      <w:r>
        <w:rPr>
          <w:rFonts w:ascii="Courier New" w:cs="Courier New" w:eastAsia="Courier New" w:hAnsi="Courier New"/>
          <w:sz w:val="15"/>
          <w:szCs w:val="15"/>
          <w:color w:val="auto"/>
        </w:rPr>
        <w:t>$2.1 in investments with maturities, not exceeding 13 months. Year to date,</w:t>
      </w:r>
    </w:p>
    <w:p>
      <w:pPr>
        <w:spacing w:after="0" w:line="238" w:lineRule="auto"/>
        <w:rPr>
          <w:sz w:val="20"/>
          <w:szCs w:val="20"/>
          <w:color w:val="auto"/>
        </w:rPr>
      </w:pPr>
      <w:r>
        <w:rPr>
          <w:rFonts w:ascii="Courier New" w:cs="Courier New" w:eastAsia="Courier New" w:hAnsi="Courier New"/>
          <w:sz w:val="15"/>
          <w:szCs w:val="15"/>
          <w:color w:val="auto"/>
        </w:rPr>
        <w:t>$15.7 million of short-term investments have been purchased in order to achieve</w:t>
      </w:r>
    </w:p>
    <w:p>
      <w:pPr>
        <w:spacing w:after="0"/>
        <w:rPr>
          <w:sz w:val="20"/>
          <w:szCs w:val="20"/>
          <w:color w:val="auto"/>
        </w:rPr>
      </w:pPr>
      <w:r>
        <w:rPr>
          <w:rFonts w:ascii="Courier New" w:cs="Courier New" w:eastAsia="Courier New" w:hAnsi="Courier New"/>
          <w:sz w:val="15"/>
          <w:szCs w:val="15"/>
          <w:color w:val="auto"/>
        </w:rPr>
        <w:t>higher interest rates. In the first quarter of 2001, we reclassified $5.1</w:t>
      </w:r>
    </w:p>
    <w:p>
      <w:pPr>
        <w:spacing w:after="0"/>
        <w:rPr>
          <w:sz w:val="20"/>
          <w:szCs w:val="20"/>
          <w:color w:val="auto"/>
        </w:rPr>
      </w:pPr>
      <w:r>
        <w:rPr>
          <w:rFonts w:ascii="Courier New" w:cs="Courier New" w:eastAsia="Courier New" w:hAnsi="Courier New"/>
          <w:sz w:val="15"/>
          <w:szCs w:val="15"/>
          <w:color w:val="auto"/>
        </w:rPr>
        <w:t>million into restricted cash for a collateralized letter of credit. Included in</w:t>
      </w:r>
    </w:p>
    <w:p>
      <w:pPr>
        <w:spacing w:after="0" w:line="238" w:lineRule="auto"/>
        <w:rPr>
          <w:sz w:val="20"/>
          <w:szCs w:val="20"/>
          <w:color w:val="auto"/>
        </w:rPr>
      </w:pPr>
      <w:r>
        <w:rPr>
          <w:rFonts w:ascii="Courier New" w:cs="Courier New" w:eastAsia="Courier New" w:hAnsi="Courier New"/>
          <w:sz w:val="15"/>
          <w:szCs w:val="15"/>
          <w:color w:val="auto"/>
        </w:rPr>
        <w:t>other investing activities are investments in and loans made to three private</w:t>
      </w:r>
    </w:p>
    <w:p>
      <w:pPr>
        <w:spacing w:after="0"/>
        <w:rPr>
          <w:sz w:val="20"/>
          <w:szCs w:val="20"/>
          <w:color w:val="auto"/>
        </w:rPr>
      </w:pPr>
      <w:r>
        <w:rPr>
          <w:rFonts w:ascii="Courier New" w:cs="Courier New" w:eastAsia="Courier New" w:hAnsi="Courier New"/>
          <w:sz w:val="15"/>
          <w:szCs w:val="15"/>
          <w:color w:val="auto"/>
        </w:rPr>
        <w:t>companies - a web-based wireless workforce management company, a provider of</w:t>
      </w:r>
    </w:p>
    <w:p>
      <w:pPr>
        <w:spacing w:after="0"/>
        <w:rPr>
          <w:sz w:val="20"/>
          <w:szCs w:val="20"/>
          <w:color w:val="auto"/>
        </w:rPr>
      </w:pPr>
      <w:r>
        <w:rPr>
          <w:rFonts w:ascii="Courier New" w:cs="Courier New" w:eastAsia="Courier New" w:hAnsi="Courier New"/>
          <w:sz w:val="15"/>
          <w:szCs w:val="15"/>
          <w:color w:val="auto"/>
        </w:rPr>
        <w:t>meter reading services to energy service providers and end user customers, and a</w:t>
      </w:r>
    </w:p>
    <w:p>
      <w:pPr>
        <w:spacing w:after="0"/>
        <w:rPr>
          <w:sz w:val="20"/>
          <w:szCs w:val="20"/>
          <w:color w:val="auto"/>
        </w:rPr>
      </w:pPr>
      <w:r>
        <w:rPr>
          <w:rFonts w:ascii="Courier New" w:cs="Courier New" w:eastAsia="Courier New" w:hAnsi="Courier New"/>
          <w:sz w:val="15"/>
          <w:szCs w:val="15"/>
          <w:color w:val="auto"/>
        </w:rPr>
        <w:t>developer of in home energy gateway communication technology.</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the second and third quarters of 2000, our investments primarily consisted of equipment installed for outsourcing contracts and internal capital acquisitions. In the first half of 2000 we received $33 million from the sale of our network project at Duquesne Light Company to an affiliate of Duquesne.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Financing activities in the third quarter of 2001 included the open-market buy back of 52,000 shares of our common stock for $913,950, which is netted against $1 million received from our employee stock purchase plan and option exercises during the quarter. Activity in the first quarter of 2000 included a $2.1 million repurchase and retirement of subordinated debt. No comparably significant financing transaction occurred during the first three quarters of 2001.</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September 30, 2001, we had $28.7 million in cash, cash equivalents, and short-term investments. In addition, we also had $5.1 million of restricted cash that secures a $5.0 million letter of credit related to a long-term services contract. We believe existing cash resources and available borrowings under our credit facility are more than adequate to meet our operating cash needs through 2002.</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$53.4 million of convertible subordinated debentures that mature in March 2004, $15.0 million of which have a conversion price of $9.65 and are callable in April 2002 without premium. The remaining $38.4 million of notes have a conversion price of $23.70 and have been callable with declining premiums since March 2000. We anticipate that we will have sufficient cash generated from operations to repurchase the notes at maturity if they are not converted earlier.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following statements are based on management's current expectations. These statements are forward-looking, and are made as of the date of the Form 10-Q filed November 8, 2001. Actual results may differ materially due to a number of risks and uncertainties. Itron undertakes no obligation to update publicly or revise any forward-looking statements.</w:t>
      </w:r>
    </w:p>
    <w:p>
      <w:pPr>
        <w:spacing w:after="0" w:line="1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7" w:right="1440" w:bottom="1440" w:gutter="0" w:footer="0" w:header="0"/>
        </w:sectPr>
      </w:pPr>
    </w:p>
    <w:bookmarkStart w:id="18" w:name="page19"/>
    <w:bookmarkEnd w:id="18"/>
    <w:p>
      <w:pPr>
        <w:ind w:right="3259"/>
        <w:spacing w:after="0" w:line="237" w:lineRule="auto"/>
        <w:rPr>
          <w:sz w:val="20"/>
          <w:szCs w:val="20"/>
          <w:color w:val="auto"/>
        </w:rPr>
      </w:pPr>
      <w:r>
        <w:rPr>
          <w:rFonts w:ascii="Courier New" w:cs="Courier New" w:eastAsia="Courier New" w:hAnsi="Courier New"/>
          <w:sz w:val="15"/>
          <w:szCs w:val="15"/>
          <w:color w:val="auto"/>
        </w:rPr>
        <w:t>We expect revenues for the full year 2001 will be approximately 20% higher than in 2000. Diluted earnings per share for the full year 2001 are expected to be between $0.70 and $0.72. We anticipate that revenue growth in 2002 will be at least 10% to 15% higher relative to 2001, with EPS growth approximately twice the revenue growth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QUALITATIVE AND QUANTITATIVE DISCLOSURES ABOUT MARKET RISK</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Foreign Currency Exchange Rate Risk: As a global concern, we conduct business in a number of foreign countries and, therefore, face exposure to adverse movements in foreign currency exchange rates. Total International revenue approximates 12% of total revenue. As we currently do not use derivative instruments to manage foreign currency exchange rate risk,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primary exposure relates to non-dollar denominated sales, cost of sales and operating expenses in our subsidiary operations in France, the United Kingdom, and Australia, which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There has been, and there may continue to be, large period-to-period fluctuations in the relative portions of International revenue that are denominated in foreign currencies versus the U.S. dollar.</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Because our earnings are affected by fluctuations in the value of the U.S. dollar as compared to foreign currencies, we have performed a sensitivity analysis assuming a hypothetical 10% increase in the value of the dollar relative to the currencies in which our transactions are denominated. As of September 30, 2001,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the results of the analysis for the third quarter. We may, in the future, experience greater fluctuations in U.S. dollar earnings from fluctuations in foreign currency exchange rates. We will continue to monitor and assess the impact of currency fluctuations and may seek to institute hedging alternatives as business dictates.</w:t>
      </w:r>
    </w:p>
    <w:p>
      <w:pPr>
        <w:spacing w:after="0" w:line="18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9" w:name="page20"/>
    <w:bookmarkEnd w:id="19"/>
    <w:p>
      <w:pPr>
        <w:ind w:left="1670"/>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Legal Proceedings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Benghiat Patent Litigation</w:t>
      </w:r>
    </w:p>
    <w:p>
      <w:pPr>
        <w:spacing w:after="0" w:line="175" w:lineRule="exact"/>
        <w:rPr>
          <w:sz w:val="20"/>
          <w:szCs w:val="20"/>
          <w:color w:val="auto"/>
        </w:rPr>
      </w:pPr>
    </w:p>
    <w:p>
      <w:pPr>
        <w:ind w:left="710" w:right="3179"/>
        <w:spacing w:after="0" w:line="257" w:lineRule="auto"/>
        <w:rPr>
          <w:sz w:val="20"/>
          <w:szCs w:val="20"/>
          <w:color w:val="auto"/>
        </w:rPr>
      </w:pPr>
      <w:r>
        <w:rPr>
          <w:rFonts w:ascii="Courier New" w:cs="Courier New" w:eastAsia="Courier New" w:hAnsi="Courier New"/>
          <w:sz w:val="14"/>
          <w:szCs w:val="14"/>
          <w:color w:val="auto"/>
        </w:rPr>
        <w:t>On April 3, 1999, we served Ralph Benghiat, an individual, with a complaint seeking a declaratory judgment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judgment filed by Itron. On June 29, 2001, a court-ordered settlement hearing was held, which did not result in a settlement of the case. The case is currently scheduled to go to trial January 7, 2002.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32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Northfield Communications Sublease Litigation</w:t>
      </w:r>
    </w:p>
    <w:p>
      <w:pPr>
        <w:spacing w:after="0" w:line="175" w:lineRule="exact"/>
        <w:rPr>
          <w:sz w:val="20"/>
          <w:szCs w:val="20"/>
          <w:color w:val="auto"/>
        </w:rPr>
      </w:pPr>
    </w:p>
    <w:p>
      <w:pPr>
        <w:ind w:left="710" w:right="3619"/>
        <w:spacing w:after="0" w:line="256" w:lineRule="auto"/>
        <w:rPr>
          <w:sz w:val="20"/>
          <w:szCs w:val="20"/>
          <w:color w:val="auto"/>
        </w:rPr>
      </w:pPr>
      <w:r>
        <w:rPr>
          <w:rFonts w:ascii="Courier New" w:cs="Courier New" w:eastAsia="Courier New" w:hAnsi="Courier New"/>
          <w:sz w:val="14"/>
          <w:szCs w:val="14"/>
          <w:color w:val="auto"/>
        </w:rPr>
        <w:t>On April 24, 2001, pursuant to an amended complaint, plaintiff Northfield Communications, Inc. brought an action against us in the United States District Court for the District of Minnesota (CF No.</w:t>
      </w:r>
    </w:p>
    <w:p>
      <w:pPr>
        <w:spacing w:after="0" w:line="1" w:lineRule="exact"/>
        <w:rPr>
          <w:sz w:val="20"/>
          <w:szCs w:val="20"/>
          <w:color w:val="auto"/>
        </w:rPr>
      </w:pPr>
    </w:p>
    <w:p>
      <w:pPr>
        <w:ind w:left="710" w:right="3179"/>
        <w:spacing w:after="0" w:line="238" w:lineRule="auto"/>
        <w:rPr>
          <w:sz w:val="20"/>
          <w:szCs w:val="20"/>
          <w:color w:val="auto"/>
        </w:rPr>
      </w:pPr>
      <w:r>
        <w:rPr>
          <w:rFonts w:ascii="Courier New" w:cs="Courier New" w:eastAsia="Courier New" w:hAnsi="Courier New"/>
          <w:sz w:val="15"/>
          <w:szCs w:val="15"/>
          <w:color w:val="auto"/>
        </w:rPr>
        <w:t>01-117 JMR/FLN). Plaintiff is a sub-lessee of property leased by Itron in Lakeville, Minnesota and has asked the court to make a determination of its rights under its sublease and such other relief as is appropriate. We have denied the substantive allegations of the complaint and have filed a counterclaim against the plaintiff. The lawsuit is in the discovery phase with a trial date expected sometime after December 1, 2001. While we believe that we have meritorious defenses to the plaintiff's claims, there can be no assurance that we will prevail in this matter. If we do not prevail or reach a favorable settlement, the impact could be material to our earnings in the fiscal quarter in which the matter is settled.</w:t>
      </w:r>
    </w:p>
    <w:p>
      <w:pPr>
        <w:spacing w:after="0" w:line="181" w:lineRule="exact"/>
        <w:rPr>
          <w:sz w:val="20"/>
          <w:szCs w:val="20"/>
          <w:color w:val="auto"/>
        </w:rPr>
      </w:pPr>
    </w:p>
    <w:p>
      <w:pPr>
        <w:ind w:left="710" w:right="3179"/>
        <w:spacing w:after="0" w:line="237" w:lineRule="auto"/>
        <w:rPr>
          <w:sz w:val="20"/>
          <w:szCs w:val="20"/>
          <w:color w:val="auto"/>
        </w:rPr>
      </w:pPr>
      <w:r>
        <w:rPr>
          <w:rFonts w:ascii="Courier New" w:cs="Courier New" w:eastAsia="Courier New" w:hAnsi="Courier New"/>
          <w:sz w:val="15"/>
          <w:szCs w:val="15"/>
          <w:color w:val="auto"/>
        </w:rPr>
        <w:t>There have been no significant changes to any other legal proceedings in which we are currently involved. See our annual report on Form 10-K/A for the year ended December 31, 2000, as filed with the Securities and Exchange Commission on March 1, 2002, for a complete list of legal proceedings.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9" w:lineRule="exact"/>
        <w:rPr>
          <w:sz w:val="20"/>
          <w:szCs w:val="20"/>
          <w:color w:val="auto"/>
        </w:rPr>
      </w:pPr>
    </w:p>
    <w:p>
      <w:pPr>
        <w:ind w:left="710" w:hanging="710"/>
        <w:spacing w:after="0"/>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were filed this quarter.</w:t>
      </w:r>
    </w:p>
    <w:p>
      <w:pPr>
        <w:spacing w:after="0" w:line="169"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8-Ks were filed this quarter.</w:t>
      </w:r>
    </w:p>
    <w:p>
      <w:pPr>
        <w:spacing w:after="0" w:line="5"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2" w:right="1440" w:bottom="1440" w:gutter="0" w:footer="0" w:header="0"/>
        </w:sectPr>
      </w:pPr>
    </w:p>
    <w:bookmarkStart w:id="20" w:name="page21"/>
    <w:bookmarkEnd w:id="20"/>
    <w:p>
      <w:pPr>
        <w:jc w:val="center"/>
        <w:ind w:right="3099"/>
        <w:spacing w:after="0"/>
        <w:rPr>
          <w:sz w:val="20"/>
          <w:szCs w:val="20"/>
          <w:color w:val="auto"/>
        </w:rPr>
      </w:pPr>
      <w:r>
        <w:rPr>
          <w:rFonts w:ascii="Courier New" w:cs="Courier New" w:eastAsia="Courier New" w:hAnsi="Courier New"/>
          <w:sz w:val="15"/>
          <w:szCs w:val="15"/>
          <w:color w:val="auto"/>
        </w:rPr>
        <w:t>SIGNATURE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ITRON, INC.</w:t>
      </w:r>
    </w:p>
    <w:p>
      <w:pPr>
        <w:ind w:left="342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8"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G Remington</w:t>
      </w:r>
    </w:p>
    <w:p>
      <w:pPr>
        <w:ind w:left="38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David G. Remington</w:t>
      </w:r>
    </w:p>
    <w:p>
      <w:pPr>
        <w:ind w:left="3860"/>
        <w:spacing w:after="0" w:line="238" w:lineRule="auto"/>
        <w:rPr>
          <w:sz w:val="20"/>
          <w:szCs w:val="20"/>
          <w:color w:val="auto"/>
        </w:rPr>
      </w:pPr>
      <w:r>
        <w:rPr>
          <w:rFonts w:ascii="Courier New" w:cs="Courier New" w:eastAsia="Courier New" w:hAnsi="Courier New"/>
          <w:sz w:val="15"/>
          <w:szCs w:val="15"/>
          <w:color w:val="auto"/>
        </w:rPr>
        <w:t>Vice President and</w:t>
      </w:r>
    </w:p>
    <w:p>
      <w:pPr>
        <w:ind w:left="3860"/>
        <w:spacing w:after="0"/>
        <w:rPr>
          <w:sz w:val="20"/>
          <w:szCs w:val="20"/>
          <w:color w:val="auto"/>
        </w:rPr>
      </w:pPr>
      <w:r>
        <w:rPr>
          <w:rFonts w:ascii="Courier New" w:cs="Courier New" w:eastAsia="Courier New" w:hAnsi="Courier New"/>
          <w:sz w:val="15"/>
          <w:szCs w:val="15"/>
          <w:color w:val="auto"/>
        </w:rPr>
        <w:t>Chief Financial Officer</w:t>
      </w:r>
    </w:p>
    <w:p>
      <w:pPr>
        <w:ind w:left="3860"/>
        <w:spacing w:after="0"/>
        <w:rPr>
          <w:sz w:val="20"/>
          <w:szCs w:val="20"/>
          <w:color w:val="auto"/>
        </w:rPr>
      </w:pPr>
      <w:r>
        <w:rPr>
          <w:rFonts w:ascii="Courier New" w:cs="Courier New" w:eastAsia="Courier New" w:hAnsi="Courier New"/>
          <w:sz w:val="15"/>
          <w:szCs w:val="15"/>
          <w:color w:val="auto"/>
        </w:rPr>
        <w:t>(Authorized Officer and Principal</w:t>
      </w:r>
    </w:p>
    <w:p>
      <w:pPr>
        <w:ind w:left="3860"/>
        <w:spacing w:after="0" w:line="238" w:lineRule="auto"/>
        <w:rPr>
          <w:sz w:val="20"/>
          <w:szCs w:val="20"/>
          <w:color w:val="auto"/>
        </w:rPr>
      </w:pPr>
      <w:r>
        <w:rPr>
          <w:rFonts w:ascii="Courier New" w:cs="Courier New" w:eastAsia="Courier New" w:hAnsi="Courier New"/>
          <w:sz w:val="15"/>
          <w:szCs w:val="15"/>
          <w:color w:val="auto"/>
        </w:rPr>
        <w:t>Financial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11, 2002</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11"/>
    </w:lvl>
  </w:abstractNum>
  <w:abstractNum w:abstractNumId="2">
    <w:nsid w:val="625558EC"/>
    <w:multiLevelType w:val="hybridMultilevel"/>
    <w:lvl w:ilvl="0">
      <w:lvlJc w:val="left"/>
      <w:lvlText w:val="&amp;"/>
      <w:numFmt w:val="bullet"/>
      <w:start w:val="1"/>
    </w:lvl>
  </w:abstractNum>
  <w:abstractNum w:abstractNumId="3">
    <w:nsid w:val="238E1F29"/>
    <w:multiLevelType w:val="hybridMultilevel"/>
    <w:lvl w:ilvl="0">
      <w:lvlJc w:val="left"/>
      <w:lvlText w:val="%1"/>
      <w:numFmt w:val="decimal"/>
      <w:start w:val="736"/>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2019-12-13T15:24:01Z</dcterms:created>
  <dcterms:modified xsi:type="dcterms:W3CDTF">2019-12-13T15:24:01Z</dcterms:modified>
</cp:coreProperties>
</file>