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jc w:val="center"/>
        <w:spacing w:after="0" w:line="231" w:lineRule="auto"/>
        <w:rPr>
          <w:sz w:val="20"/>
          <w:szCs w:val="20"/>
          <w:color w:val="auto"/>
        </w:rPr>
      </w:pPr>
      <w:r>
        <w:rPr>
          <w:rFonts w:ascii="Arial" w:cs="Arial" w:eastAsia="Arial" w:hAnsi="Arial"/>
          <w:sz w:val="22"/>
          <w:szCs w:val="22"/>
          <w:b w:val="1"/>
          <w:bCs w:val="1"/>
          <w:color w:val="auto"/>
        </w:rPr>
        <w:t>Washington, D.C. 20549</w:t>
      </w:r>
    </w:p>
    <w:p>
      <w:pPr>
        <w:ind w:left="4260"/>
        <w:spacing w:after="0" w:line="234" w:lineRule="auto"/>
        <w:rPr>
          <w:sz w:val="20"/>
          <w:szCs w:val="20"/>
          <w:color w:val="auto"/>
        </w:rPr>
      </w:pPr>
      <w:r>
        <w:rPr>
          <w:rFonts w:ascii="Arial" w:cs="Arial" w:eastAsia="Arial" w:hAnsi="Arial"/>
          <w:sz w:val="22"/>
          <w:szCs w:val="22"/>
          <w:b w:val="1"/>
          <w:bCs w:val="1"/>
          <w:color w:val="auto"/>
        </w:rPr>
        <w:t>___________________________</w:t>
      </w:r>
    </w:p>
    <w:p>
      <w:pPr>
        <w:jc w:val="center"/>
        <w:spacing w:after="0"/>
        <w:rPr>
          <w:sz w:val="20"/>
          <w:szCs w:val="20"/>
          <w:color w:val="auto"/>
        </w:rPr>
      </w:pPr>
      <w:r>
        <w:rPr>
          <w:rFonts w:ascii="Arial" w:cs="Arial" w:eastAsia="Arial" w:hAnsi="Arial"/>
          <w:sz w:val="29"/>
          <w:szCs w:val="29"/>
          <w:b w:val="1"/>
          <w:bCs w:val="1"/>
          <w:color w:val="auto"/>
        </w:rPr>
        <w:t>FORM 8-K</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35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June 27,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17145</wp:posOffset>
            </wp:positionV>
            <wp:extent cx="289877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ITRON,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2037715</wp:posOffset>
            </wp:positionH>
            <wp:positionV relativeFrom="paragraph">
              <wp:posOffset>22860</wp:posOffset>
            </wp:positionV>
            <wp:extent cx="319024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190240" cy="17145"/>
                    </a:xfrm>
                    <a:prstGeom prst="rect">
                      <a:avLst/>
                    </a:prstGeom>
                    <a:noFill/>
                  </pic:spPr>
                </pic:pic>
              </a:graphicData>
            </a:graphic>
          </wp:anchor>
        </w:drawing>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280" w:type="dxa"/>
            <w:vAlign w:val="bottom"/>
          </w:tcPr>
          <w:p>
            <w:pPr>
              <w:jc w:val="center"/>
              <w:ind w:left="390"/>
              <w:spacing w:after="0"/>
              <w:rPr>
                <w:sz w:val="20"/>
                <w:szCs w:val="20"/>
                <w:color w:val="auto"/>
              </w:rPr>
            </w:pPr>
            <w:r>
              <w:rPr>
                <w:rFonts w:ascii="Arial" w:cs="Arial" w:eastAsia="Arial" w:hAnsi="Arial"/>
                <w:sz w:val="18"/>
                <w:szCs w:val="18"/>
                <w:b w:val="1"/>
                <w:bCs w:val="1"/>
                <w:color w:val="auto"/>
                <w:w w:val="89"/>
              </w:rPr>
              <w:t>Washington</w:t>
            </w:r>
          </w:p>
        </w:tc>
        <w:tc>
          <w:tcPr>
            <w:tcW w:w="4360" w:type="dxa"/>
            <w:vAlign w:val="bottom"/>
            <w:gridSpan w:val="3"/>
          </w:tcPr>
          <w:p>
            <w:pPr>
              <w:jc w:val="right"/>
              <w:ind w:right="1310"/>
              <w:spacing w:after="0"/>
              <w:rPr>
                <w:sz w:val="20"/>
                <w:szCs w:val="20"/>
                <w:color w:val="auto"/>
              </w:rPr>
            </w:pPr>
            <w:r>
              <w:rPr>
                <w:rFonts w:ascii="Arial" w:cs="Arial" w:eastAsia="Arial" w:hAnsi="Arial"/>
                <w:sz w:val="18"/>
                <w:szCs w:val="18"/>
                <w:b w:val="1"/>
                <w:bCs w:val="1"/>
                <w:color w:val="auto"/>
              </w:rPr>
              <w:t>000-22418</w:t>
            </w:r>
          </w:p>
        </w:tc>
        <w:tc>
          <w:tcPr>
            <w:tcW w:w="380" w:type="dxa"/>
            <w:vAlign w:val="bottom"/>
          </w:tcPr>
          <w:p>
            <w:pPr>
              <w:spacing w:after="0"/>
              <w:rPr>
                <w:sz w:val="20"/>
                <w:szCs w:val="20"/>
                <w:color w:val="auto"/>
              </w:rPr>
            </w:pPr>
          </w:p>
        </w:tc>
        <w:tc>
          <w:tcPr>
            <w:tcW w:w="3400" w:type="dxa"/>
            <w:vAlign w:val="bottom"/>
          </w:tcPr>
          <w:p>
            <w:pPr>
              <w:jc w:val="center"/>
              <w:spacing w:after="0"/>
              <w:rPr>
                <w:sz w:val="20"/>
                <w:szCs w:val="20"/>
                <w:color w:val="auto"/>
              </w:rPr>
            </w:pPr>
            <w:r>
              <w:rPr>
                <w:rFonts w:ascii="Arial" w:cs="Arial" w:eastAsia="Arial" w:hAnsi="Arial"/>
                <w:sz w:val="18"/>
                <w:szCs w:val="18"/>
                <w:b w:val="1"/>
                <w:bCs w:val="1"/>
                <w:color w:val="auto"/>
                <w:w w:val="89"/>
              </w:rPr>
              <w:t>91-1011792</w:t>
            </w:r>
          </w:p>
        </w:tc>
      </w:tr>
      <w:tr>
        <w:trPr>
          <w:trHeight w:val="202"/>
        </w:trPr>
        <w:tc>
          <w:tcPr>
            <w:tcW w:w="3280" w:type="dxa"/>
            <w:vAlign w:val="bottom"/>
            <w:tcBorders>
              <w:top w:val="single" w:sz="8" w:color="auto"/>
            </w:tcBorders>
          </w:tcPr>
          <w:p>
            <w:pPr>
              <w:jc w:val="center"/>
              <w:ind w:left="390"/>
              <w:spacing w:after="0" w:line="201" w:lineRule="exact"/>
              <w:rPr>
                <w:sz w:val="20"/>
                <w:szCs w:val="20"/>
                <w:color w:val="auto"/>
              </w:rPr>
            </w:pPr>
            <w:r>
              <w:rPr>
                <w:rFonts w:ascii="Arial" w:cs="Arial" w:eastAsia="Arial" w:hAnsi="Arial"/>
                <w:sz w:val="18"/>
                <w:szCs w:val="18"/>
                <w:color w:val="auto"/>
                <w:w w:val="91"/>
              </w:rPr>
              <w:t>(State or Other Jurisdiction</w:t>
            </w:r>
          </w:p>
        </w:tc>
        <w:tc>
          <w:tcPr>
            <w:tcW w:w="46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360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34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3280" w:type="dxa"/>
            <w:vAlign w:val="bottom"/>
          </w:tcPr>
          <w:p>
            <w:pPr>
              <w:jc w:val="center"/>
              <w:ind w:left="390"/>
              <w:spacing w:after="0"/>
              <w:rPr>
                <w:sz w:val="20"/>
                <w:szCs w:val="20"/>
                <w:color w:val="auto"/>
              </w:rPr>
            </w:pPr>
            <w:r>
              <w:rPr>
                <w:rFonts w:ascii="Arial" w:cs="Arial" w:eastAsia="Arial" w:hAnsi="Arial"/>
                <w:sz w:val="18"/>
                <w:szCs w:val="18"/>
                <w:color w:val="auto"/>
                <w:w w:val="94"/>
              </w:rPr>
              <w:t>of Incorporation)</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980" w:type="dxa"/>
            <w:vAlign w:val="bottom"/>
            <w:gridSpan w:val="2"/>
          </w:tcPr>
          <w:p>
            <w:pPr>
              <w:jc w:val="center"/>
              <w:ind w:right="380"/>
              <w:spacing w:after="0"/>
              <w:rPr>
                <w:sz w:val="20"/>
                <w:szCs w:val="20"/>
                <w:color w:val="auto"/>
              </w:rPr>
            </w:pPr>
            <w:r>
              <w:rPr>
                <w:rFonts w:ascii="Arial" w:cs="Arial" w:eastAsia="Arial" w:hAnsi="Arial"/>
                <w:sz w:val="18"/>
                <w:szCs w:val="18"/>
                <w:color w:val="auto"/>
                <w:w w:val="94"/>
              </w:rPr>
              <w:t>(Commission File No.)</w:t>
            </w:r>
          </w:p>
        </w:tc>
        <w:tc>
          <w:tcPr>
            <w:tcW w:w="340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66"/>
        </w:trPr>
        <w:tc>
          <w:tcPr>
            <w:tcW w:w="32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8"/>
                <w:szCs w:val="18"/>
                <w:b w:val="1"/>
                <w:bCs w:val="1"/>
                <w:color w:val="auto"/>
                <w:w w:val="93"/>
              </w:rPr>
              <w:t>2111 N. Molter Road, Liberty Lake, WA 99019</w:t>
            </w:r>
          </w:p>
        </w:tc>
        <w:tc>
          <w:tcPr>
            <w:tcW w:w="3400" w:type="dxa"/>
            <w:vAlign w:val="bottom"/>
            <w:tcBorders>
              <w:bottom w:val="single" w:sz="8" w:color="auto"/>
            </w:tcBorders>
          </w:tcPr>
          <w:p>
            <w:pPr>
              <w:spacing w:after="0"/>
              <w:rPr>
                <w:sz w:val="24"/>
                <w:szCs w:val="24"/>
                <w:color w:val="auto"/>
              </w:rPr>
            </w:pPr>
          </w:p>
        </w:tc>
      </w:tr>
      <w:tr>
        <w:trPr>
          <w:trHeight w:val="230"/>
        </w:trPr>
        <w:tc>
          <w:tcPr>
            <w:tcW w:w="3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80" w:type="dxa"/>
            <w:vAlign w:val="bottom"/>
            <w:gridSpan w:val="3"/>
          </w:tcPr>
          <w:p>
            <w:pPr>
              <w:jc w:val="center"/>
              <w:ind w:right="340"/>
              <w:spacing w:after="0"/>
              <w:rPr>
                <w:sz w:val="20"/>
                <w:szCs w:val="20"/>
                <w:color w:val="auto"/>
              </w:rPr>
            </w:pPr>
            <w:r>
              <w:rPr>
                <w:rFonts w:ascii="Arial" w:cs="Arial" w:eastAsia="Arial" w:hAnsi="Arial"/>
                <w:sz w:val="18"/>
                <w:szCs w:val="18"/>
                <w:color w:val="auto"/>
                <w:w w:val="92"/>
              </w:rPr>
              <w:t>(Address of Principal Executive Offices, Zip Code)</w:t>
            </w:r>
          </w:p>
        </w:tc>
        <w:tc>
          <w:tcPr>
            <w:tcW w:w="3400" w:type="dxa"/>
            <w:vAlign w:val="bottom"/>
          </w:tcPr>
          <w:p>
            <w:pPr>
              <w:spacing w:after="0"/>
              <w:rPr>
                <w:sz w:val="20"/>
                <w:szCs w:val="20"/>
                <w:color w:val="auto"/>
              </w:rPr>
            </w:pPr>
          </w:p>
        </w:tc>
      </w:tr>
      <w:tr>
        <w:trPr>
          <w:trHeight w:val="452"/>
        </w:trPr>
        <w:tc>
          <w:tcPr>
            <w:tcW w:w="328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gridSpan w:val="3"/>
          </w:tcPr>
          <w:p>
            <w:pPr>
              <w:jc w:val="center"/>
              <w:ind w:left="430"/>
              <w:spacing w:after="0"/>
              <w:rPr>
                <w:sz w:val="20"/>
                <w:szCs w:val="20"/>
                <w:color w:val="auto"/>
              </w:rPr>
            </w:pPr>
            <w:r>
              <w:rPr>
                <w:rFonts w:ascii="Arial" w:cs="Arial" w:eastAsia="Arial" w:hAnsi="Arial"/>
                <w:sz w:val="18"/>
                <w:szCs w:val="18"/>
                <w:b w:val="1"/>
                <w:bCs w:val="1"/>
                <w:color w:val="auto"/>
                <w:w w:val="90"/>
              </w:rPr>
              <w:t>(509) 924-9900</w:t>
            </w:r>
          </w:p>
        </w:tc>
        <w:tc>
          <w:tcPr>
            <w:tcW w:w="38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r>
      <w:tr>
        <w:trPr>
          <w:trHeight w:val="230"/>
        </w:trPr>
        <w:tc>
          <w:tcPr>
            <w:tcW w:w="3280" w:type="dxa"/>
            <w:vAlign w:val="bottom"/>
          </w:tcPr>
          <w:p>
            <w:pPr>
              <w:spacing w:after="0"/>
              <w:rPr>
                <w:sz w:val="20"/>
                <w:szCs w:val="20"/>
                <w:color w:val="auto"/>
              </w:rPr>
            </w:pPr>
          </w:p>
        </w:tc>
        <w:tc>
          <w:tcPr>
            <w:tcW w:w="4740" w:type="dxa"/>
            <w:vAlign w:val="bottom"/>
            <w:gridSpan w:val="4"/>
          </w:tcPr>
          <w:p>
            <w:pPr>
              <w:jc w:val="center"/>
              <w:ind w:left="30"/>
              <w:spacing w:after="0"/>
              <w:rPr>
                <w:sz w:val="20"/>
                <w:szCs w:val="20"/>
                <w:color w:val="auto"/>
              </w:rPr>
            </w:pPr>
            <w:r>
              <w:rPr>
                <w:rFonts w:ascii="Arial" w:cs="Arial" w:eastAsia="Arial" w:hAnsi="Arial"/>
                <w:sz w:val="18"/>
                <w:szCs w:val="18"/>
                <w:color w:val="auto"/>
                <w:w w:val="90"/>
              </w:rPr>
              <w:t>(Registrant's Telephone Number, Including Area Code)</w:t>
            </w:r>
          </w:p>
        </w:tc>
        <w:tc>
          <w:tcPr>
            <w:tcW w:w="340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282575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99" w:lineRule="exact"/>
        <w:rPr>
          <w:sz w:val="24"/>
          <w:szCs w:val="24"/>
          <w:color w:val="auto"/>
        </w:rPr>
      </w:pPr>
    </w:p>
    <w:p>
      <w:pPr>
        <w:ind w:right="220"/>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214"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22"/>
          <w:szCs w:val="22"/>
          <w:color w:val="auto"/>
        </w:rPr>
      </w:pPr>
      <w:r>
        <w:rPr>
          <w:rFonts w:ascii="Arial" w:cs="Arial" w:eastAsia="Arial" w:hAnsi="Arial"/>
          <w:sz w:val="22"/>
          <w:szCs w:val="22"/>
          <w:color w:val="auto"/>
        </w:rPr>
        <w:t>Written communications pursuant to Rule 425 under Securities Act (17 CFR 230.425)</w:t>
      </w:r>
    </w:p>
    <w:p>
      <w:pPr>
        <w:spacing w:after="0" w:line="21" w:lineRule="exact"/>
        <w:rPr>
          <w:rFonts w:ascii="MS PGothic" w:cs="MS PGothic" w:eastAsia="MS PGothic" w:hAnsi="MS PGothic"/>
          <w:sz w:val="22"/>
          <w:szCs w:val="22"/>
          <w:color w:val="auto"/>
        </w:rPr>
      </w:pPr>
    </w:p>
    <w:p>
      <w:pPr>
        <w:ind w:left="260" w:hanging="252"/>
        <w:spacing w:after="0"/>
        <w:tabs>
          <w:tab w:leader="none" w:pos="260" w:val="left"/>
        </w:tabs>
        <w:numPr>
          <w:ilvl w:val="0"/>
          <w:numId w:val="1"/>
        </w:numPr>
        <w:rPr>
          <w:rFonts w:ascii="MS PGothic" w:cs="MS PGothic" w:eastAsia="MS PGothic" w:hAnsi="MS PGothic"/>
          <w:sz w:val="22"/>
          <w:szCs w:val="22"/>
          <w:color w:val="auto"/>
        </w:rPr>
      </w:pPr>
      <w:r>
        <w:rPr>
          <w:rFonts w:ascii="Arial" w:cs="Arial" w:eastAsia="Arial" w:hAnsi="Arial"/>
          <w:sz w:val="22"/>
          <w:szCs w:val="22"/>
          <w:color w:val="auto"/>
        </w:rPr>
        <w:t>Soliciting material pursuant to Rule 14a-12 under the Exchange Act (17 CFR 240.14a-12)</w:t>
      </w:r>
    </w:p>
    <w:p>
      <w:pPr>
        <w:spacing w:after="0" w:line="3" w:lineRule="exact"/>
        <w:rPr>
          <w:rFonts w:ascii="MS PGothic" w:cs="MS PGothic" w:eastAsia="MS PGothic" w:hAnsi="MS PGothic"/>
          <w:sz w:val="22"/>
          <w:szCs w:val="22"/>
          <w:color w:val="auto"/>
        </w:rPr>
      </w:pPr>
    </w:p>
    <w:p>
      <w:pPr>
        <w:ind w:left="260" w:hanging="252"/>
        <w:spacing w:after="0"/>
        <w:tabs>
          <w:tab w:leader="none" w:pos="260" w:val="left"/>
        </w:tabs>
        <w:numPr>
          <w:ilvl w:val="0"/>
          <w:numId w:val="1"/>
        </w:numPr>
        <w:rPr>
          <w:rFonts w:ascii="MS PGothic" w:cs="MS PGothic" w:eastAsia="MS PGothic" w:hAnsi="MS PGothic"/>
          <w:sz w:val="22"/>
          <w:szCs w:val="22"/>
          <w:color w:val="auto"/>
        </w:rPr>
      </w:pPr>
      <w:r>
        <w:rPr>
          <w:rFonts w:ascii="Arial" w:cs="Arial" w:eastAsia="Arial" w:hAnsi="Arial"/>
          <w:sz w:val="22"/>
          <w:szCs w:val="22"/>
          <w:color w:val="auto"/>
        </w:rPr>
        <w:t>Pre-commencement communications pursuant to Rule 14d-2(b) under the Exchange Act (17 CFR 240.14d-2(b))</w:t>
      </w:r>
    </w:p>
    <w:p>
      <w:pPr>
        <w:spacing w:after="0" w:line="3" w:lineRule="exact"/>
        <w:rPr>
          <w:rFonts w:ascii="MS PGothic" w:cs="MS PGothic" w:eastAsia="MS PGothic" w:hAnsi="MS PGothic"/>
          <w:sz w:val="22"/>
          <w:szCs w:val="22"/>
          <w:color w:val="auto"/>
        </w:rPr>
      </w:pPr>
    </w:p>
    <w:p>
      <w:pPr>
        <w:ind w:left="260" w:hanging="252"/>
        <w:spacing w:after="0"/>
        <w:tabs>
          <w:tab w:leader="none" w:pos="260" w:val="left"/>
        </w:tabs>
        <w:numPr>
          <w:ilvl w:val="0"/>
          <w:numId w:val="1"/>
        </w:numPr>
        <w:rPr>
          <w:rFonts w:ascii="MS PGothic" w:cs="MS PGothic" w:eastAsia="MS PGothic" w:hAnsi="MS PGothic"/>
          <w:sz w:val="22"/>
          <w:szCs w:val="22"/>
          <w:color w:val="auto"/>
        </w:rPr>
      </w:pPr>
      <w:r>
        <w:rPr>
          <w:rFonts w:ascii="Arial" w:cs="Arial" w:eastAsia="Arial" w:hAnsi="Arial"/>
          <w:sz w:val="22"/>
          <w:szCs w:val="22"/>
          <w:color w:val="auto"/>
        </w:rPr>
        <w:t>Pre-commencement communications pursuant to Rule 13e-4(c) under the Exchange Act (17 CFR 240.13e-4(c))</w:t>
      </w:r>
    </w:p>
    <w:p>
      <w:pPr>
        <w:spacing w:after="0" w:line="215" w:lineRule="exact"/>
        <w:rPr>
          <w:sz w:val="24"/>
          <w:szCs w:val="24"/>
          <w:color w:val="auto"/>
        </w:rPr>
      </w:pPr>
    </w:p>
    <w:p>
      <w:pPr>
        <w:ind w:right="80"/>
        <w:spacing w:after="0" w:line="274" w:lineRule="auto"/>
        <w:rPr>
          <w:sz w:val="20"/>
          <w:szCs w:val="20"/>
          <w:color w:val="auto"/>
        </w:rPr>
      </w:pPr>
      <w:r>
        <w:rPr>
          <w:rFonts w:ascii="Arial" w:cs="Arial" w:eastAsia="Arial" w:hAnsi="Arial"/>
          <w:sz w:val="21"/>
          <w:szCs w:val="21"/>
          <w:color w:val="auto"/>
        </w:rPr>
        <w:t>Indicate by check mark whether the registrant is an emerging growth company as defined in Rule 405 of the Securities Act of 1933 (17 CFR §230.405) or Rule 12b-2 of the Securities Exchange Act of 1934 (17 CFR §240.12b-2).</w:t>
      </w:r>
    </w:p>
    <w:p>
      <w:pPr>
        <w:spacing w:after="0" w:line="151" w:lineRule="exact"/>
        <w:rPr>
          <w:sz w:val="24"/>
          <w:szCs w:val="24"/>
          <w:color w:val="auto"/>
        </w:rPr>
      </w:pPr>
    </w:p>
    <w:p>
      <w:pPr>
        <w:spacing w:after="0" w:line="253" w:lineRule="exact"/>
        <w:rPr>
          <w:sz w:val="20"/>
          <w:szCs w:val="20"/>
          <w:color w:val="auto"/>
        </w:rPr>
      </w:pPr>
      <w:r>
        <w:rPr>
          <w:rFonts w:ascii="Arial" w:cs="Arial" w:eastAsia="Arial" w:hAnsi="Arial"/>
          <w:sz w:val="22"/>
          <w:szCs w:val="22"/>
          <w:color w:val="auto"/>
        </w:rPr>
        <w:t xml:space="preserve">Emerging growth company </w:t>
      </w:r>
      <w:r>
        <w:rPr>
          <w:rFonts w:ascii="MS PGothic" w:cs="MS PGothic" w:eastAsia="MS PGothic" w:hAnsi="MS PGothic"/>
          <w:sz w:val="22"/>
          <w:szCs w:val="22"/>
          <w:color w:val="auto"/>
        </w:rPr>
        <w:t>☐</w:t>
      </w:r>
    </w:p>
    <w:p>
      <w:pPr>
        <w:spacing w:after="0" w:line="273" w:lineRule="exact"/>
        <w:rPr>
          <w:sz w:val="24"/>
          <w:szCs w:val="24"/>
          <w:color w:val="auto"/>
        </w:rPr>
      </w:pPr>
    </w:p>
    <w:p>
      <w:pPr>
        <w:ind w:right="320"/>
        <w:spacing w:after="0" w:line="277" w:lineRule="exact"/>
        <w:rPr>
          <w:sz w:val="20"/>
          <w:szCs w:val="20"/>
          <w:color w:val="auto"/>
        </w:rPr>
      </w:pPr>
      <w:r>
        <w:rPr>
          <w:rFonts w:ascii="Arial" w:cs="Arial" w:eastAsia="Arial" w:hAnsi="Arial"/>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15" w:right="23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49"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On June 27, 2019, Itron Inc. (the "Company") is hosting an investor day event at the Nasdaq MarketSite in New York, NY beginning at 8:30AM Eastern Daylight Time. A copy of the investor presentation is furnished for purposes of Regulation FD, which the registrant may use when making presentations to shareholders, investors, analysts and other third parties. A copy of the investor presentation is available on the Company's website at www.itron.com.</w:t>
      </w:r>
    </w:p>
    <w:p>
      <w:pPr>
        <w:spacing w:after="0" w:line="212"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The information in this Current Report on Form 8-K is being furnished pursuant to Item 7.01 of Form 8-K and shall not be deemed to be "filed" for the purposes of Section 18 of the Securities Exchange Act of 1934, (the "Exchange Act"), or otherwise subject to the liabilities of that section, nor shall it be deemed to be incorporated by reference in any filing under the Securities Act of 1933, or the Exchange Act. The information set forth in this Item 7.01 shall not be deemed an admission as to the materiality of any information in this Current Report on Form 8-K that is required to be disclosed solely to satisfy the requirements of Regulation FD.</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39"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The information provided pursuant to Item 7.01 contains forward-looking statements, which involve a number of risks and uncertainties. Itron cautions readers that any forward-looking information is not a guarantee of future performance and that actual results could differ materially from those contained in the forward-looking information due to a number of factors, including those listed from time to time in reports Itron files with the Securities and Exchange Commission, including, but not limited to, the Annual Report on Form 10-K for the year ended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2"/>
          <w:szCs w:val="22"/>
          <w:b w:val="1"/>
          <w:bCs w:val="1"/>
          <w:color w:val="auto"/>
        </w:rPr>
        <w:t>SIGNATURE</w:t>
      </w:r>
    </w:p>
    <w:p>
      <w:pPr>
        <w:spacing w:after="0" w:line="239"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5060" w:type="dxa"/>
            <w:vAlign w:val="bottom"/>
          </w:tcPr>
          <w:p>
            <w:pPr>
              <w:jc w:val="center"/>
              <w:spacing w:after="0"/>
              <w:rPr>
                <w:sz w:val="20"/>
                <w:szCs w:val="20"/>
                <w:color w:val="auto"/>
              </w:rPr>
            </w:pPr>
            <w:r>
              <w:rPr>
                <w:rFonts w:ascii="Arial" w:cs="Arial" w:eastAsia="Arial" w:hAnsi="Arial"/>
                <w:sz w:val="18"/>
                <w:szCs w:val="18"/>
                <w:b w:val="1"/>
                <w:bCs w:val="1"/>
                <w:color w:val="auto"/>
              </w:rPr>
              <w:t>ITRON, INC.</w:t>
            </w:r>
          </w:p>
        </w:tc>
      </w:tr>
      <w:tr>
        <w:trPr>
          <w:trHeight w:val="453"/>
        </w:trPr>
        <w:tc>
          <w:tcPr>
            <w:tcW w:w="5160" w:type="dxa"/>
            <w:vAlign w:val="bottom"/>
          </w:tcPr>
          <w:p>
            <w:pPr>
              <w:ind w:left="4820"/>
              <w:spacing w:after="0"/>
              <w:rPr>
                <w:sz w:val="20"/>
                <w:szCs w:val="20"/>
                <w:color w:val="auto"/>
              </w:rPr>
            </w:pPr>
            <w:r>
              <w:rPr>
                <w:rFonts w:ascii="Arial" w:cs="Arial" w:eastAsia="Arial" w:hAnsi="Arial"/>
                <w:sz w:val="18"/>
                <w:szCs w:val="18"/>
                <w:color w:val="auto"/>
              </w:rPr>
              <w:t>By:</w:t>
            </w:r>
          </w:p>
        </w:tc>
        <w:tc>
          <w:tcPr>
            <w:tcW w:w="5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JOAN S. HOOPER</w:t>
            </w:r>
          </w:p>
        </w:tc>
      </w:tr>
      <w:tr>
        <w:trPr>
          <w:trHeight w:val="202"/>
        </w:trPr>
        <w:tc>
          <w:tcPr>
            <w:tcW w:w="5160" w:type="dxa"/>
            <w:vAlign w:val="bottom"/>
          </w:tcPr>
          <w:p>
            <w:pPr>
              <w:spacing w:after="0" w:line="201" w:lineRule="exact"/>
              <w:rPr>
                <w:sz w:val="20"/>
                <w:szCs w:val="20"/>
                <w:color w:val="auto"/>
              </w:rPr>
            </w:pPr>
            <w:r>
              <w:rPr>
                <w:rFonts w:ascii="Arial" w:cs="Arial" w:eastAsia="Arial" w:hAnsi="Arial"/>
                <w:sz w:val="18"/>
                <w:szCs w:val="18"/>
                <w:color w:val="auto"/>
              </w:rPr>
              <w:t>Dated: June 27, 2019</w:t>
            </w:r>
          </w:p>
        </w:tc>
        <w:tc>
          <w:tcPr>
            <w:tcW w:w="5060" w:type="dxa"/>
            <w:vAlign w:val="bottom"/>
          </w:tcPr>
          <w:p>
            <w:pPr>
              <w:jc w:val="center"/>
              <w:spacing w:after="0" w:line="201" w:lineRule="exact"/>
              <w:rPr>
                <w:sz w:val="20"/>
                <w:szCs w:val="20"/>
                <w:color w:val="auto"/>
              </w:rPr>
            </w:pPr>
            <w:r>
              <w:rPr>
                <w:rFonts w:ascii="Arial" w:cs="Arial" w:eastAsia="Arial" w:hAnsi="Arial"/>
                <w:sz w:val="18"/>
                <w:szCs w:val="18"/>
                <w:color w:val="auto"/>
                <w:w w:val="87"/>
              </w:rPr>
              <w:t>Joan S. Hooper</w:t>
            </w:r>
          </w:p>
        </w:tc>
      </w:tr>
      <w:tr>
        <w:trPr>
          <w:trHeight w:val="230"/>
        </w:trPr>
        <w:tc>
          <w:tcPr>
            <w:tcW w:w="5160" w:type="dxa"/>
            <w:vAlign w:val="bottom"/>
          </w:tcPr>
          <w:p>
            <w:pPr>
              <w:spacing w:after="0"/>
              <w:rPr>
                <w:sz w:val="20"/>
                <w:szCs w:val="20"/>
                <w:color w:val="auto"/>
              </w:rPr>
            </w:pPr>
          </w:p>
        </w:tc>
        <w:tc>
          <w:tcPr>
            <w:tcW w:w="5060" w:type="dxa"/>
            <w:vAlign w:val="bottom"/>
          </w:tcPr>
          <w:p>
            <w:pPr>
              <w:jc w:val="center"/>
              <w:spacing w:after="0"/>
              <w:rPr>
                <w:sz w:val="20"/>
                <w:szCs w:val="20"/>
                <w:color w:val="auto"/>
              </w:rPr>
            </w:pPr>
            <w:r>
              <w:rPr>
                <w:rFonts w:ascii="Arial" w:cs="Arial" w:eastAsia="Arial" w:hAnsi="Arial"/>
                <w:sz w:val="18"/>
                <w:szCs w:val="18"/>
                <w:color w:val="auto"/>
                <w:w w:val="91"/>
              </w:rPr>
              <w:t>Senior Vice President and Chief Financial Officer</w:t>
            </w:r>
          </w:p>
        </w:tc>
      </w:tr>
    </w:tbl>
    <w:p>
      <w:pPr>
        <w:spacing w:after="0" w:line="1" w:lineRule="exact"/>
        <w:rPr>
          <w:sz w:val="20"/>
          <w:szCs w:val="20"/>
          <w:color w:val="auto"/>
        </w:rPr>
      </w:pPr>
    </w:p>
    <w:sectPr>
      <w:pgSz w:w="11900" w:h="16838" w:orient="portrait"/>
      <w:cols w:equalWidth="0" w:num="1">
        <w:col w:w="11400"/>
      </w:cols>
      <w:pgMar w:left="240" w:top="355"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2019-12-01T09:41:48Z</dcterms:created>
  <dcterms:modified xsi:type="dcterms:W3CDTF">2019-12-01T09:41:48Z</dcterms:modified>
</cp:coreProperties>
</file>