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348d8ka.htm"/>
      <w:bookmarkStart w:id="1" w:name="ksd151348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April 13,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ITRON,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Washington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000-22418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91-1011792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30" w:type="dxa"/>
        <w:jc w:val="left"/>
        <w:tblInd w:w="0" w:type="dxa"/>
        <w:tblLayout w:type="fixed"/>
        <w:tblCellMar>
          <w:top w:w="0" w:type="dxa"/>
          <w:left w:w="0" w:type="dxa"/>
          <w:bottom w:w="0" w:type="dxa"/>
          <w:right w:w="0" w:type="dxa"/>
        </w:tblCellMar>
      </w:tblPr>
      <w:tblGrid>
        <w:gridCol w:w="5030"/>
      </w:tblGrid>
      <w:tr>
        <w:trPr/>
        <w:tc>
          <w:tcPr>
            <w:tcW w:w="5030"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283"/>
              <w:jc w:val="center"/>
              <w:rPr>
                <w:b/>
              </w:rPr>
            </w:pPr>
            <w:r>
              <w:rPr>
                <w:b/>
              </w:rPr>
              <w:t>2111 N. Molter Road Liberty Lake, WA 99019</w:t>
            </w:r>
          </w:p>
        </w:tc>
      </w:tr>
      <w:tr>
        <w:trPr/>
        <w:tc>
          <w:tcPr>
            <w:tcW w:w="503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(509) 924-9900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245"/>
        <w:gridCol w:w="6995"/>
      </w:tblGrid>
      <w:tr>
        <w:trPr/>
        <w:tc>
          <w:tcPr>
            <w:tcW w:w="245"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2765"/>
        <w:gridCol w:w="60"/>
        <w:gridCol w:w="740"/>
        <w:gridCol w:w="60"/>
        <w:gridCol w:w="3140"/>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27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765"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ITRI</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Explanatory Note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“Item 8.01 Other Events” disclosure is being filed solely to provide an update to the disclosure on Form 8-K filed by Itron, Inc. (the “Company”) with the Securities and Exchange Commission on April 24, 2026.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April 13, 2026, Itron, Inc. (the Company) was informed that an unauthorized third party had gained access to certain of its systems. With the assistance of external cybersecurity experts, the Company has continued its investigation, remediation, and containment activities relating to the unauthorized access. </w:t>
      </w:r>
    </w:p>
    <w:p>
      <w:pPr>
        <w:pStyle w:val="TextBody"/>
        <w:bidi w:val="0"/>
        <w:spacing w:before="240" w:after="0"/>
        <w:jc w:val="left"/>
        <w:rPr>
          <w:rFonts w:ascii="Times New Roman" w:hAnsi="Times New Roman"/>
          <w:sz w:val="20"/>
        </w:rPr>
      </w:pPr>
      <w:r>
        <w:rPr>
          <w:rFonts w:ascii="Times New Roman" w:hAnsi="Times New Roman"/>
          <w:sz w:val="20"/>
        </w:rPr>
        <w:t>Since the filing of the Original Report, the Company has not observed any further unauthorized activity in its systems. Its operations have continued in all material respects. Based on the investigation to date, the Company has identified limited unauthorized access to certain customer-hosted systems. The Company has not observed any evidence that customer-facing system functionality was materially affected.</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Company’s investigation, as well as its evaluation of required filings and notifications, remains ongoing, based on information currently available, the Company continues to believe that the incident has not had, and is not reasonably likely to have, a material impact on the Company’s operations, financial condition,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8-K contains forward-looking statements within the meaning of the Private Securities Litigation Reform Act of 1995, including statements regarding the Company’s current beliefs, understanding and expectations regarding the incident and its remediation and investigation. Factors that could cause actual results to differ materially from those indicated in the forward-looking statements include, but are not limited to, the results of the Company’s analysis of the scope and details of the incident and the discovery of new or additional information; the success of the Company’s containment, mitigation and remediation efforts; the unauthorized release of any of the Company’s data, including third party data held by the Company, or the use of any such data for any fraudulent purposes; potential loss or destruction of Company data or adverse impacts to the Company’s operations; any potential adverse impact of the incident on the Company’s results of operations and financial condition; diversion of management’s attention from operations of the Company to addressing the incident; potential investigations, litigation, fines, costs and losses related to the incident and its remediation; potential adverse effects on relationships with customers, suppliers and other third parties as a result of the incident; reputational risk related to the incident; regulatory scrutiny of the incident; risks related to the availability of the Company’s insurance coverage; and other risks listed described in Part I, Item 1A: Risk Factors included in our Annual Report on Form 10-K for the year ended December 31, 2025 and other reports on file with the Securities and Exchange Commission.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08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458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5" w:type="dxa"/>
            <w:gridSpan w:val="3"/>
            <w:tcBorders/>
            <w:vAlign w:val="center"/>
          </w:tcPr>
          <w:p>
            <w:pPr>
              <w:pStyle w:val="TableContents"/>
              <w:bidi w:val="0"/>
              <w:spacing w:before="0" w:after="283"/>
              <w:jc w:val="left"/>
              <w:rPr/>
            </w:pPr>
            <w:r>
              <w:rPr/>
              <w:t>ITRON,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JOAN S. HOOPER</w:t>
            </w:r>
          </w:p>
        </w:tc>
      </w:tr>
      <w:tr>
        <w:trPr/>
        <w:tc>
          <w:tcPr>
            <w:tcW w:w="1940" w:type="dxa"/>
            <w:tcBorders/>
            <w:vAlign w:val="center"/>
          </w:tcPr>
          <w:p>
            <w:pPr>
              <w:pStyle w:val="TableContents"/>
              <w:bidi w:val="0"/>
              <w:spacing w:before="0" w:after="283"/>
              <w:jc w:val="left"/>
              <w:rPr/>
            </w:pPr>
            <w:r>
              <w:rPr/>
              <w:t>Dated: May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Joan S. Hooper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Senior Vice President &amp;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804</Words>
  <Characters>4531</Characters>
  <CharactersWithSpaces>5327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