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911860</wp:posOffset>
            </wp:positionV>
            <wp:extent cx="69265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46990</wp:posOffset>
            </wp:positionV>
            <wp:extent cx="1028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ind w:left="720" w:hanging="681"/>
        <w:spacing w:after="0"/>
        <w:tabs>
          <w:tab w:leader="none" w:pos="7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56"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720" w:hanging="681"/>
        <w:spacing w:after="0"/>
        <w:tabs>
          <w:tab w:leader="none" w:pos="7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156" w:lineRule="exact"/>
        <w:rPr>
          <w:sz w:val="24"/>
          <w:szCs w:val="24"/>
          <w:color w:val="auto"/>
        </w:rPr>
      </w:pPr>
    </w:p>
    <w:p>
      <w:pPr>
        <w:jc w:val="center"/>
        <w:ind w:left="6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86" w:lineRule="exact"/>
        <w:rPr>
          <w:sz w:val="24"/>
          <w:szCs w:val="24"/>
          <w:color w:val="auto"/>
        </w:rPr>
      </w:pPr>
    </w:p>
    <w:p>
      <w:pPr>
        <w:sectPr>
          <w:pgSz w:w="11900" w:h="16838" w:orient="portrait"/>
          <w:cols w:equalWidth="0" w:num="2">
            <w:col w:w="2980" w:space="580"/>
            <w:col w:w="7680"/>
          </w:cols>
          <w:pgMar w:left="320" w:top="1440"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240"/>
          </w:cols>
          <w:pgMar w:left="320" w:top="1440" w:right="339" w:bottom="1440" w:gutter="0" w:footer="0" w:header="0"/>
          <w:type w:val="continuous"/>
        </w:sectPr>
      </w:pP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520"/>
        </w:trPr>
        <w:tc>
          <w:tcPr>
            <w:tcW w:w="3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2"/>
          </w:tcPr>
          <w:p>
            <w:pPr>
              <w:jc w:val="center"/>
              <w:ind w:left="88"/>
              <w:spacing w:after="0"/>
              <w:rPr>
                <w:sz w:val="20"/>
                <w:szCs w:val="20"/>
                <w:color w:val="auto"/>
              </w:rPr>
            </w:pPr>
            <w:r>
              <w:rPr>
                <w:rFonts w:ascii="Arial" w:cs="Arial" w:eastAsia="Arial" w:hAnsi="Arial"/>
                <w:sz w:val="43"/>
                <w:szCs w:val="43"/>
                <w:b w:val="1"/>
                <w:bCs w:val="1"/>
                <w:color w:val="auto"/>
              </w:rPr>
              <w:t>ITRON, INC.</w:t>
            </w:r>
          </w:p>
        </w:tc>
        <w:tc>
          <w:tcPr>
            <w:tcW w:w="4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186"/>
        </w:trPr>
        <w:tc>
          <w:tcPr>
            <w:tcW w:w="3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80" w:type="dxa"/>
            <w:vAlign w:val="bottom"/>
            <w:gridSpan w:val="5"/>
          </w:tcPr>
          <w:p>
            <w:pPr>
              <w:jc w:val="center"/>
              <w:ind w:right="377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269"/>
        </w:trPr>
        <w:tc>
          <w:tcPr>
            <w:tcW w:w="3640" w:type="dxa"/>
            <w:vAlign w:val="bottom"/>
          </w:tcPr>
          <w:p>
            <w:pPr>
              <w:jc w:val="center"/>
              <w:ind w:left="1633"/>
              <w:spacing w:after="0"/>
              <w:rPr>
                <w:sz w:val="20"/>
                <w:szCs w:val="20"/>
                <w:color w:val="auto"/>
              </w:rPr>
            </w:pPr>
            <w:r>
              <w:rPr>
                <w:rFonts w:ascii="Arial" w:cs="Arial" w:eastAsia="Arial" w:hAnsi="Arial"/>
                <w:sz w:val="18"/>
                <w:szCs w:val="18"/>
                <w:b w:val="1"/>
                <w:bCs w:val="1"/>
                <w:color w:val="auto"/>
                <w:w w:val="89"/>
              </w:rPr>
              <w:t>Washington</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0" w:type="dxa"/>
            <w:vAlign w:val="bottom"/>
            <w:gridSpan w:val="2"/>
          </w:tcPr>
          <w:p>
            <w:pPr>
              <w:jc w:val="right"/>
              <w:ind w:right="2130"/>
              <w:spacing w:after="0"/>
              <w:rPr>
                <w:sz w:val="20"/>
                <w:szCs w:val="20"/>
                <w:color w:val="auto"/>
              </w:rPr>
            </w:pPr>
            <w:r>
              <w:rPr>
                <w:rFonts w:ascii="Arial" w:cs="Arial" w:eastAsia="Arial" w:hAnsi="Arial"/>
                <w:sz w:val="18"/>
                <w:szCs w:val="18"/>
                <w:b w:val="1"/>
                <w:bCs w:val="1"/>
                <w:color w:val="auto"/>
              </w:rPr>
              <w:t>91-1011792</w:t>
            </w:r>
          </w:p>
        </w:tc>
      </w:tr>
      <w:tr>
        <w:trPr>
          <w:trHeight w:val="270"/>
        </w:trPr>
        <w:tc>
          <w:tcPr>
            <w:tcW w:w="3640" w:type="dxa"/>
            <w:vAlign w:val="bottom"/>
          </w:tcPr>
          <w:p>
            <w:pPr>
              <w:jc w:val="center"/>
              <w:ind w:left="1653"/>
              <w:spacing w:after="0"/>
              <w:rPr>
                <w:sz w:val="20"/>
                <w:szCs w:val="20"/>
                <w:color w:val="auto"/>
              </w:rPr>
            </w:pPr>
            <w:r>
              <w:rPr>
                <w:rFonts w:ascii="Arial" w:cs="Arial" w:eastAsia="Arial" w:hAnsi="Arial"/>
                <w:sz w:val="18"/>
                <w:szCs w:val="18"/>
                <w:b w:val="1"/>
                <w:bCs w:val="1"/>
                <w:color w:val="auto"/>
                <w:w w:val="91"/>
              </w:rPr>
              <w:t>(State of Incorporation)</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0" w:type="dxa"/>
            <w:vAlign w:val="bottom"/>
            <w:gridSpan w:val="2"/>
          </w:tcPr>
          <w:p>
            <w:pPr>
              <w:jc w:val="center"/>
              <w:ind w:right="990"/>
              <w:spacing w:after="0"/>
              <w:rPr>
                <w:sz w:val="20"/>
                <w:szCs w:val="20"/>
                <w:color w:val="auto"/>
              </w:rPr>
            </w:pPr>
            <w:r>
              <w:rPr>
                <w:rFonts w:ascii="Arial" w:cs="Arial" w:eastAsia="Arial" w:hAnsi="Arial"/>
                <w:sz w:val="18"/>
                <w:szCs w:val="18"/>
                <w:b w:val="1"/>
                <w:bCs w:val="1"/>
                <w:color w:val="auto"/>
                <w:w w:val="93"/>
              </w:rPr>
              <w:t>(I.R.S. Employer Identification Number)</w:t>
            </w:r>
          </w:p>
        </w:tc>
      </w:tr>
      <w:tr>
        <w:trPr>
          <w:trHeight w:val="387"/>
        </w:trPr>
        <w:tc>
          <w:tcPr>
            <w:tcW w:w="11100" w:type="dxa"/>
            <w:vAlign w:val="bottom"/>
            <w:gridSpan w:val="7"/>
          </w:tcPr>
          <w:p>
            <w:pPr>
              <w:jc w:val="center"/>
              <w:ind w:left="53"/>
              <w:spacing w:after="0"/>
              <w:rPr>
                <w:sz w:val="20"/>
                <w:szCs w:val="20"/>
                <w:color w:val="auto"/>
              </w:rPr>
            </w:pPr>
            <w:r>
              <w:rPr>
                <w:rFonts w:ascii="Arial" w:cs="Arial" w:eastAsia="Arial" w:hAnsi="Arial"/>
                <w:sz w:val="18"/>
                <w:szCs w:val="18"/>
                <w:b w:val="1"/>
                <w:bCs w:val="1"/>
                <w:color w:val="auto"/>
                <w:w w:val="92"/>
              </w:rPr>
              <w:t>2111 N Molter Road, Liberty Lake, Washington 99019</w:t>
            </w:r>
          </w:p>
        </w:tc>
      </w:tr>
      <w:tr>
        <w:trPr>
          <w:trHeight w:val="234"/>
        </w:trPr>
        <w:tc>
          <w:tcPr>
            <w:tcW w:w="3640" w:type="dxa"/>
            <w:vAlign w:val="bottom"/>
          </w:tcPr>
          <w:p>
            <w:pPr>
              <w:spacing w:after="0"/>
              <w:rPr>
                <w:sz w:val="20"/>
                <w:szCs w:val="20"/>
                <w:color w:val="auto"/>
              </w:rPr>
            </w:pPr>
          </w:p>
        </w:tc>
        <w:tc>
          <w:tcPr>
            <w:tcW w:w="3180" w:type="dxa"/>
            <w:vAlign w:val="bottom"/>
            <w:gridSpan w:val="3"/>
          </w:tcPr>
          <w:p>
            <w:pPr>
              <w:jc w:val="center"/>
              <w:ind w:left="699"/>
              <w:spacing w:after="0"/>
              <w:rPr>
                <w:sz w:val="20"/>
                <w:szCs w:val="20"/>
                <w:color w:val="auto"/>
              </w:rPr>
            </w:pPr>
            <w:r>
              <w:rPr>
                <w:rFonts w:ascii="Arial" w:cs="Arial" w:eastAsia="Arial" w:hAnsi="Arial"/>
                <w:sz w:val="18"/>
                <w:szCs w:val="18"/>
                <w:b w:val="1"/>
                <w:bCs w:val="1"/>
                <w:color w:val="auto"/>
                <w:w w:val="90"/>
              </w:rPr>
              <w:t>(509) 924-9900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190"/>
        </w:trPr>
        <w:tc>
          <w:tcPr>
            <w:tcW w:w="11100" w:type="dxa"/>
            <w:vAlign w:val="bottom"/>
            <w:gridSpan w:val="7"/>
          </w:tcPr>
          <w:p>
            <w:pPr>
              <w:jc w:val="center"/>
              <w:ind w:left="33"/>
              <w:spacing w:after="0"/>
              <w:rPr>
                <w:sz w:val="20"/>
                <w:szCs w:val="20"/>
                <w:color w:val="auto"/>
              </w:rPr>
            </w:pPr>
            <w:r>
              <w:rPr>
                <w:rFonts w:ascii="Arial" w:cs="Arial" w:eastAsia="Arial" w:hAnsi="Arial"/>
                <w:sz w:val="14"/>
                <w:szCs w:val="14"/>
                <w:b w:val="1"/>
                <w:bCs w:val="1"/>
                <w:color w:val="auto"/>
                <w:w w:val="91"/>
              </w:rPr>
              <w:t>(Address and telephone number of registrant's principal executive offices)</w:t>
            </w:r>
          </w:p>
        </w:tc>
      </w:tr>
      <w:tr>
        <w:trPr>
          <w:trHeight w:val="458"/>
        </w:trPr>
        <w:tc>
          <w:tcPr>
            <w:tcW w:w="11100" w:type="dxa"/>
            <w:vAlign w:val="bottom"/>
            <w:gridSpan w:val="7"/>
          </w:tcPr>
          <w:p>
            <w:pPr>
              <w:jc w:val="center"/>
              <w:ind w:left="53"/>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70"/>
        </w:trPr>
        <w:tc>
          <w:tcPr>
            <w:tcW w:w="3640" w:type="dxa"/>
            <w:vAlign w:val="bottom"/>
          </w:tcPr>
          <w:p>
            <w:pPr>
              <w:jc w:val="center"/>
              <w:ind w:left="293"/>
              <w:spacing w:after="0"/>
              <w:rPr>
                <w:sz w:val="20"/>
                <w:szCs w:val="20"/>
                <w:color w:val="auto"/>
              </w:rPr>
            </w:pPr>
            <w:r>
              <w:rPr>
                <w:rFonts w:ascii="Arial" w:cs="Arial" w:eastAsia="Arial" w:hAnsi="Arial"/>
                <w:sz w:val="18"/>
                <w:szCs w:val="18"/>
                <w:b w:val="1"/>
                <w:bCs w:val="1"/>
                <w:color w:val="auto"/>
                <w:w w:val="86"/>
              </w:rPr>
              <w:t>Title of each class</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Trading Symbol(s)</w:t>
            </w:r>
          </w:p>
        </w:tc>
        <w:tc>
          <w:tcPr>
            <w:tcW w:w="40" w:type="dxa"/>
            <w:vAlign w:val="bottom"/>
          </w:tcPr>
          <w:p>
            <w:pPr>
              <w:spacing w:after="0"/>
              <w:rPr>
                <w:sz w:val="23"/>
                <w:szCs w:val="23"/>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7"/>
        </w:trPr>
        <w:tc>
          <w:tcPr>
            <w:tcW w:w="3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jc w:val="center"/>
              <w:ind w:left="293"/>
              <w:spacing w:after="0"/>
              <w:rPr>
                <w:sz w:val="20"/>
                <w:szCs w:val="20"/>
                <w:color w:val="auto"/>
              </w:rPr>
            </w:pPr>
            <w:r>
              <w:rPr>
                <w:rFonts w:ascii="Arial" w:cs="Arial" w:eastAsia="Arial" w:hAnsi="Arial"/>
                <w:sz w:val="18"/>
                <w:szCs w:val="18"/>
                <w:color w:val="auto"/>
                <w:w w:val="89"/>
              </w:rPr>
              <w:t>Common stock, no par value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2"/>
          </w:tcPr>
          <w:p>
            <w:pPr>
              <w:jc w:val="center"/>
              <w:ind w:right="60"/>
              <w:spacing w:after="0"/>
              <w:rPr>
                <w:sz w:val="20"/>
                <w:szCs w:val="20"/>
                <w:color w:val="auto"/>
              </w:rPr>
            </w:pPr>
            <w:r>
              <w:rPr>
                <w:rFonts w:ascii="Arial" w:cs="Arial" w:eastAsia="Arial" w:hAnsi="Arial"/>
                <w:sz w:val="18"/>
                <w:szCs w:val="18"/>
                <w:color w:val="auto"/>
              </w:rPr>
              <w:t>ITRI</w:t>
            </w:r>
          </w:p>
        </w:tc>
        <w:tc>
          <w:tcPr>
            <w:tcW w:w="4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3"/>
              </w:rPr>
              <w:t>NASDAQ Global Select Market</w:t>
            </w:r>
          </w:p>
        </w:tc>
      </w:tr>
      <w:tr>
        <w:trPr>
          <w:trHeight w:val="298"/>
        </w:trPr>
        <w:tc>
          <w:tcPr>
            <w:tcW w:w="3640" w:type="dxa"/>
            <w:vAlign w:val="bottom"/>
          </w:tcPr>
          <w:p>
            <w:pPr>
              <w:spacing w:after="0"/>
              <w:rPr>
                <w:sz w:val="24"/>
                <w:szCs w:val="24"/>
                <w:color w:val="auto"/>
              </w:rPr>
            </w:pPr>
          </w:p>
        </w:tc>
        <w:tc>
          <w:tcPr>
            <w:tcW w:w="7460" w:type="dxa"/>
            <w:vAlign w:val="bottom"/>
            <w:gridSpan w:val="6"/>
          </w:tcPr>
          <w:p>
            <w:pPr>
              <w:jc w:val="center"/>
              <w:ind w:right="3390"/>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r>
    </w:tbl>
    <w:p>
      <w:pPr>
        <w:ind w:right="300"/>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400" w:type="dxa"/>
        <w:tblCellMar>
          <w:top w:w="0" w:type="dxa"/>
          <w:left w:w="0" w:type="dxa"/>
          <w:bottom w:w="0" w:type="dxa"/>
          <w:right w:w="0" w:type="dxa"/>
        </w:tblCellMar>
      </w:tblPr>
      <w:tr>
        <w:trPr>
          <w:trHeight w:val="29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5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tcPr>
          <w:p>
            <w:pPr>
              <w:ind w:left="56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4580" w:type="dxa"/>
            <w:vAlign w:val="bottom"/>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060" w:type="dxa"/>
            <w:vAlign w:val="bottom"/>
          </w:tcPr>
          <w:p>
            <w:pPr>
              <w:ind w:left="56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060" w:type="dxa"/>
            <w:vAlign w:val="bottom"/>
          </w:tcPr>
          <w:p>
            <w:pPr>
              <w:ind w:left="560"/>
              <w:spacing w:after="0"/>
              <w:rPr>
                <w:sz w:val="20"/>
                <w:szCs w:val="20"/>
                <w:color w:val="auto"/>
              </w:rPr>
            </w:pPr>
            <w:r>
              <w:rPr>
                <w:rFonts w:ascii="Arial" w:cs="Arial" w:eastAsia="Arial" w:hAnsi="Arial"/>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4"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As of April 30, 2020, there were outstanding 40,204,114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0240" w:type="dxa"/>
            <w:vAlign w:val="bottom"/>
            <w:gridSpan w:val="3"/>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1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100" w:type="dxa"/>
            <w:vAlign w:val="bottom"/>
          </w:tcPr>
          <w:p>
            <w:pPr>
              <w:jc w:val="center"/>
              <w:ind w:right="3030"/>
              <w:spacing w:after="0"/>
              <w:rPr>
                <w:sz w:val="20"/>
                <w:szCs w:val="20"/>
                <w:color w:val="auto"/>
              </w:rPr>
            </w:pPr>
            <w:r>
              <w:rPr>
                <w:rFonts w:ascii="Arial" w:cs="Arial" w:eastAsia="Arial" w:hAnsi="Arial"/>
                <w:sz w:val="18"/>
                <w:szCs w:val="18"/>
                <w:b w:val="1"/>
                <w:bCs w:val="1"/>
                <w:color w:val="auto"/>
                <w:w w:val="96"/>
              </w:rPr>
              <w:t>Itron, Inc.</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100" w:type="dxa"/>
            <w:vAlign w:val="bottom"/>
          </w:tcPr>
          <w:p>
            <w:pPr>
              <w:jc w:val="center"/>
              <w:ind w:right="3050"/>
              <w:spacing w:after="0"/>
              <w:rPr>
                <w:sz w:val="20"/>
                <w:szCs w:val="20"/>
                <w:color w:val="auto"/>
              </w:rPr>
            </w:pPr>
            <w:r>
              <w:rPr>
                <w:rFonts w:ascii="Arial" w:cs="Arial" w:eastAsia="Arial" w:hAnsi="Arial"/>
                <w:sz w:val="18"/>
                <w:szCs w:val="18"/>
                <w:b w:val="1"/>
                <w:bCs w:val="1"/>
                <w:color w:val="auto"/>
                <w:w w:val="89"/>
              </w:rPr>
              <w:t>Table of Contents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1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0240" w:type="dxa"/>
            <w:vAlign w:val="bottom"/>
            <w:gridSpan w:val="3"/>
            <w:vMerge w:val="restart"/>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FINANCIAL INFORMATION</w:t>
              </w:r>
            </w:hyperlink>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240" w:type="dxa"/>
            <w:vAlign w:val="bottom"/>
            <w:gridSpan w:val="3"/>
            <w:vMerge w:val="continue"/>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0240" w:type="dxa"/>
            <w:vAlign w:val="bottom"/>
            <w:gridSpan w:val="3"/>
          </w:tcPr>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u w:val="single" w:color="auto"/>
                  <w:color w:val="0000FF"/>
                </w:rPr>
                <w:t>Financial Statements (Unaudited)</w:t>
              </w:r>
            </w:hyperlink>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1000" w:type="dxa"/>
            <w:vAlign w:val="bottom"/>
          </w:tcPr>
          <w:p>
            <w:pPr>
              <w:spacing w:after="0"/>
              <w:rPr>
                <w:sz w:val="24"/>
                <w:szCs w:val="24"/>
                <w:color w:val="auto"/>
              </w:rPr>
            </w:pPr>
          </w:p>
        </w:tc>
        <w:tc>
          <w:tcPr>
            <w:tcW w:w="9240" w:type="dxa"/>
            <w:vAlign w:val="bottom"/>
            <w:gridSpan w:val="2"/>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Statements of Operations</w:t>
              </w:r>
            </w:hyperlink>
          </w:p>
        </w:tc>
        <w:tc>
          <w:tcPr>
            <w:tcW w:w="7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486"/>
        </w:trPr>
        <w:tc>
          <w:tcPr>
            <w:tcW w:w="1000" w:type="dxa"/>
            <w:vAlign w:val="bottom"/>
          </w:tcPr>
          <w:p>
            <w:pPr>
              <w:spacing w:after="0"/>
              <w:rPr>
                <w:sz w:val="24"/>
                <w:szCs w:val="24"/>
                <w:color w:val="auto"/>
              </w:rPr>
            </w:pPr>
          </w:p>
        </w:tc>
        <w:tc>
          <w:tcPr>
            <w:tcW w:w="9240" w:type="dxa"/>
            <w:vAlign w:val="bottom"/>
            <w:gridSpan w:val="2"/>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Statements of Comprehensive Income (Loss)</w:t>
              </w:r>
            </w:hyperlink>
          </w:p>
        </w:tc>
        <w:tc>
          <w:tcPr>
            <w:tcW w:w="7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c>
          <w:tcPr>
            <w:tcW w:w="0" w:type="dxa"/>
            <w:vAlign w:val="bottom"/>
          </w:tcPr>
          <w:p>
            <w:pPr>
              <w:spacing w:after="0"/>
              <w:rPr>
                <w:sz w:val="1"/>
                <w:szCs w:val="1"/>
                <w:color w:val="auto"/>
              </w:rPr>
            </w:pPr>
          </w:p>
        </w:tc>
      </w:tr>
      <w:tr>
        <w:trPr>
          <w:trHeight w:val="486"/>
        </w:trPr>
        <w:tc>
          <w:tcPr>
            <w:tcW w:w="1000" w:type="dxa"/>
            <w:vAlign w:val="bottom"/>
          </w:tcPr>
          <w:p>
            <w:pPr>
              <w:spacing w:after="0"/>
              <w:rPr>
                <w:sz w:val="24"/>
                <w:szCs w:val="24"/>
                <w:color w:val="auto"/>
              </w:rPr>
            </w:pPr>
          </w:p>
        </w:tc>
        <w:tc>
          <w:tcPr>
            <w:tcW w:w="9240" w:type="dxa"/>
            <w:vAlign w:val="bottom"/>
            <w:gridSpan w:val="2"/>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Balance Sheets</w:t>
              </w:r>
            </w:hyperlink>
          </w:p>
        </w:tc>
        <w:tc>
          <w:tcPr>
            <w:tcW w:w="7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486"/>
        </w:trPr>
        <w:tc>
          <w:tcPr>
            <w:tcW w:w="1000" w:type="dxa"/>
            <w:vAlign w:val="bottom"/>
          </w:tcPr>
          <w:p>
            <w:pPr>
              <w:spacing w:after="0"/>
              <w:rPr>
                <w:sz w:val="24"/>
                <w:szCs w:val="24"/>
                <w:color w:val="auto"/>
              </w:rPr>
            </w:pPr>
          </w:p>
        </w:tc>
        <w:tc>
          <w:tcPr>
            <w:tcW w:w="9240" w:type="dxa"/>
            <w:vAlign w:val="bottom"/>
            <w:gridSpan w:val="2"/>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Statements of Equity</w:t>
              </w:r>
            </w:hyperlink>
          </w:p>
        </w:tc>
        <w:tc>
          <w:tcPr>
            <w:tcW w:w="7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486"/>
        </w:trPr>
        <w:tc>
          <w:tcPr>
            <w:tcW w:w="1000" w:type="dxa"/>
            <w:vAlign w:val="bottom"/>
          </w:tcPr>
          <w:p>
            <w:pPr>
              <w:spacing w:after="0"/>
              <w:rPr>
                <w:sz w:val="24"/>
                <w:szCs w:val="24"/>
                <w:color w:val="auto"/>
              </w:rPr>
            </w:pPr>
          </w:p>
        </w:tc>
        <w:tc>
          <w:tcPr>
            <w:tcW w:w="9240" w:type="dxa"/>
            <w:vAlign w:val="bottom"/>
            <w:gridSpan w:val="2"/>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Statements of Cash Flows</w:t>
              </w:r>
            </w:hyperlink>
          </w:p>
        </w:tc>
        <w:tc>
          <w:tcPr>
            <w:tcW w:w="72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446"/>
        </w:trPr>
        <w:tc>
          <w:tcPr>
            <w:tcW w:w="1000" w:type="dxa"/>
            <w:vAlign w:val="bottom"/>
          </w:tcPr>
          <w:p>
            <w:pPr>
              <w:spacing w:after="0"/>
              <w:rPr>
                <w:sz w:val="24"/>
                <w:szCs w:val="24"/>
                <w:color w:val="auto"/>
              </w:rPr>
            </w:pPr>
          </w:p>
        </w:tc>
        <w:tc>
          <w:tcPr>
            <w:tcW w:w="9240" w:type="dxa"/>
            <w:vAlign w:val="bottom"/>
            <w:gridSpan w:val="2"/>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Consolidated Financial Statements</w:t>
              </w:r>
            </w:hyperlink>
          </w:p>
        </w:tc>
        <w:tc>
          <w:tcPr>
            <w:tcW w:w="72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5" w:lineRule="exact"/>
        <w:rPr>
          <w:sz w:val="20"/>
          <w:szCs w:val="20"/>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27">
        <w:r>
          <w:rPr>
            <w:rFonts w:ascii="Arial" w:cs="Arial" w:eastAsia="Arial" w:hAnsi="Arial"/>
            <w:sz w:val="18"/>
            <w:szCs w:val="18"/>
            <w:u w:val="single" w:color="auto"/>
            <w:color w:val="0000FF"/>
          </w:rPr>
          <w:t>Management’s Discussion and Analysis of Financial Condition and Results of Operations</w:t>
        </w:r>
      </w:hyperlink>
    </w:p>
    <w:p>
      <w:pPr>
        <w:ind w:left="10780"/>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25</w:t>
        </w:r>
      </w:hyperlink>
    </w:p>
    <w:p>
      <w:pPr>
        <w:spacing w:after="0" w:line="379" w:lineRule="exact"/>
        <w:rPr>
          <w:sz w:val="20"/>
          <w:szCs w:val="20"/>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42">
        <w:r>
          <w:rPr>
            <w:rFonts w:ascii="Arial" w:cs="Arial" w:eastAsia="Arial" w:hAnsi="Arial"/>
            <w:sz w:val="18"/>
            <w:szCs w:val="18"/>
            <w:u w:val="single" w:color="auto"/>
            <w:color w:val="0000FF"/>
          </w:rPr>
          <w:t>Quantitative and Qualitative Disclosures About Market Risk</w:t>
        </w:r>
      </w:hyperlink>
    </w:p>
    <w:p>
      <w:pPr>
        <w:ind w:left="10780"/>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41</w:t>
        </w:r>
      </w:hyperlink>
    </w:p>
    <w:p>
      <w:pPr>
        <w:spacing w:after="0" w:line="379" w:lineRule="exact"/>
        <w:rPr>
          <w:sz w:val="20"/>
          <w:szCs w:val="20"/>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44">
        <w:r>
          <w:rPr>
            <w:rFonts w:ascii="Arial" w:cs="Arial" w:eastAsia="Arial" w:hAnsi="Arial"/>
            <w:sz w:val="18"/>
            <w:szCs w:val="18"/>
            <w:u w:val="single" w:color="auto"/>
            <w:color w:val="0000FF"/>
          </w:rPr>
          <w:t>Controls and Procedures</w:t>
        </w:r>
      </w:hyperlink>
    </w:p>
    <w:p>
      <w:pPr>
        <w:ind w:left="10780"/>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43</w:t>
        </w:r>
      </w:hyperlink>
    </w:p>
    <w:p>
      <w:pPr>
        <w:spacing w:after="0" w:line="200" w:lineRule="exact"/>
        <w:rPr>
          <w:sz w:val="20"/>
          <w:szCs w:val="20"/>
          <w:color w:val="auto"/>
        </w:rPr>
      </w:pPr>
    </w:p>
    <w:p>
      <w:pPr>
        <w:spacing w:after="0" w:line="339"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45">
        <w:r>
          <w:rPr>
            <w:rFonts w:ascii="Arial" w:cs="Arial" w:eastAsia="Arial" w:hAnsi="Arial"/>
            <w:sz w:val="18"/>
            <w:szCs w:val="18"/>
            <w:b w:val="1"/>
            <w:bCs w:val="1"/>
            <w:u w:val="single" w:color="auto"/>
            <w:color w:val="0000FF"/>
          </w:rPr>
          <w:t>PART II: OTHER INFORMATION</w:t>
        </w:r>
      </w:hyperlink>
    </w:p>
    <w:p>
      <w:pPr>
        <w:spacing w:after="0" w:line="376" w:lineRule="exact"/>
        <w:rPr>
          <w:sz w:val="20"/>
          <w:szCs w:val="20"/>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46">
        <w:r>
          <w:rPr>
            <w:rFonts w:ascii="Arial" w:cs="Arial" w:eastAsia="Arial" w:hAnsi="Arial"/>
            <w:sz w:val="18"/>
            <w:szCs w:val="18"/>
            <w:u w:val="single" w:color="auto"/>
            <w:color w:val="0000FF"/>
          </w:rPr>
          <w:t>Legal Proceedings</w:t>
        </w:r>
      </w:hyperlink>
    </w:p>
    <w:p>
      <w:pPr>
        <w:ind w:left="1078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44</w:t>
        </w:r>
      </w:hyperlink>
    </w:p>
    <w:p>
      <w:pPr>
        <w:spacing w:after="0" w:line="379" w:lineRule="exact"/>
        <w:rPr>
          <w:sz w:val="20"/>
          <w:szCs w:val="20"/>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46">
        <w:r>
          <w:rPr>
            <w:rFonts w:ascii="Arial" w:cs="Arial" w:eastAsia="Arial" w:hAnsi="Arial"/>
            <w:sz w:val="18"/>
            <w:szCs w:val="18"/>
            <w:u w:val="single" w:color="auto"/>
            <w:color w:val="0000FF"/>
          </w:rPr>
          <w:t>Risk Factors</w:t>
        </w:r>
      </w:hyperlink>
    </w:p>
    <w:p>
      <w:pPr>
        <w:ind w:left="1078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44</w:t>
        </w:r>
      </w:hyperlink>
    </w:p>
    <w:p>
      <w:pPr>
        <w:spacing w:after="0" w:line="379" w:lineRule="exact"/>
        <w:rPr>
          <w:sz w:val="20"/>
          <w:szCs w:val="20"/>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46">
        <w:r>
          <w:rPr>
            <w:rFonts w:ascii="Arial" w:cs="Arial" w:eastAsia="Arial" w:hAnsi="Arial"/>
            <w:sz w:val="18"/>
            <w:szCs w:val="18"/>
            <w:u w:val="single" w:color="auto"/>
            <w:color w:val="0000FF"/>
          </w:rPr>
          <w:t>Unregistered Sales of Equity Securities and Use of Proceeds</w:t>
        </w:r>
      </w:hyperlink>
    </w:p>
    <w:p>
      <w:pPr>
        <w:ind w:left="1078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45</w:t>
        </w:r>
      </w:hyperlink>
    </w:p>
    <w:p>
      <w:pPr>
        <w:spacing w:after="0" w:line="379" w:lineRule="exact"/>
        <w:rPr>
          <w:sz w:val="20"/>
          <w:szCs w:val="20"/>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47">
        <w:r>
          <w:rPr>
            <w:rFonts w:ascii="Arial" w:cs="Arial" w:eastAsia="Arial" w:hAnsi="Arial"/>
            <w:sz w:val="18"/>
            <w:szCs w:val="18"/>
            <w:u w:val="single" w:color="auto"/>
            <w:color w:val="0000FF"/>
          </w:rPr>
          <w:t>Other Information</w:t>
        </w:r>
      </w:hyperlink>
    </w:p>
    <w:p>
      <w:pPr>
        <w:ind w:left="10780"/>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45</w:t>
        </w:r>
      </w:hyperlink>
    </w:p>
    <w:p>
      <w:pPr>
        <w:spacing w:after="0" w:line="379" w:lineRule="exact"/>
        <w:rPr>
          <w:sz w:val="20"/>
          <w:szCs w:val="20"/>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47">
        <w:r>
          <w:rPr>
            <w:rFonts w:ascii="Arial" w:cs="Arial" w:eastAsia="Arial" w:hAnsi="Arial"/>
            <w:sz w:val="18"/>
            <w:szCs w:val="18"/>
            <w:u w:val="single" w:color="auto"/>
            <w:color w:val="0000FF"/>
          </w:rPr>
          <w:t>Exhibits</w:t>
        </w:r>
      </w:hyperlink>
    </w:p>
    <w:p>
      <w:pPr>
        <w:ind w:left="10780"/>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46</w:t>
        </w:r>
      </w:hyperlink>
    </w:p>
    <w:p>
      <w:pPr>
        <w:sectPr>
          <w:pgSz w:w="11900" w:h="16838" w:orient="portrait"/>
          <w:cols w:equalWidth="0" w:num="1">
            <w:col w:w="10960"/>
          </w:cols>
          <w:pgMar w:left="320" w:top="125" w:right="61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20"/>
        <w:spacing w:after="0"/>
        <w:tabs>
          <w:tab w:leader="none" w:pos="10760" w:val="left"/>
        </w:tabs>
        <w:rPr>
          <w:rFonts w:ascii="Arial" w:cs="Arial" w:eastAsia="Arial" w:hAnsi="Arial"/>
          <w:sz w:val="16"/>
          <w:szCs w:val="16"/>
          <w:u w:val="single" w:color="auto"/>
          <w:color w:val="0000FF"/>
        </w:rPr>
      </w:pPr>
      <w:r>
        <w:rPr>
          <w:rFonts w:ascii="Arial" w:cs="Arial" w:eastAsia="Arial" w:hAnsi="Arial"/>
          <w:sz w:val="16"/>
          <w:szCs w:val="16"/>
          <w:b w:val="1"/>
          <w:bCs w:val="1"/>
          <w:u w:val="single" w:color="auto"/>
          <w:color w:val="0000FF"/>
        </w:rPr>
        <w:t>SIGNATURE</w:t>
      </w:r>
      <w:r>
        <w:rPr>
          <w:sz w:val="20"/>
          <w:szCs w:val="20"/>
          <w:color w:val="auto"/>
        </w:rPr>
        <w:tab/>
      </w:r>
      <w:hyperlink w:anchor="page48">
        <w:r>
          <w:rPr>
            <w:rFonts w:ascii="Arial" w:cs="Arial" w:eastAsia="Arial" w:hAnsi="Arial"/>
            <w:sz w:val="16"/>
            <w:szCs w:val="16"/>
            <w:u w:val="single" w:color="auto"/>
            <w:color w:val="0000FF"/>
          </w:rPr>
          <w:t>47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812165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960" w:type="dxa"/>
            <w:vAlign w:val="bottom"/>
            <w:gridSpan w:val="4"/>
          </w:tcPr>
          <w:p>
            <w:pPr>
              <w:jc w:val="right"/>
              <w:ind w:right="105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67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ind w:right="83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ind w:right="85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7"/>
        </w:trPr>
        <w:tc>
          <w:tcPr>
            <w:tcW w:w="6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20"/>
              <w:spacing w:after="0"/>
              <w:rPr>
                <w:sz w:val="20"/>
                <w:szCs w:val="20"/>
                <w:color w:val="auto"/>
              </w:rPr>
            </w:pPr>
            <w:r>
              <w:rPr>
                <w:rFonts w:ascii="Arial" w:cs="Arial" w:eastAsia="Arial" w:hAnsi="Arial"/>
                <w:sz w:val="18"/>
                <w:szCs w:val="18"/>
                <w:color w:val="auto"/>
              </w:rPr>
              <w:t>Revenues</w:t>
            </w:r>
          </w:p>
        </w:tc>
        <w:tc>
          <w:tcPr>
            <w:tcW w:w="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Product revenues</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528,137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544,850</w:t>
            </w:r>
          </w:p>
        </w:tc>
        <w:tc>
          <w:tcPr>
            <w:tcW w:w="0" w:type="dxa"/>
            <w:vAlign w:val="bottom"/>
          </w:tcPr>
          <w:p>
            <w:pPr>
              <w:spacing w:after="0"/>
              <w:rPr>
                <w:sz w:val="1"/>
                <w:szCs w:val="1"/>
                <w:color w:val="auto"/>
              </w:rPr>
            </w:pPr>
          </w:p>
        </w:tc>
      </w:tr>
      <w:tr>
        <w:trPr>
          <w:trHeight w:val="243"/>
        </w:trPr>
        <w:tc>
          <w:tcPr>
            <w:tcW w:w="6760" w:type="dxa"/>
            <w:vAlign w:val="bottom"/>
          </w:tcPr>
          <w:p>
            <w:pPr>
              <w:ind w:left="340"/>
              <w:spacing w:after="0"/>
              <w:rPr>
                <w:sz w:val="20"/>
                <w:szCs w:val="20"/>
                <w:color w:val="auto"/>
              </w:rPr>
            </w:pPr>
            <w:r>
              <w:rPr>
                <w:rFonts w:ascii="Arial" w:cs="Arial" w:eastAsia="Arial" w:hAnsi="Arial"/>
                <w:sz w:val="18"/>
                <w:szCs w:val="18"/>
                <w:color w:val="auto"/>
              </w:rPr>
              <w:t>Service revenues</w:t>
            </w:r>
          </w:p>
        </w:tc>
        <w:tc>
          <w:tcPr>
            <w:tcW w:w="520" w:type="dxa"/>
            <w:vAlign w:val="bottom"/>
          </w:tcPr>
          <w:p>
            <w:pPr>
              <w:spacing w:after="0"/>
              <w:rPr>
                <w:sz w:val="21"/>
                <w:szCs w:val="21"/>
                <w:color w:val="auto"/>
              </w:rPr>
            </w:pP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70,278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69,726</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revenues</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598,415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614,576</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Product cost of revenues</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384,681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386,102</w:t>
            </w:r>
          </w:p>
        </w:tc>
        <w:tc>
          <w:tcPr>
            <w:tcW w:w="0" w:type="dxa"/>
            <w:vAlign w:val="bottom"/>
          </w:tcPr>
          <w:p>
            <w:pPr>
              <w:spacing w:after="0"/>
              <w:rPr>
                <w:sz w:val="1"/>
                <w:szCs w:val="1"/>
                <w:color w:val="auto"/>
              </w:rPr>
            </w:pPr>
          </w:p>
        </w:tc>
      </w:tr>
      <w:tr>
        <w:trPr>
          <w:trHeight w:val="243"/>
        </w:trPr>
        <w:tc>
          <w:tcPr>
            <w:tcW w:w="6760" w:type="dxa"/>
            <w:vAlign w:val="bottom"/>
          </w:tcPr>
          <w:p>
            <w:pPr>
              <w:ind w:left="340"/>
              <w:spacing w:after="0"/>
              <w:rPr>
                <w:sz w:val="20"/>
                <w:szCs w:val="20"/>
                <w:color w:val="auto"/>
              </w:rPr>
            </w:pPr>
            <w:r>
              <w:rPr>
                <w:rFonts w:ascii="Arial" w:cs="Arial" w:eastAsia="Arial" w:hAnsi="Arial"/>
                <w:sz w:val="18"/>
                <w:szCs w:val="18"/>
                <w:color w:val="auto"/>
              </w:rPr>
              <w:t>Service cost of revenues</w:t>
            </w:r>
          </w:p>
        </w:tc>
        <w:tc>
          <w:tcPr>
            <w:tcW w:w="520" w:type="dxa"/>
            <w:vAlign w:val="bottom"/>
          </w:tcPr>
          <w:p>
            <w:pPr>
              <w:spacing w:after="0"/>
              <w:rPr>
                <w:sz w:val="21"/>
                <w:szCs w:val="21"/>
                <w:color w:val="auto"/>
              </w:rPr>
            </w:pP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42,168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41,211</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cost of revenues</w:t>
            </w: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426,849</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427,313</w:t>
            </w:r>
          </w:p>
        </w:tc>
        <w:tc>
          <w:tcPr>
            <w:tcW w:w="0" w:type="dxa"/>
            <w:vAlign w:val="bottom"/>
          </w:tcPr>
          <w:p>
            <w:pPr>
              <w:spacing w:after="0"/>
              <w:rPr>
                <w:sz w:val="1"/>
                <w:szCs w:val="1"/>
                <w:color w:val="auto"/>
              </w:rPr>
            </w:pPr>
          </w:p>
        </w:tc>
      </w:tr>
      <w:tr>
        <w:trPr>
          <w:trHeight w:val="237"/>
        </w:trPr>
        <w:tc>
          <w:tcPr>
            <w:tcW w:w="67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5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171,566</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187,263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7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Sales, general and administrative</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80,498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92,715</w:t>
            </w:r>
          </w:p>
        </w:tc>
        <w:tc>
          <w:tcPr>
            <w:tcW w:w="0" w:type="dxa"/>
            <w:vAlign w:val="bottom"/>
          </w:tcPr>
          <w:p>
            <w:pPr>
              <w:spacing w:after="0"/>
              <w:rPr>
                <w:sz w:val="1"/>
                <w:szCs w:val="1"/>
                <w:color w:val="auto"/>
              </w:rPr>
            </w:pPr>
          </w:p>
        </w:tc>
      </w:tr>
      <w:tr>
        <w:trPr>
          <w:trHeight w:val="243"/>
        </w:trPr>
        <w:tc>
          <w:tcPr>
            <w:tcW w:w="67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21"/>
                <w:szCs w:val="21"/>
                <w:color w:val="auto"/>
              </w:rPr>
            </w:pP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53,781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50,490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11,165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15,973</w:t>
            </w:r>
          </w:p>
        </w:tc>
        <w:tc>
          <w:tcPr>
            <w:tcW w:w="0" w:type="dxa"/>
            <w:vAlign w:val="bottom"/>
          </w:tcPr>
          <w:p>
            <w:pPr>
              <w:spacing w:after="0"/>
              <w:rPr>
                <w:sz w:val="1"/>
                <w:szCs w:val="1"/>
                <w:color w:val="auto"/>
              </w:rPr>
            </w:pPr>
          </w:p>
        </w:tc>
      </w:tr>
      <w:tr>
        <w:trPr>
          <w:trHeight w:val="243"/>
        </w:trPr>
        <w:tc>
          <w:tcPr>
            <w:tcW w:w="676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5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7,262</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145,196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166,440</w:t>
            </w:r>
          </w:p>
        </w:tc>
        <w:tc>
          <w:tcPr>
            <w:tcW w:w="0" w:type="dxa"/>
            <w:vAlign w:val="bottom"/>
          </w:tcPr>
          <w:p>
            <w:pPr>
              <w:spacing w:after="0"/>
              <w:rPr>
                <w:sz w:val="1"/>
                <w:szCs w:val="1"/>
                <w:color w:val="auto"/>
              </w:rPr>
            </w:pPr>
          </w:p>
        </w:tc>
      </w:tr>
      <w:tr>
        <w:trPr>
          <w:trHeight w:val="236"/>
        </w:trPr>
        <w:tc>
          <w:tcPr>
            <w:tcW w:w="676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26,370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20,823</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3"/>
        </w:trPr>
        <w:tc>
          <w:tcPr>
            <w:tcW w:w="67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(11,277)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(13,535)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5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1,066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37"/>
        </w:trPr>
        <w:tc>
          <w:tcPr>
            <w:tcW w:w="6760" w:type="dxa"/>
            <w:vAlign w:val="bottom"/>
          </w:tcPr>
          <w:p>
            <w:pPr>
              <w:ind w:left="660"/>
              <w:spacing w:after="0"/>
              <w:rPr>
                <w:sz w:val="20"/>
                <w:szCs w:val="20"/>
                <w:color w:val="auto"/>
              </w:rPr>
            </w:pPr>
            <w:r>
              <w:rPr>
                <w:rFonts w:ascii="Arial" w:cs="Arial" w:eastAsia="Arial" w:hAnsi="Arial"/>
                <w:sz w:val="18"/>
                <w:szCs w:val="18"/>
                <w:color w:val="auto"/>
              </w:rPr>
              <w:t>Total other income (expense)</w:t>
            </w:r>
          </w:p>
        </w:tc>
        <w:tc>
          <w:tcPr>
            <w:tcW w:w="5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(9,658)</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(14,851)</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7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520" w:type="dxa"/>
            <w:vAlign w:val="bottom"/>
          </w:tcPr>
          <w:p>
            <w:pPr>
              <w:spacing w:after="0"/>
              <w:rPr>
                <w:sz w:val="21"/>
                <w:szCs w:val="21"/>
                <w:color w:val="auto"/>
              </w:rPr>
            </w:pP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16,712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5,972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5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(6,121)</w:t>
            </w:r>
          </w:p>
        </w:tc>
        <w:tc>
          <w:tcPr>
            <w:tcW w:w="0" w:type="dxa"/>
            <w:vAlign w:val="bottom"/>
          </w:tcPr>
          <w:p>
            <w:pPr>
              <w:spacing w:after="0"/>
              <w:rPr>
                <w:sz w:val="1"/>
                <w:szCs w:val="1"/>
                <w:color w:val="auto"/>
              </w:rPr>
            </w:pPr>
          </w:p>
        </w:tc>
      </w:tr>
      <w:tr>
        <w:trPr>
          <w:trHeight w:val="237"/>
        </w:trPr>
        <w:tc>
          <w:tcPr>
            <w:tcW w:w="67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5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9,162</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attributable to noncontrolling interests</w:t>
            </w:r>
          </w:p>
        </w:tc>
        <w:tc>
          <w:tcPr>
            <w:tcW w:w="5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37"/>
        </w:trPr>
        <w:tc>
          <w:tcPr>
            <w:tcW w:w="6760" w:type="dxa"/>
            <w:vAlign w:val="bottom"/>
          </w:tcPr>
          <w:p>
            <w:pPr>
              <w:ind w:left="20"/>
              <w:spacing w:after="0"/>
              <w:rPr>
                <w:sz w:val="20"/>
                <w:szCs w:val="20"/>
                <w:color w:val="auto"/>
              </w:rPr>
            </w:pPr>
            <w:r>
              <w:rPr>
                <w:rFonts w:ascii="Arial" w:cs="Arial" w:eastAsia="Arial" w:hAnsi="Arial"/>
                <w:sz w:val="18"/>
                <w:szCs w:val="18"/>
                <w:color w:val="auto"/>
              </w:rPr>
              <w:t>Net income (loss) attributable to Itron, Inc.</w:t>
            </w: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8,684</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Net income (loss) per common share - Basic</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common share - Diluted</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40,043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39,658</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520" w:type="dxa"/>
            <w:vAlign w:val="bottom"/>
          </w:tcPr>
          <w:p>
            <w:pPr>
              <w:spacing w:after="0"/>
              <w:rPr>
                <w:sz w:val="21"/>
                <w:szCs w:val="21"/>
                <w:color w:val="auto"/>
              </w:rPr>
            </w:pPr>
          </w:p>
        </w:tc>
        <w:tc>
          <w:tcPr>
            <w:tcW w:w="1660" w:type="dxa"/>
            <w:vAlign w:val="bottom"/>
          </w:tcPr>
          <w:p>
            <w:pPr>
              <w:jc w:val="right"/>
              <w:ind w:right="51"/>
              <w:spacing w:after="0"/>
              <w:rPr>
                <w:sz w:val="20"/>
                <w:szCs w:val="20"/>
                <w:color w:val="auto"/>
              </w:rPr>
            </w:pPr>
            <w:r>
              <w:rPr>
                <w:rFonts w:ascii="Arial" w:cs="Arial" w:eastAsia="Arial" w:hAnsi="Arial"/>
                <w:sz w:val="18"/>
                <w:szCs w:val="18"/>
                <w:color w:val="auto"/>
              </w:rPr>
              <w:t>40,474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39,658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960" w:type="dxa"/>
            <w:vAlign w:val="bottom"/>
            <w:gridSpan w:val="4"/>
          </w:tcPr>
          <w:p>
            <w:pPr>
              <w:jc w:val="right"/>
              <w:ind w:right="1055"/>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67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ind w:right="836"/>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ind w:right="855"/>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7"/>
        </w:trPr>
        <w:tc>
          <w:tcPr>
            <w:tcW w:w="6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9,162</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67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net of tax:</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7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78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(25,445)</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(2,386)</w:t>
            </w:r>
          </w:p>
        </w:tc>
      </w:tr>
      <w:tr>
        <w:trPr>
          <w:trHeight w:val="270"/>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Net unrealized gain (loss) on derivative instruments, designated as cash flow hedges</w:t>
            </w:r>
          </w:p>
        </w:tc>
        <w:tc>
          <w:tcPr>
            <w:tcW w:w="7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135</w:t>
            </w:r>
          </w:p>
        </w:tc>
      </w:tr>
      <w:tr>
        <w:trPr>
          <w:trHeight w:val="270"/>
        </w:trPr>
        <w:tc>
          <w:tcPr>
            <w:tcW w:w="6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Pension benefit obligation adjustment</w:t>
            </w:r>
          </w:p>
        </w:tc>
        <w:tc>
          <w:tcPr>
            <w:tcW w:w="7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1,001</w:t>
            </w:r>
          </w:p>
        </w:tc>
        <w:tc>
          <w:tcPr>
            <w:tcW w:w="12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471</w:t>
            </w:r>
          </w:p>
        </w:tc>
      </w:tr>
      <w:tr>
        <w:trPr>
          <w:trHeight w:val="263"/>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7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(25,211)</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w:t>
            </w:r>
          </w:p>
        </w:tc>
      </w:tr>
      <w:tr>
        <w:trPr>
          <w:trHeight w:val="237"/>
        </w:trPr>
        <w:tc>
          <w:tcPr>
            <w:tcW w:w="67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 net of tax</w:t>
            </w:r>
          </w:p>
        </w:tc>
        <w:tc>
          <w:tcPr>
            <w:tcW w:w="7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(16,049)</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(1,929)</w:t>
            </w:r>
          </w:p>
        </w:tc>
      </w:tr>
      <w:tr>
        <w:trPr>
          <w:trHeight w:val="237"/>
        </w:trPr>
        <w:tc>
          <w:tcPr>
            <w:tcW w:w="67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70"/>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7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1,758</w:t>
            </w:r>
          </w:p>
        </w:tc>
      </w:tr>
      <w:tr>
        <w:trPr>
          <w:trHeight w:val="257"/>
        </w:trPr>
        <w:tc>
          <w:tcPr>
            <w:tcW w:w="67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r>
      <w:tr>
        <w:trPr>
          <w:trHeight w:val="28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Itron, Inc.</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(16,527)</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(3,687)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352"/>
        </w:trPr>
        <w:tc>
          <w:tcPr>
            <w:tcW w:w="9060" w:type="dxa"/>
            <w:vAlign w:val="bottom"/>
            <w:gridSpan w:val="4"/>
          </w:tcPr>
          <w:p>
            <w:pPr>
              <w:ind w:left="2440"/>
              <w:spacing w:after="0"/>
              <w:rPr>
                <w:sz w:val="20"/>
                <w:szCs w:val="20"/>
                <w:color w:val="auto"/>
              </w:rPr>
            </w:pPr>
            <w:r>
              <w:rPr>
                <w:rFonts w:ascii="Arial" w:cs="Arial" w:eastAsia="Arial" w:hAnsi="Arial"/>
                <w:sz w:val="18"/>
                <w:szCs w:val="18"/>
                <w:i w:val="1"/>
                <w:iCs w:val="1"/>
                <w:color w:val="auto"/>
                <w:w w:val="94"/>
              </w:rPr>
              <w:t>The accompanying notes are an integral part of these consolidated financial statements.</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770"/>
        </w:trPr>
        <w:tc>
          <w:tcPr>
            <w:tcW w:w="6760" w:type="dxa"/>
            <w:vAlign w:val="bottom"/>
          </w:tcPr>
          <w:p>
            <w:pPr>
              <w:ind w:left="558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67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1"/>
        </w:trPr>
        <w:tc>
          <w:tcPr>
            <w:tcW w:w="6760" w:type="dxa"/>
            <w:vAlign w:val="bottom"/>
          </w:tcPr>
          <w:p>
            <w:pPr>
              <w:jc w:val="center"/>
              <w:ind w:left="4410"/>
              <w:spacing w:after="0"/>
              <w:rPr>
                <w:sz w:val="20"/>
                <w:szCs w:val="20"/>
                <w:color w:val="auto"/>
              </w:rPr>
            </w:pPr>
            <w:r>
              <w:rPr>
                <w:rFonts w:ascii="Arial" w:cs="Arial" w:eastAsia="Arial" w:hAnsi="Arial"/>
                <w:sz w:val="18"/>
                <w:szCs w:val="18"/>
                <w:b w:val="1"/>
                <w:bCs w:val="1"/>
                <w:color w:val="auto"/>
              </w:rPr>
              <w:t>ITRON, INC.</w:t>
            </w: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jc w:val="center"/>
              <w:ind w:left="3930"/>
              <w:spacing w:after="0"/>
              <w:rPr>
                <w:sz w:val="20"/>
                <w:szCs w:val="20"/>
                <w:color w:val="auto"/>
              </w:rPr>
            </w:pPr>
            <w:r>
              <w:rPr>
                <w:rFonts w:ascii="Arial" w:cs="Arial" w:eastAsia="Arial" w:hAnsi="Arial"/>
                <w:sz w:val="18"/>
                <w:szCs w:val="18"/>
                <w:b w:val="1"/>
                <w:bCs w:val="1"/>
                <w:color w:val="auto"/>
                <w:w w:val="99"/>
              </w:rPr>
              <w:t>CONSOLIDATED BALANCE SHEETS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60" w:type="dxa"/>
            <w:vAlign w:val="bottom"/>
          </w:tcPr>
          <w:p>
            <w:pPr>
              <w:jc w:val="center"/>
              <w:ind w:left="4390"/>
              <w:spacing w:after="0"/>
              <w:rPr>
                <w:sz w:val="20"/>
                <w:szCs w:val="20"/>
                <w:color w:val="auto"/>
              </w:rPr>
            </w:pPr>
            <w:r>
              <w:rPr>
                <w:rFonts w:ascii="Arial" w:cs="Arial" w:eastAsia="Arial" w:hAnsi="Arial"/>
                <w:sz w:val="18"/>
                <w:szCs w:val="18"/>
                <w:b w:val="1"/>
                <w:bCs w:val="1"/>
                <w:color w:val="auto"/>
              </w:rPr>
              <w:t>(UNAUDITED)</w:t>
            </w:r>
          </w:p>
        </w:tc>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460" w:type="dxa"/>
            <w:vAlign w:val="bottom"/>
          </w:tcPr>
          <w:p>
            <w:pPr>
              <w:spacing w:after="0"/>
              <w:rPr>
                <w:sz w:val="23"/>
                <w:szCs w:val="23"/>
                <w:color w:val="auto"/>
              </w:rPr>
            </w:pPr>
          </w:p>
        </w:tc>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2020</w:t>
            </w:r>
          </w:p>
        </w:tc>
        <w:tc>
          <w:tcPr>
            <w:tcW w:w="240" w:type="dxa"/>
            <w:vAlign w:val="bottom"/>
          </w:tcPr>
          <w:p>
            <w:pPr>
              <w:spacing w:after="0"/>
              <w:rPr>
                <w:sz w:val="23"/>
                <w:szCs w:val="23"/>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2019</w:t>
            </w:r>
          </w:p>
        </w:tc>
        <w:tc>
          <w:tcPr>
            <w:tcW w:w="0" w:type="dxa"/>
            <w:vAlign w:val="bottom"/>
          </w:tcPr>
          <w:p>
            <w:pPr>
              <w:spacing w:after="0"/>
              <w:rPr>
                <w:sz w:val="1"/>
                <w:szCs w:val="1"/>
                <w:color w:val="auto"/>
              </w:rPr>
            </w:pPr>
          </w:p>
        </w:tc>
      </w:tr>
      <w:tr>
        <w:trPr>
          <w:trHeight w:val="27"/>
        </w:trPr>
        <w:tc>
          <w:tcPr>
            <w:tcW w:w="6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3040"/>
              <w:spacing w:after="0"/>
              <w:rPr>
                <w:sz w:val="20"/>
                <w:szCs w:val="20"/>
                <w:color w:val="auto"/>
              </w:rPr>
            </w:pPr>
            <w:r>
              <w:rPr>
                <w:rFonts w:ascii="Arial" w:cs="Arial" w:eastAsia="Arial" w:hAnsi="Arial"/>
                <w:sz w:val="18"/>
                <w:szCs w:val="18"/>
                <w:b w:val="1"/>
                <w:bCs w:val="1"/>
                <w:color w:val="auto"/>
              </w:rPr>
              <w:t>ASSETS</w:t>
            </w:r>
          </w:p>
        </w:tc>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554,520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149,904</w:t>
            </w:r>
          </w:p>
        </w:tc>
        <w:tc>
          <w:tcPr>
            <w:tcW w:w="0" w:type="dxa"/>
            <w:vAlign w:val="bottom"/>
          </w:tcPr>
          <w:p>
            <w:pPr>
              <w:spacing w:after="0"/>
              <w:rPr>
                <w:sz w:val="1"/>
                <w:szCs w:val="1"/>
                <w:color w:val="auto"/>
              </w:rPr>
            </w:pPr>
          </w:p>
        </w:tc>
      </w:tr>
      <w:tr>
        <w:trPr>
          <w:trHeight w:val="243"/>
        </w:trPr>
        <w:tc>
          <w:tcPr>
            <w:tcW w:w="676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460" w:type="dxa"/>
            <w:vAlign w:val="bottom"/>
          </w:tcPr>
          <w:p>
            <w:pPr>
              <w:spacing w:after="0"/>
              <w:rPr>
                <w:sz w:val="21"/>
                <w:szCs w:val="21"/>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463,613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472,925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221,850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227,896</w:t>
            </w:r>
          </w:p>
        </w:tc>
        <w:tc>
          <w:tcPr>
            <w:tcW w:w="0" w:type="dxa"/>
            <w:vAlign w:val="bottom"/>
          </w:tcPr>
          <w:p>
            <w:pPr>
              <w:spacing w:after="0"/>
              <w:rPr>
                <w:sz w:val="1"/>
                <w:szCs w:val="1"/>
                <w:color w:val="auto"/>
              </w:rPr>
            </w:pPr>
          </w:p>
        </w:tc>
      </w:tr>
      <w:tr>
        <w:trPr>
          <w:trHeight w:val="243"/>
        </w:trPr>
        <w:tc>
          <w:tcPr>
            <w:tcW w:w="676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460" w:type="dxa"/>
            <w:vAlign w:val="bottom"/>
          </w:tcPr>
          <w:p>
            <w:pPr>
              <w:spacing w:after="0"/>
              <w:rPr>
                <w:sz w:val="21"/>
                <w:szCs w:val="21"/>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147,743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146,526</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1,387,726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997,251</w:t>
            </w:r>
          </w:p>
        </w:tc>
        <w:tc>
          <w:tcPr>
            <w:tcW w:w="0" w:type="dxa"/>
            <w:vAlign w:val="bottom"/>
          </w:tcPr>
          <w:p>
            <w:pPr>
              <w:spacing w:after="0"/>
              <w:rPr>
                <w:sz w:val="1"/>
                <w:szCs w:val="1"/>
                <w:color w:val="auto"/>
              </w:rPr>
            </w:pPr>
          </w:p>
        </w:tc>
      </w:tr>
      <w:tr>
        <w:trPr>
          <w:trHeight w:val="162"/>
        </w:trPr>
        <w:tc>
          <w:tcPr>
            <w:tcW w:w="6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225,925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233,228</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460" w:type="dxa"/>
            <w:vAlign w:val="bottom"/>
          </w:tcPr>
          <w:p>
            <w:pPr>
              <w:spacing w:after="0"/>
              <w:rPr>
                <w:sz w:val="21"/>
                <w:szCs w:val="21"/>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62,064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63,899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48,282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44,686</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460" w:type="dxa"/>
            <w:vAlign w:val="bottom"/>
          </w:tcPr>
          <w:p>
            <w:pPr>
              <w:spacing w:after="0"/>
              <w:rPr>
                <w:sz w:val="21"/>
                <w:szCs w:val="21"/>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76,612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79,773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170,810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185,097</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21"/>
                <w:szCs w:val="21"/>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1,100,328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1,103,907</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7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3,071,747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2,707,841</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2380"/>
              <w:spacing w:after="0"/>
              <w:rPr>
                <w:sz w:val="20"/>
                <w:szCs w:val="20"/>
                <w:color w:val="auto"/>
              </w:rPr>
            </w:pPr>
            <w:r>
              <w:rPr>
                <w:rFonts w:ascii="Arial" w:cs="Arial" w:eastAsia="Arial" w:hAnsi="Arial"/>
                <w:sz w:val="18"/>
                <w:szCs w:val="18"/>
                <w:b w:val="1"/>
                <w:bCs w:val="1"/>
                <w:color w:val="auto"/>
              </w:rPr>
              <w:t>LIABILITIES AND EQUITY</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326,433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328,128</w:t>
            </w:r>
          </w:p>
        </w:tc>
        <w:tc>
          <w:tcPr>
            <w:tcW w:w="0" w:type="dxa"/>
            <w:vAlign w:val="bottom"/>
          </w:tcPr>
          <w:p>
            <w:pPr>
              <w:spacing w:after="0"/>
              <w:rPr>
                <w:sz w:val="1"/>
                <w:szCs w:val="1"/>
                <w:color w:val="auto"/>
              </w:rPr>
            </w:pPr>
          </w:p>
        </w:tc>
      </w:tr>
      <w:tr>
        <w:trPr>
          <w:trHeight w:val="243"/>
        </w:trPr>
        <w:tc>
          <w:tcPr>
            <w:tcW w:w="676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460" w:type="dxa"/>
            <w:vAlign w:val="bottom"/>
          </w:tcPr>
          <w:p>
            <w:pPr>
              <w:spacing w:after="0"/>
              <w:rPr>
                <w:sz w:val="21"/>
                <w:szCs w:val="21"/>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64,639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63,785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Wages and benefits payable</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97,950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119,220</w:t>
            </w:r>
          </w:p>
        </w:tc>
        <w:tc>
          <w:tcPr>
            <w:tcW w:w="0" w:type="dxa"/>
            <w:vAlign w:val="bottom"/>
          </w:tcPr>
          <w:p>
            <w:pPr>
              <w:spacing w:after="0"/>
              <w:rPr>
                <w:sz w:val="1"/>
                <w:szCs w:val="1"/>
                <w:color w:val="auto"/>
              </w:rPr>
            </w:pPr>
          </w:p>
        </w:tc>
      </w:tr>
      <w:tr>
        <w:trPr>
          <w:trHeight w:val="243"/>
        </w:trPr>
        <w:tc>
          <w:tcPr>
            <w:tcW w:w="6760" w:type="dxa"/>
            <w:vAlign w:val="bottom"/>
          </w:tcPr>
          <w:p>
            <w:pPr>
              <w:ind w:left="340"/>
              <w:spacing w:after="0"/>
              <w:rPr>
                <w:sz w:val="20"/>
                <w:szCs w:val="20"/>
                <w:color w:val="auto"/>
              </w:rPr>
            </w:pPr>
            <w:r>
              <w:rPr>
                <w:rFonts w:ascii="Arial" w:cs="Arial" w:eastAsia="Arial" w:hAnsi="Arial"/>
                <w:sz w:val="18"/>
                <w:szCs w:val="18"/>
                <w:color w:val="auto"/>
              </w:rPr>
              <w:t>Taxes payable</w:t>
            </w:r>
          </w:p>
        </w:tc>
        <w:tc>
          <w:tcPr>
            <w:tcW w:w="460" w:type="dxa"/>
            <w:vAlign w:val="bottom"/>
          </w:tcPr>
          <w:p>
            <w:pPr>
              <w:spacing w:after="0"/>
              <w:rPr>
                <w:sz w:val="21"/>
                <w:szCs w:val="21"/>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16,713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22,193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portion of debt</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340"/>
              <w:spacing w:after="0"/>
              <w:rPr>
                <w:sz w:val="20"/>
                <w:szCs w:val="20"/>
                <w:color w:val="auto"/>
              </w:rPr>
            </w:pPr>
            <w:r>
              <w:rPr>
                <w:rFonts w:ascii="Arial" w:cs="Arial" w:eastAsia="Arial" w:hAnsi="Arial"/>
                <w:sz w:val="18"/>
                <w:szCs w:val="18"/>
                <w:color w:val="auto"/>
              </w:rPr>
              <w:t>Current portion of warranty</w:t>
            </w:r>
          </w:p>
        </w:tc>
        <w:tc>
          <w:tcPr>
            <w:tcW w:w="460" w:type="dxa"/>
            <w:vAlign w:val="bottom"/>
          </w:tcPr>
          <w:p>
            <w:pPr>
              <w:spacing w:after="0"/>
              <w:rPr>
                <w:sz w:val="21"/>
                <w:szCs w:val="21"/>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36,409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38,509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Unearned revenue</w:t>
            </w:r>
          </w:p>
        </w:tc>
        <w:tc>
          <w:tcPr>
            <w:tcW w:w="4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118,231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99,556</w:t>
            </w:r>
          </w:p>
        </w:tc>
        <w:tc>
          <w:tcPr>
            <w:tcW w:w="0" w:type="dxa"/>
            <w:vAlign w:val="bottom"/>
          </w:tcPr>
          <w:p>
            <w:pPr>
              <w:spacing w:after="0"/>
              <w:rPr>
                <w:sz w:val="1"/>
                <w:szCs w:val="1"/>
                <w:color w:val="auto"/>
              </w:rPr>
            </w:pPr>
          </w:p>
        </w:tc>
      </w:tr>
      <w:tr>
        <w:trPr>
          <w:trHeight w:val="237"/>
        </w:trPr>
        <w:tc>
          <w:tcPr>
            <w:tcW w:w="676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4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667,094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671,391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7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Long-term debt, net</w:t>
            </w:r>
          </w:p>
        </w:tc>
        <w:tc>
          <w:tcPr>
            <w:tcW w:w="460" w:type="dxa"/>
            <w:vAlign w:val="bottom"/>
          </w:tcPr>
          <w:p>
            <w:pPr>
              <w:spacing w:after="0"/>
              <w:rPr>
                <w:sz w:val="21"/>
                <w:szCs w:val="21"/>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1,326,556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932,482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warranty</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12,310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14,732</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Pension benefit obligation</w:t>
            </w:r>
          </w:p>
        </w:tc>
        <w:tc>
          <w:tcPr>
            <w:tcW w:w="460" w:type="dxa"/>
            <w:vAlign w:val="bottom"/>
          </w:tcPr>
          <w:p>
            <w:pPr>
              <w:spacing w:after="0"/>
              <w:rPr>
                <w:sz w:val="21"/>
                <w:szCs w:val="21"/>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97,523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98,712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460" w:type="dxa"/>
            <w:vAlign w:val="bottom"/>
          </w:tcPr>
          <w:p>
            <w:pPr>
              <w:spacing w:after="0"/>
              <w:rPr>
                <w:sz w:val="21"/>
                <w:szCs w:val="21"/>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66,287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68,919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obligations</w:t>
            </w:r>
          </w:p>
        </w:tc>
        <w:tc>
          <w:tcPr>
            <w:tcW w:w="4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104,708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118,981</w:t>
            </w:r>
          </w:p>
        </w:tc>
        <w:tc>
          <w:tcPr>
            <w:tcW w:w="0" w:type="dxa"/>
            <w:vAlign w:val="bottom"/>
          </w:tcPr>
          <w:p>
            <w:pPr>
              <w:spacing w:after="0"/>
              <w:rPr>
                <w:sz w:val="1"/>
                <w:szCs w:val="1"/>
                <w:color w:val="auto"/>
              </w:rPr>
            </w:pPr>
          </w:p>
        </w:tc>
      </w:tr>
      <w:tr>
        <w:trPr>
          <w:trHeight w:val="236"/>
        </w:trPr>
        <w:tc>
          <w:tcPr>
            <w:tcW w:w="676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2,276,252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1,907,026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7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0"/>
              <w:spacing w:after="0"/>
              <w:rPr>
                <w:sz w:val="20"/>
                <w:szCs w:val="20"/>
                <w:color w:val="auto"/>
              </w:rPr>
            </w:pPr>
            <w:r>
              <w:rPr>
                <w:rFonts w:ascii="Arial" w:cs="Arial" w:eastAsia="Arial" w:hAnsi="Arial"/>
                <w:sz w:val="18"/>
                <w:szCs w:val="18"/>
                <w:color w:val="auto"/>
              </w:rPr>
              <w:t>Equity</w:t>
            </w:r>
          </w:p>
        </w:tc>
        <w:tc>
          <w:tcPr>
            <w:tcW w:w="4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9"/>
              </w:rPr>
              <w:t>Preferred stock, no par value, 10,000 shares authorized, no shares issued or outstanding</w:t>
            </w:r>
          </w:p>
        </w:tc>
        <w:tc>
          <w:tcPr>
            <w:tcW w:w="4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760" w:type="dxa"/>
            <w:vAlign w:val="bottom"/>
          </w:tcPr>
          <w:p>
            <w:pPr>
              <w:ind w:left="360"/>
              <w:spacing w:after="0" w:line="176" w:lineRule="exact"/>
              <w:rPr>
                <w:sz w:val="20"/>
                <w:szCs w:val="20"/>
                <w:color w:val="auto"/>
              </w:rPr>
            </w:pPr>
            <w:r>
              <w:rPr>
                <w:rFonts w:ascii="Arial" w:cs="Arial" w:eastAsia="Arial" w:hAnsi="Arial"/>
                <w:sz w:val="18"/>
                <w:szCs w:val="18"/>
                <w:color w:val="auto"/>
                <w:w w:val="88"/>
              </w:rPr>
              <w:t>Common stock, no par value, 75,000 shares authorized, 40,176 and 39,941 shares issued</w:t>
            </w:r>
          </w:p>
        </w:tc>
        <w:tc>
          <w:tcPr>
            <w:tcW w:w="460" w:type="dxa"/>
            <w:vAlign w:val="bottom"/>
          </w:tcPr>
          <w:p>
            <w:pPr>
              <w:spacing w:after="0"/>
              <w:rPr>
                <w:sz w:val="15"/>
                <w:szCs w:val="15"/>
                <w:color w:val="auto"/>
              </w:rPr>
            </w:pPr>
          </w:p>
        </w:tc>
        <w:tc>
          <w:tcPr>
            <w:tcW w:w="1720" w:type="dxa"/>
            <w:vAlign w:val="bottom"/>
            <w:vMerge w:val="restart"/>
          </w:tcPr>
          <w:p>
            <w:pPr>
              <w:jc w:val="right"/>
              <w:ind w:right="50"/>
              <w:spacing w:after="0"/>
              <w:rPr>
                <w:sz w:val="20"/>
                <w:szCs w:val="20"/>
                <w:color w:val="auto"/>
              </w:rPr>
            </w:pPr>
            <w:r>
              <w:rPr>
                <w:rFonts w:ascii="Arial" w:cs="Arial" w:eastAsia="Arial" w:hAnsi="Arial"/>
                <w:sz w:val="18"/>
                <w:szCs w:val="18"/>
                <w:color w:val="auto"/>
              </w:rPr>
              <w:t>1,368,329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vMerge w:val="restart"/>
          </w:tcPr>
          <w:p>
            <w:pPr>
              <w:jc w:val="right"/>
              <w:ind w:right="70"/>
              <w:spacing w:after="0"/>
              <w:rPr>
                <w:sz w:val="20"/>
                <w:szCs w:val="20"/>
                <w:color w:val="auto"/>
              </w:rPr>
            </w:pPr>
            <w:r>
              <w:rPr>
                <w:rFonts w:ascii="Arial" w:cs="Arial" w:eastAsia="Arial" w:hAnsi="Arial"/>
                <w:sz w:val="18"/>
                <w:szCs w:val="18"/>
                <w:color w:val="auto"/>
              </w:rPr>
              <w:t>1,357,600</w:t>
            </w:r>
          </w:p>
        </w:tc>
        <w:tc>
          <w:tcPr>
            <w:tcW w:w="0" w:type="dxa"/>
            <w:vAlign w:val="bottom"/>
          </w:tcPr>
          <w:p>
            <w:pPr>
              <w:spacing w:after="0"/>
              <w:rPr>
                <w:sz w:val="1"/>
                <w:szCs w:val="1"/>
                <w:color w:val="auto"/>
              </w:rPr>
            </w:pPr>
          </w:p>
        </w:tc>
      </w:tr>
      <w:tr>
        <w:trPr>
          <w:trHeight w:val="229"/>
        </w:trPr>
        <w:tc>
          <w:tcPr>
            <w:tcW w:w="6760" w:type="dxa"/>
            <w:vAlign w:val="bottom"/>
          </w:tcPr>
          <w:p>
            <w:pPr>
              <w:ind w:left="360"/>
              <w:spacing w:after="0"/>
              <w:rPr>
                <w:sz w:val="20"/>
                <w:szCs w:val="20"/>
                <w:color w:val="auto"/>
              </w:rPr>
            </w:pPr>
            <w:r>
              <w:rPr>
                <w:rFonts w:ascii="Arial" w:cs="Arial" w:eastAsia="Arial" w:hAnsi="Arial"/>
                <w:sz w:val="18"/>
                <w:szCs w:val="18"/>
                <w:color w:val="auto"/>
              </w:rPr>
              <w:t>and outstanding</w:t>
            </w:r>
          </w:p>
        </w:tc>
        <w:tc>
          <w:tcPr>
            <w:tcW w:w="46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 net</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(229,883)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(204,672)</w:t>
            </w:r>
          </w:p>
        </w:tc>
        <w:tc>
          <w:tcPr>
            <w:tcW w:w="0" w:type="dxa"/>
            <w:vAlign w:val="bottom"/>
          </w:tcPr>
          <w:p>
            <w:pPr>
              <w:spacing w:after="0"/>
              <w:rPr>
                <w:sz w:val="1"/>
                <w:szCs w:val="1"/>
                <w:color w:val="auto"/>
              </w:rPr>
            </w:pPr>
          </w:p>
        </w:tc>
      </w:tr>
      <w:tr>
        <w:trPr>
          <w:trHeight w:val="243"/>
        </w:trPr>
        <w:tc>
          <w:tcPr>
            <w:tcW w:w="676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46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(367,706)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(376,390)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Itron, Inc. shareholders' equity</w:t>
            </w:r>
          </w:p>
        </w:tc>
        <w:tc>
          <w:tcPr>
            <w:tcW w:w="4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770,740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776,538</w:t>
            </w:r>
          </w:p>
        </w:tc>
        <w:tc>
          <w:tcPr>
            <w:tcW w:w="0" w:type="dxa"/>
            <w:vAlign w:val="bottom"/>
          </w:tcPr>
          <w:p>
            <w:pPr>
              <w:spacing w:after="0"/>
              <w:rPr>
                <w:sz w:val="1"/>
                <w:szCs w:val="1"/>
                <w:color w:val="auto"/>
              </w:rPr>
            </w:pPr>
          </w:p>
        </w:tc>
      </w:tr>
      <w:tr>
        <w:trPr>
          <w:trHeight w:val="243"/>
        </w:trPr>
        <w:tc>
          <w:tcPr>
            <w:tcW w:w="676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460" w:type="dxa"/>
            <w:vAlign w:val="bottom"/>
          </w:tcPr>
          <w:p>
            <w:pPr>
              <w:spacing w:after="0"/>
              <w:rPr>
                <w:sz w:val="21"/>
                <w:szCs w:val="21"/>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24,755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color w:val="auto"/>
              </w:rPr>
              <w:t>24,277</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equity</w:t>
            </w:r>
          </w:p>
        </w:tc>
        <w:tc>
          <w:tcPr>
            <w:tcW w:w="46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795,495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800,815</w:t>
            </w:r>
          </w:p>
        </w:tc>
        <w:tc>
          <w:tcPr>
            <w:tcW w:w="0" w:type="dxa"/>
            <w:vAlign w:val="bottom"/>
          </w:tcPr>
          <w:p>
            <w:pPr>
              <w:spacing w:after="0"/>
              <w:rPr>
                <w:sz w:val="1"/>
                <w:szCs w:val="1"/>
                <w:color w:val="auto"/>
              </w:rPr>
            </w:pPr>
          </w:p>
        </w:tc>
      </w:tr>
      <w:tr>
        <w:trPr>
          <w:trHeight w:val="236"/>
        </w:trPr>
        <w:tc>
          <w:tcPr>
            <w:tcW w:w="6760" w:type="dxa"/>
            <w:vAlign w:val="bottom"/>
          </w:tcPr>
          <w:p>
            <w:pPr>
              <w:ind w:left="660"/>
              <w:spacing w:after="0"/>
              <w:rPr>
                <w:sz w:val="20"/>
                <w:szCs w:val="20"/>
                <w:color w:val="auto"/>
              </w:rPr>
            </w:pPr>
            <w:r>
              <w:rPr>
                <w:rFonts w:ascii="Arial" w:cs="Arial" w:eastAsia="Arial" w:hAnsi="Arial"/>
                <w:sz w:val="18"/>
                <w:szCs w:val="18"/>
                <w:color w:val="auto"/>
              </w:rPr>
              <w:t>Total liabilities and equity</w:t>
            </w: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3,071,747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2,707,841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2020" w:type="dxa"/>
            <w:vAlign w:val="bottom"/>
            <w:gridSpan w:val="5"/>
          </w:tcPr>
          <w:p>
            <w:pPr>
              <w:ind w:left="480"/>
              <w:spacing w:after="0"/>
              <w:rPr>
                <w:sz w:val="20"/>
                <w:szCs w:val="20"/>
                <w:color w:val="auto"/>
              </w:rPr>
            </w:pPr>
            <w:r>
              <w:rPr>
                <w:rFonts w:ascii="Arial" w:cs="Arial" w:eastAsia="Arial" w:hAnsi="Arial"/>
                <w:sz w:val="14"/>
                <w:szCs w:val="14"/>
                <w:b w:val="1"/>
                <w:bCs w:val="1"/>
                <w:color w:val="auto"/>
              </w:rPr>
              <w:t>Common Stock</w:t>
            </w: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 Itron, Inc.</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gridSpan w:val="2"/>
            <w:vMerge w:val="restart"/>
          </w:tcPr>
          <w:p>
            <w:pPr>
              <w:jc w:val="center"/>
              <w:ind w:right="260"/>
              <w:spacing w:after="0" w:line="126"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60"/>
              <w:spacing w:after="0" w:line="126"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4"/>
                <w:szCs w:val="4"/>
                <w:color w:val="auto"/>
              </w:rPr>
            </w:pPr>
          </w:p>
        </w:tc>
        <w:tc>
          <w:tcPr>
            <w:tcW w:w="1180" w:type="dxa"/>
            <w:vAlign w:val="bottom"/>
            <w:gridSpan w:val="2"/>
            <w:vMerge w:val="restart"/>
          </w:tcPr>
          <w:p>
            <w:pPr>
              <w:jc w:val="center"/>
              <w:ind w:right="220"/>
              <w:spacing w:after="0" w:line="126" w:lineRule="exact"/>
              <w:rPr>
                <w:sz w:val="20"/>
                <w:szCs w:val="20"/>
                <w:color w:val="auto"/>
              </w:rPr>
            </w:pPr>
            <w:r>
              <w:rPr>
                <w:rFonts w:ascii="Arial" w:cs="Arial" w:eastAsia="Arial" w:hAnsi="Arial"/>
                <w:sz w:val="14"/>
                <w:szCs w:val="14"/>
                <w:b w:val="1"/>
                <w:bCs w:val="1"/>
                <w:color w:val="auto"/>
                <w:w w:val="90"/>
              </w:rPr>
              <w:t>Shareholders'</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60"/>
              <w:spacing w:after="0" w:line="126" w:lineRule="exact"/>
              <w:rPr>
                <w:sz w:val="20"/>
                <w:szCs w:val="20"/>
                <w:color w:val="auto"/>
              </w:rPr>
            </w:pPr>
            <w:r>
              <w:rPr>
                <w:rFonts w:ascii="Arial" w:cs="Arial" w:eastAsia="Arial" w:hAnsi="Arial"/>
                <w:sz w:val="14"/>
                <w:szCs w:val="14"/>
                <w:b w:val="1"/>
                <w:bCs w:val="1"/>
                <w:color w:val="auto"/>
                <w:w w:val="94"/>
              </w:rPr>
              <w:t>Noncontrolling</w:t>
            </w: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820" w:type="dxa"/>
            <w:vAlign w:val="bottom"/>
          </w:tcPr>
          <w:p>
            <w:pPr>
              <w:spacing w:after="0"/>
              <w:rPr>
                <w:sz w:val="4"/>
                <w:szCs w:val="4"/>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4"/>
                <w:szCs w:val="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2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Balances at January 1, 2020</w:t>
            </w:r>
          </w:p>
        </w:tc>
        <w:tc>
          <w:tcPr>
            <w:tcW w:w="8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39,941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1,357,600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(204,672)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(376,390)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776,538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24,277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800,815</w:t>
            </w:r>
          </w:p>
        </w:tc>
        <w:tc>
          <w:tcPr>
            <w:tcW w:w="0" w:type="dxa"/>
            <w:vAlign w:val="bottom"/>
          </w:tcPr>
          <w:p>
            <w:pPr>
              <w:spacing w:after="0"/>
              <w:rPr>
                <w:sz w:val="1"/>
                <w:szCs w:val="1"/>
                <w:color w:val="auto"/>
              </w:rPr>
            </w:pPr>
          </w:p>
        </w:tc>
      </w:tr>
      <w:tr>
        <w:trPr>
          <w:trHeight w:val="197"/>
        </w:trPr>
        <w:tc>
          <w:tcPr>
            <w:tcW w:w="28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8,684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8,684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9,162</w:t>
            </w:r>
          </w:p>
        </w:tc>
        <w:tc>
          <w:tcPr>
            <w:tcW w:w="0" w:type="dxa"/>
            <w:vAlign w:val="bottom"/>
          </w:tcPr>
          <w:p>
            <w:pPr>
              <w:spacing w:after="0"/>
              <w:rPr>
                <w:sz w:val="1"/>
                <w:szCs w:val="1"/>
                <w:color w:val="auto"/>
              </w:rPr>
            </w:pPr>
          </w:p>
        </w:tc>
      </w:tr>
      <w:tr>
        <w:trPr>
          <w:trHeight w:val="208"/>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Other comprehensive income (loss), net of tax</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(25,211)</w:t>
            </w:r>
          </w:p>
        </w:tc>
        <w:tc>
          <w:tcPr>
            <w:tcW w:w="0" w:type="dxa"/>
            <w:vAlign w:val="bottom"/>
          </w:tcPr>
          <w:p>
            <w:pPr>
              <w:spacing w:after="0"/>
              <w:rPr>
                <w:sz w:val="1"/>
                <w:szCs w:val="1"/>
                <w:color w:val="auto"/>
              </w:rPr>
            </w:pPr>
          </w:p>
        </w:tc>
      </w:tr>
      <w:tr>
        <w:trPr>
          <w:trHeight w:val="197"/>
        </w:trPr>
        <w:tc>
          <w:tcPr>
            <w:tcW w:w="28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stock issues and repurchases</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2,247</w:t>
            </w:r>
          </w:p>
        </w:tc>
        <w:tc>
          <w:tcPr>
            <w:tcW w:w="0" w:type="dxa"/>
            <w:vAlign w:val="bottom"/>
          </w:tcPr>
          <w:p>
            <w:pPr>
              <w:spacing w:after="0"/>
              <w:rPr>
                <w:sz w:val="1"/>
                <w:szCs w:val="1"/>
                <w:color w:val="auto"/>
              </w:rPr>
            </w:pPr>
          </w:p>
        </w:tc>
      </w:tr>
      <w:tr>
        <w:trPr>
          <w:trHeight w:val="197"/>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8,482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8,482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8,482</w:t>
            </w:r>
          </w:p>
        </w:tc>
        <w:tc>
          <w:tcPr>
            <w:tcW w:w="0" w:type="dxa"/>
            <w:vAlign w:val="bottom"/>
          </w:tcPr>
          <w:p>
            <w:pPr>
              <w:spacing w:after="0"/>
              <w:rPr>
                <w:sz w:val="1"/>
                <w:szCs w:val="1"/>
                <w:color w:val="auto"/>
              </w:rPr>
            </w:pPr>
          </w:p>
        </w:tc>
      </w:tr>
      <w:tr>
        <w:trPr>
          <w:trHeight w:val="221"/>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March 31, 2020</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40,176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1,368,329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(229,883)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(367,706)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770,740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24,755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795,495</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2040" w:type="dxa"/>
            <w:vAlign w:val="bottom"/>
            <w:gridSpan w:val="5"/>
          </w:tcPr>
          <w:p>
            <w:pPr>
              <w:ind w:left="480"/>
              <w:spacing w:after="0"/>
              <w:rPr>
                <w:sz w:val="20"/>
                <w:szCs w:val="20"/>
                <w:color w:val="auto"/>
              </w:rPr>
            </w:pPr>
            <w:r>
              <w:rPr>
                <w:rFonts w:ascii="Arial" w:cs="Arial" w:eastAsia="Arial" w:hAnsi="Arial"/>
                <w:sz w:val="14"/>
                <w:szCs w:val="14"/>
                <w:b w:val="1"/>
                <w:bCs w:val="1"/>
                <w:color w:val="auto"/>
              </w:rPr>
              <w:t>Common Stock</w:t>
            </w:r>
          </w:p>
        </w:tc>
        <w:tc>
          <w:tcPr>
            <w:tcW w:w="14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Total Itron, Inc.</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gridSpan w:val="2"/>
            <w:vMerge w:val="restart"/>
          </w:tcPr>
          <w:p>
            <w:pPr>
              <w:jc w:val="center"/>
              <w:ind w:right="26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4"/>
                <w:szCs w:val="4"/>
                <w:color w:val="auto"/>
              </w:rPr>
            </w:pPr>
          </w:p>
        </w:tc>
        <w:tc>
          <w:tcPr>
            <w:tcW w:w="1160" w:type="dxa"/>
            <w:vAlign w:val="bottom"/>
            <w:gridSpan w:val="2"/>
            <w:vMerge w:val="restart"/>
          </w:tcPr>
          <w:p>
            <w:pPr>
              <w:jc w:val="center"/>
              <w:ind w:right="260"/>
              <w:spacing w:after="0" w:line="126"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4"/>
                <w:szCs w:val="4"/>
                <w:color w:val="auto"/>
              </w:rPr>
            </w:pPr>
          </w:p>
        </w:tc>
        <w:tc>
          <w:tcPr>
            <w:tcW w:w="1200" w:type="dxa"/>
            <w:vAlign w:val="bottom"/>
            <w:gridSpan w:val="2"/>
            <w:vMerge w:val="restart"/>
          </w:tcPr>
          <w:p>
            <w:pPr>
              <w:jc w:val="center"/>
              <w:ind w:right="220"/>
              <w:spacing w:after="0" w:line="126"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820" w:type="dxa"/>
            <w:vAlign w:val="bottom"/>
          </w:tcPr>
          <w:p>
            <w:pPr>
              <w:spacing w:after="0"/>
              <w:rPr>
                <w:sz w:val="4"/>
                <w:szCs w:val="4"/>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92"/>
        </w:trPr>
        <w:tc>
          <w:tcPr>
            <w:tcW w:w="28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Balances at January 1, 2019</w:t>
            </w:r>
          </w:p>
        </w:tc>
        <w:tc>
          <w:tcPr>
            <w:tcW w:w="8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39,498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1,334,364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(196,305)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(425,396)</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712,663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21,385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734,048</w:t>
            </w:r>
          </w:p>
        </w:tc>
        <w:tc>
          <w:tcPr>
            <w:tcW w:w="0" w:type="dxa"/>
            <w:vAlign w:val="bottom"/>
          </w:tcPr>
          <w:p>
            <w:pPr>
              <w:spacing w:after="0"/>
              <w:rPr>
                <w:sz w:val="1"/>
                <w:szCs w:val="1"/>
                <w:color w:val="auto"/>
              </w:rPr>
            </w:pPr>
          </w:p>
        </w:tc>
      </w:tr>
      <w:tr>
        <w:trPr>
          <w:trHeight w:val="197"/>
        </w:trPr>
        <w:tc>
          <w:tcPr>
            <w:tcW w:w="28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1,758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08"/>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Other comprehensive income (loss), net of tax</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(1,780)</w:t>
            </w:r>
          </w:p>
        </w:tc>
        <w:tc>
          <w:tcPr>
            <w:tcW w:w="0" w:type="dxa"/>
            <w:vAlign w:val="bottom"/>
          </w:tcPr>
          <w:p>
            <w:pPr>
              <w:spacing w:after="0"/>
              <w:rPr>
                <w:sz w:val="1"/>
                <w:szCs w:val="1"/>
                <w:color w:val="auto"/>
              </w:rPr>
            </w:pPr>
          </w:p>
        </w:tc>
      </w:tr>
      <w:tr>
        <w:trPr>
          <w:trHeight w:val="197"/>
        </w:trPr>
        <w:tc>
          <w:tcPr>
            <w:tcW w:w="282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08"/>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stock issues and repurchases</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197"/>
        </w:trPr>
        <w:tc>
          <w:tcPr>
            <w:tcW w:w="282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7,048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7,048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7,048</w:t>
            </w:r>
          </w:p>
        </w:tc>
        <w:tc>
          <w:tcPr>
            <w:tcW w:w="0" w:type="dxa"/>
            <w:vAlign w:val="bottom"/>
          </w:tcPr>
          <w:p>
            <w:pPr>
              <w:spacing w:after="0"/>
              <w:rPr>
                <w:sz w:val="1"/>
                <w:szCs w:val="1"/>
                <w:color w:val="auto"/>
              </w:rPr>
            </w:pPr>
          </w:p>
        </w:tc>
      </w:tr>
      <w:tr>
        <w:trPr>
          <w:trHeight w:val="208"/>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repurchased</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(7,814)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(7,814)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(7,814)</w:t>
            </w:r>
          </w:p>
        </w:tc>
        <w:tc>
          <w:tcPr>
            <w:tcW w:w="0" w:type="dxa"/>
            <w:vAlign w:val="bottom"/>
          </w:tcPr>
          <w:p>
            <w:pPr>
              <w:spacing w:after="0"/>
              <w:rPr>
                <w:sz w:val="1"/>
                <w:szCs w:val="1"/>
                <w:color w:val="auto"/>
              </w:rPr>
            </w:pPr>
          </w:p>
        </w:tc>
      </w:tr>
      <w:tr>
        <w:trPr>
          <w:trHeight w:val="190"/>
        </w:trPr>
        <w:tc>
          <w:tcPr>
            <w:tcW w:w="2820" w:type="dxa"/>
            <w:vAlign w:val="bottom"/>
          </w:tcPr>
          <w:p>
            <w:pPr>
              <w:ind w:left="20"/>
              <w:spacing w:after="0"/>
              <w:rPr>
                <w:sz w:val="20"/>
                <w:szCs w:val="20"/>
                <w:color w:val="auto"/>
              </w:rPr>
            </w:pPr>
            <w:r>
              <w:rPr>
                <w:rFonts w:ascii="Arial" w:cs="Arial" w:eastAsia="Arial" w:hAnsi="Arial"/>
                <w:sz w:val="14"/>
                <w:szCs w:val="14"/>
                <w:color w:val="auto"/>
              </w:rPr>
              <w:t>Balances at March 31, 2019</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39,693</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1,334,793</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(198,085)</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(427,303)</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709,405</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22,626</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732,031</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8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r>
      <w:tr>
        <w:trPr>
          <w:trHeight w:val="196"/>
        </w:trPr>
        <w:tc>
          <w:tcPr>
            <w:tcW w:w="7840" w:type="dxa"/>
            <w:vAlign w:val="bottom"/>
          </w:tcPr>
          <w:p>
            <w:pPr>
              <w:spacing w:after="0"/>
              <w:rPr>
                <w:sz w:val="20"/>
                <w:szCs w:val="20"/>
                <w:color w:val="auto"/>
              </w:rPr>
            </w:pPr>
            <w:r>
              <w:rPr>
                <w:rFonts w:ascii="Arial" w:cs="Arial" w:eastAsia="Arial" w:hAnsi="Arial"/>
                <w:sz w:val="14"/>
                <w:szCs w:val="14"/>
                <w:color w:val="auto"/>
              </w:rPr>
              <w:t>Operating activities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Net income (loss)</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9,162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w:t>
            </w:r>
          </w:p>
        </w:tc>
      </w:tr>
      <w:tr>
        <w:trPr>
          <w:trHeight w:val="197"/>
        </w:trPr>
        <w:tc>
          <w:tcPr>
            <w:tcW w:w="7840" w:type="dxa"/>
            <w:vAlign w:val="bottom"/>
          </w:tcPr>
          <w:p>
            <w:pPr>
              <w:ind w:left="3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8"/>
        </w:trPr>
        <w:tc>
          <w:tcPr>
            <w:tcW w:w="7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Depreciation and amortization</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24,031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28,427</w:t>
            </w:r>
          </w:p>
        </w:tc>
      </w:tr>
      <w:tr>
        <w:trPr>
          <w:trHeight w:val="197"/>
        </w:trPr>
        <w:tc>
          <w:tcPr>
            <w:tcW w:w="7840" w:type="dxa"/>
            <w:vAlign w:val="bottom"/>
          </w:tcPr>
          <w:p>
            <w:pPr>
              <w:ind w:left="640"/>
              <w:spacing w:after="0"/>
              <w:rPr>
                <w:sz w:val="20"/>
                <w:szCs w:val="20"/>
                <w:color w:val="auto"/>
              </w:rPr>
            </w:pPr>
            <w:r>
              <w:rPr>
                <w:rFonts w:ascii="Arial" w:cs="Arial" w:eastAsia="Arial" w:hAnsi="Arial"/>
                <w:sz w:val="14"/>
                <w:szCs w:val="14"/>
                <w:color w:val="auto"/>
              </w:rPr>
              <w:t>Non-cash operating lease expense</w:t>
            </w:r>
          </w:p>
        </w:tc>
        <w:tc>
          <w:tcPr>
            <w:tcW w:w="36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5,496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4,910</w:t>
            </w:r>
          </w:p>
        </w:tc>
      </w:tr>
      <w:tr>
        <w:trPr>
          <w:trHeight w:val="208"/>
        </w:trPr>
        <w:tc>
          <w:tcPr>
            <w:tcW w:w="7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Stock-based compensation</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8,482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7,205</w:t>
            </w:r>
          </w:p>
        </w:tc>
      </w:tr>
      <w:tr>
        <w:trPr>
          <w:trHeight w:val="197"/>
        </w:trPr>
        <w:tc>
          <w:tcPr>
            <w:tcW w:w="7840" w:type="dxa"/>
            <w:vAlign w:val="bottom"/>
          </w:tcPr>
          <w:p>
            <w:pPr>
              <w:ind w:left="640"/>
              <w:spacing w:after="0"/>
              <w:rPr>
                <w:sz w:val="20"/>
                <w:szCs w:val="20"/>
                <w:color w:val="auto"/>
              </w:rPr>
            </w:pPr>
            <w:r>
              <w:rPr>
                <w:rFonts w:ascii="Arial" w:cs="Arial" w:eastAsia="Arial" w:hAnsi="Arial"/>
                <w:sz w:val="14"/>
                <w:szCs w:val="14"/>
                <w:color w:val="auto"/>
              </w:rPr>
              <w:t>Amortization of prepaid debt fees</w:t>
            </w:r>
          </w:p>
        </w:tc>
        <w:tc>
          <w:tcPr>
            <w:tcW w:w="36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1,007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1,200</w:t>
            </w:r>
          </w:p>
        </w:tc>
      </w:tr>
      <w:tr>
        <w:trPr>
          <w:trHeight w:val="208"/>
        </w:trPr>
        <w:tc>
          <w:tcPr>
            <w:tcW w:w="7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Deferred taxes, net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w:t>
            </w:r>
          </w:p>
        </w:tc>
      </w:tr>
      <w:tr>
        <w:trPr>
          <w:trHeight w:val="197"/>
        </w:trPr>
        <w:tc>
          <w:tcPr>
            <w:tcW w:w="7840" w:type="dxa"/>
            <w:vAlign w:val="bottom"/>
          </w:tcPr>
          <w:p>
            <w:pPr>
              <w:ind w:left="640"/>
              <w:spacing w:after="0"/>
              <w:rPr>
                <w:sz w:val="20"/>
                <w:szCs w:val="20"/>
                <w:color w:val="auto"/>
              </w:rPr>
            </w:pPr>
            <w:r>
              <w:rPr>
                <w:rFonts w:ascii="Arial" w:cs="Arial" w:eastAsia="Arial" w:hAnsi="Arial"/>
                <w:sz w:val="14"/>
                <w:szCs w:val="14"/>
                <w:color w:val="auto"/>
              </w:rPr>
              <w:t>Restructuring, non-cash</w:t>
            </w:r>
          </w:p>
        </w:tc>
        <w:tc>
          <w:tcPr>
            <w:tcW w:w="360" w:type="dxa"/>
            <w:vAlign w:val="bottom"/>
          </w:tcPr>
          <w:p>
            <w:pPr>
              <w:spacing w:after="0"/>
              <w:rPr>
                <w:sz w:val="17"/>
                <w:szCs w:val="17"/>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(955)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96</w:t>
            </w:r>
          </w:p>
        </w:tc>
      </w:tr>
      <w:tr>
        <w:trPr>
          <w:trHeight w:val="208"/>
        </w:trPr>
        <w:tc>
          <w:tcPr>
            <w:tcW w:w="7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Other adjustments, net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w:t>
            </w:r>
          </w:p>
        </w:tc>
      </w:tr>
      <w:tr>
        <w:trPr>
          <w:trHeight w:val="197"/>
        </w:trPr>
        <w:tc>
          <w:tcPr>
            <w:tcW w:w="7840" w:type="dxa"/>
            <w:vAlign w:val="bottom"/>
          </w:tcPr>
          <w:p>
            <w:pPr>
              <w:spacing w:after="0"/>
              <w:rPr>
                <w:sz w:val="20"/>
                <w:szCs w:val="20"/>
                <w:color w:val="auto"/>
              </w:rPr>
            </w:pPr>
            <w:r>
              <w:rPr>
                <w:rFonts w:ascii="Arial" w:cs="Arial" w:eastAsia="Arial" w:hAnsi="Arial"/>
                <w:sz w:val="14"/>
                <w:szCs w:val="14"/>
                <w:color w:val="auto"/>
              </w:rPr>
              <w:t>Changes in operating assets and liabilities, net of acquisitions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receivable</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(37,977)</w:t>
            </w:r>
          </w:p>
        </w:tc>
      </w:tr>
      <w:tr>
        <w:trPr>
          <w:trHeight w:val="197"/>
        </w:trPr>
        <w:tc>
          <w:tcPr>
            <w:tcW w:w="7840" w:type="dxa"/>
            <w:vAlign w:val="bottom"/>
          </w:tcPr>
          <w:p>
            <w:pPr>
              <w:ind w:left="320"/>
              <w:spacing w:after="0"/>
              <w:rPr>
                <w:sz w:val="20"/>
                <w:szCs w:val="20"/>
                <w:color w:val="auto"/>
              </w:rPr>
            </w:pPr>
            <w:r>
              <w:rPr>
                <w:rFonts w:ascii="Arial" w:cs="Arial" w:eastAsia="Arial" w:hAnsi="Arial"/>
                <w:sz w:val="14"/>
                <w:szCs w:val="14"/>
                <w:color w:val="auto"/>
              </w:rPr>
              <w:t>Inventories</w:t>
            </w:r>
          </w:p>
        </w:tc>
        <w:tc>
          <w:tcPr>
            <w:tcW w:w="360" w:type="dxa"/>
            <w:vAlign w:val="bottom"/>
          </w:tcPr>
          <w:p>
            <w:pPr>
              <w:spacing w:after="0"/>
              <w:rPr>
                <w:sz w:val="17"/>
                <w:szCs w:val="17"/>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(1,659)</w:t>
            </w: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current assets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(11,030)</w:t>
            </w:r>
          </w:p>
        </w:tc>
      </w:tr>
      <w:tr>
        <w:trPr>
          <w:trHeight w:val="197"/>
        </w:trPr>
        <w:tc>
          <w:tcPr>
            <w:tcW w:w="7840" w:type="dxa"/>
            <w:vAlign w:val="bottom"/>
          </w:tcPr>
          <w:p>
            <w:pPr>
              <w:ind w:left="320"/>
              <w:spacing w:after="0"/>
              <w:rPr>
                <w:sz w:val="20"/>
                <w:szCs w:val="20"/>
                <w:color w:val="auto"/>
              </w:rPr>
            </w:pPr>
            <w:r>
              <w:rPr>
                <w:rFonts w:ascii="Arial" w:cs="Arial" w:eastAsia="Arial" w:hAnsi="Arial"/>
                <w:sz w:val="14"/>
                <w:szCs w:val="14"/>
                <w:color w:val="auto"/>
              </w:rPr>
              <w:t>Other long-term assets</w:t>
            </w:r>
          </w:p>
        </w:tc>
        <w:tc>
          <w:tcPr>
            <w:tcW w:w="360" w:type="dxa"/>
            <w:vAlign w:val="bottom"/>
          </w:tcPr>
          <w:p>
            <w:pPr>
              <w:spacing w:after="0"/>
              <w:rPr>
                <w:sz w:val="17"/>
                <w:szCs w:val="17"/>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(6,501)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334</w:t>
            </w: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payable, other current liabilities, and taxes payable</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12,312</w:t>
            </w:r>
          </w:p>
        </w:tc>
      </w:tr>
      <w:tr>
        <w:trPr>
          <w:trHeight w:val="197"/>
        </w:trPr>
        <w:tc>
          <w:tcPr>
            <w:tcW w:w="7840" w:type="dxa"/>
            <w:vAlign w:val="bottom"/>
          </w:tcPr>
          <w:p>
            <w:pPr>
              <w:ind w:left="320"/>
              <w:spacing w:after="0"/>
              <w:rPr>
                <w:sz w:val="20"/>
                <w:szCs w:val="20"/>
                <w:color w:val="auto"/>
              </w:rPr>
            </w:pPr>
            <w:r>
              <w:rPr>
                <w:rFonts w:ascii="Arial" w:cs="Arial" w:eastAsia="Arial" w:hAnsi="Arial"/>
                <w:sz w:val="14"/>
                <w:szCs w:val="14"/>
                <w:color w:val="auto"/>
              </w:rPr>
              <w:t>Wages and benefits payable</w:t>
            </w:r>
          </w:p>
        </w:tc>
        <w:tc>
          <w:tcPr>
            <w:tcW w:w="360" w:type="dxa"/>
            <w:vAlign w:val="bottom"/>
          </w:tcPr>
          <w:p>
            <w:pPr>
              <w:spacing w:after="0"/>
              <w:rPr>
                <w:sz w:val="17"/>
                <w:szCs w:val="17"/>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(19,977)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8,465</w:t>
            </w: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Unearned revenue</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17,395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8,235</w:t>
            </w:r>
          </w:p>
        </w:tc>
      </w:tr>
      <w:tr>
        <w:trPr>
          <w:trHeight w:val="197"/>
        </w:trPr>
        <w:tc>
          <w:tcPr>
            <w:tcW w:w="7840" w:type="dxa"/>
            <w:vAlign w:val="bottom"/>
          </w:tcPr>
          <w:p>
            <w:pPr>
              <w:ind w:left="320"/>
              <w:spacing w:after="0"/>
              <w:rPr>
                <w:sz w:val="20"/>
                <w:szCs w:val="20"/>
                <w:color w:val="auto"/>
              </w:rPr>
            </w:pPr>
            <w:r>
              <w:rPr>
                <w:rFonts w:ascii="Arial" w:cs="Arial" w:eastAsia="Arial" w:hAnsi="Arial"/>
                <w:sz w:val="14"/>
                <w:szCs w:val="14"/>
                <w:color w:val="auto"/>
              </w:rPr>
              <w:t>Warranty</w:t>
            </w:r>
          </w:p>
        </w:tc>
        <w:tc>
          <w:tcPr>
            <w:tcW w:w="360" w:type="dxa"/>
            <w:vAlign w:val="bottom"/>
          </w:tcPr>
          <w:p>
            <w:pPr>
              <w:spacing w:after="0"/>
              <w:rPr>
                <w:sz w:val="17"/>
                <w:szCs w:val="17"/>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(4,250)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(2,569)</w:t>
            </w: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operating, net</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(14,435)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7,510</w:t>
            </w:r>
          </w:p>
        </w:tc>
      </w:tr>
      <w:tr>
        <w:trPr>
          <w:trHeight w:val="190"/>
        </w:trPr>
        <w:tc>
          <w:tcPr>
            <w:tcW w:w="7840" w:type="dxa"/>
            <w:vAlign w:val="bottom"/>
          </w:tcPr>
          <w:p>
            <w:pPr>
              <w:ind w:left="64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Pr>
          <w:p>
            <w:pPr>
              <w:spacing w:after="0"/>
              <w:rPr>
                <w:sz w:val="16"/>
                <w:szCs w:val="16"/>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18,894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24,924</w:t>
            </w:r>
          </w:p>
        </w:tc>
      </w:tr>
      <w:tr>
        <w:trPr>
          <w:trHeight w:val="222"/>
        </w:trPr>
        <w:tc>
          <w:tcPr>
            <w:tcW w:w="7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197"/>
        </w:trPr>
        <w:tc>
          <w:tcPr>
            <w:tcW w:w="7840" w:type="dxa"/>
            <w:vAlign w:val="bottom"/>
          </w:tcPr>
          <w:p>
            <w:pPr>
              <w:spacing w:after="0"/>
              <w:rPr>
                <w:sz w:val="20"/>
                <w:szCs w:val="20"/>
                <w:color w:val="auto"/>
              </w:rPr>
            </w:pPr>
            <w:r>
              <w:rPr>
                <w:rFonts w:ascii="Arial" w:cs="Arial" w:eastAsia="Arial" w:hAnsi="Arial"/>
                <w:sz w:val="14"/>
                <w:szCs w:val="14"/>
                <w:color w:val="auto"/>
              </w:rPr>
              <w:t>Investing activities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8"/>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Acquisitions of property, plant, and equipment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(11,415)</w:t>
            </w:r>
          </w:p>
        </w:tc>
      </w:tr>
      <w:tr>
        <w:trPr>
          <w:trHeight w:val="197"/>
        </w:trPr>
        <w:tc>
          <w:tcPr>
            <w:tcW w:w="784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Other investing, net</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3,345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299</w:t>
            </w:r>
          </w:p>
        </w:tc>
      </w:tr>
      <w:tr>
        <w:trPr>
          <w:trHeight w:val="202"/>
        </w:trPr>
        <w:tc>
          <w:tcPr>
            <w:tcW w:w="7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(9,257)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(11,116)</w:t>
            </w:r>
          </w:p>
        </w:tc>
      </w:tr>
      <w:tr>
        <w:trPr>
          <w:trHeight w:val="216"/>
        </w:trPr>
        <w:tc>
          <w:tcPr>
            <w:tcW w:w="7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3"/>
        </w:trPr>
        <w:tc>
          <w:tcPr>
            <w:tcW w:w="7840" w:type="dxa"/>
            <w:vAlign w:val="bottom"/>
            <w:shd w:val="clear" w:color="auto" w:fill="CCEEFF"/>
          </w:tcPr>
          <w:p>
            <w:pPr>
              <w:spacing w:after="0"/>
              <w:rPr>
                <w:sz w:val="20"/>
                <w:szCs w:val="20"/>
                <w:color w:val="auto"/>
              </w:rPr>
            </w:pPr>
            <w:r>
              <w:rPr>
                <w:rFonts w:ascii="Arial" w:cs="Arial" w:eastAsia="Arial" w:hAnsi="Arial"/>
                <w:sz w:val="14"/>
                <w:szCs w:val="14"/>
                <w:color w:val="auto"/>
              </w:rPr>
              <w:t>Financing activities</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6"/>
        </w:trPr>
        <w:tc>
          <w:tcPr>
            <w:tcW w:w="7840" w:type="dxa"/>
            <w:vAlign w:val="bottom"/>
          </w:tcPr>
          <w:p>
            <w:pPr>
              <w:ind w:left="320"/>
              <w:spacing w:after="0"/>
              <w:rPr>
                <w:sz w:val="20"/>
                <w:szCs w:val="20"/>
                <w:color w:val="auto"/>
              </w:rPr>
            </w:pPr>
            <w:r>
              <w:rPr>
                <w:rFonts w:ascii="Arial" w:cs="Arial" w:eastAsia="Arial" w:hAnsi="Arial"/>
                <w:sz w:val="14"/>
                <w:szCs w:val="14"/>
                <w:color w:val="auto"/>
              </w:rPr>
              <w:t>Proceeds from borrowings</w:t>
            </w:r>
          </w:p>
        </w:tc>
        <w:tc>
          <w:tcPr>
            <w:tcW w:w="36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30,000</w:t>
            </w:r>
          </w:p>
        </w:tc>
      </w:tr>
      <w:tr>
        <w:trPr>
          <w:trHeight w:val="209"/>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Payments on debt</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(44,063)</w:t>
            </w:r>
          </w:p>
        </w:tc>
      </w:tr>
      <w:tr>
        <w:trPr>
          <w:trHeight w:val="196"/>
        </w:trPr>
        <w:tc>
          <w:tcPr>
            <w:tcW w:w="7840" w:type="dxa"/>
            <w:vAlign w:val="bottom"/>
          </w:tcPr>
          <w:p>
            <w:pPr>
              <w:ind w:left="320"/>
              <w:spacing w:after="0"/>
              <w:rPr>
                <w:sz w:val="20"/>
                <w:szCs w:val="20"/>
                <w:color w:val="auto"/>
              </w:rPr>
            </w:pPr>
            <w:r>
              <w:rPr>
                <w:rFonts w:ascii="Arial" w:cs="Arial" w:eastAsia="Arial" w:hAnsi="Arial"/>
                <w:sz w:val="14"/>
                <w:szCs w:val="14"/>
                <w:color w:val="auto"/>
              </w:rPr>
              <w:t>Issuance of common stock</w:t>
            </w:r>
          </w:p>
        </w:tc>
        <w:tc>
          <w:tcPr>
            <w:tcW w:w="36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2,911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1,758</w:t>
            </w:r>
          </w:p>
        </w:tc>
      </w:tr>
      <w:tr>
        <w:trPr>
          <w:trHeight w:val="209"/>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Repurchase of common stock</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(8,534)</w:t>
            </w:r>
          </w:p>
        </w:tc>
      </w:tr>
      <w:tr>
        <w:trPr>
          <w:trHeight w:val="196"/>
        </w:trPr>
        <w:tc>
          <w:tcPr>
            <w:tcW w:w="7840" w:type="dxa"/>
            <w:vAlign w:val="bottom"/>
          </w:tcPr>
          <w:p>
            <w:pPr>
              <w:ind w:left="320"/>
              <w:spacing w:after="0"/>
              <w:rPr>
                <w:sz w:val="20"/>
                <w:szCs w:val="20"/>
                <w:color w:val="auto"/>
              </w:rPr>
            </w:pPr>
            <w:r>
              <w:rPr>
                <w:rFonts w:ascii="Arial" w:cs="Arial" w:eastAsia="Arial" w:hAnsi="Arial"/>
                <w:sz w:val="14"/>
                <w:szCs w:val="14"/>
                <w:color w:val="auto"/>
              </w:rPr>
              <w:t>Prepaid debt fees</w:t>
            </w:r>
          </w:p>
        </w:tc>
        <w:tc>
          <w:tcPr>
            <w:tcW w:w="360" w:type="dxa"/>
            <w:vAlign w:val="bottom"/>
          </w:tcPr>
          <w:p>
            <w:pPr>
              <w:spacing w:after="0"/>
              <w:rPr>
                <w:sz w:val="17"/>
                <w:szCs w:val="17"/>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(175)</w:t>
            </w:r>
          </w:p>
        </w:tc>
      </w:tr>
      <w:tr>
        <w:trPr>
          <w:trHeight w:val="209"/>
        </w:trPr>
        <w:tc>
          <w:tcPr>
            <w:tcW w:w="7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financing, net</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(2,229)</w:t>
            </w:r>
          </w:p>
        </w:tc>
      </w:tr>
      <w:tr>
        <w:trPr>
          <w:trHeight w:val="190"/>
        </w:trPr>
        <w:tc>
          <w:tcPr>
            <w:tcW w:w="7840" w:type="dxa"/>
            <w:vAlign w:val="bottom"/>
          </w:tcPr>
          <w:p>
            <w:pPr>
              <w:ind w:left="640"/>
              <w:spacing w:after="0"/>
              <w:rPr>
                <w:sz w:val="20"/>
                <w:szCs w:val="20"/>
                <w:color w:val="auto"/>
              </w:rPr>
            </w:pPr>
            <w:r>
              <w:rPr>
                <w:rFonts w:ascii="Arial" w:cs="Arial" w:eastAsia="Arial" w:hAnsi="Arial"/>
                <w:sz w:val="14"/>
                <w:szCs w:val="14"/>
                <w:color w:val="auto"/>
              </w:rPr>
              <w:t>Net cash provided by (used in) financing activities</w:t>
            </w:r>
          </w:p>
        </w:tc>
        <w:tc>
          <w:tcPr>
            <w:tcW w:w="360" w:type="dxa"/>
            <w:vAlign w:val="bottom"/>
          </w:tcPr>
          <w:p>
            <w:pPr>
              <w:spacing w:after="0"/>
              <w:rPr>
                <w:sz w:val="16"/>
                <w:szCs w:val="16"/>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401,737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(23,243)</w:t>
            </w:r>
          </w:p>
        </w:tc>
      </w:tr>
      <w:tr>
        <w:trPr>
          <w:trHeight w:val="222"/>
        </w:trPr>
        <w:tc>
          <w:tcPr>
            <w:tcW w:w="7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197"/>
        </w:trPr>
        <w:tc>
          <w:tcPr>
            <w:tcW w:w="78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Effect of foreign exchange rate changes on cash, cash equivalents, and restricted cash</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(6,758)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w:t>
            </w:r>
          </w:p>
        </w:tc>
      </w:tr>
      <w:tr>
        <w:trPr>
          <w:trHeight w:val="202"/>
        </w:trPr>
        <w:tc>
          <w:tcPr>
            <w:tcW w:w="7840" w:type="dxa"/>
            <w:vAlign w:val="bottom"/>
            <w:shd w:val="clear" w:color="auto" w:fill="CCEEFF"/>
          </w:tcPr>
          <w:p>
            <w:pPr>
              <w:spacing w:after="0"/>
              <w:rPr>
                <w:sz w:val="20"/>
                <w:szCs w:val="20"/>
                <w:color w:val="auto"/>
              </w:rPr>
            </w:pPr>
            <w:r>
              <w:rPr>
                <w:rFonts w:ascii="Arial" w:cs="Arial" w:eastAsia="Arial" w:hAnsi="Arial"/>
                <w:sz w:val="14"/>
                <w:szCs w:val="14"/>
                <w:color w:val="auto"/>
              </w:rPr>
              <w:t>Increase (decrease) in cash, cash equivalents, and restricted cash</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404,616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(9,363)</w:t>
            </w:r>
          </w:p>
        </w:tc>
      </w:tr>
      <w:tr>
        <w:trPr>
          <w:trHeight w:val="197"/>
        </w:trPr>
        <w:tc>
          <w:tcPr>
            <w:tcW w:w="78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149,904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122,328</w:t>
            </w:r>
          </w:p>
        </w:tc>
      </w:tr>
      <w:tr>
        <w:trPr>
          <w:trHeight w:val="221"/>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cash equivalents, and restricted cash at end of period</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554,520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112,965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7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3"/>
        </w:trPr>
        <w:tc>
          <w:tcPr>
            <w:tcW w:w="784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Supplemental disclosure of cash flow information:</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6"/>
        </w:trPr>
        <w:tc>
          <w:tcPr>
            <w:tcW w:w="7840" w:type="dxa"/>
            <w:vAlign w:val="bottom"/>
          </w:tcPr>
          <w:p>
            <w:pPr>
              <w:ind w:left="320"/>
              <w:spacing w:after="0"/>
              <w:rPr>
                <w:sz w:val="20"/>
                <w:szCs w:val="20"/>
                <w:color w:val="auto"/>
              </w:rPr>
            </w:pPr>
            <w:r>
              <w:rPr>
                <w:rFonts w:ascii="Arial" w:cs="Arial" w:eastAsia="Arial" w:hAnsi="Arial"/>
                <w:sz w:val="14"/>
                <w:szCs w:val="14"/>
                <w:color w:val="auto"/>
              </w:rPr>
              <w:t>Cash paid (received) during the period for:</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9"/>
        </w:trPr>
        <w:tc>
          <w:tcPr>
            <w:tcW w:w="7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Income taxes, net</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3,241</w:t>
            </w:r>
          </w:p>
        </w:tc>
      </w:tr>
      <w:tr>
        <w:trPr>
          <w:trHeight w:val="190"/>
        </w:trPr>
        <w:tc>
          <w:tcPr>
            <w:tcW w:w="7840" w:type="dxa"/>
            <w:vAlign w:val="bottom"/>
          </w:tcPr>
          <w:p>
            <w:pPr>
              <w:ind w:left="640"/>
              <w:spacing w:after="0"/>
              <w:rPr>
                <w:sz w:val="20"/>
                <w:szCs w:val="20"/>
                <w:color w:val="auto"/>
              </w:rPr>
            </w:pPr>
            <w:r>
              <w:rPr>
                <w:rFonts w:ascii="Arial" w:cs="Arial" w:eastAsia="Arial" w:hAnsi="Arial"/>
                <w:sz w:val="14"/>
                <w:szCs w:val="14"/>
                <w:color w:val="auto"/>
              </w:rPr>
              <w:t>Interest</w:t>
            </w:r>
          </w:p>
        </w:tc>
        <w:tc>
          <w:tcPr>
            <w:tcW w:w="360" w:type="dxa"/>
            <w:vAlign w:val="bottom"/>
          </w:tcPr>
          <w:p>
            <w:pPr>
              <w:spacing w:after="0"/>
              <w:rPr>
                <w:sz w:val="16"/>
                <w:szCs w:val="16"/>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14,804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16,628</w:t>
            </w:r>
          </w:p>
        </w:tc>
      </w:tr>
    </w:tbl>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 and its subsidiaries.</w:t>
      </w:r>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consolidated financial statements presented in this Quarterly Report on Form 10-Q are unaudited and reflect entries necessary for the fair presentation of the Consolidated Statements of Operations, the Consolidated Statements of Comprehensive Income (Loss), Consolidated Statements of Equity and Consolidated Statements of Cash Flows for the three months ended March 31, 2020 and 2019, and the Consolidated Balance Sheets as of March 31, 2020 and December 31, 2019, of Itron, Inc. and its subsidiaries. All entries required for the fair presentation of the financial statements are of a normal recurring nature, except as disclosed. The results of operations for the three months ended March 31, 2020 are not necessarily indicative of the results expected for the full year or for any other period.</w:t>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Certain information and notes normally included in financial statements prepared in accordance with U.S. generally accepted accounting principles (GAAP) have been partially or completely omitted pursuant to the rules and regulations of the U.S. Securities and Exchange Commission (SEC) regarding interim results. These consolidated financial statements should be read in conjunction with the consolidated financial statements and the notes thereto for the fiscal year ended December 31, 2019 filed with the SEC in our Annual Report on Form 10-K on February 27, 2020 (2019 Annual Report). There have been no significant changes in financial statement preparation or significant accounting policies since December 31, 2019.</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Risks and Uncertainties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COVID-19 pandemic has had global economic impacts including disrupting global supply chains and creating market volatility. The extent of the recent pandemic and its ongoing impact on our operations is volatile, but is being monitored closely by management. We expect that certain of our customers’ projects and deployments may shift to later in 2020 or possibly 2021. At this time, we have not identified any significant decrease in long-term customer demand for our products and services. Nonetheless, a prolonged pandemic could adversely impact the efficiency and effectiveness of our organization, further impact our global supply chain network, result in delays or decreases in customer collections, reduce demand for our products and services, and inhibit our sales efforts, any of which could materially impact our revenues, results of operations, cash flows and financial condition.</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that are contractually restricted from operating use are classified as restricted cash and cash equivalents.</w:t>
      </w:r>
    </w:p>
    <w:p>
      <w:pPr>
        <w:spacing w:after="0" w:line="2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96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 2020</w:t>
            </w:r>
          </w:p>
        </w:tc>
        <w:tc>
          <w:tcPr>
            <w:tcW w:w="260" w:type="dxa"/>
            <w:vAlign w:val="bottom"/>
          </w:tcPr>
          <w:p>
            <w:pPr>
              <w:spacing w:after="0"/>
              <w:rPr>
                <w:sz w:val="18"/>
                <w:szCs w:val="18"/>
                <w:color w:val="auto"/>
              </w:rPr>
            </w:pPr>
          </w:p>
        </w:tc>
        <w:tc>
          <w:tcPr>
            <w:tcW w:w="204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2019</w:t>
            </w:r>
          </w:p>
        </w:tc>
        <w:tc>
          <w:tcPr>
            <w:tcW w:w="320" w:type="dxa"/>
            <w:vAlign w:val="bottom"/>
          </w:tcPr>
          <w:p>
            <w:pPr>
              <w:spacing w:after="0"/>
              <w:rPr>
                <w:sz w:val="18"/>
                <w:szCs w:val="18"/>
                <w:color w:val="auto"/>
              </w:rPr>
            </w:pPr>
          </w:p>
        </w:tc>
        <w:tc>
          <w:tcPr>
            <w:tcW w:w="1860" w:type="dxa"/>
            <w:vAlign w:val="bottom"/>
          </w:tcPr>
          <w:p>
            <w:pPr>
              <w:jc w:val="right"/>
              <w:ind w:right="479"/>
              <w:spacing w:after="0"/>
              <w:rPr>
                <w:sz w:val="20"/>
                <w:szCs w:val="20"/>
                <w:color w:val="auto"/>
              </w:rPr>
            </w:pPr>
            <w:r>
              <w:rPr>
                <w:rFonts w:ascii="Arial" w:cs="Arial" w:eastAsia="Arial" w:hAnsi="Arial"/>
                <w:sz w:val="16"/>
                <w:szCs w:val="16"/>
                <w:b w:val="1"/>
                <w:bCs w:val="1"/>
                <w:color w:val="auto"/>
              </w:rPr>
              <w:t>March 31, 2019</w:t>
            </w:r>
          </w:p>
        </w:tc>
      </w:tr>
      <w:tr>
        <w:trPr>
          <w:trHeight w:val="33"/>
        </w:trPr>
        <w:tc>
          <w:tcPr>
            <w:tcW w:w="4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554,520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149,904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110,828</w:t>
            </w:r>
          </w:p>
        </w:tc>
      </w:tr>
      <w:tr>
        <w:trPr>
          <w:trHeight w:val="223"/>
        </w:trPr>
        <w:tc>
          <w:tcPr>
            <w:tcW w:w="4460" w:type="dxa"/>
            <w:vAlign w:val="bottom"/>
          </w:tcPr>
          <w:p>
            <w:pPr>
              <w:ind w:left="20"/>
              <w:spacing w:after="0"/>
              <w:rPr>
                <w:sz w:val="20"/>
                <w:szCs w:val="20"/>
                <w:color w:val="auto"/>
              </w:rPr>
            </w:pPr>
            <w:r>
              <w:rPr>
                <w:rFonts w:ascii="Arial" w:cs="Arial" w:eastAsia="Arial" w:hAnsi="Arial"/>
                <w:sz w:val="16"/>
                <w:szCs w:val="16"/>
                <w:color w:val="auto"/>
              </w:rPr>
              <w:t>Current restricted cash included in other current assets</w:t>
            </w:r>
          </w:p>
        </w:tc>
        <w:tc>
          <w:tcPr>
            <w:tcW w:w="340" w:type="dxa"/>
            <w:vAlign w:val="bottom"/>
          </w:tcPr>
          <w:p>
            <w:pPr>
              <w:spacing w:after="0"/>
              <w:rPr>
                <w:sz w:val="19"/>
                <w:szCs w:val="19"/>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860" w:type="dxa"/>
            <w:vAlign w:val="bottom"/>
          </w:tcPr>
          <w:p>
            <w:pPr>
              <w:jc w:val="right"/>
              <w:ind w:right="59"/>
              <w:spacing w:after="0"/>
              <w:rPr>
                <w:sz w:val="20"/>
                <w:szCs w:val="20"/>
                <w:color w:val="auto"/>
              </w:rPr>
            </w:pPr>
            <w:r>
              <w:rPr>
                <w:rFonts w:ascii="Arial" w:cs="Arial" w:eastAsia="Arial" w:hAnsi="Arial"/>
                <w:sz w:val="16"/>
                <w:szCs w:val="16"/>
                <w:color w:val="auto"/>
              </w:rPr>
              <w:t>51</w:t>
            </w:r>
          </w:p>
        </w:tc>
      </w:tr>
      <w:tr>
        <w:trPr>
          <w:trHeight w:val="33"/>
        </w:trPr>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6"/>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restricted cash</w:t>
            </w:r>
          </w:p>
        </w:tc>
        <w:tc>
          <w:tcPr>
            <w:tcW w:w="3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2,086</w:t>
            </w:r>
          </w:p>
        </w:tc>
      </w:tr>
      <w:tr>
        <w:trPr>
          <w:trHeight w:val="247"/>
        </w:trPr>
        <w:tc>
          <w:tcPr>
            <w:tcW w:w="4460" w:type="dxa"/>
            <w:vAlign w:val="bottom"/>
          </w:tcPr>
          <w:p>
            <w:pPr>
              <w:ind w:left="340"/>
              <w:spacing w:after="0"/>
              <w:rPr>
                <w:sz w:val="20"/>
                <w:szCs w:val="20"/>
                <w:color w:val="auto"/>
              </w:rPr>
            </w:pPr>
            <w:r>
              <w:rPr>
                <w:rFonts w:ascii="Arial" w:cs="Arial" w:eastAsia="Arial" w:hAnsi="Arial"/>
                <w:sz w:val="16"/>
                <w:szCs w:val="16"/>
                <w:color w:val="auto"/>
              </w:rPr>
              <w:t>Total cash, cash equivalents, and restricted cash</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554,520</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149,904</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112,965</w:t>
            </w:r>
          </w:p>
        </w:tc>
      </w:tr>
      <w:tr>
        <w:trPr>
          <w:trHeight w:val="23"/>
        </w:trPr>
        <w:tc>
          <w:tcPr>
            <w:tcW w:w="4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net</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Accounts receivable are recognized for invoices issued to customers in accordance with our contractual arrangements. Interest and late payment fees are minimal. Unbilled receivables are recognized when revenues are recognized upon product shipment or service delivery and invoicing occurs at a later date. We recognize an allowance for doubtful accounts representing our estimate of the expected losses in accounts receivable at the date of the balance sheet based on our historical experience of bad debts, our specific review of outstanding receivables, and our review of current and expected economic conditions. Accounts receivable are written-off against the allowance when we believe an account, or a portion thereof, is no longer collectible.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2016-13, </w:t>
      </w:r>
      <w:r>
        <w:rPr>
          <w:rFonts w:ascii="Arial" w:cs="Arial" w:eastAsia="Arial" w:hAnsi="Arial"/>
          <w:sz w:val="18"/>
          <w:szCs w:val="18"/>
          <w:i w:val="1"/>
          <w:iCs w:val="1"/>
          <w:color w:val="auto"/>
        </w:rPr>
        <w:t>Financial Instruments—Credit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(Topic 326): Measurement of Credit Losses on Financial Instruments. </w:t>
      </w:r>
      <w:r>
        <w:rPr>
          <w:rFonts w:ascii="Arial" w:cs="Arial" w:eastAsia="Arial" w:hAnsi="Arial"/>
          <w:sz w:val="18"/>
          <w:szCs w:val="18"/>
          <w:color w:val="auto"/>
        </w:rPr>
        <w:t>Subsequent to 2016-13 the FASB also issued codification improvements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 relief in ASU 2019-04, ASU 2019-05, ASU 2019-11, ASU 2020-02, and ASU 2020-03, hereafter collectively referred to as Accounting Standards Codification (ASC) 326. ASC 326 replaces the incurred loss impairment methodology in previous GAAP with a methodology based on expected credit losses, which results in losses being recognized earlier. The estimate of expected credit losses uses a broader range of reasonable and supportable information. We adopted ASC 326 on January 1, 2020, and the impacts on our consolidated financial position, results of operations, and cash flows, were immaterial.</w:t>
      </w:r>
    </w:p>
    <w:p>
      <w:pPr>
        <w:spacing w:after="0" w:line="2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Framework—Changes to the Disclosure Requirements</w:t>
      </w:r>
      <w:r>
        <w:rPr>
          <w:rFonts w:ascii="Arial" w:cs="Arial" w:eastAsia="Arial" w:hAnsi="Arial"/>
          <w:sz w:val="16"/>
          <w:szCs w:val="16"/>
          <w:color w:val="auto"/>
        </w:rPr>
        <w:t xml:space="preserve"> </w:t>
      </w:r>
      <w:r>
        <w:rPr>
          <w:rFonts w:ascii="Arial" w:cs="Arial" w:eastAsia="Arial" w:hAnsi="Arial"/>
          <w:sz w:val="16"/>
          <w:szCs w:val="16"/>
          <w:i w:val="1"/>
          <w:iCs w:val="1"/>
          <w:color w:val="auto"/>
        </w:rPr>
        <w:t>for Fair Value Measurement</w:t>
      </w:r>
      <w:r>
        <w:rPr>
          <w:rFonts w:ascii="Arial" w:cs="Arial" w:eastAsia="Arial" w:hAnsi="Arial"/>
          <w:sz w:val="16"/>
          <w:szCs w:val="16"/>
          <w:color w:val="auto"/>
        </w:rPr>
        <w:t>, which amended the disclosure requirements under ASC 820</w:t>
      </w:r>
      <w:r>
        <w:rPr>
          <w:rFonts w:ascii="Arial" w:cs="Arial" w:eastAsia="Arial" w:hAnsi="Arial"/>
          <w:sz w:val="16"/>
          <w:szCs w:val="16"/>
          <w:i w:val="1"/>
          <w:iCs w:val="1"/>
          <w:color w:val="auto"/>
        </w:rPr>
        <w:t xml:space="preserve">. </w:t>
      </w:r>
      <w:r>
        <w:rPr>
          <w:rFonts w:ascii="Arial" w:cs="Arial" w:eastAsia="Arial" w:hAnsi="Arial"/>
          <w:sz w:val="16"/>
          <w:szCs w:val="16"/>
          <w:color w:val="auto"/>
        </w:rPr>
        <w:t>This update clarifies and unifies the disclosure of Level 3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instruments. We adopted this standard on January 1, 2020, and it did not materially impact our consolidated financial statements.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Compensation—Retirement Benefits—Defined Benefit Plans—General (Subtopic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Framework—Changes to the Disclosure Requirements for Defined Benefit Plans, </w:t>
      </w:r>
      <w:r>
        <w:rPr>
          <w:rFonts w:ascii="Arial" w:cs="Arial" w:eastAsia="Arial" w:hAnsi="Arial"/>
          <w:sz w:val="18"/>
          <w:szCs w:val="18"/>
          <w:color w:val="auto"/>
        </w:rPr>
        <w:t>which amends the disclosure requirements under ASC 715-20. This</w:t>
      </w:r>
      <w:r>
        <w:rPr>
          <w:rFonts w:ascii="Arial" w:cs="Arial" w:eastAsia="Arial" w:hAnsi="Arial"/>
          <w:sz w:val="18"/>
          <w:szCs w:val="18"/>
          <w:i w:val="1"/>
          <w:iCs w:val="1"/>
          <w:color w:val="auto"/>
        </w:rPr>
        <w:t xml:space="preserve"> </w:t>
      </w:r>
      <w:r>
        <w:rPr>
          <w:rFonts w:ascii="Arial" w:cs="Arial" w:eastAsia="Arial" w:hAnsi="Arial"/>
          <w:sz w:val="18"/>
          <w:szCs w:val="18"/>
          <w:color w:val="auto"/>
        </w:rPr>
        <w:t>update clarifies annual disclosures for Defined Benefit Plans. We adopted this standard on January 1, 2020, and it did not materially impact our consolidated financial statements.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 Accounting Standards Not Yet Adopted</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modifies certain provisions of ASC 740, in an effort to reduce the complexity of accounting for income taxes. ASU 2019-12 is effective for us beginning with our interim financial reports for the first quarter of 2021. We are currently evaluating the effects and do not believe this standard will have a material impact on our consolidated financial position, results of operations, or cash flows.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w:t>
      </w:r>
      <w:r>
        <w:rPr>
          <w:rFonts w:ascii="Arial" w:cs="Arial" w:eastAsia="Arial" w:hAnsi="Arial"/>
          <w:sz w:val="18"/>
          <w:szCs w:val="18"/>
          <w:color w:val="auto"/>
        </w:rPr>
        <w:t>which provides optional expedients and exceptions for applying GAAP to contracts, hedging relationships, and other transactions affected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rate reform. ASU 2020-04 applies to contracts that reference LIBOR or another reference rate expected to be terminated because of reference rate reform. An entity may elect certain optional expedients for hedging relationships that exist as of December 31, 2022, and maintain those optional expedients through the end of the hedging relationship. ASU 2020-04 can be adopted as of March 12, 2020. We do not currently have any contracts that have been changed to a new reference rate, but we will continue to evaluate our contracts and the effects of this standard on our consolidated financial position, results of operations, and cash flows prior to adoption.</w:t>
      </w:r>
    </w:p>
    <w:p>
      <w:pPr>
        <w:spacing w:after="0" w:line="21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(EPS):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96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520" w:type="dxa"/>
            <w:vAlign w:val="bottom"/>
          </w:tcPr>
          <w:p>
            <w:pPr>
              <w:spacing w:after="0"/>
              <w:rPr>
                <w:sz w:val="18"/>
                <w:szCs w:val="18"/>
                <w:color w:val="auto"/>
              </w:rPr>
            </w:pPr>
          </w:p>
        </w:tc>
        <w:tc>
          <w:tcPr>
            <w:tcW w:w="1660" w:type="dxa"/>
            <w:vAlign w:val="bottom"/>
          </w:tcPr>
          <w:p>
            <w:pPr>
              <w:jc w:val="right"/>
              <w:ind w:right="8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ind w:right="859"/>
              <w:spacing w:after="0"/>
              <w:rPr>
                <w:sz w:val="20"/>
                <w:szCs w:val="20"/>
                <w:color w:val="auto"/>
              </w:rPr>
            </w:pPr>
            <w:r>
              <w:rPr>
                <w:rFonts w:ascii="Arial" w:cs="Arial" w:eastAsia="Arial" w:hAnsi="Arial"/>
                <w:sz w:val="16"/>
                <w:szCs w:val="16"/>
                <w:b w:val="1"/>
                <w:bCs w:val="1"/>
                <w:color w:val="auto"/>
              </w:rPr>
              <w:t>2019</w:t>
            </w:r>
          </w:p>
        </w:tc>
      </w:tr>
      <w:tr>
        <w:trPr>
          <w:trHeight w:val="33"/>
        </w:trPr>
        <w:tc>
          <w:tcPr>
            <w:tcW w:w="6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available to common shareholders</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8,684</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(1,907)</w:t>
            </w:r>
          </w:p>
        </w:tc>
      </w:tr>
      <w:tr>
        <w:trPr>
          <w:trHeight w:val="256"/>
        </w:trPr>
        <w:tc>
          <w:tcPr>
            <w:tcW w:w="6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37"/>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40,043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39,658</w:t>
            </w:r>
          </w:p>
        </w:tc>
      </w:tr>
      <w:tr>
        <w:trPr>
          <w:trHeight w:val="223"/>
        </w:trPr>
        <w:tc>
          <w:tcPr>
            <w:tcW w:w="6760" w:type="dxa"/>
            <w:vAlign w:val="bottom"/>
          </w:tcPr>
          <w:p>
            <w:pPr>
              <w:ind w:left="340"/>
              <w:spacing w:after="0"/>
              <w:rPr>
                <w:sz w:val="20"/>
                <w:szCs w:val="20"/>
                <w:color w:val="auto"/>
              </w:rPr>
            </w:pPr>
            <w:r>
              <w:rPr>
                <w:rFonts w:ascii="Arial" w:cs="Arial" w:eastAsia="Arial" w:hAnsi="Arial"/>
                <w:sz w:val="16"/>
                <w:szCs w:val="16"/>
                <w:color w:val="auto"/>
              </w:rPr>
              <w:t>Dilutive effect of stock-based awards</w:t>
            </w: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7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40,474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39,658</w:t>
            </w:r>
          </w:p>
        </w:tc>
      </w:tr>
      <w:tr>
        <w:trPr>
          <w:trHeight w:val="247"/>
        </w:trPr>
        <w:tc>
          <w:tcPr>
            <w:tcW w:w="6760" w:type="dxa"/>
            <w:vAlign w:val="bottom"/>
          </w:tcPr>
          <w:p>
            <w:pPr>
              <w:ind w:left="20"/>
              <w:spacing w:after="0"/>
              <w:rPr>
                <w:sz w:val="20"/>
                <w:szCs w:val="20"/>
                <w:color w:val="auto"/>
              </w:rPr>
            </w:pPr>
            <w:r>
              <w:rPr>
                <w:rFonts w:ascii="Arial" w:cs="Arial" w:eastAsia="Arial" w:hAnsi="Arial"/>
                <w:sz w:val="16"/>
                <w:szCs w:val="16"/>
                <w:color w:val="auto"/>
              </w:rPr>
              <w:t>Net income (loss) per common share - Basic</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(0.05)</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75"/>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per common share - Diluted</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0.21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0.3 million and 1.0 million stock-based awards were excluded from the calculation of diluted EPS for the three months ended March 31, 2020 and 2019 because they were anti-dilutive. These stock-based awards could be dilutive in future periods.</w:t>
      </w:r>
    </w:p>
    <w:p>
      <w:pPr>
        <w:spacing w:after="0" w:line="18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accounts receivable from contracts with customers is as follows: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Accounts receivable, net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2020</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6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0"/>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receivables (net of allowance of $3,046 and $3,064)</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398,025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415,887</w:t>
            </w:r>
          </w:p>
        </w:tc>
      </w:tr>
      <w:tr>
        <w:trPr>
          <w:trHeight w:val="224"/>
        </w:trPr>
        <w:tc>
          <w:tcPr>
            <w:tcW w:w="6760" w:type="dxa"/>
            <w:vAlign w:val="bottom"/>
          </w:tcPr>
          <w:p>
            <w:pPr>
              <w:ind w:left="20"/>
              <w:spacing w:after="0"/>
              <w:rPr>
                <w:sz w:val="20"/>
                <w:szCs w:val="20"/>
                <w:color w:val="auto"/>
              </w:rPr>
            </w:pPr>
            <w:r>
              <w:rPr>
                <w:rFonts w:ascii="Arial" w:cs="Arial" w:eastAsia="Arial" w:hAnsi="Arial"/>
                <w:sz w:val="16"/>
                <w:szCs w:val="16"/>
                <w:color w:val="auto"/>
              </w:rPr>
              <w:t>Unbilled receivables</w:t>
            </w:r>
          </w:p>
        </w:tc>
        <w:tc>
          <w:tcPr>
            <w:tcW w:w="320" w:type="dxa"/>
            <w:vAlign w:val="bottom"/>
          </w:tcPr>
          <w:p>
            <w:pPr>
              <w:spacing w:after="0"/>
              <w:rPr>
                <w:sz w:val="19"/>
                <w:szCs w:val="19"/>
                <w:color w:val="auto"/>
              </w:rPr>
            </w:pPr>
          </w:p>
        </w:tc>
        <w:tc>
          <w:tcPr>
            <w:tcW w:w="1860" w:type="dxa"/>
            <w:vAlign w:val="bottom"/>
          </w:tcPr>
          <w:p>
            <w:pPr>
              <w:jc w:val="right"/>
              <w:ind w:right="59"/>
              <w:spacing w:after="0"/>
              <w:rPr>
                <w:sz w:val="20"/>
                <w:szCs w:val="20"/>
                <w:color w:val="auto"/>
              </w:rPr>
            </w:pPr>
            <w:r>
              <w:rPr>
                <w:rFonts w:ascii="Arial" w:cs="Arial" w:eastAsia="Arial" w:hAnsi="Arial"/>
                <w:sz w:val="16"/>
                <w:szCs w:val="16"/>
                <w:color w:val="auto"/>
              </w:rPr>
              <w:t>65,588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57,038</w:t>
            </w:r>
          </w:p>
        </w:tc>
      </w:tr>
      <w:tr>
        <w:trPr>
          <w:trHeight w:val="33"/>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72"/>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accounts receivable, net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463,613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472,925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Allowance for doubtful accounts activity</w:t>
            </w:r>
          </w:p>
        </w:tc>
        <w:tc>
          <w:tcPr>
            <w:tcW w:w="320" w:type="dxa"/>
            <w:vAlign w:val="bottom"/>
          </w:tcPr>
          <w:p>
            <w:pPr>
              <w:spacing w:after="0"/>
              <w:rPr>
                <w:sz w:val="18"/>
                <w:szCs w:val="18"/>
                <w:color w:val="auto"/>
              </w:rPr>
            </w:pPr>
          </w:p>
        </w:tc>
        <w:tc>
          <w:tcPr>
            <w:tcW w:w="416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8"/>
                <w:szCs w:val="18"/>
                <w:color w:val="auto"/>
              </w:rPr>
            </w:pPr>
          </w:p>
        </w:tc>
        <w:tc>
          <w:tcPr>
            <w:tcW w:w="1860" w:type="dxa"/>
            <w:vAlign w:val="bottom"/>
          </w:tcPr>
          <w:p>
            <w:pPr>
              <w:jc w:val="center"/>
              <w:ind w:right="239"/>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center"/>
              <w:ind w:right="199"/>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33"/>
        </w:trPr>
        <w:tc>
          <w:tcPr>
            <w:tcW w:w="6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3,064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6,331</w:t>
            </w:r>
          </w:p>
        </w:tc>
        <w:tc>
          <w:tcPr>
            <w:tcW w:w="0" w:type="dxa"/>
            <w:vAlign w:val="bottom"/>
          </w:tcPr>
          <w:p>
            <w:pPr>
              <w:spacing w:after="0"/>
              <w:rPr>
                <w:sz w:val="1"/>
                <w:szCs w:val="1"/>
                <w:color w:val="auto"/>
              </w:rPr>
            </w:pPr>
          </w:p>
        </w:tc>
      </w:tr>
      <w:tr>
        <w:trPr>
          <w:trHeight w:val="224"/>
        </w:trPr>
        <w:tc>
          <w:tcPr>
            <w:tcW w:w="6760" w:type="dxa"/>
            <w:vAlign w:val="bottom"/>
          </w:tcPr>
          <w:p>
            <w:pPr>
              <w:ind w:left="340"/>
              <w:spacing w:after="0"/>
              <w:rPr>
                <w:sz w:val="20"/>
                <w:szCs w:val="20"/>
                <w:color w:val="auto"/>
              </w:rPr>
            </w:pPr>
            <w:r>
              <w:rPr>
                <w:rFonts w:ascii="Arial" w:cs="Arial" w:eastAsia="Arial" w:hAnsi="Arial"/>
                <w:sz w:val="16"/>
                <w:szCs w:val="16"/>
                <w:color w:val="auto"/>
              </w:rPr>
              <w:t>Provision for (release of) doubtful accounts, net</w:t>
            </w:r>
          </w:p>
        </w:tc>
        <w:tc>
          <w:tcPr>
            <w:tcW w:w="320" w:type="dxa"/>
            <w:vAlign w:val="bottom"/>
          </w:tcPr>
          <w:p>
            <w:pPr>
              <w:spacing w:after="0"/>
              <w:rPr>
                <w:sz w:val="19"/>
                <w:szCs w:val="19"/>
                <w:color w:val="auto"/>
              </w:rPr>
            </w:pPr>
          </w:p>
        </w:tc>
        <w:tc>
          <w:tcPr>
            <w:tcW w:w="1860" w:type="dxa"/>
            <w:vAlign w:val="bottom"/>
          </w:tcPr>
          <w:p>
            <w:pPr>
              <w:jc w:val="right"/>
              <w:ind w:right="59"/>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(2,103)</w:t>
            </w: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Accounts written-off</w:t>
            </w:r>
          </w:p>
        </w:tc>
        <w:tc>
          <w:tcPr>
            <w:tcW w:w="3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23"/>
        </w:trPr>
        <w:tc>
          <w:tcPr>
            <w:tcW w:w="6760" w:type="dxa"/>
            <w:vAlign w:val="bottom"/>
          </w:tcPr>
          <w:p>
            <w:pPr>
              <w:ind w:left="340"/>
              <w:spacing w:after="0"/>
              <w:rPr>
                <w:sz w:val="20"/>
                <w:szCs w:val="20"/>
                <w:color w:val="auto"/>
              </w:rPr>
            </w:pPr>
            <w:r>
              <w:rPr>
                <w:rFonts w:ascii="Arial" w:cs="Arial" w:eastAsia="Arial" w:hAnsi="Arial"/>
                <w:sz w:val="16"/>
                <w:szCs w:val="16"/>
                <w:color w:val="auto"/>
              </w:rPr>
              <w:t>Effect of change in exchange rates</w:t>
            </w:r>
          </w:p>
        </w:tc>
        <w:tc>
          <w:tcPr>
            <w:tcW w:w="320" w:type="dxa"/>
            <w:vAlign w:val="bottom"/>
          </w:tcPr>
          <w:p>
            <w:pPr>
              <w:spacing w:after="0"/>
              <w:rPr>
                <w:sz w:val="19"/>
                <w:szCs w:val="19"/>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4,046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Inventories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7"/>
        </w:trPr>
        <w:tc>
          <w:tcPr>
            <w:tcW w:w="67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9"/>
                <w:szCs w:val="19"/>
                <w:color w:val="auto"/>
              </w:rPr>
            </w:pPr>
          </w:p>
        </w:tc>
        <w:tc>
          <w:tcPr>
            <w:tcW w:w="19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March 31, 2020</w:t>
            </w:r>
          </w:p>
        </w:tc>
        <w:tc>
          <w:tcPr>
            <w:tcW w:w="260" w:type="dxa"/>
            <w:vAlign w:val="bottom"/>
          </w:tcPr>
          <w:p>
            <w:pPr>
              <w:spacing w:after="0"/>
              <w:rPr>
                <w:sz w:val="19"/>
                <w:szCs w:val="19"/>
                <w:color w:val="auto"/>
              </w:rPr>
            </w:pPr>
          </w:p>
        </w:tc>
        <w:tc>
          <w:tcPr>
            <w:tcW w:w="1920" w:type="dxa"/>
            <w:vAlign w:val="bottom"/>
          </w:tcPr>
          <w:p>
            <w:pPr>
              <w:jc w:val="center"/>
              <w:ind w:right="179"/>
              <w:spacing w:after="0"/>
              <w:rPr>
                <w:sz w:val="20"/>
                <w:szCs w:val="20"/>
                <w:color w:val="auto"/>
              </w:rPr>
            </w:pPr>
            <w:r>
              <w:rPr>
                <w:rFonts w:ascii="Arial" w:cs="Arial" w:eastAsia="Arial" w:hAnsi="Arial"/>
                <w:sz w:val="16"/>
                <w:szCs w:val="16"/>
                <w:b w:val="1"/>
                <w:bCs w:val="1"/>
                <w:color w:val="auto"/>
                <w:w w:val="90"/>
              </w:rPr>
              <w:t>December 31, 2019</w:t>
            </w:r>
          </w:p>
        </w:tc>
        <w:tc>
          <w:tcPr>
            <w:tcW w:w="0" w:type="dxa"/>
            <w:vAlign w:val="bottom"/>
          </w:tcPr>
          <w:p>
            <w:pPr>
              <w:spacing w:after="0"/>
              <w:rPr>
                <w:sz w:val="1"/>
                <w:szCs w:val="1"/>
                <w:color w:val="auto"/>
              </w:rPr>
            </w:pPr>
          </w:p>
        </w:tc>
      </w:tr>
      <w:tr>
        <w:trPr>
          <w:trHeight w:val="33"/>
        </w:trPr>
        <w:tc>
          <w:tcPr>
            <w:tcW w:w="6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133,285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120,861</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320" w:type="dxa"/>
            <w:vAlign w:val="bottom"/>
          </w:tcPr>
          <w:p>
            <w:pPr>
              <w:spacing w:after="0"/>
              <w:rPr>
                <w:sz w:val="19"/>
                <w:szCs w:val="19"/>
                <w:color w:val="auto"/>
              </w:rPr>
            </w:pPr>
          </w:p>
        </w:tc>
        <w:tc>
          <w:tcPr>
            <w:tcW w:w="1860" w:type="dxa"/>
            <w:vAlign w:val="bottom"/>
          </w:tcPr>
          <w:p>
            <w:pPr>
              <w:jc w:val="right"/>
              <w:ind w:right="59"/>
              <w:spacing w:after="0"/>
              <w:rPr>
                <w:sz w:val="20"/>
                <w:szCs w:val="20"/>
                <w:color w:val="auto"/>
              </w:rPr>
            </w:pPr>
            <w:r>
              <w:rPr>
                <w:rFonts w:ascii="Arial" w:cs="Arial" w:eastAsia="Arial" w:hAnsi="Arial"/>
                <w:sz w:val="16"/>
                <w:szCs w:val="16"/>
                <w:color w:val="auto"/>
              </w:rPr>
              <w:t>10,473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11,105</w:t>
            </w: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3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78,092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95,930</w:t>
            </w:r>
          </w:p>
        </w:tc>
        <w:tc>
          <w:tcPr>
            <w:tcW w:w="0" w:type="dxa"/>
            <w:vAlign w:val="bottom"/>
          </w:tcPr>
          <w:p>
            <w:pPr>
              <w:spacing w:after="0"/>
              <w:rPr>
                <w:sz w:val="1"/>
                <w:szCs w:val="1"/>
                <w:color w:val="auto"/>
              </w:rPr>
            </w:pPr>
          </w:p>
        </w:tc>
      </w:tr>
      <w:tr>
        <w:trPr>
          <w:trHeight w:val="244"/>
        </w:trPr>
        <w:tc>
          <w:tcPr>
            <w:tcW w:w="6760" w:type="dxa"/>
            <w:vAlign w:val="bottom"/>
          </w:tcPr>
          <w:p>
            <w:pPr>
              <w:ind w:left="340"/>
              <w:spacing w:after="0"/>
              <w:rPr>
                <w:sz w:val="20"/>
                <w:szCs w:val="20"/>
                <w:color w:val="auto"/>
              </w:rPr>
            </w:pPr>
            <w:r>
              <w:rPr>
                <w:rFonts w:ascii="Arial" w:cs="Arial" w:eastAsia="Arial" w:hAnsi="Arial"/>
                <w:sz w:val="16"/>
                <w:szCs w:val="16"/>
                <w:color w:val="auto"/>
              </w:rPr>
              <w:t>Total inventories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221,850</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227,896</w:t>
            </w:r>
          </w:p>
        </w:tc>
        <w:tc>
          <w:tcPr>
            <w:tcW w:w="0" w:type="dxa"/>
            <w:vAlign w:val="bottom"/>
          </w:tcPr>
          <w:p>
            <w:pPr>
              <w:spacing w:after="0"/>
              <w:rPr>
                <w:sz w:val="1"/>
                <w:szCs w:val="1"/>
                <w:color w:val="auto"/>
              </w:rPr>
            </w:pPr>
          </w:p>
        </w:tc>
      </w:tr>
      <w:tr>
        <w:trPr>
          <w:trHeight w:val="27"/>
        </w:trPr>
        <w:tc>
          <w:tcPr>
            <w:tcW w:w="67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Property, plant, and equipment, net</w:t>
            </w: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3"/>
        </w:trPr>
        <w:tc>
          <w:tcPr>
            <w:tcW w:w="67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9"/>
                <w:szCs w:val="19"/>
                <w:color w:val="auto"/>
              </w:rPr>
            </w:pPr>
          </w:p>
        </w:tc>
        <w:tc>
          <w:tcPr>
            <w:tcW w:w="19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March 31, 2020</w:t>
            </w:r>
          </w:p>
        </w:tc>
        <w:tc>
          <w:tcPr>
            <w:tcW w:w="260" w:type="dxa"/>
            <w:vAlign w:val="bottom"/>
          </w:tcPr>
          <w:p>
            <w:pPr>
              <w:spacing w:after="0"/>
              <w:rPr>
                <w:sz w:val="19"/>
                <w:szCs w:val="19"/>
                <w:color w:val="auto"/>
              </w:rPr>
            </w:pPr>
          </w:p>
        </w:tc>
        <w:tc>
          <w:tcPr>
            <w:tcW w:w="1920" w:type="dxa"/>
            <w:vAlign w:val="bottom"/>
          </w:tcPr>
          <w:p>
            <w:pPr>
              <w:jc w:val="center"/>
              <w:ind w:right="179"/>
              <w:spacing w:after="0"/>
              <w:rPr>
                <w:sz w:val="20"/>
                <w:szCs w:val="20"/>
                <w:color w:val="auto"/>
              </w:rPr>
            </w:pPr>
            <w:r>
              <w:rPr>
                <w:rFonts w:ascii="Arial" w:cs="Arial" w:eastAsia="Arial" w:hAnsi="Arial"/>
                <w:sz w:val="16"/>
                <w:szCs w:val="16"/>
                <w:b w:val="1"/>
                <w:bCs w:val="1"/>
                <w:color w:val="auto"/>
                <w:w w:val="90"/>
              </w:rPr>
              <w:t>December 31, 2019</w:t>
            </w:r>
          </w:p>
        </w:tc>
        <w:tc>
          <w:tcPr>
            <w:tcW w:w="0" w:type="dxa"/>
            <w:vAlign w:val="bottom"/>
          </w:tcPr>
          <w:p>
            <w:pPr>
              <w:spacing w:after="0"/>
              <w:rPr>
                <w:sz w:val="1"/>
                <w:szCs w:val="1"/>
                <w:color w:val="auto"/>
              </w:rPr>
            </w:pPr>
          </w:p>
        </w:tc>
      </w:tr>
      <w:tr>
        <w:trPr>
          <w:trHeight w:val="33"/>
        </w:trPr>
        <w:tc>
          <w:tcPr>
            <w:tcW w:w="6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311,771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323,003</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Arial" w:cs="Arial" w:eastAsia="Arial" w:hAnsi="Arial"/>
                <w:sz w:val="16"/>
                <w:szCs w:val="16"/>
                <w:color w:val="auto"/>
              </w:rPr>
              <w:t>Computers and software</w:t>
            </w:r>
          </w:p>
        </w:tc>
        <w:tc>
          <w:tcPr>
            <w:tcW w:w="320" w:type="dxa"/>
            <w:vAlign w:val="bottom"/>
          </w:tcPr>
          <w:p>
            <w:pPr>
              <w:spacing w:after="0"/>
              <w:rPr>
                <w:sz w:val="19"/>
                <w:szCs w:val="19"/>
                <w:color w:val="auto"/>
              </w:rPr>
            </w:pPr>
          </w:p>
        </w:tc>
        <w:tc>
          <w:tcPr>
            <w:tcW w:w="1860" w:type="dxa"/>
            <w:vAlign w:val="bottom"/>
          </w:tcPr>
          <w:p>
            <w:pPr>
              <w:jc w:val="right"/>
              <w:ind w:right="59"/>
              <w:spacing w:after="0"/>
              <w:rPr>
                <w:sz w:val="20"/>
                <w:szCs w:val="20"/>
                <w:color w:val="auto"/>
              </w:rPr>
            </w:pPr>
            <w:r>
              <w:rPr>
                <w:rFonts w:ascii="Arial" w:cs="Arial" w:eastAsia="Arial" w:hAnsi="Arial"/>
                <w:sz w:val="16"/>
                <w:szCs w:val="16"/>
                <w:color w:val="auto"/>
              </w:rPr>
              <w:t>111,501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109,924</w:t>
            </w: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Buildings, furniture, and improvements</w:t>
            </w:r>
          </w:p>
        </w:tc>
        <w:tc>
          <w:tcPr>
            <w:tcW w:w="3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150,847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149,471</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Arial" w:cs="Arial" w:eastAsia="Arial" w:hAnsi="Arial"/>
                <w:sz w:val="16"/>
                <w:szCs w:val="16"/>
                <w:color w:val="auto"/>
              </w:rPr>
              <w:t>Land</w:t>
            </w:r>
          </w:p>
        </w:tc>
        <w:tc>
          <w:tcPr>
            <w:tcW w:w="320" w:type="dxa"/>
            <w:vAlign w:val="bottom"/>
          </w:tcPr>
          <w:p>
            <w:pPr>
              <w:spacing w:after="0"/>
              <w:rPr>
                <w:sz w:val="19"/>
                <w:szCs w:val="19"/>
                <w:color w:val="auto"/>
              </w:rPr>
            </w:pPr>
          </w:p>
        </w:tc>
        <w:tc>
          <w:tcPr>
            <w:tcW w:w="1860" w:type="dxa"/>
            <w:vAlign w:val="bottom"/>
          </w:tcPr>
          <w:p>
            <w:pPr>
              <w:jc w:val="right"/>
              <w:ind w:right="59"/>
              <w:spacing w:after="0"/>
              <w:rPr>
                <w:sz w:val="20"/>
                <w:szCs w:val="20"/>
                <w:color w:val="auto"/>
              </w:rPr>
            </w:pPr>
            <w:r>
              <w:rPr>
                <w:rFonts w:ascii="Arial" w:cs="Arial" w:eastAsia="Arial" w:hAnsi="Arial"/>
                <w:sz w:val="16"/>
                <w:szCs w:val="16"/>
                <w:color w:val="auto"/>
              </w:rPr>
              <w:t>14,538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14,988</w:t>
            </w: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Construction in progress, including purchased equipment</w:t>
            </w:r>
          </w:p>
        </w:tc>
        <w:tc>
          <w:tcPr>
            <w:tcW w:w="3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45,596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54,490</w:t>
            </w:r>
          </w:p>
        </w:tc>
        <w:tc>
          <w:tcPr>
            <w:tcW w:w="0" w:type="dxa"/>
            <w:vAlign w:val="bottom"/>
          </w:tcPr>
          <w:p>
            <w:pPr>
              <w:spacing w:after="0"/>
              <w:rPr>
                <w:sz w:val="1"/>
                <w:szCs w:val="1"/>
                <w:color w:val="auto"/>
              </w:rPr>
            </w:pPr>
          </w:p>
        </w:tc>
      </w:tr>
      <w:tr>
        <w:trPr>
          <w:trHeight w:val="217"/>
        </w:trPr>
        <w:tc>
          <w:tcPr>
            <w:tcW w:w="6760" w:type="dxa"/>
            <w:vAlign w:val="bottom"/>
          </w:tcPr>
          <w:p>
            <w:pPr>
              <w:ind w:left="340"/>
              <w:spacing w:after="0"/>
              <w:rPr>
                <w:sz w:val="20"/>
                <w:szCs w:val="20"/>
                <w:color w:val="auto"/>
              </w:rPr>
            </w:pPr>
            <w:r>
              <w:rPr>
                <w:rFonts w:ascii="Arial" w:cs="Arial" w:eastAsia="Arial" w:hAnsi="Arial"/>
                <w:sz w:val="16"/>
                <w:szCs w:val="16"/>
                <w:color w:val="auto"/>
              </w:rPr>
              <w:t>Total cost</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634,253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651,876</w:t>
            </w: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Accumulated depreciation</w:t>
            </w:r>
          </w:p>
        </w:tc>
        <w:tc>
          <w:tcPr>
            <w:tcW w:w="3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(408,328)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(418,648)</w:t>
            </w:r>
          </w:p>
        </w:tc>
        <w:tc>
          <w:tcPr>
            <w:tcW w:w="0" w:type="dxa"/>
            <w:vAlign w:val="bottom"/>
          </w:tcPr>
          <w:p>
            <w:pPr>
              <w:spacing w:after="0"/>
              <w:rPr>
                <w:sz w:val="1"/>
                <w:szCs w:val="1"/>
                <w:color w:val="auto"/>
              </w:rPr>
            </w:pPr>
          </w:p>
        </w:tc>
      </w:tr>
      <w:tr>
        <w:trPr>
          <w:trHeight w:val="247"/>
        </w:trPr>
        <w:tc>
          <w:tcPr>
            <w:tcW w:w="6760" w:type="dxa"/>
            <w:vAlign w:val="bottom"/>
          </w:tcPr>
          <w:p>
            <w:pPr>
              <w:ind w:left="66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225,925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233,228</w:t>
            </w:r>
          </w:p>
        </w:tc>
        <w:tc>
          <w:tcPr>
            <w:tcW w:w="0" w:type="dxa"/>
            <w:vAlign w:val="bottom"/>
          </w:tcPr>
          <w:p>
            <w:pPr>
              <w:spacing w:after="0"/>
              <w:rPr>
                <w:sz w:val="1"/>
                <w:szCs w:val="1"/>
                <w:color w:val="auto"/>
              </w:rPr>
            </w:pPr>
          </w:p>
        </w:tc>
      </w:tr>
      <w:tr>
        <w:trPr>
          <w:trHeight w:val="24"/>
        </w:trPr>
        <w:tc>
          <w:tcPr>
            <w:tcW w:w="6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595"/>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Depreciation expense</w:t>
            </w:r>
          </w:p>
        </w:tc>
        <w:tc>
          <w:tcPr>
            <w:tcW w:w="320" w:type="dxa"/>
            <w:vAlign w:val="bottom"/>
          </w:tcPr>
          <w:p>
            <w:pPr>
              <w:spacing w:after="0"/>
              <w:rPr>
                <w:sz w:val="24"/>
                <w:szCs w:val="24"/>
                <w:color w:val="auto"/>
              </w:rPr>
            </w:pPr>
          </w:p>
        </w:tc>
        <w:tc>
          <w:tcPr>
            <w:tcW w:w="416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8"/>
                <w:szCs w:val="18"/>
                <w:color w:val="auto"/>
              </w:rPr>
            </w:pPr>
          </w:p>
        </w:tc>
        <w:tc>
          <w:tcPr>
            <w:tcW w:w="1860" w:type="dxa"/>
            <w:vAlign w:val="bottom"/>
          </w:tcPr>
          <w:p>
            <w:pPr>
              <w:jc w:val="center"/>
              <w:ind w:right="239"/>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center"/>
              <w:ind w:right="199"/>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33"/>
        </w:trPr>
        <w:tc>
          <w:tcPr>
            <w:tcW w:w="6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12,866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12,384</w:t>
            </w:r>
          </w:p>
        </w:tc>
        <w:tc>
          <w:tcPr>
            <w:tcW w:w="0" w:type="dxa"/>
            <w:vAlign w:val="bottom"/>
          </w:tcPr>
          <w:p>
            <w:pPr>
              <w:spacing w:after="0"/>
              <w:rPr>
                <w:sz w:val="1"/>
                <w:szCs w:val="1"/>
                <w:color w:val="auto"/>
              </w:rPr>
            </w:pPr>
          </w:p>
        </w:tc>
      </w:tr>
      <w:tr>
        <w:trPr>
          <w:trHeight w:val="33"/>
        </w:trPr>
        <w:tc>
          <w:tcPr>
            <w:tcW w:w="67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Intangible Assets and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gross carrying amount and accumulated amortization (accretion) of our intangible assets and liabilities, other than goodwill, were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March 31, 2020</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December 31, 2019</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3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9"/>
        </w:trPr>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3"/>
        </w:trPr>
        <w:tc>
          <w:tcPr>
            <w:tcW w:w="3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(Amortization)</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(Amortization)</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30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Accretion</w:t>
            </w:r>
          </w:p>
        </w:tc>
        <w:tc>
          <w:tcPr>
            <w:tcW w:w="280" w:type="dxa"/>
            <w:vAlign w:val="bottom"/>
          </w:tcPr>
          <w:p>
            <w:pPr>
              <w:spacing w:after="0"/>
              <w:rPr>
                <w:sz w:val="18"/>
                <w:szCs w:val="18"/>
                <w:color w:val="auto"/>
              </w:rPr>
            </w:pPr>
          </w:p>
        </w:tc>
        <w:tc>
          <w:tcPr>
            <w:tcW w:w="1020" w:type="dxa"/>
            <w:vAlign w:val="bottom"/>
            <w:gridSpan w:val="2"/>
          </w:tcPr>
          <w:p>
            <w:pPr>
              <w:ind w:left="200"/>
              <w:spacing w:after="0"/>
              <w:rPr>
                <w:sz w:val="20"/>
                <w:szCs w:val="20"/>
                <w:color w:val="auto"/>
              </w:rPr>
            </w:pPr>
            <w:r>
              <w:rPr>
                <w:rFonts w:ascii="Arial" w:cs="Arial" w:eastAsia="Arial" w:hAnsi="Arial"/>
                <w:sz w:val="16"/>
                <w:szCs w:val="16"/>
                <w:b w:val="1"/>
                <w:bCs w:val="1"/>
                <w:color w:val="auto"/>
              </w:rPr>
              <w:t>Net</w:t>
            </w:r>
          </w:p>
        </w:tc>
        <w:tc>
          <w:tcPr>
            <w:tcW w:w="24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Accretion</w:t>
            </w:r>
          </w:p>
        </w:tc>
        <w:tc>
          <w:tcPr>
            <w:tcW w:w="280" w:type="dxa"/>
            <w:vAlign w:val="bottom"/>
          </w:tcPr>
          <w:p>
            <w:pPr>
              <w:spacing w:after="0"/>
              <w:rPr>
                <w:sz w:val="18"/>
                <w:szCs w:val="18"/>
                <w:color w:val="auto"/>
              </w:rPr>
            </w:pPr>
          </w:p>
        </w:tc>
        <w:tc>
          <w:tcPr>
            <w:tcW w:w="920" w:type="dxa"/>
            <w:vAlign w:val="bottom"/>
          </w:tcPr>
          <w:p>
            <w:pPr>
              <w:jc w:val="right"/>
              <w:ind w:right="399"/>
              <w:spacing w:after="0"/>
              <w:rPr>
                <w:sz w:val="20"/>
                <w:szCs w:val="20"/>
                <w:color w:val="auto"/>
              </w:rPr>
            </w:pPr>
            <w:r>
              <w:rPr>
                <w:rFonts w:ascii="Arial" w:cs="Arial" w:eastAsia="Arial" w:hAnsi="Arial"/>
                <w:sz w:val="16"/>
                <w:szCs w:val="16"/>
                <w:b w:val="1"/>
                <w:bCs w:val="1"/>
                <w:color w:val="auto"/>
              </w:rPr>
              <w:t>Net</w:t>
            </w:r>
          </w:p>
        </w:tc>
      </w:tr>
      <w:tr>
        <w:trPr>
          <w:trHeight w:val="33"/>
        </w:trPr>
        <w:tc>
          <w:tcPr>
            <w:tcW w:w="3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Intangible Assets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6"/>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Core-developed technology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501,124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(457,310)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43,814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507,669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(458,109)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49,560</w:t>
            </w:r>
          </w:p>
        </w:tc>
      </w:tr>
      <w:tr>
        <w:trPr>
          <w:trHeight w:val="224"/>
        </w:trPr>
        <w:tc>
          <w:tcPr>
            <w:tcW w:w="3000" w:type="dxa"/>
            <w:vAlign w:val="bottom"/>
          </w:tcPr>
          <w:p>
            <w:pPr>
              <w:ind w:left="20"/>
              <w:spacing w:after="0"/>
              <w:rPr>
                <w:sz w:val="20"/>
                <w:szCs w:val="20"/>
                <w:color w:val="auto"/>
              </w:rPr>
            </w:pPr>
            <w:r>
              <w:rPr>
                <w:rFonts w:ascii="Arial" w:cs="Arial" w:eastAsia="Arial" w:hAnsi="Arial"/>
                <w:sz w:val="16"/>
                <w:szCs w:val="16"/>
                <w:color w:val="auto"/>
              </w:rPr>
              <w:t>Customer contracts and relationships</w:t>
            </w:r>
          </w:p>
        </w:tc>
        <w:tc>
          <w:tcPr>
            <w:tcW w:w="2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372,983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(251,122)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121,861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381,288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(251,509)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129,779</w:t>
            </w:r>
          </w:p>
        </w:tc>
      </w:tr>
      <w:tr>
        <w:trPr>
          <w:trHeight w:val="33"/>
        </w:trPr>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Trademarks and trade names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77,613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(73,083)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4,530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78,837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(73,732)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5,105</w:t>
            </w:r>
          </w:p>
        </w:tc>
      </w:tr>
      <w:tr>
        <w:trPr>
          <w:trHeight w:val="224"/>
        </w:trPr>
        <w:tc>
          <w:tcPr>
            <w:tcW w:w="300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(11,414)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12,020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(11,367)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653</w:t>
            </w:r>
          </w:p>
        </w:tc>
      </w:tr>
      <w:tr>
        <w:trPr>
          <w:trHeight w:val="33"/>
        </w:trPr>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5"/>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intangible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963,739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(792,929)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170,810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979,814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(794,717)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185,097</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3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7"/>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Intangible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53"/>
        </w:trPr>
        <w:tc>
          <w:tcPr>
            <w:tcW w:w="3000" w:type="dxa"/>
            <w:vAlign w:val="bottom"/>
          </w:tcPr>
          <w:p>
            <w:pPr>
              <w:ind w:left="20"/>
              <w:spacing w:after="0"/>
              <w:rPr>
                <w:sz w:val="20"/>
                <w:szCs w:val="20"/>
                <w:color w:val="auto"/>
              </w:rPr>
            </w:pPr>
            <w:r>
              <w:rPr>
                <w:rFonts w:ascii="Arial" w:cs="Arial" w:eastAsia="Arial" w:hAnsi="Arial"/>
                <w:sz w:val="16"/>
                <w:szCs w:val="16"/>
                <w:color w:val="auto"/>
              </w:rPr>
              <w:t>Customer contracts and relationships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(23,900)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15,458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(8,442)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(23,900)</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13,450</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(10,450)</w:t>
            </w:r>
          </w:p>
        </w:tc>
      </w:tr>
      <w:tr>
        <w:trPr>
          <w:trHeight w:val="23"/>
        </w:trPr>
        <w:tc>
          <w:tcPr>
            <w:tcW w:w="3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and liabilities activity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96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Pr>
          <w:p>
            <w:pPr>
              <w:spacing w:after="0"/>
              <w:rPr>
                <w:sz w:val="18"/>
                <w:szCs w:val="18"/>
                <w:color w:val="auto"/>
              </w:rPr>
            </w:pPr>
          </w:p>
        </w:tc>
        <w:tc>
          <w:tcPr>
            <w:tcW w:w="1660" w:type="dxa"/>
            <w:vAlign w:val="bottom"/>
          </w:tcPr>
          <w:p>
            <w:pPr>
              <w:jc w:val="right"/>
              <w:ind w:right="8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ind w:right="859"/>
              <w:spacing w:after="0"/>
              <w:rPr>
                <w:sz w:val="20"/>
                <w:szCs w:val="20"/>
                <w:color w:val="auto"/>
              </w:rPr>
            </w:pPr>
            <w:r>
              <w:rPr>
                <w:rFonts w:ascii="Arial" w:cs="Arial" w:eastAsia="Arial" w:hAnsi="Arial"/>
                <w:sz w:val="16"/>
                <w:szCs w:val="16"/>
                <w:b w:val="1"/>
                <w:bCs w:val="1"/>
                <w:color w:val="auto"/>
              </w:rPr>
              <w:t>2019</w:t>
            </w:r>
          </w:p>
        </w:tc>
      </w:tr>
      <w:tr>
        <w:trPr>
          <w:trHeight w:val="33"/>
        </w:trPr>
        <w:tc>
          <w:tcPr>
            <w:tcW w:w="6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intangible assets, gross</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979,814</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981,160</w:t>
            </w:r>
          </w:p>
        </w:tc>
      </w:tr>
      <w:tr>
        <w:trPr>
          <w:trHeight w:val="223"/>
        </w:trPr>
        <w:tc>
          <w:tcPr>
            <w:tcW w:w="6760" w:type="dxa"/>
            <w:vAlign w:val="bottom"/>
          </w:tcPr>
          <w:p>
            <w:pPr>
              <w:ind w:left="340"/>
              <w:spacing w:after="0"/>
              <w:rPr>
                <w:sz w:val="20"/>
                <w:szCs w:val="20"/>
                <w:color w:val="auto"/>
              </w:rPr>
            </w:pPr>
            <w:r>
              <w:rPr>
                <w:rFonts w:ascii="Arial" w:cs="Arial" w:eastAsia="Arial" w:hAnsi="Arial"/>
                <w:sz w:val="16"/>
                <w:szCs w:val="16"/>
                <w:color w:val="auto"/>
              </w:rPr>
              <w:t>Effect of change in exchange rates</w:t>
            </w:r>
          </w:p>
        </w:tc>
        <w:tc>
          <w:tcPr>
            <w:tcW w:w="52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(16,075)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2,359</w:t>
            </w:r>
          </w:p>
        </w:tc>
      </w:tr>
      <w:tr>
        <w:trPr>
          <w:trHeight w:val="33"/>
        </w:trPr>
        <w:tc>
          <w:tcPr>
            <w:tcW w:w="67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75"/>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intangible assets, gross</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963,739</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983,519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6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7"/>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intangible liabilities, gross</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(23,900)</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(23,900)</w:t>
            </w:r>
          </w:p>
        </w:tc>
      </w:tr>
      <w:tr>
        <w:trPr>
          <w:trHeight w:val="223"/>
        </w:trPr>
        <w:tc>
          <w:tcPr>
            <w:tcW w:w="6760" w:type="dxa"/>
            <w:vAlign w:val="bottom"/>
          </w:tcPr>
          <w:p>
            <w:pPr>
              <w:ind w:left="340"/>
              <w:spacing w:after="0"/>
              <w:rPr>
                <w:sz w:val="20"/>
                <w:szCs w:val="20"/>
                <w:color w:val="auto"/>
              </w:rPr>
            </w:pPr>
            <w:r>
              <w:rPr>
                <w:rFonts w:ascii="Arial" w:cs="Arial" w:eastAsia="Arial" w:hAnsi="Arial"/>
                <w:sz w:val="16"/>
                <w:szCs w:val="16"/>
                <w:color w:val="auto"/>
              </w:rPr>
              <w:t>Effect of change in exchange rates</w:t>
            </w:r>
          </w:p>
        </w:tc>
        <w:tc>
          <w:tcPr>
            <w:tcW w:w="520" w:type="dxa"/>
            <w:vAlign w:val="bottom"/>
          </w:tcPr>
          <w:p>
            <w:pPr>
              <w:spacing w:after="0"/>
              <w:rPr>
                <w:sz w:val="19"/>
                <w:szCs w:val="19"/>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9"/>
                <w:szCs w:val="19"/>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7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75"/>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intangible liabilities, gross</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(23,900)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(23,900)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January 5, 2018, we completed our acquisition of Silver Spring Networks, Inc. (SSNI) and acquired intangible assets including in-process research and development (IPR&amp;D), which were completed during 2019 and are now included within core-developed technology. Assumed intangible liabilities reflect the present value of the projected cash outflows for an existing contract where remaining costs are expected to exceed projected revenues.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(accretion)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Estimated Annual</w:t>
            </w: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2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8"/>
                <w:szCs w:val="18"/>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Accretion</w:t>
            </w:r>
          </w:p>
        </w:tc>
        <w:tc>
          <w:tcPr>
            <w:tcW w:w="14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Amortization, net</w:t>
            </w:r>
          </w:p>
        </w:tc>
      </w:tr>
      <w:tr>
        <w:trPr>
          <w:trHeight w:val="33"/>
        </w:trPr>
        <w:tc>
          <w:tcPr>
            <w:tcW w:w="6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61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 (amount remaining at March 31, 2020)</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39,618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33,598</w:t>
            </w:r>
          </w:p>
        </w:tc>
      </w:tr>
      <w:tr>
        <w:trPr>
          <w:trHeight w:val="223"/>
        </w:trPr>
        <w:tc>
          <w:tcPr>
            <w:tcW w:w="6100" w:type="dxa"/>
            <w:vAlign w:val="bottom"/>
          </w:tcPr>
          <w:p>
            <w:pPr>
              <w:ind w:left="20"/>
              <w:spacing w:after="0"/>
              <w:rPr>
                <w:sz w:val="20"/>
                <w:szCs w:val="20"/>
                <w:color w:val="auto"/>
              </w:rPr>
            </w:pPr>
            <w:r>
              <w:rPr>
                <w:rFonts w:ascii="Arial" w:cs="Arial" w:eastAsia="Arial" w:hAnsi="Arial"/>
                <w:sz w:val="16"/>
                <w:szCs w:val="16"/>
                <w:color w:val="auto"/>
              </w:rPr>
              <w:t>2021</w:t>
            </w:r>
          </w:p>
        </w:tc>
        <w:tc>
          <w:tcPr>
            <w:tcW w:w="24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37,572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(1,963)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35,609</w:t>
            </w:r>
          </w:p>
        </w:tc>
      </w:tr>
      <w:tr>
        <w:trPr>
          <w:trHeight w:val="33"/>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27,212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26,753</w:t>
            </w:r>
          </w:p>
        </w:tc>
      </w:tr>
      <w:tr>
        <w:trPr>
          <w:trHeight w:val="223"/>
        </w:trPr>
        <w:tc>
          <w:tcPr>
            <w:tcW w:w="6100" w:type="dxa"/>
            <w:vAlign w:val="bottom"/>
          </w:tcPr>
          <w:p>
            <w:pPr>
              <w:ind w:left="20"/>
              <w:spacing w:after="0"/>
              <w:rPr>
                <w:sz w:val="20"/>
                <w:szCs w:val="20"/>
                <w:color w:val="auto"/>
              </w:rPr>
            </w:pPr>
            <w:r>
              <w:rPr>
                <w:rFonts w:ascii="Arial" w:cs="Arial" w:eastAsia="Arial" w:hAnsi="Arial"/>
                <w:sz w:val="16"/>
                <w:szCs w:val="16"/>
                <w:color w:val="auto"/>
              </w:rPr>
              <w:t>2023</w:t>
            </w:r>
          </w:p>
        </w:tc>
        <w:tc>
          <w:tcPr>
            <w:tcW w:w="24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19,674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19,674</w:t>
            </w:r>
          </w:p>
        </w:tc>
      </w:tr>
      <w:tr>
        <w:trPr>
          <w:trHeight w:val="33"/>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15,523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15,523</w:t>
            </w:r>
          </w:p>
        </w:tc>
      </w:tr>
      <w:tr>
        <w:trPr>
          <w:trHeight w:val="223"/>
        </w:trPr>
        <w:tc>
          <w:tcPr>
            <w:tcW w:w="61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31,211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31,211</w:t>
            </w:r>
          </w:p>
        </w:tc>
      </w:tr>
      <w:tr>
        <w:trPr>
          <w:trHeight w:val="33"/>
        </w:trPr>
        <w:tc>
          <w:tcPr>
            <w:tcW w:w="6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75"/>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intangible assets subject to amortization (accretion)</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170,810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162,368</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tbl>
      <w:tblPr>
        <w:tblLayout w:type="fixed"/>
        <w:tblInd w:w="20" w:type="dxa"/>
        <w:tblCellMar>
          <w:top w:w="0" w:type="dxa"/>
          <w:left w:w="0" w:type="dxa"/>
          <w:bottom w:w="0" w:type="dxa"/>
          <w:right w:w="0" w:type="dxa"/>
        </w:tblCellMar>
      </w:tblPr>
      <w:tr>
        <w:trPr>
          <w:trHeight w:val="230"/>
        </w:trPr>
        <w:tc>
          <w:tcPr>
            <w:tcW w:w="474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769"/>
        </w:trPr>
        <w:tc>
          <w:tcPr>
            <w:tcW w:w="4740" w:type="dxa"/>
            <w:vAlign w:val="bottom"/>
          </w:tcPr>
          <w:p>
            <w:pPr>
              <w:spacing w:after="0"/>
              <w:rPr>
                <w:sz w:val="20"/>
                <w:szCs w:val="20"/>
                <w:color w:val="auto"/>
              </w:rPr>
            </w:pPr>
            <w:r>
              <w:rPr>
                <w:rFonts w:ascii="Arial" w:cs="Arial" w:eastAsia="Arial" w:hAnsi="Arial"/>
                <w:sz w:val="18"/>
                <w:szCs w:val="18"/>
                <w:b w:val="1"/>
                <w:bCs w:val="1"/>
                <w:color w:val="auto"/>
              </w:rPr>
              <w:t>Note 5:  Goodwill</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59"/>
        </w:trPr>
        <w:tc>
          <w:tcPr>
            <w:tcW w:w="8420" w:type="dxa"/>
            <w:vAlign w:val="bottom"/>
            <w:gridSpan w:val="8"/>
          </w:tcPr>
          <w:p>
            <w:pPr>
              <w:spacing w:after="0"/>
              <w:rPr>
                <w:sz w:val="20"/>
                <w:szCs w:val="20"/>
                <w:color w:val="auto"/>
              </w:rPr>
            </w:pPr>
            <w:r>
              <w:rPr>
                <w:rFonts w:ascii="Arial" w:cs="Arial" w:eastAsia="Arial" w:hAnsi="Arial"/>
                <w:sz w:val="18"/>
                <w:szCs w:val="18"/>
                <w:color w:val="auto"/>
                <w:w w:val="91"/>
              </w:rPr>
              <w:t>The following table reflects changes in the carrying amount of goodwill for the three months ended March 31, 2020:</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1"/>
        </w:trPr>
        <w:tc>
          <w:tcPr>
            <w:tcW w:w="47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21"/>
                <w:szCs w:val="21"/>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Device Solutions</w:t>
            </w:r>
          </w:p>
        </w:tc>
        <w:tc>
          <w:tcPr>
            <w:tcW w:w="16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Networked Solutions</w:t>
            </w:r>
          </w:p>
        </w:tc>
        <w:tc>
          <w:tcPr>
            <w:tcW w:w="40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Outcomes</w:t>
            </w:r>
          </w:p>
        </w:tc>
        <w:tc>
          <w:tcPr>
            <w:tcW w:w="180" w:type="dxa"/>
            <w:vAlign w:val="bottom"/>
          </w:tcPr>
          <w:p>
            <w:pPr>
              <w:spacing w:after="0"/>
              <w:rPr>
                <w:sz w:val="21"/>
                <w:szCs w:val="21"/>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Total Company</w:t>
            </w:r>
          </w:p>
        </w:tc>
      </w:tr>
      <w:tr>
        <w:trPr>
          <w:trHeight w:val="33"/>
        </w:trPr>
        <w:tc>
          <w:tcPr>
            <w:tcW w:w="4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balance at January 1,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54,930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908,088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140,889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1,103,907</w:t>
            </w:r>
          </w:p>
        </w:tc>
      </w:tr>
      <w:tr>
        <w:trPr>
          <w:trHeight w:val="223"/>
        </w:trPr>
        <w:tc>
          <w:tcPr>
            <w:tcW w:w="4740" w:type="dxa"/>
            <w:vAlign w:val="bottom"/>
          </w:tcPr>
          <w:p>
            <w:pPr>
              <w:ind w:left="340"/>
              <w:spacing w:after="0"/>
              <w:rPr>
                <w:sz w:val="20"/>
                <w:szCs w:val="20"/>
                <w:color w:val="auto"/>
              </w:rPr>
            </w:pPr>
            <w:r>
              <w:rPr>
                <w:rFonts w:ascii="Arial" w:cs="Arial" w:eastAsia="Arial" w:hAnsi="Arial"/>
                <w:sz w:val="16"/>
                <w:szCs w:val="16"/>
                <w:color w:val="auto"/>
              </w:rPr>
              <w:t>Effect of change in exchange rates</w:t>
            </w:r>
          </w:p>
        </w:tc>
        <w:tc>
          <w:tcPr>
            <w:tcW w:w="16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(3,579)</w:t>
            </w:r>
          </w:p>
        </w:tc>
      </w:tr>
      <w:tr>
        <w:trPr>
          <w:trHeight w:val="33"/>
        </w:trPr>
        <w:tc>
          <w:tcPr>
            <w:tcW w:w="4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5"/>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balance at March 31,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54,753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905,144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140,431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1,100,328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components of our borrowings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760" w:type="dxa"/>
            <w:vAlign w:val="bottom"/>
          </w:tcPr>
          <w:p>
            <w:pPr>
              <w:jc w:val="center"/>
              <w:ind w:right="5799"/>
              <w:spacing w:after="0"/>
              <w:rPr>
                <w:sz w:val="20"/>
                <w:szCs w:val="20"/>
                <w:color w:val="auto"/>
              </w:rPr>
            </w:pPr>
            <w:r>
              <w:rPr>
                <w:rFonts w:ascii="Arial" w:cs="Arial" w:eastAsia="Arial" w:hAnsi="Arial"/>
                <w:sz w:val="16"/>
                <w:szCs w:val="16"/>
                <w:i w:val="1"/>
                <w:iCs w:val="1"/>
                <w:color w:val="auto"/>
                <w:w w:val="91"/>
              </w:rPr>
              <w:t>In thousands</w:t>
            </w:r>
          </w:p>
        </w:tc>
        <w:tc>
          <w:tcPr>
            <w:tcW w:w="32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2020</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20" w:type="dxa"/>
            <w:vAlign w:val="bottom"/>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7"/>
        </w:trPr>
        <w:tc>
          <w:tcPr>
            <w:tcW w:w="6780" w:type="dxa"/>
            <w:vAlign w:val="bottom"/>
            <w:gridSpan w:val="2"/>
          </w:tcPr>
          <w:p>
            <w:pPr>
              <w:jc w:val="center"/>
              <w:ind w:right="5799"/>
              <w:spacing w:after="0"/>
              <w:rPr>
                <w:sz w:val="20"/>
                <w:szCs w:val="20"/>
                <w:color w:val="auto"/>
              </w:rPr>
            </w:pPr>
            <w:r>
              <w:rPr>
                <w:rFonts w:ascii="Arial" w:cs="Arial" w:eastAsia="Arial" w:hAnsi="Arial"/>
                <w:sz w:val="16"/>
                <w:szCs w:val="16"/>
                <w:color w:val="auto"/>
                <w:w w:val="98"/>
              </w:rPr>
              <w:t>Credit facility</w:t>
            </w: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6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USD denominated term loan</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550,156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550,156</w:t>
            </w:r>
          </w:p>
        </w:tc>
      </w:tr>
      <w:tr>
        <w:trPr>
          <w:trHeight w:val="223"/>
        </w:trPr>
        <w:tc>
          <w:tcPr>
            <w:tcW w:w="20" w:type="dxa"/>
            <w:vAlign w:val="bottom"/>
          </w:tcPr>
          <w:p>
            <w:pPr>
              <w:spacing w:after="0"/>
              <w:rPr>
                <w:sz w:val="19"/>
                <w:szCs w:val="19"/>
                <w:color w:val="auto"/>
              </w:rPr>
            </w:pPr>
          </w:p>
        </w:tc>
        <w:tc>
          <w:tcPr>
            <w:tcW w:w="6760" w:type="dxa"/>
            <w:vAlign w:val="bottom"/>
          </w:tcPr>
          <w:p>
            <w:pPr>
              <w:ind w:left="220"/>
              <w:spacing w:after="0"/>
              <w:rPr>
                <w:sz w:val="20"/>
                <w:szCs w:val="20"/>
                <w:color w:val="auto"/>
              </w:rPr>
            </w:pPr>
            <w:r>
              <w:rPr>
                <w:rFonts w:ascii="Arial" w:cs="Arial" w:eastAsia="Arial" w:hAnsi="Arial"/>
                <w:sz w:val="16"/>
                <w:szCs w:val="16"/>
                <w:color w:val="auto"/>
              </w:rPr>
              <w:t>Multicurrency revolving line of credit</w:t>
            </w:r>
          </w:p>
        </w:tc>
        <w:tc>
          <w:tcPr>
            <w:tcW w:w="320" w:type="dxa"/>
            <w:vAlign w:val="bottom"/>
          </w:tcPr>
          <w:p>
            <w:pPr>
              <w:spacing w:after="0"/>
              <w:rPr>
                <w:sz w:val="19"/>
                <w:szCs w:val="19"/>
                <w:color w:val="auto"/>
              </w:rPr>
            </w:pPr>
          </w:p>
        </w:tc>
        <w:tc>
          <w:tcPr>
            <w:tcW w:w="1860" w:type="dxa"/>
            <w:vAlign w:val="bottom"/>
          </w:tcPr>
          <w:p>
            <w:pPr>
              <w:jc w:val="right"/>
              <w:ind w:right="59"/>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6"/>
        </w:trPr>
        <w:tc>
          <w:tcPr>
            <w:tcW w:w="20" w:type="dxa"/>
            <w:vAlign w:val="bottom"/>
          </w:tcPr>
          <w:p>
            <w:pPr>
              <w:spacing w:after="0"/>
              <w:rPr>
                <w:sz w:val="22"/>
                <w:szCs w:val="22"/>
                <w:color w:val="auto"/>
              </w:rPr>
            </w:pPr>
          </w:p>
        </w:tc>
        <w:tc>
          <w:tcPr>
            <w:tcW w:w="6760" w:type="dxa"/>
            <w:vAlign w:val="bottom"/>
            <w:tcBorders>
              <w:bottom w:val="single" w:sz="8" w:color="CCEEFF"/>
            </w:tcBorders>
            <w:shd w:val="clear" w:color="auto" w:fill="CCEEFF"/>
          </w:tcPr>
          <w:p>
            <w:pPr>
              <w:jc w:val="center"/>
              <w:ind w:right="5819"/>
              <w:spacing w:after="0"/>
              <w:rPr>
                <w:sz w:val="20"/>
                <w:szCs w:val="20"/>
                <w:color w:val="auto"/>
              </w:rPr>
            </w:pPr>
            <w:r>
              <w:rPr>
                <w:rFonts w:ascii="Arial" w:cs="Arial" w:eastAsia="Arial" w:hAnsi="Arial"/>
                <w:sz w:val="16"/>
                <w:szCs w:val="16"/>
                <w:color w:val="auto"/>
                <w:w w:val="91"/>
              </w:rPr>
              <w:t>Senior notes</w:t>
            </w:r>
          </w:p>
        </w:tc>
        <w:tc>
          <w:tcPr>
            <w:tcW w:w="3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400,000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400,000</w:t>
            </w:r>
          </w:p>
        </w:tc>
      </w:tr>
      <w:tr>
        <w:trPr>
          <w:trHeight w:val="217"/>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6"/>
                <w:szCs w:val="16"/>
                <w:color w:val="auto"/>
              </w:rPr>
              <w:t>Total debt</w:t>
            </w:r>
          </w:p>
        </w:tc>
        <w:tc>
          <w:tcPr>
            <w:tcW w:w="3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1,350,156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950,156</w:t>
            </w:r>
          </w:p>
        </w:tc>
      </w:tr>
      <w:tr>
        <w:trPr>
          <w:trHeight w:val="33"/>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7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Less: current portion of debt</w:t>
            </w:r>
          </w:p>
        </w:tc>
        <w:tc>
          <w:tcPr>
            <w:tcW w:w="3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6,719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20" w:type="dxa"/>
            <w:vAlign w:val="bottom"/>
          </w:tcPr>
          <w:p>
            <w:pPr>
              <w:spacing w:after="0"/>
              <w:rPr>
                <w:sz w:val="19"/>
                <w:szCs w:val="19"/>
                <w:color w:val="auto"/>
              </w:rPr>
            </w:pPr>
          </w:p>
        </w:tc>
        <w:tc>
          <w:tcPr>
            <w:tcW w:w="6760" w:type="dxa"/>
            <w:vAlign w:val="bottom"/>
          </w:tcPr>
          <w:p>
            <w:pPr>
              <w:ind w:left="520"/>
              <w:spacing w:after="0"/>
              <w:rPr>
                <w:sz w:val="20"/>
                <w:szCs w:val="20"/>
                <w:color w:val="auto"/>
              </w:rPr>
            </w:pPr>
            <w:r>
              <w:rPr>
                <w:rFonts w:ascii="Arial" w:cs="Arial" w:eastAsia="Arial" w:hAnsi="Arial"/>
                <w:sz w:val="16"/>
                <w:szCs w:val="16"/>
                <w:color w:val="auto"/>
              </w:rPr>
              <w:t>Less: unamortized prepaid debt fees - term loan</w:t>
            </w:r>
          </w:p>
        </w:tc>
        <w:tc>
          <w:tcPr>
            <w:tcW w:w="320" w:type="dxa"/>
            <w:vAlign w:val="bottom"/>
          </w:tcPr>
          <w:p>
            <w:pPr>
              <w:spacing w:after="0"/>
              <w:rPr>
                <w:sz w:val="19"/>
                <w:szCs w:val="19"/>
                <w:color w:val="auto"/>
              </w:rPr>
            </w:pPr>
          </w:p>
        </w:tc>
        <w:tc>
          <w:tcPr>
            <w:tcW w:w="1860" w:type="dxa"/>
            <w:vAlign w:val="bottom"/>
          </w:tcPr>
          <w:p>
            <w:pPr>
              <w:jc w:val="right"/>
              <w:ind w:right="59"/>
              <w:spacing w:after="0"/>
              <w:rPr>
                <w:sz w:val="20"/>
                <w:szCs w:val="20"/>
                <w:color w:val="auto"/>
              </w:rPr>
            </w:pPr>
            <w:r>
              <w:rPr>
                <w:rFonts w:ascii="Arial" w:cs="Arial" w:eastAsia="Arial" w:hAnsi="Arial"/>
                <w:sz w:val="16"/>
                <w:szCs w:val="16"/>
                <w:color w:val="auto"/>
              </w:rPr>
              <w:t>3,446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3,661</w:t>
            </w:r>
          </w:p>
        </w:tc>
      </w:tr>
      <w:tr>
        <w:trPr>
          <w:trHeight w:val="33"/>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67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Less: unamortized prepaid debt fees - senior notes</w:t>
            </w:r>
          </w:p>
        </w:tc>
        <w:tc>
          <w:tcPr>
            <w:tcW w:w="3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13,435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14,013</w:t>
            </w:r>
          </w:p>
        </w:tc>
      </w:tr>
      <w:tr>
        <w:trPr>
          <w:trHeight w:val="217"/>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6"/>
                <w:szCs w:val="16"/>
                <w:color w:val="auto"/>
              </w:rPr>
              <w:t>Long-term debt, net</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1,326,556</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932,482</w:t>
            </w:r>
          </w:p>
        </w:tc>
      </w:tr>
      <w:tr>
        <w:trPr>
          <w:trHeight w:val="33"/>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ind w:left="20"/>
        <w:spacing w:after="0" w:line="268" w:lineRule="auto"/>
        <w:rPr>
          <w:sz w:val="20"/>
          <w:szCs w:val="20"/>
          <w:color w:val="auto"/>
        </w:rPr>
      </w:pPr>
      <w:r>
        <w:rPr>
          <w:rFonts w:ascii="Arial" w:cs="Arial" w:eastAsia="Arial" w:hAnsi="Arial"/>
          <w:sz w:val="17"/>
          <w:szCs w:val="17"/>
          <w:color w:val="auto"/>
        </w:rPr>
        <w:t>On October 18, 2019, we amended our credit facility that was initially entered on January 5, 2018 (together with the amendment, the "2018 credit facility"). The 2018 credit facility provides for committed credit facilities in the amount of $1.2 billion U.S. dollars.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The October 18, 2019 amendment extended the maturity date to October 18, 2024 and re-amortized the term loan based on the new balance as of the amendment date. The amendment also modified the required interest payments and made it based on total net leverage instead of total leverage. Amounts not borrowed under the revolver are subject to a commitment fee, which is paid in arrears on the last day of each fiscal quarter, ranging from 0.15% to 0.25% and drawn amounts are subject to a margin ranging from 1.00% to 1.75%. Both the term loan and the revolver can be repaid without penalty. Amounts repaid on the term loan may not be reborrowed, and amounts borrowed under the revolver may be repaid and reborrowed until the revolver's maturity, at which time all outstanding loans together with all accrued and unpaid interest must be repaid.</w:t>
      </w:r>
    </w:p>
    <w:p>
      <w:pPr>
        <w:spacing w:after="0" w:line="206" w:lineRule="exact"/>
        <w:rPr>
          <w:sz w:val="20"/>
          <w:szCs w:val="20"/>
          <w:color w:val="auto"/>
        </w:rPr>
      </w:pPr>
    </w:p>
    <w:p>
      <w:pPr>
        <w:jc w:val="both"/>
        <w:ind w:left="20"/>
        <w:spacing w:after="0" w:line="254" w:lineRule="auto"/>
        <w:rPr>
          <w:sz w:val="20"/>
          <w:szCs w:val="20"/>
          <w:color w:val="auto"/>
        </w:rPr>
      </w:pPr>
      <w:r>
        <w:rPr>
          <w:rFonts w:ascii="Arial" w:cs="Arial" w:eastAsia="Arial" w:hAnsi="Arial"/>
          <w:sz w:val="18"/>
          <w:szCs w:val="18"/>
          <w:color w:val="auto"/>
        </w:rPr>
        <w:t>The 2018 credit facility permits us and certain of our foreign subsidiaries to borrow in U.S. dollars, euros, British pounds,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 financial thresholds and place certain restrictions on the incurrence of debt, investments, and the issuance of dividends. We were in compliance with the debt covenants under the 2018 credit facility at March 31, 2020.</w:t>
      </w:r>
    </w:p>
    <w:p>
      <w:pPr>
        <w:spacing w:after="0" w:line="219" w:lineRule="exact"/>
        <w:rPr>
          <w:sz w:val="20"/>
          <w:szCs w:val="20"/>
          <w:color w:val="auto"/>
        </w:rPr>
      </w:pPr>
    </w:p>
    <w:p>
      <w:pPr>
        <w:jc w:val="both"/>
        <w:ind w:left="20"/>
        <w:spacing w:after="0" w:line="291" w:lineRule="auto"/>
        <w:rPr>
          <w:sz w:val="20"/>
          <w:szCs w:val="20"/>
          <w:color w:val="auto"/>
        </w:rPr>
      </w:pPr>
      <w:r>
        <w:rPr>
          <w:rFonts w:ascii="Arial" w:cs="Arial" w:eastAsia="Arial" w:hAnsi="Arial"/>
          <w:sz w:val="16"/>
          <w:szCs w:val="16"/>
          <w:color w:val="auto"/>
        </w:rPr>
        <w:t>Under the 2018 credit facility, we elect applicable market interest rates for both the term loan and any outstanding revolving loans. We also pay an applicable margin, which is based on our total net leverage ratio as defined in the credit agreement. The applicable rates per annum may be based on either:</w:t>
      </w:r>
    </w:p>
    <w:p>
      <w:pPr>
        <w:jc w:val="both"/>
        <w:ind w:left="20" w:right="20" w:firstLine="8"/>
        <w:spacing w:after="0" w:line="253"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 1.00%. At March 31, 2020, the interest rate for both the term loan and revolver was 2.49%, which includes the LIBOR rate plus a margin of 1.50%.</w:t>
      </w:r>
    </w:p>
    <w:p>
      <w:pPr>
        <w:sectPr>
          <w:pgSz w:w="11900" w:h="16838" w:orient="portrait"/>
          <w:cols w:equalWidth="0" w:num="1">
            <w:col w:w="11260"/>
          </w:cols>
          <w:pgMar w:left="30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25, 2020, we drew $400 million in U.S. dollars under the revolving line of credit within the 2018 credit facility to increase our cash position and preserve future financial flexibility. At March 31, 2020, $400 million was outstanding under the revolver, and $40.9 million was utilized by outstanding standby letters of credit, resulting in $59.1 million available for additional borrowings or standby letters of credit. At March 31, 2020, no amounts were outstanding under the swingline sub-facility.</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Senior Notes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22, 2017 and January 19, 2018, we issued $300 million and $100 million of aggregate principal amount of 5.00% senior notes maturing January 15, 2026 (Senior Notes). The proceeds were used to refinance existing indebtedness related to the acquisition of SSNI, pay related fees and expenses, and for general corporate purposes. Interest on the Senior Notes is payable semi-annually in arrears on January 15 and July 15. The Senior Notes are fully and unconditionally guaranteed, jointly and severally, on a senior unsecured basis by each of our subsidiaries that guarantee the senior credit facilities.</w:t>
      </w:r>
    </w:p>
    <w:p>
      <w:pPr>
        <w:spacing w:after="0" w:line="21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Prior to maturity, we may redeem some or all of the Senior Notes, together with accrued and unpaid interest, if any, plus a "make-whole" premium. On or after January 15, 2021, we may redeem some or all of the Senior Notes at any time at declining redemption prices equal to 102.50% beginning on January 15, 2021, 101.25% beginning on January 15, 2022 and 100.00% beginning on January 15, 2023 and thereafter to the applicable redemption date. In addition, before January 15, 2021, and subject to certain conditions, we may redeem up to 35% of the aggregate principal amount of Senior Notes with the net proceeds of certain equity offerings at 105.00% thereof to the date of redemption; provided that (i) at least 65% of the aggregate principal amount of Senior Notes remains outstanding after such redemption and (ii) the redemption occurs within 60 days of the closing of any such equity offering.</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Debt Maturities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amount of required minimum principal payments on our long-term debt in aggregate over the next five years is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6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240" w:type="dxa"/>
            <w:vAlign w:val="bottom"/>
          </w:tcPr>
          <w:p>
            <w:pPr>
              <w:spacing w:after="0"/>
              <w:rPr>
                <w:sz w:val="18"/>
                <w:szCs w:val="18"/>
                <w:color w:val="auto"/>
              </w:rPr>
            </w:pPr>
          </w:p>
        </w:tc>
        <w:tc>
          <w:tcPr>
            <w:tcW w:w="1940" w:type="dxa"/>
            <w:vAlign w:val="bottom"/>
          </w:tcPr>
          <w:p>
            <w:pPr>
              <w:jc w:val="right"/>
              <w:ind w:right="299"/>
              <w:spacing w:after="0"/>
              <w:rPr>
                <w:sz w:val="20"/>
                <w:szCs w:val="20"/>
                <w:color w:val="auto"/>
              </w:rPr>
            </w:pPr>
            <w:r>
              <w:rPr>
                <w:rFonts w:ascii="Arial" w:cs="Arial" w:eastAsia="Arial" w:hAnsi="Arial"/>
                <w:sz w:val="16"/>
                <w:szCs w:val="16"/>
                <w:b w:val="1"/>
                <w:bCs w:val="1"/>
                <w:color w:val="auto"/>
              </w:rPr>
              <w:t>Minimum Payments</w:t>
            </w:r>
          </w:p>
        </w:tc>
      </w:tr>
      <w:tr>
        <w:trPr>
          <w:trHeight w:val="33"/>
        </w:trPr>
        <w:tc>
          <w:tcPr>
            <w:tcW w:w="8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7"/>
        </w:trPr>
        <w:tc>
          <w:tcPr>
            <w:tcW w:w="90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3"/>
        </w:trPr>
        <w:tc>
          <w:tcPr>
            <w:tcW w:w="8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2020 (amount remaining at March 31, 2020)</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8940" w:type="dxa"/>
            <w:vAlign w:val="bottom"/>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32,422</w:t>
            </w:r>
          </w:p>
        </w:tc>
      </w:tr>
      <w:tr>
        <w:trPr>
          <w:trHeight w:val="33"/>
        </w:trPr>
        <w:tc>
          <w:tcPr>
            <w:tcW w:w="8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44,063</w:t>
            </w:r>
          </w:p>
        </w:tc>
      </w:tr>
      <w:tr>
        <w:trPr>
          <w:trHeight w:val="224"/>
        </w:trPr>
        <w:tc>
          <w:tcPr>
            <w:tcW w:w="8940" w:type="dxa"/>
            <w:vAlign w:val="bottom"/>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44,063</w:t>
            </w:r>
          </w:p>
        </w:tc>
      </w:tr>
      <w:tr>
        <w:trPr>
          <w:trHeight w:val="33"/>
        </w:trPr>
        <w:tc>
          <w:tcPr>
            <w:tcW w:w="8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829,608</w:t>
            </w:r>
          </w:p>
        </w:tc>
      </w:tr>
      <w:tr>
        <w:trPr>
          <w:trHeight w:val="223"/>
        </w:trPr>
        <w:tc>
          <w:tcPr>
            <w:tcW w:w="9060" w:type="dxa"/>
            <w:vAlign w:val="bottom"/>
            <w:gridSpan w:val="2"/>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Pr>
          <w:p>
            <w:pPr>
              <w:spacing w:after="0"/>
              <w:rPr>
                <w:sz w:val="19"/>
                <w:szCs w:val="19"/>
                <w:color w:val="auto"/>
              </w:rPr>
            </w:pP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400,000</w:t>
            </w:r>
          </w:p>
        </w:tc>
      </w:tr>
      <w:tr>
        <w:trPr>
          <w:trHeight w:val="33"/>
        </w:trPr>
        <w:tc>
          <w:tcPr>
            <w:tcW w:w="8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72"/>
        </w:trPr>
        <w:tc>
          <w:tcPr>
            <w:tcW w:w="90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minimum payments on debt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1,350,156</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part of our risk management strategy, we use derivative instruments to hedge certain foreign currency and interest rate exposures. Refer to "Note 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 and "Note 14: Fair Values of Financial Instruments" for additional disclosures on our derivative instruments.</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values of our derivative instruments are determined using the income approach and significant other observable inputs (and are classified as "Level 2" in the fair value hierarchy).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Fair Value</w:t>
            </w:r>
          </w:p>
        </w:tc>
        <w:tc>
          <w:tcPr>
            <w:tcW w:w="178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348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7"/>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Derivative Assets</w:t>
            </w:r>
          </w:p>
        </w:tc>
        <w:tc>
          <w:tcPr>
            <w:tcW w:w="3480" w:type="dxa"/>
            <w:vAlign w:val="bottom"/>
            <w:gridSpan w:val="2"/>
          </w:tcPr>
          <w:p>
            <w:pPr>
              <w:ind w:left="800"/>
              <w:spacing w:after="0"/>
              <w:rPr>
                <w:sz w:val="20"/>
                <w:szCs w:val="20"/>
                <w:color w:val="auto"/>
              </w:rPr>
            </w:pPr>
            <w:r>
              <w:rPr>
                <w:rFonts w:ascii="Arial" w:cs="Arial" w:eastAsia="Arial" w:hAnsi="Arial"/>
                <w:sz w:val="16"/>
                <w:szCs w:val="16"/>
                <w:b w:val="1"/>
                <w:bCs w:val="1"/>
                <w:color w:val="auto"/>
              </w:rPr>
              <w:t>Balance Sheet Location</w:t>
            </w:r>
          </w:p>
        </w:tc>
        <w:tc>
          <w:tcPr>
            <w:tcW w:w="32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2020</w:t>
            </w:r>
          </w:p>
        </w:tc>
        <w:tc>
          <w:tcPr>
            <w:tcW w:w="400" w:type="dxa"/>
            <w:vAlign w:val="bottom"/>
          </w:tcPr>
          <w:p>
            <w:pPr>
              <w:spacing w:after="0"/>
              <w:rPr>
                <w:sz w:val="18"/>
                <w:szCs w:val="18"/>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b w:val="1"/>
                <w:bCs w:val="1"/>
                <w:color w:val="auto"/>
                <w:w w:val="91"/>
              </w:rPr>
              <w:t>December 31, 2019</w:t>
            </w:r>
          </w:p>
        </w:tc>
      </w:tr>
      <w:tr>
        <w:trPr>
          <w:trHeight w:val="33"/>
        </w:trPr>
        <w:tc>
          <w:tcPr>
            <w:tcW w:w="66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7"/>
        </w:trPr>
        <w:tc>
          <w:tcPr>
            <w:tcW w:w="6760" w:type="dxa"/>
            <w:vAlign w:val="bottom"/>
            <w:gridSpan w:val="3"/>
          </w:tcPr>
          <w:p>
            <w:pPr>
              <w:ind w:left="20"/>
              <w:spacing w:after="0"/>
              <w:rPr>
                <w:sz w:val="20"/>
                <w:szCs w:val="20"/>
                <w:color w:val="auto"/>
              </w:rPr>
            </w:pPr>
            <w:r>
              <w:rPr>
                <w:rFonts w:ascii="Arial" w:cs="Arial" w:eastAsia="Arial" w:hAnsi="Arial"/>
                <w:sz w:val="16"/>
                <w:szCs w:val="16"/>
                <w:b w:val="1"/>
                <w:bCs w:val="1"/>
                <w:color w:val="auto"/>
              </w:rPr>
              <w:t>Derivatives designated as hedging instruments under ASC 815-20</w:t>
            </w:r>
          </w:p>
        </w:tc>
        <w:tc>
          <w:tcPr>
            <w:tcW w:w="320" w:type="dxa"/>
            <w:vAlign w:val="bottom"/>
          </w:tcPr>
          <w:p>
            <w:pPr>
              <w:spacing w:after="0"/>
              <w:rPr>
                <w:sz w:val="18"/>
                <w:szCs w:val="18"/>
                <w:color w:val="auto"/>
              </w:rPr>
            </w:pPr>
          </w:p>
        </w:tc>
        <w:tc>
          <w:tcPr>
            <w:tcW w:w="238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178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6"/>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Interest rate swap contract</w:t>
            </w:r>
          </w:p>
        </w:tc>
        <w:tc>
          <w:tcPr>
            <w:tcW w:w="34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6"/>
                <w:szCs w:val="16"/>
                <w:color w:val="auto"/>
              </w:rPr>
              <w:t>Other current assets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174</w:t>
            </w:r>
          </w:p>
        </w:tc>
      </w:tr>
      <w:tr>
        <w:trPr>
          <w:trHeight w:val="224"/>
        </w:trPr>
        <w:tc>
          <w:tcPr>
            <w:tcW w:w="3280" w:type="dxa"/>
            <w:vAlign w:val="bottom"/>
          </w:tcPr>
          <w:p>
            <w:pPr>
              <w:ind w:left="120"/>
              <w:spacing w:after="0"/>
              <w:rPr>
                <w:sz w:val="20"/>
                <w:szCs w:val="20"/>
                <w:color w:val="auto"/>
              </w:rPr>
            </w:pPr>
            <w:r>
              <w:rPr>
                <w:rFonts w:ascii="Arial" w:cs="Arial" w:eastAsia="Arial" w:hAnsi="Arial"/>
                <w:sz w:val="16"/>
                <w:szCs w:val="16"/>
                <w:color w:val="auto"/>
              </w:rPr>
              <w:t>Interest rate cap contracts</w:t>
            </w:r>
          </w:p>
        </w:tc>
        <w:tc>
          <w:tcPr>
            <w:tcW w:w="3480" w:type="dxa"/>
            <w:vAlign w:val="bottom"/>
            <w:gridSpan w:val="2"/>
          </w:tcPr>
          <w:p>
            <w:pPr>
              <w:ind w:left="800"/>
              <w:spacing w:after="0"/>
              <w:rPr>
                <w:sz w:val="20"/>
                <w:szCs w:val="20"/>
                <w:color w:val="auto"/>
              </w:rPr>
            </w:pPr>
            <w:r>
              <w:rPr>
                <w:rFonts w:ascii="Arial" w:cs="Arial" w:eastAsia="Arial" w:hAnsi="Arial"/>
                <w:sz w:val="16"/>
                <w:szCs w:val="16"/>
                <w:color w:val="auto"/>
              </w:rPr>
              <w:t>Other current assets</w:t>
            </w:r>
          </w:p>
        </w:tc>
        <w:tc>
          <w:tcPr>
            <w:tcW w:w="320" w:type="dxa"/>
            <w:vAlign w:val="bottom"/>
          </w:tcPr>
          <w:p>
            <w:pPr>
              <w:spacing w:after="0"/>
              <w:rPr>
                <w:sz w:val="19"/>
                <w:szCs w:val="19"/>
                <w:color w:val="auto"/>
              </w:rPr>
            </w:pPr>
          </w:p>
        </w:tc>
        <w:tc>
          <w:tcPr>
            <w:tcW w:w="1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1</w:t>
            </w:r>
          </w:p>
        </w:tc>
      </w:tr>
      <w:tr>
        <w:trPr>
          <w:trHeight w:val="33"/>
        </w:trPr>
        <w:tc>
          <w:tcPr>
            <w:tcW w:w="3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Foreign exchange options</w:t>
            </w:r>
          </w:p>
        </w:tc>
        <w:tc>
          <w:tcPr>
            <w:tcW w:w="34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6"/>
                <w:szCs w:val="16"/>
                <w:color w:val="auto"/>
              </w:rPr>
              <w:t>Other current assets</w:t>
            </w:r>
          </w:p>
        </w:tc>
        <w:tc>
          <w:tcPr>
            <w:tcW w:w="3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3280" w:type="dxa"/>
            <w:vAlign w:val="bottom"/>
          </w:tcPr>
          <w:p>
            <w:pPr>
              <w:ind w:left="120"/>
              <w:spacing w:after="0"/>
              <w:rPr>
                <w:sz w:val="20"/>
                <w:szCs w:val="20"/>
                <w:color w:val="auto"/>
              </w:rPr>
            </w:pPr>
            <w:r>
              <w:rPr>
                <w:rFonts w:ascii="Arial" w:cs="Arial" w:eastAsia="Arial" w:hAnsi="Arial"/>
                <w:sz w:val="16"/>
                <w:szCs w:val="16"/>
                <w:color w:val="auto"/>
              </w:rPr>
              <w:t>Cross currency swap contract</w:t>
            </w:r>
          </w:p>
        </w:tc>
        <w:tc>
          <w:tcPr>
            <w:tcW w:w="3480" w:type="dxa"/>
            <w:vAlign w:val="bottom"/>
            <w:gridSpan w:val="2"/>
          </w:tcPr>
          <w:p>
            <w:pPr>
              <w:ind w:left="800"/>
              <w:spacing w:after="0"/>
              <w:rPr>
                <w:sz w:val="20"/>
                <w:szCs w:val="20"/>
                <w:color w:val="auto"/>
              </w:rPr>
            </w:pPr>
            <w:r>
              <w:rPr>
                <w:rFonts w:ascii="Arial" w:cs="Arial" w:eastAsia="Arial" w:hAnsi="Arial"/>
                <w:sz w:val="16"/>
                <w:szCs w:val="16"/>
                <w:color w:val="auto"/>
              </w:rPr>
              <w:t>Other current assets</w:t>
            </w:r>
          </w:p>
        </w:tc>
        <w:tc>
          <w:tcPr>
            <w:tcW w:w="320" w:type="dxa"/>
            <w:vAlign w:val="bottom"/>
          </w:tcPr>
          <w:p>
            <w:pPr>
              <w:spacing w:after="0"/>
              <w:rPr>
                <w:sz w:val="19"/>
                <w:szCs w:val="19"/>
                <w:color w:val="auto"/>
              </w:rPr>
            </w:pPr>
          </w:p>
        </w:tc>
        <w:tc>
          <w:tcPr>
            <w:tcW w:w="1860" w:type="dxa"/>
            <w:vAlign w:val="bottom"/>
          </w:tcPr>
          <w:p>
            <w:pPr>
              <w:jc w:val="right"/>
              <w:ind w:right="59"/>
              <w:spacing w:after="0"/>
              <w:rPr>
                <w:sz w:val="20"/>
                <w:szCs w:val="20"/>
                <w:color w:val="auto"/>
              </w:rPr>
            </w:pPr>
            <w:r>
              <w:rPr>
                <w:rFonts w:ascii="Arial" w:cs="Arial" w:eastAsia="Arial" w:hAnsi="Arial"/>
                <w:sz w:val="16"/>
                <w:szCs w:val="16"/>
                <w:color w:val="auto"/>
              </w:rPr>
              <w:t>473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1,156</w:t>
            </w:r>
          </w:p>
        </w:tc>
      </w:tr>
      <w:tr>
        <w:trPr>
          <w:trHeight w:val="33"/>
        </w:trPr>
        <w:tc>
          <w:tcPr>
            <w:tcW w:w="3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Cross currency swap contract</w:t>
            </w:r>
          </w:p>
        </w:tc>
        <w:tc>
          <w:tcPr>
            <w:tcW w:w="34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6"/>
                <w:szCs w:val="16"/>
                <w:color w:val="auto"/>
              </w:rPr>
              <w:t>Other long-term assets</w:t>
            </w:r>
          </w:p>
        </w:tc>
        <w:tc>
          <w:tcPr>
            <w:tcW w:w="3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4,481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2,870</w:t>
            </w:r>
          </w:p>
        </w:tc>
      </w:tr>
      <w:tr>
        <w:trPr>
          <w:trHeight w:val="223"/>
        </w:trPr>
        <w:tc>
          <w:tcPr>
            <w:tcW w:w="6760" w:type="dxa"/>
            <w:vAlign w:val="bottom"/>
            <w:gridSpan w:val="3"/>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3"/>
        </w:trPr>
        <w:tc>
          <w:tcPr>
            <w:tcW w:w="3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7"/>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Foreign exchange forward contracts</w:t>
            </w:r>
          </w:p>
        </w:tc>
        <w:tc>
          <w:tcPr>
            <w:tcW w:w="34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6"/>
                <w:szCs w:val="16"/>
                <w:color w:val="auto"/>
              </w:rPr>
              <w:t>Other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w:t>
            </w:r>
          </w:p>
        </w:tc>
      </w:tr>
      <w:tr>
        <w:trPr>
          <w:trHeight w:val="217"/>
        </w:trPr>
        <w:tc>
          <w:tcPr>
            <w:tcW w:w="3280" w:type="dxa"/>
            <w:vAlign w:val="bottom"/>
          </w:tcPr>
          <w:p>
            <w:pPr>
              <w:ind w:left="380"/>
              <w:spacing w:after="0"/>
              <w:rPr>
                <w:sz w:val="20"/>
                <w:szCs w:val="20"/>
                <w:color w:val="auto"/>
              </w:rPr>
            </w:pPr>
            <w:r>
              <w:rPr>
                <w:rFonts w:ascii="Arial" w:cs="Arial" w:eastAsia="Arial" w:hAnsi="Arial"/>
                <w:sz w:val="16"/>
                <w:szCs w:val="16"/>
                <w:b w:val="1"/>
                <w:bCs w:val="1"/>
                <w:color w:val="auto"/>
              </w:rPr>
              <w:t>Total asset derivatives</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6,266</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4,297</w:t>
            </w:r>
          </w:p>
        </w:tc>
      </w:tr>
      <w:tr>
        <w:trPr>
          <w:trHeight w:val="33"/>
        </w:trPr>
        <w:tc>
          <w:tcPr>
            <w:tcW w:w="3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3280" w:type="dxa"/>
            <w:vAlign w:val="bottom"/>
            <w:shd w:val="clear" w:color="auto" w:fill="CCEEFF"/>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4"/>
        </w:trPr>
        <w:tc>
          <w:tcPr>
            <w:tcW w:w="3280" w:type="dxa"/>
            <w:vAlign w:val="bottom"/>
          </w:tcPr>
          <w:p>
            <w:pPr>
              <w:ind w:left="20"/>
              <w:spacing w:after="0"/>
              <w:rPr>
                <w:sz w:val="20"/>
                <w:szCs w:val="20"/>
                <w:color w:val="auto"/>
              </w:rPr>
            </w:pPr>
            <w:r>
              <w:rPr>
                <w:rFonts w:ascii="Arial" w:cs="Arial" w:eastAsia="Arial" w:hAnsi="Arial"/>
                <w:sz w:val="16"/>
                <w:szCs w:val="16"/>
                <w:b w:val="1"/>
                <w:bCs w:val="1"/>
                <w:color w:val="auto"/>
              </w:rPr>
              <w:t>Derivative Liabilities</w:t>
            </w:r>
          </w:p>
        </w:tc>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3"/>
        </w:trPr>
        <w:tc>
          <w:tcPr>
            <w:tcW w:w="66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230"/>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hedging instruments under ASC 815-20</w:t>
            </w:r>
          </w:p>
        </w:tc>
        <w:tc>
          <w:tcPr>
            <w:tcW w:w="3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24"/>
        </w:trPr>
        <w:tc>
          <w:tcPr>
            <w:tcW w:w="3280" w:type="dxa"/>
            <w:vAlign w:val="bottom"/>
          </w:tcPr>
          <w:p>
            <w:pPr>
              <w:ind w:left="120"/>
              <w:spacing w:after="0"/>
              <w:rPr>
                <w:sz w:val="20"/>
                <w:szCs w:val="20"/>
                <w:color w:val="auto"/>
              </w:rPr>
            </w:pPr>
            <w:r>
              <w:rPr>
                <w:rFonts w:ascii="Arial" w:cs="Arial" w:eastAsia="Arial" w:hAnsi="Arial"/>
                <w:sz w:val="16"/>
                <w:szCs w:val="16"/>
                <w:color w:val="auto"/>
              </w:rPr>
              <w:t>Interest rate swap contracts</w:t>
            </w:r>
          </w:p>
        </w:tc>
        <w:tc>
          <w:tcPr>
            <w:tcW w:w="3480" w:type="dxa"/>
            <w:vAlign w:val="bottom"/>
            <w:gridSpan w:val="2"/>
          </w:tcPr>
          <w:p>
            <w:pPr>
              <w:ind w:left="800"/>
              <w:spacing w:after="0"/>
              <w:rPr>
                <w:sz w:val="20"/>
                <w:szCs w:val="20"/>
                <w:color w:val="auto"/>
              </w:rPr>
            </w:pPr>
            <w:r>
              <w:rPr>
                <w:rFonts w:ascii="Arial" w:cs="Arial" w:eastAsia="Arial" w:hAnsi="Arial"/>
                <w:sz w:val="16"/>
                <w:szCs w:val="16"/>
                <w:color w:val="auto"/>
              </w:rPr>
              <w:t>Other current liabilities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59"/>
              <w:spacing w:after="0"/>
              <w:rPr>
                <w:sz w:val="20"/>
                <w:szCs w:val="20"/>
                <w:color w:val="auto"/>
              </w:rPr>
            </w:pPr>
            <w:r>
              <w:rPr>
                <w:rFonts w:ascii="Arial" w:cs="Arial" w:eastAsia="Arial" w:hAnsi="Arial"/>
                <w:sz w:val="16"/>
                <w:szCs w:val="16"/>
                <w:color w:val="auto"/>
              </w:rPr>
              <w:t>789</w:t>
            </w:r>
          </w:p>
        </w:tc>
        <w:tc>
          <w:tcPr>
            <w:tcW w:w="12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3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Interest rate swap contracts</w:t>
            </w:r>
          </w:p>
        </w:tc>
        <w:tc>
          <w:tcPr>
            <w:tcW w:w="34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6"/>
                <w:szCs w:val="16"/>
                <w:color w:val="auto"/>
              </w:rPr>
              <w:t>Other long-term obligations</w:t>
            </w:r>
          </w:p>
        </w:tc>
        <w:tc>
          <w:tcPr>
            <w:tcW w:w="3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6760" w:type="dxa"/>
            <w:vAlign w:val="bottom"/>
            <w:gridSpan w:val="3"/>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3"/>
        </w:trPr>
        <w:tc>
          <w:tcPr>
            <w:tcW w:w="3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7"/>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Foreign exchange forward contracts</w:t>
            </w:r>
          </w:p>
        </w:tc>
        <w:tc>
          <w:tcPr>
            <w:tcW w:w="34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6"/>
                <w:szCs w:val="16"/>
                <w:color w:val="auto"/>
              </w:rPr>
              <w:t>Other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162</w:t>
            </w:r>
          </w:p>
        </w:tc>
      </w:tr>
      <w:tr>
        <w:trPr>
          <w:trHeight w:val="217"/>
        </w:trPr>
        <w:tc>
          <w:tcPr>
            <w:tcW w:w="3280" w:type="dxa"/>
            <w:vAlign w:val="bottom"/>
          </w:tcPr>
          <w:p>
            <w:pPr>
              <w:ind w:left="380"/>
              <w:spacing w:after="0"/>
              <w:rPr>
                <w:sz w:val="20"/>
                <w:szCs w:val="20"/>
                <w:color w:val="auto"/>
              </w:rPr>
            </w:pPr>
            <w:r>
              <w:rPr>
                <w:rFonts w:ascii="Arial" w:cs="Arial" w:eastAsia="Arial" w:hAnsi="Arial"/>
                <w:sz w:val="16"/>
                <w:szCs w:val="16"/>
                <w:b w:val="1"/>
                <w:bCs w:val="1"/>
                <w:color w:val="auto"/>
              </w:rPr>
              <w:t>Total liability derivatives</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2,086</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162</w:t>
            </w:r>
          </w:p>
        </w:tc>
      </w:tr>
      <w:tr>
        <w:trPr>
          <w:trHeight w:val="33"/>
        </w:trPr>
        <w:tc>
          <w:tcPr>
            <w:tcW w:w="3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
        </w:trPr>
        <w:tc>
          <w:tcPr>
            <w:tcW w:w="32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changes in accumulated other comprehensive income (loss) (AOCI), net of tax, for our derivative and nonderivative hedging instruments designated as hedging instruments, net of tax,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Pr>
          <w:p>
            <w:pPr>
              <w:spacing w:after="0"/>
              <w:rPr>
                <w:sz w:val="18"/>
                <w:szCs w:val="18"/>
                <w:color w:val="auto"/>
              </w:rPr>
            </w:pPr>
          </w:p>
        </w:tc>
        <w:tc>
          <w:tcPr>
            <w:tcW w:w="1660" w:type="dxa"/>
            <w:vAlign w:val="bottom"/>
          </w:tcPr>
          <w:p>
            <w:pPr>
              <w:jc w:val="right"/>
              <w:ind w:right="8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ind w:right="859"/>
              <w:spacing w:after="0"/>
              <w:rPr>
                <w:sz w:val="20"/>
                <w:szCs w:val="20"/>
                <w:color w:val="auto"/>
              </w:rPr>
            </w:pPr>
            <w:r>
              <w:rPr>
                <w:rFonts w:ascii="Arial" w:cs="Arial" w:eastAsia="Arial" w:hAnsi="Arial"/>
                <w:sz w:val="16"/>
                <w:szCs w:val="16"/>
                <w:b w:val="1"/>
                <w:bCs w:val="1"/>
                <w:color w:val="auto"/>
              </w:rPr>
              <w:t>2019</w:t>
            </w:r>
          </w:p>
        </w:tc>
      </w:tr>
      <w:tr>
        <w:trPr>
          <w:trHeight w:val="33"/>
        </w:trPr>
        <w:tc>
          <w:tcPr>
            <w:tcW w:w="6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unrealized loss on hedging instruments at January 1,</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(15,103)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(13,179)</w:t>
            </w:r>
          </w:p>
        </w:tc>
      </w:tr>
      <w:tr>
        <w:trPr>
          <w:trHeight w:val="223"/>
        </w:trPr>
        <w:tc>
          <w:tcPr>
            <w:tcW w:w="6760" w:type="dxa"/>
            <w:vAlign w:val="bottom"/>
          </w:tcPr>
          <w:p>
            <w:pPr>
              <w:ind w:left="120"/>
              <w:spacing w:after="0"/>
              <w:rPr>
                <w:sz w:val="20"/>
                <w:szCs w:val="20"/>
                <w:color w:val="auto"/>
              </w:rPr>
            </w:pPr>
            <w:r>
              <w:rPr>
                <w:rFonts w:ascii="Arial" w:cs="Arial" w:eastAsia="Arial" w:hAnsi="Arial"/>
                <w:sz w:val="16"/>
                <w:szCs w:val="16"/>
                <w:color w:val="auto"/>
              </w:rPr>
              <w:t>Unrealized gain (loss) on hedging instruments</w:t>
            </w: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211</w:t>
            </w:r>
          </w:p>
        </w:tc>
      </w:tr>
      <w:tr>
        <w:trPr>
          <w:trHeight w:val="33"/>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6"/>
        </w:trPr>
        <w:tc>
          <w:tcPr>
            <w:tcW w:w="6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Realized (gains) losses reclassified into net income (loss)</w:t>
            </w: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(1,049)</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color w:val="auto"/>
              </w:rPr>
              <w:t>Net unrealized loss on hedging instruments at March 31,</w:t>
            </w: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(15,870)</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(13,044)</w:t>
            </w:r>
          </w:p>
        </w:tc>
      </w:tr>
      <w:tr>
        <w:trPr>
          <w:trHeight w:val="3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Reclassification of amounts related to hedging instruments are included in interest expense in the Consolidated Statements of Operations for the periods ended March 31, 2020 and 2019. Included in the net unrealized gain (loss) on hedging instruments at March 31, 2020 and 2019 is a loss of $14.4 million, net of tax, related to our nonderivative net investment hedge, which terminated in 2011. This loss on our net investment hedge will remain in AOCI until earnings are impacted by a sale or liquidation of the associated foreign operation.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effect of netting arrangements on our financial position related to the offsetting of our recognized derivative assets and liabilities under master netting arrangements or similar agreements is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Gross Amounts of</w:t>
            </w:r>
          </w:p>
        </w:tc>
        <w:tc>
          <w:tcPr>
            <w:tcW w:w="120" w:type="dxa"/>
            <w:vAlign w:val="bottom"/>
          </w:tcPr>
          <w:p>
            <w:pPr>
              <w:spacing w:after="0"/>
              <w:rPr>
                <w:sz w:val="18"/>
                <w:szCs w:val="18"/>
                <w:color w:val="auto"/>
              </w:rPr>
            </w:pPr>
          </w:p>
        </w:tc>
        <w:tc>
          <w:tcPr>
            <w:tcW w:w="4020" w:type="dxa"/>
            <w:vAlign w:val="bottom"/>
            <w:gridSpan w:val="5"/>
            <w:vMerge w:val="restart"/>
          </w:tcPr>
          <w:p>
            <w:pPr>
              <w:jc w:val="center"/>
              <w:ind w:right="220"/>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4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85"/>
              </w:rPr>
              <w:t>Recognized Assets</w:t>
            </w:r>
          </w:p>
        </w:tc>
        <w:tc>
          <w:tcPr>
            <w:tcW w:w="120" w:type="dxa"/>
            <w:vAlign w:val="bottom"/>
          </w:tcPr>
          <w:p>
            <w:pPr>
              <w:spacing w:after="0"/>
              <w:rPr>
                <w:sz w:val="4"/>
                <w:szCs w:val="4"/>
                <w:color w:val="auto"/>
              </w:rPr>
            </w:pPr>
          </w:p>
        </w:tc>
        <w:tc>
          <w:tcPr>
            <w:tcW w:w="40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5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Offsetting of Derivative Assets</w:t>
            </w:r>
          </w:p>
        </w:tc>
        <w:tc>
          <w:tcPr>
            <w:tcW w:w="70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20" w:type="dxa"/>
            <w:vAlign w:val="bottom"/>
            <w:gridSpan w:val="5"/>
            <w:vMerge w:val="restart"/>
          </w:tcPr>
          <w:p>
            <w:pPr>
              <w:jc w:val="center"/>
              <w:ind w:right="220"/>
              <w:spacing w:after="0"/>
              <w:rPr>
                <w:sz w:val="20"/>
                <w:szCs w:val="20"/>
                <w:color w:val="auto"/>
              </w:rPr>
            </w:pPr>
            <w:r>
              <w:rPr>
                <w:rFonts w:ascii="Arial" w:cs="Arial" w:eastAsia="Arial" w:hAnsi="Arial"/>
                <w:sz w:val="16"/>
                <w:szCs w:val="16"/>
                <w:b w:val="1"/>
                <w:bCs w:val="1"/>
                <w:color w:val="auto"/>
                <w:w w:val="83"/>
              </w:rPr>
              <w:t>Sheets</w:t>
            </w: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5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84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89"/>
              </w:rPr>
              <w:t>Presented in</w:t>
            </w:r>
          </w:p>
        </w:tc>
        <w:tc>
          <w:tcPr>
            <w:tcW w:w="120" w:type="dxa"/>
            <w:vAlign w:val="bottom"/>
          </w:tcPr>
          <w:p>
            <w:pPr>
              <w:spacing w:after="0"/>
              <w:rPr>
                <w:sz w:val="4"/>
                <w:szCs w:val="4"/>
                <w:color w:val="auto"/>
              </w:rPr>
            </w:pPr>
          </w:p>
        </w:tc>
        <w:tc>
          <w:tcPr>
            <w:tcW w:w="40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40" w:type="dxa"/>
            <w:vAlign w:val="bottom"/>
            <w:gridSpan w:val="2"/>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the Consolidated</w:t>
            </w:r>
          </w:p>
        </w:tc>
        <w:tc>
          <w:tcPr>
            <w:tcW w:w="120" w:type="dxa"/>
            <w:vAlign w:val="bottom"/>
          </w:tcPr>
          <w:p>
            <w:pPr>
              <w:spacing w:after="0"/>
              <w:rPr>
                <w:sz w:val="17"/>
                <w:szCs w:val="17"/>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Derivative Financial</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70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Balance Sheets</w:t>
            </w:r>
          </w:p>
        </w:tc>
        <w:tc>
          <w:tcPr>
            <w:tcW w:w="120" w:type="dxa"/>
            <w:vAlign w:val="bottom"/>
          </w:tcPr>
          <w:p>
            <w:pPr>
              <w:spacing w:after="0"/>
              <w:rPr>
                <w:sz w:val="18"/>
                <w:szCs w:val="18"/>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Instruments</w:t>
            </w: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6"/>
                <w:szCs w:val="16"/>
                <w:b w:val="1"/>
                <w:bCs w:val="1"/>
                <w:color w:val="auto"/>
              </w:rPr>
              <w:t>Cash Collateral Received</w:t>
            </w:r>
          </w:p>
        </w:tc>
        <w:tc>
          <w:tcPr>
            <w:tcW w:w="340" w:type="dxa"/>
            <w:vAlign w:val="bottom"/>
          </w:tcPr>
          <w:p>
            <w:pPr>
              <w:spacing w:after="0"/>
              <w:rPr>
                <w:sz w:val="18"/>
                <w:szCs w:val="18"/>
                <w:color w:val="auto"/>
              </w:rPr>
            </w:pPr>
          </w:p>
        </w:tc>
        <w:tc>
          <w:tcPr>
            <w:tcW w:w="1640" w:type="dxa"/>
            <w:vAlign w:val="bottom"/>
          </w:tcPr>
          <w:p>
            <w:pPr>
              <w:jc w:val="right"/>
              <w:ind w:right="47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March 31, 2020</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CCEEFF"/>
            </w:tcBorders>
            <w:gridSpan w:val="2"/>
            <w:shd w:val="clear" w:color="auto" w:fill="CCEEFF"/>
          </w:tcPr>
          <w:p>
            <w:pPr>
              <w:ind w:left="15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5,550</w:t>
            </w:r>
          </w:p>
        </w:tc>
        <w:tc>
          <w:tcPr>
            <w:tcW w:w="0" w:type="dxa"/>
            <w:vAlign w:val="bottom"/>
          </w:tcPr>
          <w:p>
            <w:pPr>
              <w:spacing w:after="0"/>
              <w:rPr>
                <w:sz w:val="1"/>
                <w:szCs w:val="1"/>
                <w:color w:val="auto"/>
              </w:rPr>
            </w:pPr>
          </w:p>
        </w:tc>
      </w:tr>
      <w:tr>
        <w:trPr>
          <w:trHeight w:val="224"/>
        </w:trPr>
        <w:tc>
          <w:tcPr>
            <w:tcW w:w="254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700" w:type="dxa"/>
            <w:vAlign w:val="bottom"/>
          </w:tcPr>
          <w:p>
            <w:pPr>
              <w:spacing w:after="0"/>
              <w:rPr>
                <w:sz w:val="19"/>
                <w:szCs w:val="19"/>
                <w:color w:val="auto"/>
              </w:rPr>
            </w:pP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4,297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ind w:left="15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4,241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Gross Amounts of</w:t>
            </w:r>
          </w:p>
        </w:tc>
        <w:tc>
          <w:tcPr>
            <w:tcW w:w="120" w:type="dxa"/>
            <w:vAlign w:val="bottom"/>
          </w:tcPr>
          <w:p>
            <w:pPr>
              <w:spacing w:after="0"/>
              <w:rPr>
                <w:sz w:val="18"/>
                <w:szCs w:val="18"/>
                <w:color w:val="auto"/>
              </w:rPr>
            </w:pPr>
          </w:p>
        </w:tc>
        <w:tc>
          <w:tcPr>
            <w:tcW w:w="4020" w:type="dxa"/>
            <w:vAlign w:val="bottom"/>
            <w:gridSpan w:val="5"/>
            <w:vMerge w:val="restart"/>
          </w:tcPr>
          <w:p>
            <w:pPr>
              <w:jc w:val="center"/>
              <w:ind w:right="220"/>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9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Recognized Liabilities</w:t>
            </w:r>
          </w:p>
        </w:tc>
        <w:tc>
          <w:tcPr>
            <w:tcW w:w="120" w:type="dxa"/>
            <w:vAlign w:val="bottom"/>
          </w:tcPr>
          <w:p>
            <w:pPr>
              <w:spacing w:after="0"/>
              <w:rPr>
                <w:sz w:val="4"/>
                <w:szCs w:val="4"/>
                <w:color w:val="auto"/>
              </w:rPr>
            </w:pPr>
          </w:p>
        </w:tc>
        <w:tc>
          <w:tcPr>
            <w:tcW w:w="40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6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Offsetting of Derivative Liabilities</w:t>
            </w:r>
          </w:p>
        </w:tc>
        <w:tc>
          <w:tcPr>
            <w:tcW w:w="52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20" w:type="dxa"/>
            <w:vAlign w:val="bottom"/>
            <w:gridSpan w:val="5"/>
            <w:vMerge w:val="restart"/>
          </w:tcPr>
          <w:p>
            <w:pPr>
              <w:jc w:val="center"/>
              <w:ind w:right="220"/>
              <w:spacing w:after="0"/>
              <w:rPr>
                <w:sz w:val="20"/>
                <w:szCs w:val="20"/>
                <w:color w:val="auto"/>
              </w:rPr>
            </w:pPr>
            <w:r>
              <w:rPr>
                <w:rFonts w:ascii="Arial" w:cs="Arial" w:eastAsia="Arial" w:hAnsi="Arial"/>
                <w:sz w:val="16"/>
                <w:szCs w:val="16"/>
                <w:b w:val="1"/>
                <w:bCs w:val="1"/>
                <w:color w:val="auto"/>
                <w:w w:val="83"/>
              </w:rPr>
              <w:t>Sheets</w:t>
            </w: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9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Presented in the</w:t>
            </w:r>
          </w:p>
        </w:tc>
        <w:tc>
          <w:tcPr>
            <w:tcW w:w="120" w:type="dxa"/>
            <w:vAlign w:val="bottom"/>
          </w:tcPr>
          <w:p>
            <w:pPr>
              <w:spacing w:after="0"/>
              <w:rPr>
                <w:sz w:val="4"/>
                <w:szCs w:val="4"/>
                <w:color w:val="auto"/>
              </w:rPr>
            </w:pPr>
          </w:p>
        </w:tc>
        <w:tc>
          <w:tcPr>
            <w:tcW w:w="40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00" w:type="dxa"/>
            <w:vAlign w:val="bottom"/>
            <w:gridSpan w:val="2"/>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Consolidated Balance</w:t>
            </w:r>
          </w:p>
        </w:tc>
        <w:tc>
          <w:tcPr>
            <w:tcW w:w="120" w:type="dxa"/>
            <w:vAlign w:val="bottom"/>
          </w:tcPr>
          <w:p>
            <w:pPr>
              <w:spacing w:after="0"/>
              <w:rPr>
                <w:sz w:val="17"/>
                <w:szCs w:val="17"/>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Derivative Financial</w:t>
            </w: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Sheets</w:t>
            </w:r>
          </w:p>
        </w:tc>
        <w:tc>
          <w:tcPr>
            <w:tcW w:w="120" w:type="dxa"/>
            <w:vAlign w:val="bottom"/>
          </w:tcPr>
          <w:p>
            <w:pPr>
              <w:spacing w:after="0"/>
              <w:rPr>
                <w:sz w:val="18"/>
                <w:szCs w:val="18"/>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Instruments</w:t>
            </w:r>
          </w:p>
        </w:tc>
        <w:tc>
          <w:tcPr>
            <w:tcW w:w="120" w:type="dxa"/>
            <w:vAlign w:val="bottom"/>
          </w:tcPr>
          <w:p>
            <w:pPr>
              <w:spacing w:after="0"/>
              <w:rPr>
                <w:sz w:val="18"/>
                <w:szCs w:val="18"/>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1"/>
              </w:rPr>
              <w:t>Cash Collateral Pledged</w:t>
            </w:r>
          </w:p>
        </w:tc>
        <w:tc>
          <w:tcPr>
            <w:tcW w:w="340" w:type="dxa"/>
            <w:vAlign w:val="bottom"/>
          </w:tcPr>
          <w:p>
            <w:pPr>
              <w:spacing w:after="0"/>
              <w:rPr>
                <w:sz w:val="18"/>
                <w:szCs w:val="18"/>
                <w:color w:val="auto"/>
              </w:rPr>
            </w:pPr>
          </w:p>
        </w:tc>
        <w:tc>
          <w:tcPr>
            <w:tcW w:w="1640" w:type="dxa"/>
            <w:vAlign w:val="bottom"/>
          </w:tcPr>
          <w:p>
            <w:pPr>
              <w:jc w:val="right"/>
              <w:ind w:right="47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March 31, 2020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2,086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520" w:type="dxa"/>
            <w:vAlign w:val="bottom"/>
          </w:tcPr>
          <w:p>
            <w:pPr>
              <w:spacing w:after="0"/>
              <w:rPr>
                <w:sz w:val="19"/>
                <w:szCs w:val="19"/>
                <w:color w:val="auto"/>
              </w:rPr>
            </w:pPr>
          </w:p>
        </w:tc>
        <w:tc>
          <w:tcPr>
            <w:tcW w:w="1800" w:type="dxa"/>
            <w:vAlign w:val="bottom"/>
          </w:tcPr>
          <w:p>
            <w:pPr>
              <w:jc w:val="right"/>
              <w:ind w:right="7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bl>
    <w:p>
      <w:pPr>
        <w:spacing w:after="0" w:line="3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derivative assets and liabilities subject to netting arrangements consist of foreign exchange forwards and options and interest rate contracts with eight counterparties at March 31, 2020 and five counterparties at December 31, 2019. No derivative asset or liability balance with any of our counterparties was individually significant at March 31, 2020 or December 31, 2019. Our derivative contracts with each of these counterparties exist under agreements that provide for the net settlement of all contracts through a single payment in a single currency in the event of default. We have no pledges of cash collateral against our obligations, and we have not received pledges of cash collateral from our counterparties under the associated derivative contracts.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of our floating rate debt, we are exposed to variability in our cash flows from changes in the applicable interest rate index. We enter into interest rate caps and swaps to reduce the variability of cash flows from increases in the LIBOR based borrowing rates on our floating rate credit facility. These instruments do not protect us from changes to the applicable margin under our credit facility. At March 31, 2020, our LIBOR-based debt balance was $950.2 million.</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October 2015, we entered into one interest rate swap, which is effective from August 31, 2016 to June 23, 2020, and converts $214 million of our LIBOR-based debt from a floating LIBOR interest rate to a fixed interest rate of 1.42% (excluding the applicable margin on the debt). The notional balance will amortize to maturity at the same rate as required minimum payments on our term loan. In March 2020, we entered into an interest rate swap, which is effective from June 30, 2020 to June 30, 2023, and converts $240 million of our LIBOR-based debt from a floating LIBOR interest rate to a fixed interest rate of 0.617% (excluding the applicable margin). The notional balance will amortize to maturity at the same rate of originally required amortizations on our term loan. Changes in the fair value of the interest rate swaps are recognized as a component of other comprehensive income (OCI) and are recognized in earnings when the hedged item affects earnings. The amounts paid or received on the hedges are recognized as an adjustment to interest expense along with the earnings effect of the hedged item. The amount of net losses expected to be reclassified into earnings in the next 12 months is $0.8 million.</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2015, we entered into three interest rate cap contracts with a total notional amount of $100 million at a cost of $1.7 million. The interest rate cap contracts expire on June 23, 2020 and were entered into in order to limit our interest rate exposure on $100 million of our variable LIBOR based debt up to 2.00%. In the event LIBOR is higher than 2.00%, we will pay interest at the capped rate of 2.00% with respect to the $100 million notional amount of such agreements. The interest rate cap contracts do not include the effect of the applicable margin. Changes in the fair value of these instruments will be recognized as a component of OCI and will be recognized in earnings when the hedged item affects earnings. The amounts received on the hedge are recognized as an adjustment to interest expense along with the earnings effect of the hedged item. The amount of net losses expected to be reclassified into earnings for all interest rate cap contracts in the next 12 months is $0.2 million.</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2018, we entered into one cross-currency swap, which converts $56.0 million of floating LIBOR-based U.S. dollar denominated debt into 1.38% fixed rate euro denominated debt. This cross-currency swap matures on April 30, 2021 and mitigates the risk associated with fluctuations in currency rates impacting cash flows related to U.S. dollar denominated debt in a euro functional currency entity. Changes in the fair value of the cross-currency swap are recognized as a component of OCI and will be recognized in earnings when the hedged item affects earnings. The amounts paid or received on the hedge are recognized as an adjustment to interest expense along with the earnings effect of the hedged item. The amount of net gains expected to be reclassified into earnings in the next 12 months is $0.5 million.</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our forecasted inventory purchases in a non-functional currency, we are exposed to foreign exchange risk. We hedge portions of these purchases. During February 2020, we entered into foreign exchange option contracts for a total notional amount of $96 million at a cost of $1.2 million. The contracts will mature ratably through the year with final maturity in October 2020. Changes in the fair value of the option contracts are recognized as a component of OCI and will be recognized in product cost of revenues when the hedged item affects earnings.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before-tax effects of our accounting for derivative instruments designated as hedges on AOCI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Derivatives in ASC 815-20</w:t>
            </w:r>
          </w:p>
        </w:tc>
        <w:tc>
          <w:tcPr>
            <w:tcW w:w="300" w:type="dxa"/>
            <w:vAlign w:val="bottom"/>
          </w:tcPr>
          <w:p>
            <w:pPr>
              <w:spacing w:after="0"/>
              <w:rPr>
                <w:sz w:val="17"/>
                <w:szCs w:val="17"/>
                <w:color w:val="auto"/>
              </w:rPr>
            </w:pPr>
          </w:p>
        </w:tc>
        <w:tc>
          <w:tcPr>
            <w:tcW w:w="2560" w:type="dxa"/>
            <w:vAlign w:val="bottom"/>
            <w:gridSpan w:val="5"/>
            <w:vMerge w:val="restart"/>
          </w:tcPr>
          <w:p>
            <w:pPr>
              <w:jc w:val="center"/>
              <w:ind w:right="420"/>
              <w:spacing w:after="0"/>
              <w:rPr>
                <w:sz w:val="20"/>
                <w:szCs w:val="20"/>
                <w:color w:val="auto"/>
              </w:rPr>
            </w:pPr>
            <w:r>
              <w:rPr>
                <w:rFonts w:ascii="Arial" w:cs="Arial" w:eastAsia="Arial" w:hAnsi="Arial"/>
                <w:sz w:val="16"/>
                <w:szCs w:val="16"/>
                <w:b w:val="1"/>
                <w:bCs w:val="1"/>
                <w:color w:val="auto"/>
                <w:w w:val="91"/>
              </w:rPr>
              <w:t>Amount of Gain (Loss)</w:t>
            </w:r>
          </w:p>
        </w:tc>
        <w:tc>
          <w:tcPr>
            <w:tcW w:w="3880" w:type="dxa"/>
            <w:vAlign w:val="bottom"/>
            <w:gridSpan w:val="6"/>
          </w:tcPr>
          <w:p>
            <w:pPr>
              <w:jc w:val="center"/>
              <w:ind w:left="1319"/>
              <w:spacing w:after="0"/>
              <w:rPr>
                <w:sz w:val="20"/>
                <w:szCs w:val="20"/>
                <w:color w:val="auto"/>
              </w:rPr>
            </w:pPr>
            <w:r>
              <w:rPr>
                <w:rFonts w:ascii="Arial" w:cs="Arial" w:eastAsia="Arial" w:hAnsi="Arial"/>
                <w:sz w:val="16"/>
                <w:szCs w:val="16"/>
                <w:b w:val="1"/>
                <w:bCs w:val="1"/>
                <w:color w:val="auto"/>
                <w:w w:val="90"/>
              </w:rPr>
              <w:t>Gain (Loss) Reclassified from</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30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2560" w:type="dxa"/>
            <w:vAlign w:val="bottom"/>
            <w:gridSpan w:val="5"/>
            <w:vMerge w:val="continue"/>
          </w:tcPr>
          <w:p>
            <w:pPr>
              <w:spacing w:after="0"/>
              <w:rPr>
                <w:sz w:val="5"/>
                <w:szCs w:val="5"/>
                <w:color w:val="auto"/>
              </w:rPr>
            </w:pPr>
          </w:p>
        </w:tc>
        <w:tc>
          <w:tcPr>
            <w:tcW w:w="1980" w:type="dxa"/>
            <w:vAlign w:val="bottom"/>
          </w:tcPr>
          <w:p>
            <w:pPr>
              <w:spacing w:after="0"/>
              <w:rPr>
                <w:sz w:val="5"/>
                <w:szCs w:val="5"/>
                <w:color w:val="auto"/>
              </w:rPr>
            </w:pPr>
          </w:p>
        </w:tc>
        <w:tc>
          <w:tcPr>
            <w:tcW w:w="1360" w:type="dxa"/>
            <w:vAlign w:val="bottom"/>
            <w:gridSpan w:val="3"/>
            <w:vMerge w:val="restart"/>
          </w:tcPr>
          <w:p>
            <w:pPr>
              <w:jc w:val="center"/>
              <w:ind w:right="20"/>
              <w:spacing w:after="0"/>
              <w:rPr>
                <w:sz w:val="20"/>
                <w:szCs w:val="20"/>
                <w:color w:val="auto"/>
              </w:rPr>
            </w:pPr>
            <w:r>
              <w:rPr>
                <w:rFonts w:ascii="Arial" w:cs="Arial" w:eastAsia="Arial" w:hAnsi="Arial"/>
                <w:sz w:val="16"/>
                <w:szCs w:val="16"/>
                <w:b w:val="1"/>
                <w:bCs w:val="1"/>
                <w:color w:val="auto"/>
                <w:w w:val="96"/>
              </w:rPr>
              <w:t>AOCI into Income</w:t>
            </w: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020" w:type="dxa"/>
            <w:vAlign w:val="bottom"/>
            <w:gridSpan w:val="2"/>
            <w:vMerge w:val="restart"/>
          </w:tcPr>
          <w:p>
            <w:pPr>
              <w:jc w:val="center"/>
              <w:ind w:right="100"/>
              <w:spacing w:after="0" w:line="176" w:lineRule="exact"/>
              <w:rPr>
                <w:sz w:val="20"/>
                <w:szCs w:val="20"/>
                <w:color w:val="auto"/>
              </w:rPr>
            </w:pPr>
            <w:r>
              <w:rPr>
                <w:rFonts w:ascii="Arial" w:cs="Arial" w:eastAsia="Arial" w:hAnsi="Arial"/>
                <w:sz w:val="16"/>
                <w:szCs w:val="16"/>
                <w:b w:val="1"/>
                <w:bCs w:val="1"/>
                <w:color w:val="auto"/>
                <w:w w:val="89"/>
              </w:rPr>
              <w:t>Cash Flow</w:t>
            </w:r>
          </w:p>
        </w:tc>
        <w:tc>
          <w:tcPr>
            <w:tcW w:w="300" w:type="dxa"/>
            <w:vAlign w:val="bottom"/>
          </w:tcPr>
          <w:p>
            <w:pPr>
              <w:spacing w:after="0"/>
              <w:rPr>
                <w:sz w:val="12"/>
                <w:szCs w:val="12"/>
                <w:color w:val="auto"/>
              </w:rPr>
            </w:pPr>
          </w:p>
        </w:tc>
        <w:tc>
          <w:tcPr>
            <w:tcW w:w="2560" w:type="dxa"/>
            <w:vAlign w:val="bottom"/>
            <w:gridSpan w:val="5"/>
            <w:vMerge w:val="restart"/>
          </w:tcPr>
          <w:p>
            <w:pPr>
              <w:jc w:val="center"/>
              <w:ind w:right="400"/>
              <w:spacing w:after="0" w:line="176" w:lineRule="exact"/>
              <w:rPr>
                <w:sz w:val="20"/>
                <w:szCs w:val="20"/>
                <w:color w:val="auto"/>
              </w:rPr>
            </w:pPr>
            <w:r>
              <w:rPr>
                <w:rFonts w:ascii="Arial" w:cs="Arial" w:eastAsia="Arial" w:hAnsi="Arial"/>
                <w:sz w:val="16"/>
                <w:szCs w:val="16"/>
                <w:b w:val="1"/>
                <w:bCs w:val="1"/>
                <w:color w:val="auto"/>
                <w:w w:val="91"/>
              </w:rPr>
              <w:t>Recognized in OCI on</w:t>
            </w:r>
          </w:p>
        </w:tc>
        <w:tc>
          <w:tcPr>
            <w:tcW w:w="19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302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2560" w:type="dxa"/>
            <w:vAlign w:val="bottom"/>
            <w:gridSpan w:val="5"/>
            <w:vMerge w:val="continue"/>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Hedging Relationships</w:t>
            </w:r>
          </w:p>
        </w:tc>
        <w:tc>
          <w:tcPr>
            <w:tcW w:w="300" w:type="dxa"/>
            <w:vAlign w:val="bottom"/>
          </w:tcPr>
          <w:p>
            <w:pPr>
              <w:spacing w:after="0"/>
              <w:rPr>
                <w:sz w:val="18"/>
                <w:szCs w:val="18"/>
                <w:color w:val="auto"/>
              </w:rPr>
            </w:pPr>
          </w:p>
        </w:tc>
        <w:tc>
          <w:tcPr>
            <w:tcW w:w="1540" w:type="dxa"/>
            <w:vAlign w:val="bottom"/>
            <w:gridSpan w:val="3"/>
          </w:tcPr>
          <w:p>
            <w:pPr>
              <w:jc w:val="center"/>
              <w:ind w:left="539"/>
              <w:spacing w:after="0"/>
              <w:rPr>
                <w:sz w:val="20"/>
                <w:szCs w:val="20"/>
                <w:color w:val="auto"/>
              </w:rPr>
            </w:pPr>
            <w:r>
              <w:rPr>
                <w:rFonts w:ascii="Arial" w:cs="Arial" w:eastAsia="Arial" w:hAnsi="Arial"/>
                <w:sz w:val="16"/>
                <w:szCs w:val="16"/>
                <w:b w:val="1"/>
                <w:bCs w:val="1"/>
                <w:color w:val="auto"/>
                <w:w w:val="94"/>
              </w:rPr>
              <w:t>Derivative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ind w:left="820"/>
              <w:spacing w:after="0"/>
              <w:rPr>
                <w:sz w:val="20"/>
                <w:szCs w:val="20"/>
                <w:color w:val="auto"/>
              </w:rPr>
            </w:pPr>
            <w:r>
              <w:rPr>
                <w:rFonts w:ascii="Arial" w:cs="Arial" w:eastAsia="Arial" w:hAnsi="Arial"/>
                <w:sz w:val="16"/>
                <w:szCs w:val="16"/>
                <w:b w:val="1"/>
                <w:bCs w:val="1"/>
                <w:color w:val="auto"/>
              </w:rPr>
              <w:t>Location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Amount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2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20" w:type="dxa"/>
            <w:vAlign w:val="bottom"/>
            <w:gridSpan w:val="2"/>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Interest rate swap contract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1360" w:type="dxa"/>
            <w:vAlign w:val="bottom"/>
            <w:tcBorders>
              <w:bottom w:val="single" w:sz="8" w:color="CCEEFF"/>
            </w:tcBorders>
            <w:gridSpan w:val="3"/>
            <w:shd w:val="clear" w:color="auto" w:fill="CCEEFF"/>
          </w:tcPr>
          <w:p>
            <w:pPr>
              <w:jc w:val="right"/>
              <w:ind w:right="8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23"/>
        </w:trPr>
        <w:tc>
          <w:tcPr>
            <w:tcW w:w="3020" w:type="dxa"/>
            <w:vAlign w:val="bottom"/>
            <w:gridSpan w:val="2"/>
          </w:tcPr>
          <w:p>
            <w:pPr>
              <w:ind w:left="340"/>
              <w:spacing w:after="0"/>
              <w:rPr>
                <w:sz w:val="20"/>
                <w:szCs w:val="20"/>
                <w:color w:val="auto"/>
              </w:rPr>
            </w:pPr>
            <w:r>
              <w:rPr>
                <w:rFonts w:ascii="Arial" w:cs="Arial" w:eastAsia="Arial" w:hAnsi="Arial"/>
                <w:sz w:val="16"/>
                <w:szCs w:val="16"/>
                <w:color w:val="auto"/>
              </w:rPr>
              <w:t>Interest rate cap contracts</w:t>
            </w:r>
          </w:p>
        </w:tc>
        <w:tc>
          <w:tcPr>
            <w:tcW w:w="3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9"/>
                <w:szCs w:val="19"/>
                <w:color w:val="auto"/>
              </w:rPr>
            </w:pPr>
          </w:p>
        </w:tc>
        <w:tc>
          <w:tcPr>
            <w:tcW w:w="198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ind w:right="59"/>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Foreign exchange options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Product cost of revenues</w:t>
            </w: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020" w:type="dxa"/>
            <w:vAlign w:val="bottom"/>
            <w:gridSpan w:val="2"/>
          </w:tcPr>
          <w:p>
            <w:pPr>
              <w:ind w:left="340"/>
              <w:spacing w:after="0"/>
              <w:rPr>
                <w:sz w:val="20"/>
                <w:szCs w:val="20"/>
                <w:color w:val="auto"/>
              </w:rPr>
            </w:pPr>
            <w:r>
              <w:rPr>
                <w:rFonts w:ascii="Arial" w:cs="Arial" w:eastAsia="Arial" w:hAnsi="Arial"/>
                <w:sz w:val="16"/>
                <w:szCs w:val="16"/>
                <w:color w:val="auto"/>
              </w:rPr>
              <w:t>Cross currency swap contract</w:t>
            </w:r>
          </w:p>
        </w:tc>
        <w:tc>
          <w:tcPr>
            <w:tcW w:w="3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1,255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2,008</w:t>
            </w:r>
          </w:p>
        </w:tc>
        <w:tc>
          <w:tcPr>
            <w:tcW w:w="100" w:type="dxa"/>
            <w:vAlign w:val="bottom"/>
          </w:tcPr>
          <w:p>
            <w:pPr>
              <w:spacing w:after="0"/>
              <w:rPr>
                <w:sz w:val="19"/>
                <w:szCs w:val="19"/>
                <w:color w:val="auto"/>
              </w:rPr>
            </w:pPr>
          </w:p>
        </w:tc>
        <w:tc>
          <w:tcPr>
            <w:tcW w:w="198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ind w:right="59"/>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0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Cross currency swap contract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0"/>
              </w:rPr>
              <w:t>Other income/(expense), net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33"/>
        </w:trPr>
        <w:tc>
          <w:tcPr>
            <w:tcW w:w="2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also exposed to foreign exchange risk when we enter into non-functional currency transactions, both intercompany and third party. At each period-end, non-functional currency monetary assets and liabilities are revalued with the change recognized within other income and expense. We enter into monthly foreign exchange forward contracts, which are not designated for hedge accounting, with the intent to reduce earnings volatility associated with currency exposures. As of March 31, 2020, a total of 53 contracts were offsetting our exposures from the euro, Indonesian rupiah, Chinese yuan, Canadian dollar, Indian rupee and various other currencies, with notional amounts ranging from $113,000 to $26.4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derivative instruments not designated as hedges on the Consolidated Statements of Operations was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Derivatives Not Designated as Hedging Instrument under</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80" w:type="dxa"/>
            <w:vAlign w:val="bottom"/>
            <w:gridSpan w:val="3"/>
          </w:tcPr>
          <w:p>
            <w:pPr>
              <w:jc w:val="center"/>
              <w:ind w:right="119"/>
              <w:spacing w:after="0"/>
              <w:rPr>
                <w:sz w:val="20"/>
                <w:szCs w:val="20"/>
                <w:color w:val="auto"/>
              </w:rPr>
            </w:pPr>
            <w:r>
              <w:rPr>
                <w:rFonts w:ascii="Arial" w:cs="Arial" w:eastAsia="Arial" w:hAnsi="Arial"/>
                <w:sz w:val="16"/>
                <w:szCs w:val="16"/>
                <w:b w:val="1"/>
                <w:bCs w:val="1"/>
                <w:color w:val="auto"/>
                <w:w w:val="90"/>
              </w:rPr>
              <w:t>Gain (Loss) Recognized on Derivatives in Other Income</w:t>
            </w:r>
          </w:p>
        </w:tc>
      </w:tr>
      <w:tr>
        <w:trPr>
          <w:trHeight w:val="210"/>
        </w:trPr>
        <w:tc>
          <w:tcPr>
            <w:tcW w:w="4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ASC 815-20</w:t>
            </w:r>
          </w:p>
        </w:tc>
        <w:tc>
          <w:tcPr>
            <w:tcW w:w="2520" w:type="dxa"/>
            <w:vAlign w:val="bottom"/>
            <w:gridSpan w:val="2"/>
          </w:tcPr>
          <w:p>
            <w:pPr>
              <w:ind w:left="900"/>
              <w:spacing w:after="0"/>
              <w:rPr>
                <w:sz w:val="20"/>
                <w:szCs w:val="20"/>
                <w:color w:val="auto"/>
              </w:rPr>
            </w:pPr>
            <w:r>
              <w:rPr>
                <w:rFonts w:ascii="Arial" w:cs="Arial" w:eastAsia="Arial" w:hAnsi="Arial"/>
                <w:sz w:val="16"/>
                <w:szCs w:val="16"/>
                <w:b w:val="1"/>
                <w:bCs w:val="1"/>
                <w:color w:val="auto"/>
              </w:rPr>
              <w:t>Location</w:t>
            </w:r>
          </w:p>
        </w:tc>
        <w:tc>
          <w:tcPr>
            <w:tcW w:w="200" w:type="dxa"/>
            <w:vAlign w:val="bottom"/>
          </w:tcPr>
          <w:p>
            <w:pPr>
              <w:spacing w:after="0"/>
              <w:rPr>
                <w:sz w:val="18"/>
                <w:szCs w:val="18"/>
                <w:color w:val="auto"/>
              </w:rPr>
            </w:pPr>
          </w:p>
        </w:tc>
        <w:tc>
          <w:tcPr>
            <w:tcW w:w="2700" w:type="dxa"/>
            <w:vAlign w:val="bottom"/>
            <w:gridSpan w:val="2"/>
          </w:tcPr>
          <w:p>
            <w:pPr>
              <w:jc w:val="center"/>
              <w:ind w:left="1299"/>
              <w:spacing w:after="0"/>
              <w:rPr>
                <w:sz w:val="20"/>
                <w:szCs w:val="20"/>
                <w:color w:val="auto"/>
              </w:rPr>
            </w:pPr>
            <w:r>
              <w:rPr>
                <w:rFonts w:ascii="Arial" w:cs="Arial" w:eastAsia="Arial" w:hAnsi="Arial"/>
                <w:sz w:val="16"/>
                <w:szCs w:val="16"/>
                <w:b w:val="1"/>
                <w:bCs w:val="1"/>
                <w:color w:val="auto"/>
                <w:w w:val="88"/>
              </w:rPr>
              <w:t>(Expense)</w:t>
            </w:r>
          </w:p>
        </w:tc>
        <w:tc>
          <w:tcPr>
            <w:tcW w:w="1580" w:type="dxa"/>
            <w:vAlign w:val="bottom"/>
          </w:tcPr>
          <w:p>
            <w:pPr>
              <w:spacing w:after="0"/>
              <w:rPr>
                <w:sz w:val="18"/>
                <w:szCs w:val="18"/>
                <w:color w:val="auto"/>
              </w:rPr>
            </w:pPr>
          </w:p>
        </w:tc>
      </w:tr>
      <w:tr>
        <w:trPr>
          <w:trHeight w:val="33"/>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42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jc w:val="right"/>
              <w:ind w:right="839"/>
              <w:spacing w:after="0"/>
              <w:rPr>
                <w:sz w:val="20"/>
                <w:szCs w:val="20"/>
                <w:color w:val="auto"/>
              </w:rPr>
            </w:pPr>
            <w:r>
              <w:rPr>
                <w:rFonts w:ascii="Arial" w:cs="Arial" w:eastAsia="Arial" w:hAnsi="Arial"/>
                <w:sz w:val="16"/>
                <w:szCs w:val="16"/>
                <w:b w:val="1"/>
                <w:bCs w:val="1"/>
                <w:color w:val="auto"/>
              </w:rPr>
              <w:t>2020</w:t>
            </w:r>
          </w:p>
        </w:tc>
        <w:tc>
          <w:tcPr>
            <w:tcW w:w="720" w:type="dxa"/>
            <w:vAlign w:val="bottom"/>
          </w:tcPr>
          <w:p>
            <w:pPr>
              <w:spacing w:after="0"/>
              <w:rPr>
                <w:sz w:val="18"/>
                <w:szCs w:val="18"/>
                <w:color w:val="auto"/>
              </w:rPr>
            </w:pPr>
          </w:p>
        </w:tc>
        <w:tc>
          <w:tcPr>
            <w:tcW w:w="1580" w:type="dxa"/>
            <w:vAlign w:val="bottom"/>
          </w:tcPr>
          <w:p>
            <w:pPr>
              <w:jc w:val="right"/>
              <w:ind w:right="859"/>
              <w:spacing w:after="0"/>
              <w:rPr>
                <w:sz w:val="20"/>
                <w:szCs w:val="20"/>
                <w:color w:val="auto"/>
              </w:rPr>
            </w:pPr>
            <w:r>
              <w:rPr>
                <w:rFonts w:ascii="Arial" w:cs="Arial" w:eastAsia="Arial" w:hAnsi="Arial"/>
                <w:sz w:val="16"/>
                <w:szCs w:val="16"/>
                <w:b w:val="1"/>
                <w:bCs w:val="1"/>
                <w:color w:val="auto"/>
              </w:rPr>
              <w:t>2019</w:t>
            </w:r>
          </w:p>
        </w:tc>
      </w:tr>
      <w:tr>
        <w:trPr>
          <w:trHeight w:val="33"/>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4240" w:type="dxa"/>
            <w:vAlign w:val="bottom"/>
            <w:gridSpan w:val="2"/>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3"/>
        </w:trPr>
        <w:tc>
          <w:tcPr>
            <w:tcW w:w="42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Foreign exchange forward contracts</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1,493</w:t>
            </w:r>
          </w:p>
        </w:tc>
        <w:tc>
          <w:tcPr>
            <w:tcW w:w="7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(790)</w:t>
            </w:r>
          </w:p>
        </w:tc>
      </w:tr>
      <w:tr>
        <w:trPr>
          <w:trHeight w:val="33"/>
        </w:trPr>
        <w:tc>
          <w:tcPr>
            <w:tcW w:w="4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We will continue to monitor and assess our interest rate and foreign exchange risk and may institute additional derivative instruments to manage such risk in the future.</w:t>
      </w:r>
    </w:p>
    <w:p>
      <w:pPr>
        <w:spacing w:after="0" w:line="19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sponsor both funded and unfunded defined benefit pension plans offering death and disability, retirement, and special termination benefits for certain of our international employees, primarily in Germany, France, Indonesia, India, and Italy. The defined benefit obligation is calculated annually by using the projected unit credit method. The measurement date for the pension plans was 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Consolidated Balance Sheets consist of:</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2020</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6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color w:val="auto"/>
              </w:rPr>
              <w:t>Assets</w:t>
            </w: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6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Plan assets in other long-term assets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w:t>
            </w:r>
          </w:p>
        </w:tc>
      </w:tr>
      <w:tr>
        <w:trPr>
          <w:trHeight w:val="223"/>
        </w:trPr>
        <w:tc>
          <w:tcPr>
            <w:tcW w:w="676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3"/>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6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Current portion of pension benefit obligation in wages and benefits payable</w:t>
            </w:r>
          </w:p>
        </w:tc>
        <w:tc>
          <w:tcPr>
            <w:tcW w:w="3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2,885</w:t>
            </w:r>
          </w:p>
        </w:tc>
      </w:tr>
      <w:tr>
        <w:trPr>
          <w:trHeight w:val="223"/>
        </w:trPr>
        <w:tc>
          <w:tcPr>
            <w:tcW w:w="6760" w:type="dxa"/>
            <w:vAlign w:val="bottom"/>
          </w:tcPr>
          <w:p>
            <w:pPr>
              <w:ind w:left="220"/>
              <w:spacing w:after="0"/>
              <w:rPr>
                <w:sz w:val="20"/>
                <w:szCs w:val="20"/>
                <w:color w:val="auto"/>
              </w:rPr>
            </w:pPr>
            <w:r>
              <w:rPr>
                <w:rFonts w:ascii="Arial" w:cs="Arial" w:eastAsia="Arial" w:hAnsi="Arial"/>
                <w:sz w:val="16"/>
                <w:szCs w:val="16"/>
                <w:color w:val="auto"/>
              </w:rPr>
              <w:t>Long-term portion of pension benefit obligation</w:t>
            </w:r>
          </w:p>
        </w:tc>
        <w:tc>
          <w:tcPr>
            <w:tcW w:w="320" w:type="dxa"/>
            <w:vAlign w:val="bottom"/>
          </w:tcPr>
          <w:p>
            <w:pPr>
              <w:spacing w:after="0"/>
              <w:rPr>
                <w:sz w:val="19"/>
                <w:szCs w:val="19"/>
                <w:color w:val="auto"/>
              </w:rPr>
            </w:pPr>
          </w:p>
        </w:tc>
        <w:tc>
          <w:tcPr>
            <w:tcW w:w="1860" w:type="dxa"/>
            <w:vAlign w:val="bottom"/>
          </w:tcPr>
          <w:p>
            <w:pPr>
              <w:jc w:val="right"/>
              <w:ind w:right="59"/>
              <w:spacing w:after="0"/>
              <w:rPr>
                <w:sz w:val="20"/>
                <w:szCs w:val="20"/>
                <w:color w:val="auto"/>
              </w:rPr>
            </w:pPr>
            <w:r>
              <w:rPr>
                <w:rFonts w:ascii="Arial" w:cs="Arial" w:eastAsia="Arial" w:hAnsi="Arial"/>
                <w:sz w:val="16"/>
                <w:szCs w:val="16"/>
                <w:color w:val="auto"/>
              </w:rPr>
              <w:t>97,523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98,712</w:t>
            </w:r>
          </w:p>
        </w:tc>
      </w:tr>
      <w:tr>
        <w:trPr>
          <w:trHeight w:val="33"/>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75"/>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Pension benefit obligation, net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100,520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101,553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 for our plans include the following components: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96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Pr>
          <w:p>
            <w:pPr>
              <w:spacing w:after="0"/>
              <w:rPr>
                <w:sz w:val="18"/>
                <w:szCs w:val="18"/>
                <w:color w:val="auto"/>
              </w:rPr>
            </w:pPr>
          </w:p>
        </w:tc>
        <w:tc>
          <w:tcPr>
            <w:tcW w:w="1660" w:type="dxa"/>
            <w:vAlign w:val="bottom"/>
          </w:tcPr>
          <w:p>
            <w:pPr>
              <w:jc w:val="right"/>
              <w:ind w:right="8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ind w:right="859"/>
              <w:spacing w:after="0"/>
              <w:rPr>
                <w:sz w:val="20"/>
                <w:szCs w:val="20"/>
                <w:color w:val="auto"/>
              </w:rPr>
            </w:pPr>
            <w:r>
              <w:rPr>
                <w:rFonts w:ascii="Arial" w:cs="Arial" w:eastAsia="Arial" w:hAnsi="Arial"/>
                <w:sz w:val="16"/>
                <w:szCs w:val="16"/>
                <w:b w:val="1"/>
                <w:bCs w:val="1"/>
                <w:color w:val="auto"/>
              </w:rPr>
              <w:t>2019</w:t>
            </w:r>
          </w:p>
        </w:tc>
      </w:tr>
      <w:tr>
        <w:trPr>
          <w:trHeight w:val="33"/>
        </w:trPr>
        <w:tc>
          <w:tcPr>
            <w:tcW w:w="6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976</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1,079</w:t>
            </w:r>
          </w:p>
        </w:tc>
      </w:tr>
      <w:tr>
        <w:trPr>
          <w:trHeight w:val="224"/>
        </w:trPr>
        <w:tc>
          <w:tcPr>
            <w:tcW w:w="67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473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582</w:t>
            </w:r>
          </w:p>
        </w:tc>
      </w:tr>
      <w:tr>
        <w:trPr>
          <w:trHeight w:val="33"/>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r>
      <w:tr>
        <w:trPr>
          <w:trHeight w:val="223"/>
        </w:trPr>
        <w:tc>
          <w:tcPr>
            <w:tcW w:w="6760" w:type="dxa"/>
            <w:vAlign w:val="bottom"/>
          </w:tcPr>
          <w:p>
            <w:pPr>
              <w:ind w:left="20"/>
              <w:spacing w:after="0"/>
              <w:rPr>
                <w:sz w:val="20"/>
                <w:szCs w:val="20"/>
                <w:color w:val="auto"/>
              </w:rPr>
            </w:pPr>
            <w:r>
              <w:rPr>
                <w:rFonts w:ascii="Arial" w:cs="Arial" w:eastAsia="Arial" w:hAnsi="Arial"/>
                <w:sz w:val="16"/>
                <w:szCs w:val="16"/>
                <w:color w:val="auto"/>
              </w:rPr>
              <w:t>Amortization of prior service costs</w:t>
            </w: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17</w:t>
            </w:r>
          </w:p>
        </w:tc>
      </w:tr>
      <w:tr>
        <w:trPr>
          <w:trHeight w:val="33"/>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6"/>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actuarial net loss</w:t>
            </w: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455</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345</w:t>
            </w:r>
          </w:p>
        </w:tc>
      </w:tr>
      <w:tr>
        <w:trPr>
          <w:trHeight w:val="247"/>
        </w:trPr>
        <w:tc>
          <w:tcPr>
            <w:tcW w:w="6760" w:type="dxa"/>
            <w:vAlign w:val="bottom"/>
          </w:tcPr>
          <w:p>
            <w:pPr>
              <w:ind w:left="340"/>
              <w:spacing w:after="0"/>
              <w:rPr>
                <w:sz w:val="20"/>
                <w:szCs w:val="20"/>
                <w:color w:val="auto"/>
              </w:rPr>
            </w:pPr>
            <w:r>
              <w:rPr>
                <w:rFonts w:ascii="Arial" w:cs="Arial" w:eastAsia="Arial" w:hAnsi="Arial"/>
                <w:sz w:val="16"/>
                <w:szCs w:val="16"/>
                <w:color w:val="auto"/>
              </w:rPr>
              <w:t>Net periodic benefit cost</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1,774</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1,867</w:t>
            </w:r>
          </w:p>
        </w:tc>
      </w:tr>
      <w:tr>
        <w:trPr>
          <w:trHeight w:val="24"/>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total other income (expense) on the Consolidated Statements of Operations.</w:t>
      </w:r>
    </w:p>
    <w:p>
      <w:pPr>
        <w:spacing w:after="0" w:line="19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grant stock-based compensation awards under the Second Amended and Restated 2010 Stock Incentive Plan (Stock Incentive Plan), including stock options, restricted stock units, phantom stock, and unrestricted stock units. In the Stock Incentive Plan, we have 12,623,538 shares of common stock reserved and authorized for issuance subject to stock splits, dividends, and other similar events. At March 31, 2020, 5,611,169 shares were available for grant under the Stock Incentive Plan. We issue new shares of common stock upon the exercise of stock options or when vesting conditions on restricted stock units are fully satisfied. These shares are subject to a fungible share provision such that the authorized share reserve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periodically award phantom stock units, which are settled in cash upon vesting and accounted for as liability-based awards with no impact to the shares available for grant.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maintain the Employee Stock Purchase Plan (ESPP), for which 222,922 shares of common stock were available for future issuance at March 31, 2020.</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other forms of stock grants, including, Unrestricted stock, ESPP, and Phantom stock units were not significant for the three months ended March 31, 2020 and 2019.</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and the related tax benefit were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96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Pr>
          <w:p>
            <w:pPr>
              <w:spacing w:after="0"/>
              <w:rPr>
                <w:sz w:val="18"/>
                <w:szCs w:val="18"/>
                <w:color w:val="auto"/>
              </w:rPr>
            </w:pPr>
          </w:p>
        </w:tc>
        <w:tc>
          <w:tcPr>
            <w:tcW w:w="1660" w:type="dxa"/>
            <w:vAlign w:val="bottom"/>
          </w:tcPr>
          <w:p>
            <w:pPr>
              <w:jc w:val="right"/>
              <w:ind w:right="8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ind w:right="859"/>
              <w:spacing w:after="0"/>
              <w:rPr>
                <w:sz w:val="20"/>
                <w:szCs w:val="20"/>
                <w:color w:val="auto"/>
              </w:rPr>
            </w:pPr>
            <w:r>
              <w:rPr>
                <w:rFonts w:ascii="Arial" w:cs="Arial" w:eastAsia="Arial" w:hAnsi="Arial"/>
                <w:sz w:val="16"/>
                <w:szCs w:val="16"/>
                <w:b w:val="1"/>
                <w:bCs w:val="1"/>
                <w:color w:val="auto"/>
              </w:rPr>
              <w:t>2019</w:t>
            </w:r>
          </w:p>
        </w:tc>
      </w:tr>
      <w:tr>
        <w:trPr>
          <w:trHeight w:val="33"/>
        </w:trPr>
        <w:tc>
          <w:tcPr>
            <w:tcW w:w="6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467</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581</w:t>
            </w:r>
          </w:p>
        </w:tc>
      </w:tr>
      <w:tr>
        <w:trPr>
          <w:trHeight w:val="223"/>
        </w:trPr>
        <w:tc>
          <w:tcPr>
            <w:tcW w:w="676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7,809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6,467</w:t>
            </w:r>
          </w:p>
        </w:tc>
      </w:tr>
      <w:tr>
        <w:trPr>
          <w:trHeight w:val="33"/>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6"/>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Unrestricted stock awards</w:t>
            </w: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w:t>
            </w:r>
          </w:p>
        </w:tc>
      </w:tr>
      <w:tr>
        <w:trPr>
          <w:trHeight w:val="223"/>
        </w:trPr>
        <w:tc>
          <w:tcPr>
            <w:tcW w:w="6760" w:type="dxa"/>
            <w:vAlign w:val="bottom"/>
          </w:tcPr>
          <w:p>
            <w:pPr>
              <w:ind w:left="20"/>
              <w:spacing w:after="0"/>
              <w:rPr>
                <w:sz w:val="20"/>
                <w:szCs w:val="20"/>
                <w:color w:val="auto"/>
              </w:rPr>
            </w:pPr>
            <w:r>
              <w:rPr>
                <w:rFonts w:ascii="Arial" w:cs="Arial" w:eastAsia="Arial" w:hAnsi="Arial"/>
                <w:sz w:val="16"/>
                <w:szCs w:val="16"/>
                <w:color w:val="auto"/>
              </w:rPr>
              <w:t>Phantom stock units</w:t>
            </w: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918</w:t>
            </w:r>
          </w:p>
        </w:tc>
      </w:tr>
      <w:tr>
        <w:trPr>
          <w:trHeight w:val="33"/>
        </w:trPr>
        <w:tc>
          <w:tcPr>
            <w:tcW w:w="67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72"/>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stock-based compensation</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8,915</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8,123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79"/>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Related tax benefit</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1,767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1,443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is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Weighted</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Average Exercise</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7"/>
                <w:szCs w:val="17"/>
                <w:color w:val="auto"/>
              </w:rPr>
            </w:pPr>
          </w:p>
        </w:tc>
        <w:tc>
          <w:tcPr>
            <w:tcW w:w="168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8"/>
              </w:rPr>
              <w:t>Aggregate</w:t>
            </w: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Average Grant</w:t>
            </w:r>
          </w:p>
        </w:tc>
      </w:tr>
      <w:tr>
        <w:trPr>
          <w:trHeight w:val="210"/>
        </w:trPr>
        <w:tc>
          <w:tcPr>
            <w:tcW w:w="308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Price per Share</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200" w:type="dxa"/>
            <w:vAlign w:val="bottom"/>
          </w:tcPr>
          <w:p>
            <w:pPr>
              <w:spacing w:after="0"/>
              <w:rPr>
                <w:sz w:val="18"/>
                <w:szCs w:val="18"/>
                <w:color w:val="auto"/>
              </w:rPr>
            </w:pPr>
          </w:p>
        </w:tc>
        <w:tc>
          <w:tcPr>
            <w:tcW w:w="168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3"/>
              </w:rPr>
              <w:t>Intrinsic Value</w:t>
            </w: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Date Fair Value</w:t>
            </w:r>
          </w:p>
        </w:tc>
      </w:tr>
      <w:tr>
        <w:trPr>
          <w:trHeight w:val="33"/>
        </w:trPr>
        <w:tc>
          <w:tcPr>
            <w:tcW w:w="30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08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(in thousands)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(years)</w:t>
            </w:r>
          </w:p>
        </w:tc>
        <w:tc>
          <w:tcPr>
            <w:tcW w:w="200" w:type="dxa"/>
            <w:vAlign w:val="bottom"/>
          </w:tcPr>
          <w:p>
            <w:pPr>
              <w:spacing w:after="0"/>
              <w:rPr>
                <w:sz w:val="18"/>
                <w:szCs w:val="18"/>
                <w:color w:val="auto"/>
              </w:rPr>
            </w:pPr>
          </w:p>
        </w:tc>
        <w:tc>
          <w:tcPr>
            <w:tcW w:w="1680" w:type="dxa"/>
            <w:vAlign w:val="bottom"/>
            <w:gridSpan w:val="3"/>
          </w:tcPr>
          <w:p>
            <w:pPr>
              <w:jc w:val="center"/>
              <w:ind w:right="460"/>
              <w:spacing w:after="0"/>
              <w:rPr>
                <w:sz w:val="20"/>
                <w:szCs w:val="20"/>
                <w:color w:val="auto"/>
              </w:rPr>
            </w:pPr>
            <w:r>
              <w:rPr>
                <w:rFonts w:ascii="Arial" w:cs="Arial" w:eastAsia="Arial" w:hAnsi="Arial"/>
                <w:sz w:val="16"/>
                <w:szCs w:val="16"/>
                <w:color w:val="auto"/>
                <w:w w:val="92"/>
              </w:rPr>
              <w:t>(in thousands)</w:t>
            </w:r>
          </w:p>
        </w:tc>
        <w:tc>
          <w:tcPr>
            <w:tcW w:w="1360" w:type="dxa"/>
            <w:vAlign w:val="bottom"/>
          </w:tcPr>
          <w:p>
            <w:pPr>
              <w:spacing w:after="0"/>
              <w:rPr>
                <w:sz w:val="18"/>
                <w:szCs w:val="18"/>
                <w:color w:val="auto"/>
              </w:rPr>
            </w:pPr>
          </w:p>
        </w:tc>
      </w:tr>
      <w:tr>
        <w:trPr>
          <w:trHeight w:val="33"/>
        </w:trPr>
        <w:tc>
          <w:tcPr>
            <w:tcW w:w="3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January 1, 2019</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47.93</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24"/>
        </w:trPr>
        <w:tc>
          <w:tcPr>
            <w:tcW w:w="3080" w:type="dxa"/>
            <w:vAlign w:val="bottom"/>
          </w:tcPr>
          <w:p>
            <w:pPr>
              <w:ind w:left="340"/>
              <w:spacing w:after="0"/>
              <w:rPr>
                <w:sz w:val="20"/>
                <w:szCs w:val="20"/>
                <w:color w:val="auto"/>
              </w:rPr>
            </w:pPr>
            <w:r>
              <w:rPr>
                <w:rFonts w:ascii="Arial" w:cs="Arial" w:eastAsia="Arial" w:hAnsi="Arial"/>
                <w:sz w:val="16"/>
                <w:szCs w:val="16"/>
                <w:color w:val="auto"/>
              </w:rPr>
              <w:t>Exercised</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44.99</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3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Forfeited</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67.53</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17"/>
        </w:trPr>
        <w:tc>
          <w:tcPr>
            <w:tcW w:w="3080" w:type="dxa"/>
            <w:vAlign w:val="bottom"/>
          </w:tcPr>
          <w:p>
            <w:pPr>
              <w:ind w:left="20"/>
              <w:spacing w:after="0"/>
              <w:rPr>
                <w:sz w:val="20"/>
                <w:szCs w:val="20"/>
                <w:color w:val="auto"/>
              </w:rPr>
            </w:pPr>
            <w:r>
              <w:rPr>
                <w:rFonts w:ascii="Arial" w:cs="Arial" w:eastAsia="Arial" w:hAnsi="Arial"/>
                <w:sz w:val="16"/>
                <w:szCs w:val="16"/>
                <w:color w:val="auto"/>
              </w:rPr>
              <w:t>Outstanding, March 31, 2019</w:t>
            </w:r>
          </w:p>
        </w:tc>
        <w:tc>
          <w:tcPr>
            <w:tcW w:w="1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868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47.83</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4,402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0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r>
      <w:tr>
        <w:trPr>
          <w:trHeight w:val="223"/>
        </w:trPr>
        <w:tc>
          <w:tcPr>
            <w:tcW w:w="30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6"/>
                <w:szCs w:val="16"/>
                <w:color w:val="auto"/>
              </w:rPr>
              <w:t>Outstanding, January 1, 2020</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56.38</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12,641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3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Granted</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87.27</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26.72</w:t>
            </w:r>
          </w:p>
        </w:tc>
      </w:tr>
      <w:tr>
        <w:trPr>
          <w:trHeight w:val="224"/>
        </w:trPr>
        <w:tc>
          <w:tcPr>
            <w:tcW w:w="3080" w:type="dxa"/>
            <w:vAlign w:val="bottom"/>
          </w:tcPr>
          <w:p>
            <w:pPr>
              <w:ind w:left="340"/>
              <w:spacing w:after="0"/>
              <w:rPr>
                <w:sz w:val="20"/>
                <w:szCs w:val="20"/>
                <w:color w:val="auto"/>
              </w:rPr>
            </w:pPr>
            <w:r>
              <w:rPr>
                <w:rFonts w:ascii="Arial" w:cs="Arial" w:eastAsia="Arial" w:hAnsi="Arial"/>
                <w:sz w:val="16"/>
                <w:szCs w:val="16"/>
                <w:color w:val="auto"/>
              </w:rPr>
              <w:t>Exercised</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54.03</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934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75"/>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March 31, 2020</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61.13</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203"/>
        </w:trPr>
        <w:tc>
          <w:tcPr>
            <w:tcW w:w="3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8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Exercisable, March 31, 2020</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49.74</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3,096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March 31, 2020, total unrecognized stock-based compensation expense related to nonvested stock options was $4.0 million, which is expected to be recognized over a weighted average period of approximately 2.4 years.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assumptions used to estimate the fair value of stock options granted and the resulting weighted average fair value are as follows:</w:t>
      </w:r>
    </w:p>
    <w:p>
      <w:pPr>
        <w:spacing w:after="0" w:line="87" w:lineRule="exact"/>
        <w:rPr>
          <w:sz w:val="20"/>
          <w:szCs w:val="20"/>
          <w:color w:val="auto"/>
        </w:rPr>
      </w:pPr>
    </w:p>
    <w:p>
      <w:pPr>
        <w:ind w:left="78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37465</wp:posOffset>
            </wp:positionV>
            <wp:extent cx="28975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2020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jc w:val="right"/>
              <w:ind w:right="879"/>
              <w:spacing w:after="0"/>
              <w:rPr>
                <w:sz w:val="20"/>
                <w:szCs w:val="20"/>
                <w:color w:val="auto"/>
              </w:rPr>
            </w:pPr>
            <w:r>
              <w:rPr>
                <w:rFonts w:ascii="Arial" w:cs="Arial" w:eastAsia="Arial" w:hAnsi="Arial"/>
                <w:sz w:val="16"/>
                <w:szCs w:val="16"/>
                <w:b w:val="1"/>
                <w:bCs w:val="1"/>
                <w:color w:val="auto"/>
              </w:rPr>
              <w:t>2019</w:t>
            </w:r>
          </w:p>
        </w:tc>
      </w:tr>
      <w:tr>
        <w:trPr>
          <w:trHeight w:val="33"/>
        </w:trPr>
        <w:tc>
          <w:tcPr>
            <w:tcW w:w="66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6"/>
                <w:szCs w:val="16"/>
                <w:color w:val="auto"/>
              </w:rPr>
              <w:t>Risk-free interest rate</w:t>
            </w:r>
          </w:p>
        </w:tc>
        <w:tc>
          <w:tcPr>
            <w:tcW w:w="540" w:type="dxa"/>
            <w:vAlign w:val="bottom"/>
          </w:tcPr>
          <w:p>
            <w:pPr>
              <w:jc w:val="right"/>
              <w:spacing w:after="0"/>
              <w:rPr>
                <w:sz w:val="20"/>
                <w:szCs w:val="20"/>
                <w:color w:val="auto"/>
              </w:rPr>
            </w:pPr>
            <w:r>
              <w:rPr>
                <w:rFonts w:ascii="Arial" w:cs="Arial" w:eastAsia="Arial" w:hAnsi="Arial"/>
                <w:sz w:val="16"/>
                <w:szCs w:val="16"/>
                <w:color w:val="auto"/>
              </w:rPr>
              <w:t>1.4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6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24"/>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33"/>
        </w:trPr>
        <w:tc>
          <w:tcPr>
            <w:tcW w:w="66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employee stock options granted for the three months ended March 31, 2019.</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Weighted</w:t>
            </w: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4420" w:type="dxa"/>
            <w:vAlign w:val="bottom"/>
          </w:tcPr>
          <w:p>
            <w:pPr>
              <w:spacing w:after="0"/>
              <w:rPr>
                <w:sz w:val="17"/>
                <w:szCs w:val="17"/>
                <w:color w:val="auto"/>
              </w:rPr>
            </w:pPr>
          </w:p>
        </w:tc>
        <w:tc>
          <w:tcPr>
            <w:tcW w:w="2180" w:type="dxa"/>
            <w:vAlign w:val="bottom"/>
          </w:tcPr>
          <w:p>
            <w:pPr>
              <w:jc w:val="right"/>
              <w:ind w:right="63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Average Grant</w:t>
            </w:r>
          </w:p>
        </w:tc>
        <w:tc>
          <w:tcPr>
            <w:tcW w:w="340" w:type="dxa"/>
            <w:vAlign w:val="bottom"/>
          </w:tcPr>
          <w:p>
            <w:pPr>
              <w:spacing w:after="0"/>
              <w:rPr>
                <w:sz w:val="17"/>
                <w:szCs w:val="17"/>
                <w:color w:val="auto"/>
              </w:rPr>
            </w:pPr>
          </w:p>
        </w:tc>
        <w:tc>
          <w:tcPr>
            <w:tcW w:w="1840" w:type="dxa"/>
            <w:vAlign w:val="bottom"/>
          </w:tcPr>
          <w:p>
            <w:pPr>
              <w:jc w:val="right"/>
              <w:ind w:right="659"/>
              <w:spacing w:after="0"/>
              <w:rPr>
                <w:sz w:val="20"/>
                <w:szCs w:val="20"/>
                <w:color w:val="auto"/>
              </w:rPr>
            </w:pPr>
            <w:r>
              <w:rPr>
                <w:rFonts w:ascii="Arial" w:cs="Arial" w:eastAsia="Arial" w:hAnsi="Arial"/>
                <w:sz w:val="16"/>
                <w:szCs w:val="16"/>
                <w:b w:val="1"/>
                <w:bCs w:val="1"/>
                <w:color w:val="auto"/>
              </w:rPr>
              <w:t>Aggregate</w:t>
            </w:r>
          </w:p>
        </w:tc>
      </w:tr>
      <w:tr>
        <w:trPr>
          <w:trHeight w:val="210"/>
        </w:trPr>
        <w:tc>
          <w:tcPr>
            <w:tcW w:w="4420" w:type="dxa"/>
            <w:vAlign w:val="bottom"/>
          </w:tcPr>
          <w:p>
            <w:pPr>
              <w:ind w:left="20"/>
              <w:spacing w:after="0"/>
              <w:rPr>
                <w:sz w:val="20"/>
                <w:szCs w:val="20"/>
                <w:color w:val="auto"/>
              </w:rPr>
            </w:pPr>
            <w:r>
              <w:rPr>
                <w:rFonts w:ascii="Arial" w:cs="Arial" w:eastAsia="Arial" w:hAnsi="Arial"/>
                <w:sz w:val="16"/>
                <w:szCs w:val="16"/>
                <w:i w:val="1"/>
                <w:iCs w:val="1"/>
                <w:color w:val="auto"/>
              </w:rPr>
              <w:t>In thousands, except fair value</w:t>
            </w:r>
          </w:p>
        </w:tc>
        <w:tc>
          <w:tcPr>
            <w:tcW w:w="2180" w:type="dxa"/>
            <w:vAlign w:val="bottom"/>
          </w:tcPr>
          <w:p>
            <w:pPr>
              <w:jc w:val="right"/>
              <w:ind w:right="239"/>
              <w:spacing w:after="0"/>
              <w:rPr>
                <w:sz w:val="20"/>
                <w:szCs w:val="20"/>
                <w:color w:val="auto"/>
              </w:rPr>
            </w:pPr>
            <w:r>
              <w:rPr>
                <w:rFonts w:ascii="Arial" w:cs="Arial" w:eastAsia="Arial" w:hAnsi="Arial"/>
                <w:sz w:val="16"/>
                <w:szCs w:val="16"/>
                <w:b w:val="1"/>
                <w:bCs w:val="1"/>
                <w:color w:val="auto"/>
              </w:rPr>
              <w:t>Restricted Stock Units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Date Fair Value</w:t>
            </w:r>
          </w:p>
        </w:tc>
        <w:tc>
          <w:tcPr>
            <w:tcW w:w="340" w:type="dxa"/>
            <w:vAlign w:val="bottom"/>
          </w:tcPr>
          <w:p>
            <w:pPr>
              <w:spacing w:after="0"/>
              <w:rPr>
                <w:sz w:val="18"/>
                <w:szCs w:val="18"/>
                <w:color w:val="auto"/>
              </w:rPr>
            </w:pPr>
          </w:p>
        </w:tc>
        <w:tc>
          <w:tcPr>
            <w:tcW w:w="1840" w:type="dxa"/>
            <w:vAlign w:val="bottom"/>
          </w:tcPr>
          <w:p>
            <w:pPr>
              <w:jc w:val="right"/>
              <w:ind w:right="499"/>
              <w:spacing w:after="0"/>
              <w:rPr>
                <w:sz w:val="20"/>
                <w:szCs w:val="20"/>
                <w:color w:val="auto"/>
              </w:rPr>
            </w:pPr>
            <w:r>
              <w:rPr>
                <w:rFonts w:ascii="Arial" w:cs="Arial" w:eastAsia="Arial" w:hAnsi="Arial"/>
                <w:sz w:val="16"/>
                <w:szCs w:val="16"/>
                <w:b w:val="1"/>
                <w:bCs w:val="1"/>
                <w:color w:val="auto"/>
              </w:rPr>
              <w:t>Intrinsic Value</w:t>
            </w:r>
          </w:p>
        </w:tc>
      </w:tr>
      <w:tr>
        <w:trPr>
          <w:trHeight w:val="33"/>
        </w:trPr>
        <w:tc>
          <w:tcPr>
            <w:tcW w:w="44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January 1, 2019</w:t>
            </w:r>
          </w:p>
        </w:tc>
        <w:tc>
          <w:tcPr>
            <w:tcW w:w="2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23"/>
        </w:trPr>
        <w:tc>
          <w:tcPr>
            <w:tcW w:w="4420" w:type="dxa"/>
            <w:vAlign w:val="bottom"/>
          </w:tcPr>
          <w:p>
            <w:pPr>
              <w:ind w:left="340"/>
              <w:spacing w:after="0"/>
              <w:rPr>
                <w:sz w:val="20"/>
                <w:szCs w:val="20"/>
                <w:color w:val="auto"/>
              </w:rPr>
            </w:pPr>
            <w:r>
              <w:rPr>
                <w:rFonts w:ascii="Arial" w:cs="Arial" w:eastAsia="Arial" w:hAnsi="Arial"/>
                <w:sz w:val="16"/>
                <w:szCs w:val="16"/>
                <w:color w:val="auto"/>
              </w:rPr>
              <w:t>Granted</w:t>
            </w:r>
          </w:p>
        </w:tc>
        <w:tc>
          <w:tcPr>
            <w:tcW w:w="2180" w:type="dxa"/>
            <w:vAlign w:val="bottom"/>
          </w:tcPr>
          <w:p>
            <w:pPr>
              <w:jc w:val="right"/>
              <w:ind w:right="79"/>
              <w:spacing w:after="0"/>
              <w:rPr>
                <w:sz w:val="20"/>
                <w:szCs w:val="20"/>
                <w:color w:val="auto"/>
              </w:rPr>
            </w:pPr>
            <w:r>
              <w:rPr>
                <w:rFonts w:ascii="Arial" w:cs="Arial" w:eastAsia="Arial" w:hAnsi="Arial"/>
                <w:sz w:val="16"/>
                <w:szCs w:val="16"/>
                <w:color w:val="auto"/>
              </w:rPr>
              <w:t>107</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79"/>
              <w:spacing w:after="0"/>
              <w:rPr>
                <w:sz w:val="20"/>
                <w:szCs w:val="20"/>
                <w:color w:val="auto"/>
              </w:rPr>
            </w:pPr>
            <w:r>
              <w:rPr>
                <w:rFonts w:ascii="Arial" w:cs="Arial" w:eastAsia="Arial" w:hAnsi="Arial"/>
                <w:sz w:val="16"/>
                <w:szCs w:val="16"/>
                <w:color w:val="auto"/>
              </w:rPr>
              <w:t>56.04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33"/>
        </w:trPr>
        <w:tc>
          <w:tcPr>
            <w:tcW w:w="44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7"/>
        </w:trPr>
        <w:tc>
          <w:tcPr>
            <w:tcW w:w="4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 xml:space="preserve">Released </w:t>
            </w:r>
            <w:r>
              <w:rPr>
                <w:rFonts w:ascii="Arial" w:cs="Arial" w:eastAsia="Arial" w:hAnsi="Arial"/>
                <w:sz w:val="21"/>
                <w:szCs w:val="21"/>
                <w:color w:val="auto"/>
                <w:vertAlign w:val="superscript"/>
              </w:rPr>
              <w:t>(1)</w:t>
            </w:r>
          </w:p>
        </w:tc>
        <w:tc>
          <w:tcPr>
            <w:tcW w:w="2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19,074</w:t>
            </w:r>
          </w:p>
        </w:tc>
      </w:tr>
      <w:tr>
        <w:trPr>
          <w:trHeight w:val="223"/>
        </w:trPr>
        <w:tc>
          <w:tcPr>
            <w:tcW w:w="4420" w:type="dxa"/>
            <w:vAlign w:val="bottom"/>
          </w:tcPr>
          <w:p>
            <w:pPr>
              <w:ind w:left="340"/>
              <w:spacing w:after="0"/>
              <w:rPr>
                <w:sz w:val="20"/>
                <w:szCs w:val="20"/>
                <w:color w:val="auto"/>
              </w:rPr>
            </w:pPr>
            <w:r>
              <w:rPr>
                <w:rFonts w:ascii="Arial" w:cs="Arial" w:eastAsia="Arial" w:hAnsi="Arial"/>
                <w:sz w:val="16"/>
                <w:szCs w:val="16"/>
                <w:color w:val="auto"/>
              </w:rPr>
              <w:t>Forfeited</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33"/>
        </w:trPr>
        <w:tc>
          <w:tcPr>
            <w:tcW w:w="44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r>
      <w:tr>
        <w:trPr>
          <w:trHeight w:val="27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March 31, 2019</w:t>
            </w:r>
          </w:p>
        </w:tc>
        <w:tc>
          <w:tcPr>
            <w:tcW w:w="2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spacing w:after="0"/>
              <w:rPr>
                <w:sz w:val="23"/>
                <w:szCs w:val="23"/>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r>
      <w:tr>
        <w:trPr>
          <w:trHeight w:val="207"/>
        </w:trPr>
        <w:tc>
          <w:tcPr>
            <w:tcW w:w="44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36"/>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January 1, 2020</w:t>
            </w:r>
          </w:p>
        </w:tc>
        <w:tc>
          <w:tcPr>
            <w:tcW w:w="2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684</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64.38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23"/>
        </w:trPr>
        <w:tc>
          <w:tcPr>
            <w:tcW w:w="4420" w:type="dxa"/>
            <w:vAlign w:val="bottom"/>
          </w:tcPr>
          <w:p>
            <w:pPr>
              <w:ind w:left="340"/>
              <w:spacing w:after="0"/>
              <w:rPr>
                <w:sz w:val="20"/>
                <w:szCs w:val="20"/>
                <w:color w:val="auto"/>
              </w:rPr>
            </w:pPr>
            <w:r>
              <w:rPr>
                <w:rFonts w:ascii="Arial" w:cs="Arial" w:eastAsia="Arial" w:hAnsi="Arial"/>
                <w:sz w:val="16"/>
                <w:szCs w:val="16"/>
                <w:color w:val="auto"/>
              </w:rPr>
              <w:t>Granted</w:t>
            </w:r>
          </w:p>
        </w:tc>
        <w:tc>
          <w:tcPr>
            <w:tcW w:w="2180" w:type="dxa"/>
            <w:vAlign w:val="bottom"/>
          </w:tcPr>
          <w:p>
            <w:pPr>
              <w:jc w:val="right"/>
              <w:ind w:right="79"/>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jc w:val="right"/>
              <w:ind w:right="79"/>
              <w:spacing w:after="0"/>
              <w:rPr>
                <w:sz w:val="20"/>
                <w:szCs w:val="20"/>
                <w:color w:val="auto"/>
              </w:rPr>
            </w:pPr>
            <w:r>
              <w:rPr>
                <w:rFonts w:ascii="Arial" w:cs="Arial" w:eastAsia="Arial" w:hAnsi="Arial"/>
                <w:sz w:val="16"/>
                <w:szCs w:val="16"/>
                <w:color w:val="auto"/>
              </w:rPr>
              <w:t>87.17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33"/>
        </w:trPr>
        <w:tc>
          <w:tcPr>
            <w:tcW w:w="44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6"/>
        </w:trPr>
        <w:tc>
          <w:tcPr>
            <w:tcW w:w="4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 xml:space="preserve">Released </w:t>
            </w:r>
            <w:r>
              <w:rPr>
                <w:rFonts w:ascii="Arial" w:cs="Arial" w:eastAsia="Arial" w:hAnsi="Arial"/>
                <w:sz w:val="21"/>
                <w:szCs w:val="21"/>
                <w:color w:val="auto"/>
                <w:vertAlign w:val="superscript"/>
              </w:rPr>
              <w:t>(1)</w:t>
            </w:r>
          </w:p>
        </w:tc>
        <w:tc>
          <w:tcPr>
            <w:tcW w:w="2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65.08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12,454</w:t>
            </w:r>
          </w:p>
        </w:tc>
      </w:tr>
      <w:tr>
        <w:trPr>
          <w:trHeight w:val="224"/>
        </w:trPr>
        <w:tc>
          <w:tcPr>
            <w:tcW w:w="4420" w:type="dxa"/>
            <w:vAlign w:val="bottom"/>
          </w:tcPr>
          <w:p>
            <w:pPr>
              <w:ind w:left="340"/>
              <w:spacing w:after="0"/>
              <w:rPr>
                <w:sz w:val="20"/>
                <w:szCs w:val="20"/>
                <w:color w:val="auto"/>
              </w:rPr>
            </w:pPr>
            <w:r>
              <w:rPr>
                <w:rFonts w:ascii="Arial" w:cs="Arial" w:eastAsia="Arial" w:hAnsi="Arial"/>
                <w:sz w:val="16"/>
                <w:szCs w:val="16"/>
                <w:color w:val="auto"/>
              </w:rPr>
              <w:t>Forfeited</w:t>
            </w:r>
          </w:p>
        </w:tc>
        <w:tc>
          <w:tcPr>
            <w:tcW w:w="21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Pr>
          <w:p>
            <w:pPr>
              <w:jc w:val="right"/>
              <w:ind w:right="79"/>
              <w:spacing w:after="0"/>
              <w:rPr>
                <w:sz w:val="20"/>
                <w:szCs w:val="20"/>
                <w:color w:val="auto"/>
              </w:rPr>
            </w:pPr>
            <w:r>
              <w:rPr>
                <w:rFonts w:ascii="Arial" w:cs="Arial" w:eastAsia="Arial" w:hAnsi="Arial"/>
                <w:sz w:val="16"/>
                <w:szCs w:val="16"/>
                <w:color w:val="auto"/>
              </w:rPr>
              <w:t>67.42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33"/>
        </w:trPr>
        <w:tc>
          <w:tcPr>
            <w:tcW w:w="44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r>
      <w:tr>
        <w:trPr>
          <w:trHeight w:val="27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March 31, 2020</w:t>
            </w:r>
          </w:p>
        </w:tc>
        <w:tc>
          <w:tcPr>
            <w:tcW w:w="2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spacing w:after="0"/>
              <w:rPr>
                <w:sz w:val="23"/>
                <w:szCs w:val="23"/>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r>
      <w:tr>
        <w:trPr>
          <w:trHeight w:val="207"/>
        </w:trPr>
        <w:tc>
          <w:tcPr>
            <w:tcW w:w="44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7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but not released, March 31, 2020</w:t>
            </w:r>
          </w:p>
        </w:tc>
        <w:tc>
          <w:tcPr>
            <w:tcW w:w="2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473</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50" w:lineRule="exact"/>
        <w:rPr>
          <w:sz w:val="20"/>
          <w:szCs w:val="20"/>
          <w:color w:val="auto"/>
        </w:rPr>
      </w:pPr>
    </w:p>
    <w:p>
      <w:pPr>
        <w:ind w:left="220" w:hanging="212"/>
        <w:spacing w:after="0"/>
        <w:tabs>
          <w:tab w:leader="none" w:pos="22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Shares released is presented gross of shares netted for employee payroll tax obligations.</w:t>
      </w:r>
    </w:p>
    <w:p>
      <w:pPr>
        <w:spacing w:after="0" w:line="2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March 31, 2020, total unrecognized compensation expense on restricted stock units was $44.7 million, which is expected to be recognized over a weighted average period of approximately 2.1 years.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assumptions used to estimate the fair value of performance-based restricted stock units granted with a service and market condition and the resulting weighted average fair value are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60" w:type="dxa"/>
            <w:vAlign w:val="bottom"/>
          </w:tcPr>
          <w:p>
            <w:pPr>
              <w:spacing w:after="0"/>
              <w:rPr>
                <w:sz w:val="18"/>
                <w:szCs w:val="18"/>
                <w:color w:val="auto"/>
              </w:rPr>
            </w:pPr>
          </w:p>
        </w:tc>
        <w:tc>
          <w:tcPr>
            <w:tcW w:w="382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rPr>
              <w:t>Three Months Ended March 31,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66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666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580" w:type="dxa"/>
            <w:vAlign w:val="bottom"/>
          </w:tcPr>
          <w:p>
            <w:pPr>
              <w:spacing w:after="0"/>
              <w:rPr>
                <w:sz w:val="18"/>
                <w:szCs w:val="18"/>
                <w:color w:val="auto"/>
              </w:rPr>
            </w:pPr>
          </w:p>
        </w:tc>
        <w:tc>
          <w:tcPr>
            <w:tcW w:w="17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66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4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666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6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r>
      <w:tr>
        <w:trPr>
          <w:trHeight w:val="237"/>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14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56"/>
        </w:trPr>
        <w:tc>
          <w:tcPr>
            <w:tcW w:w="66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24"/>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fair value</w:t>
            </w:r>
          </w:p>
        </w:tc>
        <w:tc>
          <w:tcPr>
            <w:tcW w:w="1460" w:type="dxa"/>
            <w:vAlign w:val="bottom"/>
            <w:shd w:val="clear" w:color="auto" w:fill="CCEEFF"/>
          </w:tcPr>
          <w:p>
            <w:pPr>
              <w:jc w:val="right"/>
              <w:ind w:right="12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94.28</w:t>
            </w:r>
          </w:p>
        </w:tc>
        <w:tc>
          <w:tcPr>
            <w:tcW w:w="1780" w:type="dxa"/>
            <w:vAlign w:val="bottom"/>
            <w:gridSpan w:val="3"/>
            <w:shd w:val="clear" w:color="auto" w:fill="CCEEFF"/>
          </w:tcPr>
          <w:p>
            <w:pPr>
              <w:jc w:val="right"/>
              <w:ind w:right="13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60.91</w:t>
            </w:r>
          </w:p>
        </w:tc>
        <w:tc>
          <w:tcPr>
            <w:tcW w:w="180" w:type="dxa"/>
            <w:vAlign w:val="bottom"/>
            <w:shd w:val="clear" w:color="auto" w:fill="CCEEFF"/>
          </w:tcPr>
          <w:p>
            <w:pPr>
              <w:spacing w:after="0"/>
              <w:rPr>
                <w:sz w:val="19"/>
                <w:szCs w:val="19"/>
                <w:color w:val="auto"/>
              </w:rPr>
            </w:pPr>
          </w:p>
        </w:tc>
      </w:tr>
      <w:tr>
        <w:trPr>
          <w:trHeight w:val="33"/>
        </w:trPr>
        <w:tc>
          <w:tcPr>
            <w:tcW w:w="66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are excluded.</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tax rate for the three months ended March 31, 2020 of 45%, differed from the federal statutory rate of 21% primarily due to losses in jurisdictions for which no benefit is recognized because of valuation allowances on deferred tax assets as well as the forecasted mix of earnings in domestic and international jurisdictions, a benefit related to excess stock-based compensation, and uncertain tax positions.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tax rate for the three months ended March 31, 2019 of 102% differed from the federal statutory rate of 21% primarily due to losses in jurisdictions for which no benefit is recognized because of valuation allowances on deferred tax assets as well as the forecasted mix of earnings in domestic and international jurisdictions, a benefit related to excess stock-based compensation, and uncertain tax positions.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The net interest and penalties expense amounts recognized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382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Three Months Ended March 31,</w:t>
            </w:r>
          </w:p>
        </w:tc>
        <w:tc>
          <w:tcPr>
            <w:tcW w:w="66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520" w:type="dxa"/>
            <w:vAlign w:val="bottom"/>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660" w:type="dxa"/>
            <w:vAlign w:val="bottom"/>
          </w:tcPr>
          <w:p>
            <w:pPr>
              <w:spacing w:after="0"/>
              <w:rPr>
                <w:sz w:val="18"/>
                <w:szCs w:val="18"/>
                <w:color w:val="auto"/>
              </w:rPr>
            </w:pPr>
          </w:p>
        </w:tc>
      </w:tr>
      <w:tr>
        <w:trPr>
          <w:trHeight w:val="33"/>
        </w:trPr>
        <w:tc>
          <w:tcPr>
            <w:tcW w:w="67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interest and penalties expense</w:t>
            </w:r>
          </w:p>
        </w:tc>
        <w:tc>
          <w:tcPr>
            <w:tcW w:w="1520" w:type="dxa"/>
            <w:vAlign w:val="bottom"/>
            <w:shd w:val="clear" w:color="auto" w:fill="CCEEFF"/>
          </w:tcPr>
          <w:p>
            <w:pPr>
              <w:jc w:val="right"/>
              <w:ind w:right="133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308</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33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301</w:t>
            </w:r>
          </w:p>
        </w:tc>
      </w:tr>
      <w:tr>
        <w:trPr>
          <w:trHeight w:val="33"/>
        </w:trPr>
        <w:tc>
          <w:tcPr>
            <w:tcW w:w="67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and penalties recognized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10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2020</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398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interest</w:t>
            </w:r>
          </w:p>
        </w:tc>
        <w:tc>
          <w:tcPr>
            <w:tcW w:w="3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2,849</w:t>
            </w:r>
          </w:p>
        </w:tc>
      </w:tr>
      <w:tr>
        <w:trPr>
          <w:trHeight w:val="224"/>
        </w:trPr>
        <w:tc>
          <w:tcPr>
            <w:tcW w:w="3980" w:type="dxa"/>
            <w:vAlign w:val="bottom"/>
          </w:tcPr>
          <w:p>
            <w:pPr>
              <w:ind w:left="20"/>
              <w:spacing w:after="0"/>
              <w:rPr>
                <w:sz w:val="20"/>
                <w:szCs w:val="20"/>
                <w:color w:val="auto"/>
              </w:rPr>
            </w:pPr>
            <w:r>
              <w:rPr>
                <w:rFonts w:ascii="Arial" w:cs="Arial" w:eastAsia="Arial" w:hAnsi="Arial"/>
                <w:sz w:val="16"/>
                <w:szCs w:val="16"/>
                <w:color w:val="auto"/>
              </w:rPr>
              <w:t>Accrued penalties</w:t>
            </w:r>
          </w:p>
        </w:tc>
        <w:tc>
          <w:tcPr>
            <w:tcW w:w="3100" w:type="dxa"/>
            <w:vAlign w:val="bottom"/>
          </w:tcPr>
          <w:p>
            <w:pPr>
              <w:spacing w:after="0"/>
              <w:rPr>
                <w:sz w:val="19"/>
                <w:szCs w:val="19"/>
                <w:color w:val="auto"/>
              </w:rPr>
            </w:pPr>
          </w:p>
        </w:tc>
        <w:tc>
          <w:tcPr>
            <w:tcW w:w="1860" w:type="dxa"/>
            <w:vAlign w:val="bottom"/>
          </w:tcPr>
          <w:p>
            <w:pPr>
              <w:jc w:val="right"/>
              <w:ind w:right="59"/>
              <w:spacing w:after="0"/>
              <w:rPr>
                <w:sz w:val="20"/>
                <w:szCs w:val="20"/>
                <w:color w:val="auto"/>
              </w:rPr>
            </w:pPr>
            <w:r>
              <w:rPr>
                <w:rFonts w:ascii="Arial" w:cs="Arial" w:eastAsia="Arial" w:hAnsi="Arial"/>
                <w:sz w:val="16"/>
                <w:szCs w:val="16"/>
                <w:color w:val="auto"/>
              </w:rPr>
              <w:t>1,692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1,681</w:t>
            </w:r>
          </w:p>
        </w:tc>
      </w:tr>
    </w:tbl>
    <w:p>
      <w:pPr>
        <w:spacing w:after="0" w:line="3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Unrecognized tax benefits related to uncertain tax positions and the amount of unrecognized tax benefits that, if recognized, would affect our effective tax rate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60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2020</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6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Unrecognized tax benefits related to uncertain tax positions</w:t>
            </w:r>
          </w:p>
        </w:tc>
        <w:tc>
          <w:tcPr>
            <w:tcW w:w="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121,729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121,715</w:t>
            </w:r>
          </w:p>
        </w:tc>
      </w:tr>
      <w:tr>
        <w:trPr>
          <w:trHeight w:val="250"/>
        </w:trPr>
        <w:tc>
          <w:tcPr>
            <w:tcW w:w="6480" w:type="dxa"/>
            <w:vAlign w:val="bottom"/>
          </w:tcPr>
          <w:p>
            <w:pPr>
              <w:ind w:left="20"/>
              <w:spacing w:after="0"/>
              <w:rPr>
                <w:sz w:val="20"/>
                <w:szCs w:val="20"/>
                <w:color w:val="auto"/>
              </w:rPr>
            </w:pPr>
            <w:r>
              <w:rPr>
                <w:rFonts w:ascii="Arial" w:cs="Arial" w:eastAsia="Arial" w:hAnsi="Arial"/>
                <w:sz w:val="16"/>
                <w:szCs w:val="16"/>
                <w:color w:val="auto"/>
                <w:w w:val="96"/>
              </w:rPr>
              <w:t>The amount of unrecognized tax benefits that, if recognized, would affect our effective tax rate</w:t>
            </w:r>
          </w:p>
        </w:tc>
        <w:tc>
          <w:tcPr>
            <w:tcW w:w="600" w:type="dxa"/>
            <w:vAlign w:val="bottom"/>
          </w:tcPr>
          <w:p>
            <w:pPr>
              <w:spacing w:after="0"/>
              <w:rPr>
                <w:sz w:val="21"/>
                <w:szCs w:val="21"/>
                <w:color w:val="auto"/>
              </w:rPr>
            </w:pPr>
          </w:p>
        </w:tc>
        <w:tc>
          <w:tcPr>
            <w:tcW w:w="1860" w:type="dxa"/>
            <w:vAlign w:val="bottom"/>
          </w:tcPr>
          <w:p>
            <w:pPr>
              <w:jc w:val="right"/>
              <w:ind w:right="59"/>
              <w:spacing w:after="0"/>
              <w:rPr>
                <w:sz w:val="20"/>
                <w:szCs w:val="20"/>
                <w:color w:val="auto"/>
              </w:rPr>
            </w:pPr>
            <w:r>
              <w:rPr>
                <w:rFonts w:ascii="Arial" w:cs="Arial" w:eastAsia="Arial" w:hAnsi="Arial"/>
                <w:sz w:val="16"/>
                <w:szCs w:val="16"/>
                <w:color w:val="auto"/>
              </w:rPr>
              <w:t>120,436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120,410</w:t>
            </w:r>
          </w:p>
        </w:tc>
      </w:tr>
    </w:tbl>
    <w:p>
      <w:pPr>
        <w:spacing w:after="0" w:line="3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2020,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file income tax returns in various jurisdictions. The material jurisdictions where we are subject to examination include, among others, the United States, France, Germany, Italy, Brazil, and the United Kingdom.</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27, 2020, the U.S. Federal government passed the Coronavirus Aid, Relief, and Economic Security (CARES) Act to provide economic relief from COVID-19. The CARES Act contains significant business tax provisions, including modifications to the rules allowing for enhanced deductibility of net operating losses (NOLs) and interest expense as well as accelerated depreciation treatment for qualified improvement property (QIP). While the Company continues to evaluate the impact of the CARES Act, it does not currently believe it will have a material impact on the Company’s consolidated financial statements or related disclosures.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CARES Act also provides employer payroll tax credits for wages paid to employees who are unable to work during the COVID-19 outbreak and options to defer payroll tax payments. The Company does plan to defer remittances of payroll and other taxes into the future as provided for under the Act, and may assess in subsequent quarters the impact and availability of payroll tax credits from the U.S. and similar programs provided for by foreign governments, as applicable.</w:t>
      </w: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our future performance, which usually covers the installation phase of a contract and may, on occasion, cover the operations and maintenance phase of outsourcing contracts.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bonds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31, 2020</w:t>
            </w:r>
          </w:p>
        </w:tc>
        <w:tc>
          <w:tcPr>
            <w:tcW w:w="26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6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color w:val="auto"/>
              </w:rPr>
              <w:t>Credit facility</w:t>
            </w: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6"/>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Multicurrency revolving line of credit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500,000</w:t>
            </w:r>
          </w:p>
        </w:tc>
      </w:tr>
      <w:tr>
        <w:trPr>
          <w:trHeight w:val="224"/>
        </w:trPr>
        <w:tc>
          <w:tcPr>
            <w:tcW w:w="6760" w:type="dxa"/>
            <w:vAlign w:val="bottom"/>
          </w:tcPr>
          <w:p>
            <w:pPr>
              <w:ind w:left="340"/>
              <w:spacing w:after="0"/>
              <w:rPr>
                <w:sz w:val="20"/>
                <w:szCs w:val="20"/>
                <w:color w:val="auto"/>
              </w:rPr>
            </w:pPr>
            <w:r>
              <w:rPr>
                <w:rFonts w:ascii="Arial" w:cs="Arial" w:eastAsia="Arial" w:hAnsi="Arial"/>
                <w:sz w:val="16"/>
                <w:szCs w:val="16"/>
                <w:color w:val="auto"/>
              </w:rPr>
              <w:t>Long-term borrowings</w:t>
            </w:r>
          </w:p>
        </w:tc>
        <w:tc>
          <w:tcPr>
            <w:tcW w:w="320" w:type="dxa"/>
            <w:vAlign w:val="bottom"/>
          </w:tcPr>
          <w:p>
            <w:pPr>
              <w:spacing w:after="0"/>
              <w:rPr>
                <w:sz w:val="19"/>
                <w:szCs w:val="19"/>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Standby LOCs issued and outstanding</w:t>
            </w:r>
          </w:p>
        </w:tc>
        <w:tc>
          <w:tcPr>
            <w:tcW w:w="3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(41,072)</w:t>
            </w:r>
          </w:p>
        </w:tc>
      </w:tr>
      <w:tr>
        <w:trPr>
          <w:trHeight w:val="217"/>
        </w:trPr>
        <w:tc>
          <w:tcPr>
            <w:tcW w:w="6760" w:type="dxa"/>
            <w:vAlign w:val="bottom"/>
          </w:tcPr>
          <w:p>
            <w:pPr>
              <w:ind w:left="680"/>
              <w:spacing w:after="0"/>
              <w:rPr>
                <w:sz w:val="20"/>
                <w:szCs w:val="20"/>
                <w:color w:val="auto"/>
              </w:rPr>
            </w:pPr>
            <w:r>
              <w:rPr>
                <w:rFonts w:ascii="Arial" w:cs="Arial" w:eastAsia="Arial" w:hAnsi="Arial"/>
                <w:sz w:val="16"/>
                <w:szCs w:val="16"/>
                <w:color w:val="auto"/>
                <w:w w:val="99"/>
              </w:rPr>
              <w:t>Net available for additional borrowings under the multi-currency revolving line of credit</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59,066</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458,928</w:t>
            </w:r>
          </w:p>
        </w:tc>
      </w:tr>
      <w:tr>
        <w:trPr>
          <w:trHeight w:val="33"/>
        </w:trPr>
        <w:tc>
          <w:tcPr>
            <w:tcW w:w="6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3"/>
        </w:trPr>
        <w:tc>
          <w:tcPr>
            <w:tcW w:w="6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4"/>
        </w:trPr>
        <w:tc>
          <w:tcPr>
            <w:tcW w:w="6760" w:type="dxa"/>
            <w:vAlign w:val="bottom"/>
          </w:tcPr>
          <w:p>
            <w:pPr>
              <w:ind w:left="340"/>
              <w:spacing w:after="0"/>
              <w:rPr>
                <w:sz w:val="20"/>
                <w:szCs w:val="20"/>
                <w:color w:val="auto"/>
              </w:rPr>
            </w:pPr>
            <w:r>
              <w:rPr>
                <w:rFonts w:ascii="Arial" w:cs="Arial" w:eastAsia="Arial" w:hAnsi="Arial"/>
                <w:sz w:val="16"/>
                <w:szCs w:val="16"/>
                <w:color w:val="auto"/>
              </w:rPr>
              <w:t>Net available for additional standby LOCs under sub-facility</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59"/>
              <w:spacing w:after="0"/>
              <w:rPr>
                <w:sz w:val="20"/>
                <w:szCs w:val="20"/>
                <w:color w:val="auto"/>
              </w:rPr>
            </w:pPr>
            <w:r>
              <w:rPr>
                <w:rFonts w:ascii="Arial" w:cs="Arial" w:eastAsia="Arial" w:hAnsi="Arial"/>
                <w:sz w:val="16"/>
                <w:szCs w:val="16"/>
                <w:color w:val="auto"/>
              </w:rPr>
              <w:t>59,066</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258,928</w:t>
            </w:r>
          </w:p>
        </w:tc>
      </w:tr>
      <w:tr>
        <w:trPr>
          <w:trHeight w:val="33"/>
        </w:trPr>
        <w:tc>
          <w:tcPr>
            <w:tcW w:w="6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3"/>
        </w:trPr>
        <w:tc>
          <w:tcPr>
            <w:tcW w:w="6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9"/>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Multicurrency revolving lines of credit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102,494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107,206</w:t>
            </w:r>
          </w:p>
        </w:tc>
      </w:tr>
      <w:tr>
        <w:trPr>
          <w:trHeight w:val="223"/>
        </w:trPr>
        <w:tc>
          <w:tcPr>
            <w:tcW w:w="6760" w:type="dxa"/>
            <w:vAlign w:val="bottom"/>
          </w:tcPr>
          <w:p>
            <w:pPr>
              <w:ind w:left="340"/>
              <w:spacing w:after="0"/>
              <w:rPr>
                <w:sz w:val="20"/>
                <w:szCs w:val="20"/>
                <w:color w:val="auto"/>
              </w:rPr>
            </w:pPr>
            <w:r>
              <w:rPr>
                <w:rFonts w:ascii="Arial" w:cs="Arial" w:eastAsia="Arial" w:hAnsi="Arial"/>
                <w:sz w:val="16"/>
                <w:szCs w:val="16"/>
                <w:color w:val="auto"/>
              </w:rPr>
              <w:t>Standby LOCs issued and outstanding</w:t>
            </w:r>
          </w:p>
        </w:tc>
        <w:tc>
          <w:tcPr>
            <w:tcW w:w="320" w:type="dxa"/>
            <w:vAlign w:val="bottom"/>
          </w:tcPr>
          <w:p>
            <w:pPr>
              <w:spacing w:after="0"/>
              <w:rPr>
                <w:sz w:val="19"/>
                <w:szCs w:val="19"/>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(24,023)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(25,100)</w:t>
            </w:r>
          </w:p>
        </w:tc>
      </w:tr>
      <w:tr>
        <w:trPr>
          <w:trHeight w:val="33"/>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6"/>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Short-term borrowings</w:t>
            </w:r>
          </w:p>
        </w:tc>
        <w:tc>
          <w:tcPr>
            <w:tcW w:w="3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r>
      <w:tr>
        <w:trPr>
          <w:trHeight w:val="217"/>
        </w:trPr>
        <w:tc>
          <w:tcPr>
            <w:tcW w:w="6760" w:type="dxa"/>
            <w:vAlign w:val="bottom"/>
          </w:tcPr>
          <w:p>
            <w:pPr>
              <w:ind w:left="660"/>
              <w:spacing w:after="0"/>
              <w:rPr>
                <w:sz w:val="20"/>
                <w:szCs w:val="20"/>
                <w:color w:val="auto"/>
              </w:rPr>
            </w:pPr>
            <w:r>
              <w:rPr>
                <w:rFonts w:ascii="Arial" w:cs="Arial" w:eastAsia="Arial" w:hAnsi="Arial"/>
                <w:sz w:val="16"/>
                <w:szCs w:val="16"/>
                <w:color w:val="auto"/>
              </w:rPr>
              <w:t>Net available for additional borrowings and LOCs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78,334</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81,933</w:t>
            </w:r>
          </w:p>
        </w:tc>
      </w:tr>
      <w:tr>
        <w:trPr>
          <w:trHeight w:val="33"/>
        </w:trPr>
        <w:tc>
          <w:tcPr>
            <w:tcW w:w="6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4"/>
        </w:trPr>
        <w:tc>
          <w:tcPr>
            <w:tcW w:w="6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3"/>
        </w:trPr>
        <w:tc>
          <w:tcPr>
            <w:tcW w:w="6760" w:type="dxa"/>
            <w:vAlign w:val="bottom"/>
          </w:tcPr>
          <w:p>
            <w:pPr>
              <w:ind w:left="20"/>
              <w:spacing w:after="0"/>
              <w:rPr>
                <w:sz w:val="20"/>
                <w:szCs w:val="20"/>
                <w:color w:val="auto"/>
              </w:rPr>
            </w:pPr>
            <w:r>
              <w:rPr>
                <w:rFonts w:ascii="Arial" w:cs="Arial" w:eastAsia="Arial" w:hAnsi="Arial"/>
                <w:sz w:val="16"/>
                <w:szCs w:val="16"/>
                <w:color w:val="auto"/>
              </w:rPr>
              <w:t>Unsecured surety bonds in force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59"/>
              <w:spacing w:after="0"/>
              <w:rPr>
                <w:sz w:val="20"/>
                <w:szCs w:val="20"/>
                <w:color w:val="auto"/>
              </w:rPr>
            </w:pPr>
            <w:r>
              <w:rPr>
                <w:rFonts w:ascii="Arial" w:cs="Arial" w:eastAsia="Arial" w:hAnsi="Arial"/>
                <w:sz w:val="16"/>
                <w:szCs w:val="16"/>
                <w:color w:val="auto"/>
              </w:rPr>
              <w:t>155,962</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136,004</w:t>
            </w:r>
          </w:p>
        </w:tc>
      </w:tr>
      <w:tr>
        <w:trPr>
          <w:trHeight w:val="33"/>
        </w:trPr>
        <w:tc>
          <w:tcPr>
            <w:tcW w:w="6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as of May 4, 2020, we do not believe that any outstanding LOC or bond will be called.</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96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Pr>
          <w:p>
            <w:pPr>
              <w:spacing w:after="0"/>
              <w:rPr>
                <w:sz w:val="18"/>
                <w:szCs w:val="18"/>
                <w:color w:val="auto"/>
              </w:rPr>
            </w:pPr>
          </w:p>
        </w:tc>
        <w:tc>
          <w:tcPr>
            <w:tcW w:w="1660" w:type="dxa"/>
            <w:vAlign w:val="bottom"/>
          </w:tcPr>
          <w:p>
            <w:pPr>
              <w:jc w:val="right"/>
              <w:ind w:right="8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ind w:right="859"/>
              <w:spacing w:after="0"/>
              <w:rPr>
                <w:sz w:val="20"/>
                <w:szCs w:val="20"/>
                <w:color w:val="auto"/>
              </w:rPr>
            </w:pPr>
            <w:r>
              <w:rPr>
                <w:rFonts w:ascii="Arial" w:cs="Arial" w:eastAsia="Arial" w:hAnsi="Arial"/>
                <w:sz w:val="16"/>
                <w:szCs w:val="16"/>
                <w:b w:val="1"/>
                <w:bCs w:val="1"/>
                <w:color w:val="auto"/>
              </w:rPr>
              <w:t>2019</w:t>
            </w:r>
          </w:p>
        </w:tc>
      </w:tr>
      <w:tr>
        <w:trPr>
          <w:trHeight w:val="33"/>
        </w:trPr>
        <w:tc>
          <w:tcPr>
            <w:tcW w:w="6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53,242</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60,443</w:t>
            </w:r>
          </w:p>
        </w:tc>
      </w:tr>
      <w:tr>
        <w:trPr>
          <w:trHeight w:val="223"/>
        </w:trPr>
        <w:tc>
          <w:tcPr>
            <w:tcW w:w="6760" w:type="dxa"/>
            <w:vAlign w:val="bottom"/>
          </w:tcPr>
          <w:p>
            <w:pPr>
              <w:ind w:left="340"/>
              <w:spacing w:after="0"/>
              <w:rPr>
                <w:sz w:val="20"/>
                <w:szCs w:val="20"/>
                <w:color w:val="auto"/>
              </w:rPr>
            </w:pPr>
            <w:r>
              <w:rPr>
                <w:rFonts w:ascii="Arial" w:cs="Arial" w:eastAsia="Arial" w:hAnsi="Arial"/>
                <w:sz w:val="16"/>
                <w:szCs w:val="16"/>
                <w:color w:val="auto"/>
              </w:rPr>
              <w:t>New product warranties</w:t>
            </w: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1,070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1,718</w:t>
            </w:r>
          </w:p>
        </w:tc>
      </w:tr>
      <w:tr>
        <w:trPr>
          <w:trHeight w:val="33"/>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adjustments and expirations, net</w:t>
            </w: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1,861</w:t>
            </w:r>
          </w:p>
        </w:tc>
      </w:tr>
      <w:tr>
        <w:trPr>
          <w:trHeight w:val="224"/>
        </w:trPr>
        <w:tc>
          <w:tcPr>
            <w:tcW w:w="6760" w:type="dxa"/>
            <w:vAlign w:val="bottom"/>
          </w:tcPr>
          <w:p>
            <w:pPr>
              <w:ind w:left="340"/>
              <w:spacing w:after="0"/>
              <w:rPr>
                <w:sz w:val="20"/>
                <w:szCs w:val="20"/>
                <w:color w:val="auto"/>
              </w:rPr>
            </w:pPr>
            <w:r>
              <w:rPr>
                <w:rFonts w:ascii="Arial" w:cs="Arial" w:eastAsia="Arial" w:hAnsi="Arial"/>
                <w:sz w:val="16"/>
                <w:szCs w:val="16"/>
                <w:color w:val="auto"/>
              </w:rPr>
              <w:t>Claims activity</w:t>
            </w:r>
          </w:p>
        </w:tc>
        <w:tc>
          <w:tcPr>
            <w:tcW w:w="52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(5,940)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(6,083)</w:t>
            </w:r>
          </w:p>
        </w:tc>
      </w:tr>
      <w:tr>
        <w:trPr>
          <w:trHeight w:val="33"/>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Effect of change in exchange rates</w:t>
            </w: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w:t>
            </w: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5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48,719</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57,532</w:t>
            </w:r>
          </w:p>
        </w:tc>
      </w:tr>
      <w:tr>
        <w:trPr>
          <w:trHeight w:val="33"/>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6"/>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 of warranty</w:t>
            </w: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36,409</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39,737</w:t>
            </w:r>
          </w:p>
        </w:tc>
      </w:tr>
      <w:tr>
        <w:trPr>
          <w:trHeight w:val="247"/>
        </w:trPr>
        <w:tc>
          <w:tcPr>
            <w:tcW w:w="6760" w:type="dxa"/>
            <w:vAlign w:val="bottom"/>
          </w:tcPr>
          <w:p>
            <w:pPr>
              <w:ind w:left="340"/>
              <w:spacing w:after="0"/>
              <w:rPr>
                <w:sz w:val="20"/>
                <w:szCs w:val="20"/>
                <w:color w:val="auto"/>
              </w:rPr>
            </w:pPr>
            <w:r>
              <w:rPr>
                <w:rFonts w:ascii="Arial" w:cs="Arial" w:eastAsia="Arial" w:hAnsi="Arial"/>
                <w:sz w:val="16"/>
                <w:szCs w:val="16"/>
                <w:color w:val="auto"/>
              </w:rPr>
              <w:t>Long-term warranty</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12,310</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17,795</w:t>
            </w:r>
          </w:p>
        </w:tc>
      </w:tr>
      <w:tr>
        <w:trPr>
          <w:trHeight w:val="2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insurance and supplier recoveries, other changes and adjustments to warranties, and customer claims. Warranty expense was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376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c>
          <w:tcPr>
            <w:tcW w:w="72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460" w:type="dxa"/>
            <w:vAlign w:val="bottom"/>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720" w:type="dxa"/>
            <w:vAlign w:val="bottom"/>
          </w:tcPr>
          <w:p>
            <w:pPr>
              <w:spacing w:after="0"/>
              <w:rPr>
                <w:sz w:val="18"/>
                <w:szCs w:val="18"/>
                <w:color w:val="auto"/>
              </w:rPr>
            </w:pPr>
          </w:p>
        </w:tc>
      </w:tr>
      <w:tr>
        <w:trPr>
          <w:trHeight w:val="33"/>
        </w:trPr>
        <w:tc>
          <w:tcPr>
            <w:tcW w:w="6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warranty expense</w:t>
            </w:r>
          </w:p>
        </w:tc>
        <w:tc>
          <w:tcPr>
            <w:tcW w:w="1460" w:type="dxa"/>
            <w:vAlign w:val="bottom"/>
            <w:shd w:val="clear" w:color="auto" w:fill="CCEEFF"/>
          </w:tcPr>
          <w:p>
            <w:pPr>
              <w:jc w:val="right"/>
              <w:ind w:right="12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1,763</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1,779</w:t>
            </w:r>
          </w:p>
        </w:tc>
      </w:tr>
      <w:tr>
        <w:trPr>
          <w:trHeight w:val="33"/>
        </w:trPr>
        <w:tc>
          <w:tcPr>
            <w:tcW w:w="67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Restructuring</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Projects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On February 22, 2018, our Board of Directors approved a restructuring plan (the 2018 Projects) to continue our efforts to optimize our global supply chain and manufacturing operations, research and development, and sales and marketing organizations. We expect to substantially complete expense recognition on the plan by the end of 2020. Many of the affected employees are represented by unions or works councils, which require consultation, and potential restructuring projects may be subject to regulatory approval, both of which could impact the timing of charges, total expected charges, cost recognized, and planned savings in certain jurisdictions. All prior restructuring plans are substantially complete and are not presented below.</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2018 Projects were as follows: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Costs Recognized During</w:t>
            </w:r>
          </w:p>
        </w:tc>
        <w:tc>
          <w:tcPr>
            <w:tcW w:w="2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Expected Remaining Costs</w:t>
            </w: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Total Expected Costs at</w:t>
            </w:r>
          </w:p>
        </w:tc>
        <w:tc>
          <w:tcPr>
            <w:tcW w:w="21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Costs Recognized in Prior</w:t>
            </w:r>
          </w:p>
        </w:tc>
        <w:tc>
          <w:tcPr>
            <w:tcW w:w="100" w:type="dxa"/>
            <w:vAlign w:val="bottom"/>
          </w:tcPr>
          <w:p>
            <w:pPr>
              <w:spacing w:after="0"/>
              <w:rPr>
                <w:sz w:val="17"/>
                <w:szCs w:val="17"/>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the Three Months Ended</w:t>
            </w:r>
          </w:p>
        </w:tc>
        <w:tc>
          <w:tcPr>
            <w:tcW w:w="220" w:type="dxa"/>
            <w:vAlign w:val="bottom"/>
          </w:tcPr>
          <w:p>
            <w:pPr>
              <w:spacing w:after="0"/>
              <w:rPr>
                <w:sz w:val="17"/>
                <w:szCs w:val="17"/>
                <w:color w:val="auto"/>
              </w:rPr>
            </w:pPr>
          </w:p>
        </w:tc>
        <w:tc>
          <w:tcPr>
            <w:tcW w:w="1780" w:type="dxa"/>
            <w:vAlign w:val="bottom"/>
          </w:tcPr>
          <w:p>
            <w:pPr>
              <w:jc w:val="center"/>
              <w:ind w:right="159"/>
              <w:spacing w:after="0"/>
              <w:rPr>
                <w:sz w:val="20"/>
                <w:szCs w:val="20"/>
                <w:color w:val="auto"/>
              </w:rPr>
            </w:pPr>
            <w:r>
              <w:rPr>
                <w:rFonts w:ascii="Arial" w:cs="Arial" w:eastAsia="Arial" w:hAnsi="Arial"/>
                <w:sz w:val="16"/>
                <w:szCs w:val="16"/>
                <w:b w:val="1"/>
                <w:bCs w:val="1"/>
                <w:color w:val="auto"/>
                <w:w w:val="88"/>
              </w:rPr>
              <w:t>to be Recognized at</w:t>
            </w:r>
          </w:p>
        </w:tc>
        <w:tc>
          <w:tcPr>
            <w:tcW w:w="0" w:type="dxa"/>
            <w:vAlign w:val="bottom"/>
          </w:tcPr>
          <w:p>
            <w:pPr>
              <w:spacing w:after="0"/>
              <w:rPr>
                <w:sz w:val="1"/>
                <w:szCs w:val="1"/>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8"/>
                <w:szCs w:val="18"/>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March 31, 2020</w:t>
            </w:r>
          </w:p>
        </w:tc>
        <w:tc>
          <w:tcPr>
            <w:tcW w:w="420" w:type="dxa"/>
            <w:vAlign w:val="bottom"/>
          </w:tcPr>
          <w:p>
            <w:pPr>
              <w:spacing w:after="0"/>
              <w:rPr>
                <w:sz w:val="18"/>
                <w:szCs w:val="18"/>
                <w:color w:val="auto"/>
              </w:rPr>
            </w:pPr>
          </w:p>
        </w:tc>
        <w:tc>
          <w:tcPr>
            <w:tcW w:w="168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1"/>
              </w:rPr>
              <w:t>Periods</w:t>
            </w:r>
          </w:p>
        </w:tc>
        <w:tc>
          <w:tcPr>
            <w:tcW w:w="100" w:type="dxa"/>
            <w:vAlign w:val="bottom"/>
          </w:tcPr>
          <w:p>
            <w:pPr>
              <w:spacing w:after="0"/>
              <w:rPr>
                <w:sz w:val="18"/>
                <w:szCs w:val="18"/>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March 31, 2020</w:t>
            </w:r>
          </w:p>
        </w:tc>
        <w:tc>
          <w:tcPr>
            <w:tcW w:w="220" w:type="dxa"/>
            <w:vAlign w:val="bottom"/>
          </w:tcPr>
          <w:p>
            <w:pPr>
              <w:spacing w:after="0"/>
              <w:rPr>
                <w:sz w:val="18"/>
                <w:szCs w:val="18"/>
                <w:color w:val="auto"/>
              </w:rPr>
            </w:pPr>
          </w:p>
        </w:tc>
        <w:tc>
          <w:tcPr>
            <w:tcW w:w="178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March 31, 2020</w:t>
            </w:r>
          </w:p>
        </w:tc>
        <w:tc>
          <w:tcPr>
            <w:tcW w:w="0" w:type="dxa"/>
            <w:vAlign w:val="bottom"/>
          </w:tcPr>
          <w:p>
            <w:pPr>
              <w:spacing w:after="0"/>
              <w:rPr>
                <w:sz w:val="1"/>
                <w:szCs w:val="1"/>
                <w:color w:val="auto"/>
              </w:rPr>
            </w:pPr>
          </w:p>
        </w:tc>
      </w:tr>
      <w:tr>
        <w:trPr>
          <w:trHeight w:val="33"/>
        </w:trPr>
        <w:tc>
          <w:tcPr>
            <w:tcW w:w="2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Employee severance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71,616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72,133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2920" w:type="dxa"/>
            <w:vAlign w:val="bottom"/>
          </w:tcPr>
          <w:p>
            <w:pPr>
              <w:ind w:left="20"/>
              <w:spacing w:after="0" w:line="166" w:lineRule="exact"/>
              <w:rPr>
                <w:sz w:val="20"/>
                <w:szCs w:val="20"/>
                <w:color w:val="auto"/>
              </w:rPr>
            </w:pPr>
            <w:r>
              <w:rPr>
                <w:rFonts w:ascii="Arial" w:cs="Arial" w:eastAsia="Arial" w:hAnsi="Arial"/>
                <w:sz w:val="16"/>
                <w:szCs w:val="16"/>
                <w:color w:val="auto"/>
                <w:w w:val="93"/>
              </w:rPr>
              <w:t>Asset impairments &amp; net loss (gain) on sale</w:t>
            </w:r>
          </w:p>
        </w:tc>
        <w:tc>
          <w:tcPr>
            <w:tcW w:w="140" w:type="dxa"/>
            <w:vAlign w:val="bottom"/>
          </w:tcPr>
          <w:p>
            <w:pPr>
              <w:spacing w:after="0"/>
              <w:rPr>
                <w:sz w:val="14"/>
                <w:szCs w:val="14"/>
                <w:color w:val="auto"/>
              </w:rPr>
            </w:pPr>
          </w:p>
        </w:tc>
        <w:tc>
          <w:tcPr>
            <w:tcW w:w="1840" w:type="dxa"/>
            <w:vAlign w:val="bottom"/>
            <w:vMerge w:val="restart"/>
          </w:tcPr>
          <w:p>
            <w:pPr>
              <w:jc w:val="right"/>
              <w:ind w:right="79"/>
              <w:spacing w:after="0"/>
              <w:rPr>
                <w:sz w:val="20"/>
                <w:szCs w:val="20"/>
                <w:color w:val="auto"/>
              </w:rPr>
            </w:pPr>
            <w:r>
              <w:rPr>
                <w:rFonts w:ascii="Arial" w:cs="Arial" w:eastAsia="Arial" w:hAnsi="Arial"/>
                <w:sz w:val="16"/>
                <w:szCs w:val="16"/>
                <w:color w:val="auto"/>
              </w:rPr>
              <w:t>2,887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vMerge w:val="restart"/>
          </w:tcPr>
          <w:p>
            <w:pPr>
              <w:jc w:val="right"/>
              <w:ind w:right="59"/>
              <w:spacing w:after="0"/>
              <w:rPr>
                <w:sz w:val="20"/>
                <w:szCs w:val="20"/>
                <w:color w:val="auto"/>
              </w:rPr>
            </w:pPr>
            <w:r>
              <w:rPr>
                <w:rFonts w:ascii="Arial" w:cs="Arial" w:eastAsia="Arial" w:hAnsi="Arial"/>
                <w:sz w:val="16"/>
                <w:szCs w:val="16"/>
                <w:color w:val="auto"/>
              </w:rPr>
              <w:t>3,842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vMerge w:val="restart"/>
          </w:tcPr>
          <w:p>
            <w:pPr>
              <w:jc w:val="right"/>
              <w:ind w:right="39"/>
              <w:spacing w:after="0"/>
              <w:rPr>
                <w:sz w:val="20"/>
                <w:szCs w:val="20"/>
                <w:color w:val="auto"/>
              </w:rPr>
            </w:pPr>
            <w:r>
              <w:rPr>
                <w:rFonts w:ascii="Arial" w:cs="Arial" w:eastAsia="Arial" w:hAnsi="Arial"/>
                <w:sz w:val="16"/>
                <w:szCs w:val="16"/>
                <w:color w:val="auto"/>
              </w:rPr>
              <w:t>(955)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920" w:type="dxa"/>
            <w:vAlign w:val="bottom"/>
          </w:tcPr>
          <w:p>
            <w:pPr>
              <w:ind w:left="180"/>
              <w:spacing w:after="0"/>
              <w:rPr>
                <w:sz w:val="20"/>
                <w:szCs w:val="20"/>
                <w:color w:val="auto"/>
              </w:rPr>
            </w:pPr>
            <w:r>
              <w:rPr>
                <w:rFonts w:ascii="Arial" w:cs="Arial" w:eastAsia="Arial" w:hAnsi="Arial"/>
                <w:sz w:val="16"/>
                <w:szCs w:val="16"/>
                <w:color w:val="auto"/>
              </w:rPr>
              <w:t>or disposal</w:t>
            </w:r>
          </w:p>
        </w:tc>
        <w:tc>
          <w:tcPr>
            <w:tcW w:w="14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restructuring costs</w:t>
            </w:r>
          </w:p>
        </w:tc>
        <w:tc>
          <w:tcPr>
            <w:tcW w:w="14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22,809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11,420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10,165</w:t>
            </w:r>
          </w:p>
        </w:tc>
        <w:tc>
          <w:tcPr>
            <w:tcW w:w="0" w:type="dxa"/>
            <w:vAlign w:val="bottom"/>
          </w:tcPr>
          <w:p>
            <w:pPr>
              <w:spacing w:after="0"/>
              <w:rPr>
                <w:sz w:val="1"/>
                <w:szCs w:val="1"/>
                <w:color w:val="auto"/>
              </w:rPr>
            </w:pPr>
          </w:p>
        </w:tc>
      </w:tr>
      <w:tr>
        <w:trPr>
          <w:trHeight w:val="217"/>
        </w:trPr>
        <w:tc>
          <w:tcPr>
            <w:tcW w:w="2920" w:type="dxa"/>
            <w:vAlign w:val="bottom"/>
            <w:vMerge w:val="restart"/>
          </w:tcPr>
          <w:p>
            <w:pPr>
              <w:ind w:left="5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97,312</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87,395</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10,165</w:t>
            </w:r>
          </w:p>
        </w:tc>
        <w:tc>
          <w:tcPr>
            <w:tcW w:w="0" w:type="dxa"/>
            <w:vAlign w:val="bottom"/>
          </w:tcPr>
          <w:p>
            <w:pPr>
              <w:spacing w:after="0"/>
              <w:rPr>
                <w:sz w:val="1"/>
                <w:szCs w:val="1"/>
                <w:color w:val="auto"/>
              </w:rPr>
            </w:pPr>
          </w:p>
        </w:tc>
      </w:tr>
      <w:tr>
        <w:trPr>
          <w:trHeight w:val="33"/>
        </w:trPr>
        <w:tc>
          <w:tcPr>
            <w:tcW w:w="2920" w:type="dxa"/>
            <w:vAlign w:val="bottom"/>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within the restructuring related balance sheet accounts for the 2018 Projects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Asset Impairments &amp; Net</w:t>
            </w: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Accrued Employee</w:t>
            </w:r>
          </w:p>
        </w:tc>
        <w:tc>
          <w:tcPr>
            <w:tcW w:w="100" w:type="dxa"/>
            <w:vAlign w:val="bottom"/>
          </w:tcPr>
          <w:p>
            <w:pPr>
              <w:spacing w:after="0"/>
              <w:rPr>
                <w:sz w:val="17"/>
                <w:szCs w:val="17"/>
                <w:color w:val="auto"/>
              </w:rPr>
            </w:pPr>
          </w:p>
        </w:tc>
        <w:tc>
          <w:tcPr>
            <w:tcW w:w="1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Loss (Gain) on Sale or</w:t>
            </w: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0"/>
        </w:trPr>
        <w:tc>
          <w:tcPr>
            <w:tcW w:w="3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8"/>
                <w:szCs w:val="18"/>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Severance</w:t>
            </w:r>
          </w:p>
        </w:tc>
        <w:tc>
          <w:tcPr>
            <w:tcW w:w="100" w:type="dxa"/>
            <w:vAlign w:val="bottom"/>
          </w:tcPr>
          <w:p>
            <w:pPr>
              <w:spacing w:after="0"/>
              <w:rPr>
                <w:sz w:val="18"/>
                <w:szCs w:val="18"/>
                <w:color w:val="auto"/>
              </w:rPr>
            </w:pPr>
          </w:p>
        </w:tc>
        <w:tc>
          <w:tcPr>
            <w:tcW w:w="1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Disposal</w:t>
            </w:r>
          </w:p>
        </w:tc>
        <w:tc>
          <w:tcPr>
            <w:tcW w:w="160" w:type="dxa"/>
            <w:vAlign w:val="bottom"/>
          </w:tcPr>
          <w:p>
            <w:pPr>
              <w:spacing w:after="0"/>
              <w:rPr>
                <w:sz w:val="18"/>
                <w:szCs w:val="18"/>
                <w:color w:val="auto"/>
              </w:rPr>
            </w:pPr>
          </w:p>
        </w:tc>
        <w:tc>
          <w:tcPr>
            <w:tcW w:w="1860" w:type="dxa"/>
            <w:vAlign w:val="bottom"/>
            <w:gridSpan w:val="2"/>
          </w:tcPr>
          <w:p>
            <w:pPr>
              <w:ind w:left="80"/>
              <w:spacing w:after="0"/>
              <w:rPr>
                <w:sz w:val="20"/>
                <w:szCs w:val="20"/>
                <w:color w:val="auto"/>
              </w:rPr>
            </w:pPr>
            <w:r>
              <w:rPr>
                <w:rFonts w:ascii="Arial" w:cs="Arial" w:eastAsia="Arial" w:hAnsi="Arial"/>
                <w:sz w:val="16"/>
                <w:szCs w:val="16"/>
                <w:b w:val="1"/>
                <w:bCs w:val="1"/>
                <w:color w:val="auto"/>
              </w:rPr>
              <w:t>Other Accrued Costs</w:t>
            </w:r>
          </w:p>
        </w:tc>
        <w:tc>
          <w:tcPr>
            <w:tcW w:w="460" w:type="dxa"/>
            <w:vAlign w:val="bottom"/>
          </w:tcPr>
          <w:p>
            <w:pPr>
              <w:spacing w:after="0"/>
              <w:rPr>
                <w:sz w:val="18"/>
                <w:szCs w:val="18"/>
                <w:color w:val="auto"/>
              </w:rPr>
            </w:pPr>
          </w:p>
        </w:tc>
        <w:tc>
          <w:tcPr>
            <w:tcW w:w="1540" w:type="dxa"/>
            <w:vAlign w:val="bottom"/>
          </w:tcPr>
          <w:p>
            <w:pPr>
              <w:jc w:val="right"/>
              <w:ind w:right="739"/>
              <w:spacing w:after="0"/>
              <w:rPr>
                <w:sz w:val="20"/>
                <w:szCs w:val="20"/>
                <w:color w:val="auto"/>
              </w:rPr>
            </w:pPr>
            <w:r>
              <w:rPr>
                <w:rFonts w:ascii="Arial" w:cs="Arial" w:eastAsia="Arial" w:hAnsi="Arial"/>
                <w:sz w:val="16"/>
                <w:szCs w:val="16"/>
                <w:b w:val="1"/>
                <w:bCs w:val="1"/>
                <w:color w:val="auto"/>
              </w:rPr>
              <w:t>Total</w:t>
            </w:r>
          </w:p>
        </w:tc>
      </w:tr>
      <w:tr>
        <w:trPr>
          <w:trHeight w:val="33"/>
        </w:trPr>
        <w:tc>
          <w:tcPr>
            <w:tcW w:w="3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January 1, 2020</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53,741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2,366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56,107</w:t>
            </w:r>
          </w:p>
        </w:tc>
      </w:tr>
      <w:tr>
        <w:trPr>
          <w:trHeight w:val="253"/>
        </w:trPr>
        <w:tc>
          <w:tcPr>
            <w:tcW w:w="3060" w:type="dxa"/>
            <w:vAlign w:val="bottom"/>
          </w:tcPr>
          <w:p>
            <w:pPr>
              <w:ind w:left="180"/>
              <w:spacing w:after="0"/>
              <w:rPr>
                <w:sz w:val="20"/>
                <w:szCs w:val="20"/>
                <w:color w:val="auto"/>
              </w:rPr>
            </w:pPr>
            <w:r>
              <w:rPr>
                <w:rFonts w:ascii="Arial" w:cs="Arial" w:eastAsia="Arial" w:hAnsi="Arial"/>
                <w:sz w:val="16"/>
                <w:szCs w:val="16"/>
                <w:color w:val="auto"/>
              </w:rPr>
              <w:t>Costs charged to expense</w:t>
            </w:r>
          </w:p>
        </w:tc>
        <w:tc>
          <w:tcPr>
            <w:tcW w:w="200" w:type="dxa"/>
            <w:vAlign w:val="bottom"/>
          </w:tcPr>
          <w:p>
            <w:pPr>
              <w:spacing w:after="0"/>
              <w:rPr>
                <w:sz w:val="22"/>
                <w:szCs w:val="22"/>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(955)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1,224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(248)</w:t>
            </w:r>
          </w:p>
        </w:tc>
      </w:tr>
      <w:tr>
        <w:trPr>
          <w:trHeight w:val="259"/>
        </w:trPr>
        <w:tc>
          <w:tcPr>
            <w:tcW w:w="3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(payments) receipts</w:t>
            </w:r>
          </w:p>
        </w:tc>
        <w:tc>
          <w:tcPr>
            <w:tcW w:w="2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(4,319)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2,312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(3,253)</w:t>
            </w:r>
          </w:p>
        </w:tc>
      </w:tr>
      <w:tr>
        <w:trPr>
          <w:trHeight w:val="224"/>
        </w:trPr>
        <w:tc>
          <w:tcPr>
            <w:tcW w:w="3060" w:type="dxa"/>
            <w:vAlign w:val="bottom"/>
          </w:tcPr>
          <w:p>
            <w:pPr>
              <w:ind w:left="180"/>
              <w:spacing w:after="0"/>
              <w:rPr>
                <w:sz w:val="20"/>
                <w:szCs w:val="20"/>
                <w:color w:val="auto"/>
              </w:rPr>
            </w:pPr>
            <w:r>
              <w:rPr>
                <w:rFonts w:ascii="Arial" w:cs="Arial" w:eastAsia="Arial" w:hAnsi="Arial"/>
                <w:sz w:val="16"/>
                <w:szCs w:val="16"/>
                <w:color w:val="auto"/>
              </w:rPr>
              <w:t>Net assets disposed and impaired</w:t>
            </w:r>
          </w:p>
        </w:tc>
        <w:tc>
          <w:tcPr>
            <w:tcW w:w="200" w:type="dxa"/>
            <w:vAlign w:val="bottom"/>
          </w:tcPr>
          <w:p>
            <w:pPr>
              <w:spacing w:after="0"/>
              <w:rPr>
                <w:sz w:val="19"/>
                <w:szCs w:val="19"/>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(1,357)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(1,357)</w:t>
            </w:r>
          </w:p>
        </w:tc>
      </w:tr>
      <w:tr>
        <w:trPr>
          <w:trHeight w:val="33"/>
        </w:trPr>
        <w:tc>
          <w:tcPr>
            <w:tcW w:w="3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7"/>
        </w:trPr>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Effect of change in exchange rates</w:t>
            </w:r>
          </w:p>
        </w:tc>
        <w:tc>
          <w:tcPr>
            <w:tcW w:w="2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(487)</w:t>
            </w:r>
          </w:p>
        </w:tc>
      </w:tr>
      <w:tr>
        <w:trPr>
          <w:trHeight w:val="247"/>
        </w:trPr>
        <w:tc>
          <w:tcPr>
            <w:tcW w:w="3060" w:type="dxa"/>
            <w:vAlign w:val="bottom"/>
          </w:tcPr>
          <w:p>
            <w:pPr>
              <w:ind w:left="20"/>
              <w:spacing w:after="0"/>
              <w:rPr>
                <w:sz w:val="20"/>
                <w:szCs w:val="20"/>
                <w:color w:val="auto"/>
              </w:rPr>
            </w:pPr>
            <w:r>
              <w:rPr>
                <w:rFonts w:ascii="Arial" w:cs="Arial" w:eastAsia="Arial" w:hAnsi="Arial"/>
                <w:sz w:val="16"/>
                <w:szCs w:val="16"/>
                <w:color w:val="auto"/>
              </w:rPr>
              <w:t>Ending balance, March 31, 2020</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48,418</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2,344</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50,762</w:t>
            </w:r>
          </w:p>
        </w:tc>
      </w:tr>
      <w:tr>
        <w:trPr>
          <w:trHeight w:val="23"/>
        </w:trPr>
        <w:tc>
          <w:tcPr>
            <w:tcW w:w="3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restructuring costs include expenses for employee relocation, professional fees associated with employee severance, and costs to exit the facilities once the operations in those facilities have ceased.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 Restructuring expense is part of the Corporate unallocated segment and is not part of the operating segments.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current portion of restructuring liabilities was $22.2 million and $18.9 million as of March 31, 2020 and December 31, 2019. The current portion of restructuring liabilities is classified within other current liabilities on the Consolidated Balance Sheets. The long-term portion of restructuring liabilities balances was $28.6 million and $37.2 million as of March 31, 2020 and December 31, 2019. The long-term portion of restructuring liabilities is classified within other long-term obligations on the Consolidated Balance Sheets and includes severance accruals and facility exit costs.</w:t>
      </w:r>
    </w:p>
    <w:p>
      <w:pPr>
        <w:spacing w:after="0" w:line="19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Shareholders' Equity</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the Board of Directors prior to any payment to holders of common stock. There was no preferred stock issued or outstanding at March 31, 2020 or December 31, 2019.</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Repurchase Authorization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14, 2019, Itron's Board of Directors authorized the Company to repurchase up to $50 million of our common stock over a 12-month period (the 2019 Stock Repurchase Program). Following the announcement of the program and through December 31, 2019, we repurchased 529,396 shares at an average share price of $47.22 (including commissions) for a total of $25 million. The program expired on March 13, 2020 and no additional shares were repurchased during the quarter ended March 31, 2020.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Comprehensive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AOCI, net of tax,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Net Unrealized</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Net Unrealized</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Foreign Currency</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Gain (Loss) on</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Gain (Loss) on</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Pension Benefit</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Accumulated Other</w:t>
            </w:r>
          </w:p>
        </w:tc>
      </w:tr>
      <w:tr>
        <w:trPr>
          <w:trHeight w:val="203"/>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Translation</w:t>
            </w: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Derivative</w:t>
            </w: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Nonderivative</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Obligation</w:t>
            </w:r>
          </w:p>
        </w:tc>
        <w:tc>
          <w:tcPr>
            <w:tcW w:w="140" w:type="dxa"/>
            <w:vAlign w:val="bottom"/>
          </w:tcPr>
          <w:p>
            <w:pPr>
              <w:spacing w:after="0"/>
              <w:rPr>
                <w:sz w:val="17"/>
                <w:szCs w:val="17"/>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Comprehensive</w:t>
            </w:r>
          </w:p>
        </w:tc>
      </w:tr>
      <w:tr>
        <w:trPr>
          <w:trHeight w:val="210"/>
        </w:trPr>
        <w:tc>
          <w:tcPr>
            <w:tcW w:w="35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Instruments</w:t>
            </w: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w w:val="97"/>
              </w:rPr>
              <w:t>Income (Loss)</w:t>
            </w:r>
          </w:p>
        </w:tc>
      </w:tr>
      <w:tr>
        <w:trPr>
          <w:trHeight w:val="33"/>
        </w:trPr>
        <w:tc>
          <w:tcPr>
            <w:tcW w:w="3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January 1, 2019</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(157,489)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(14,380)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(196,305)</w:t>
            </w:r>
          </w:p>
        </w:tc>
      </w:tr>
      <w:tr>
        <w:trPr>
          <w:trHeight w:val="217"/>
        </w:trPr>
        <w:tc>
          <w:tcPr>
            <w:tcW w:w="3540" w:type="dxa"/>
            <w:vAlign w:val="bottom"/>
          </w:tcPr>
          <w:p>
            <w:pPr>
              <w:ind w:left="180"/>
              <w:spacing w:after="0"/>
              <w:rPr>
                <w:sz w:val="20"/>
                <w:szCs w:val="20"/>
                <w:color w:val="auto"/>
              </w:rPr>
            </w:pPr>
            <w:r>
              <w:rPr>
                <w:rFonts w:ascii="Arial" w:cs="Arial" w:eastAsia="Arial" w:hAnsi="Arial"/>
                <w:sz w:val="16"/>
                <w:szCs w:val="16"/>
                <w:color w:val="auto"/>
              </w:rPr>
              <w:t>OCI before reclassifications</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(2,386)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(1,848)</w:t>
            </w:r>
          </w:p>
        </w:tc>
      </w:tr>
      <w:tr>
        <w:trPr>
          <w:trHeight w:val="33"/>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w:t>
            </w:r>
          </w:p>
        </w:tc>
      </w:tr>
      <w:tr>
        <w:trPr>
          <w:trHeight w:val="217"/>
        </w:trPr>
        <w:tc>
          <w:tcPr>
            <w:tcW w:w="3540" w:type="dxa"/>
            <w:vAlign w:val="bottom"/>
          </w:tcPr>
          <w:p>
            <w:pPr>
              <w:ind w:left="20"/>
              <w:spacing w:after="0"/>
              <w:rPr>
                <w:sz w:val="20"/>
                <w:szCs w:val="20"/>
                <w:color w:val="auto"/>
              </w:rPr>
            </w:pPr>
            <w:r>
              <w:rPr>
                <w:rFonts w:ascii="Arial" w:cs="Arial" w:eastAsia="Arial" w:hAnsi="Arial"/>
                <w:sz w:val="16"/>
                <w:szCs w:val="16"/>
                <w:color w:val="auto"/>
              </w:rPr>
              <w:t>Total other comprehensive income (loss)</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(2,386)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(1,780)</w:t>
            </w:r>
          </w:p>
        </w:tc>
      </w:tr>
      <w:tr>
        <w:trPr>
          <w:trHeight w:val="33"/>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2"/>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March 31, 2019</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(159,875)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(14,380)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(25,166)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(198,085)</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7"/>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January 1, 2020</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(157,999)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(14,380)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(204,672)</w:t>
            </w:r>
          </w:p>
        </w:tc>
      </w:tr>
      <w:tr>
        <w:trPr>
          <w:trHeight w:val="217"/>
        </w:trPr>
        <w:tc>
          <w:tcPr>
            <w:tcW w:w="3540" w:type="dxa"/>
            <w:vAlign w:val="bottom"/>
          </w:tcPr>
          <w:p>
            <w:pPr>
              <w:ind w:left="180"/>
              <w:spacing w:after="0"/>
              <w:rPr>
                <w:sz w:val="20"/>
                <w:szCs w:val="20"/>
                <w:color w:val="auto"/>
              </w:rPr>
            </w:pPr>
            <w:r>
              <w:rPr>
                <w:rFonts w:ascii="Arial" w:cs="Arial" w:eastAsia="Arial" w:hAnsi="Arial"/>
                <w:sz w:val="16"/>
                <w:szCs w:val="16"/>
                <w:color w:val="auto"/>
              </w:rPr>
              <w:t>OCI before reclassifications</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(25,445)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(24,629)</w:t>
            </w:r>
          </w:p>
        </w:tc>
      </w:tr>
      <w:tr>
        <w:trPr>
          <w:trHeight w:val="33"/>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(582)</w:t>
            </w:r>
          </w:p>
        </w:tc>
      </w:tr>
      <w:tr>
        <w:trPr>
          <w:trHeight w:val="217"/>
        </w:trPr>
        <w:tc>
          <w:tcPr>
            <w:tcW w:w="3540" w:type="dxa"/>
            <w:vAlign w:val="bottom"/>
          </w:tcPr>
          <w:p>
            <w:pPr>
              <w:ind w:left="20"/>
              <w:spacing w:after="0"/>
              <w:rPr>
                <w:sz w:val="20"/>
                <w:szCs w:val="20"/>
                <w:color w:val="auto"/>
              </w:rPr>
            </w:pPr>
            <w:r>
              <w:rPr>
                <w:rFonts w:ascii="Arial" w:cs="Arial" w:eastAsia="Arial" w:hAnsi="Arial"/>
                <w:sz w:val="16"/>
                <w:szCs w:val="16"/>
                <w:color w:val="auto"/>
              </w:rPr>
              <w:t>Total other comprehensive income (loss)</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(25,445)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1,001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(25,211)</w:t>
            </w:r>
          </w:p>
        </w:tc>
      </w:tr>
      <w:tr>
        <w:trPr>
          <w:trHeight w:val="33"/>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March 31, 2020</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(183,444)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(14,380)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(229,883)</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before-tax, income tax (provision) benefit, and net-of-tax amounts related to each component of OCI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96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Pr>
          <w:p>
            <w:pPr>
              <w:spacing w:after="0"/>
              <w:rPr>
                <w:sz w:val="18"/>
                <w:szCs w:val="18"/>
                <w:color w:val="auto"/>
              </w:rPr>
            </w:pPr>
          </w:p>
        </w:tc>
        <w:tc>
          <w:tcPr>
            <w:tcW w:w="1660" w:type="dxa"/>
            <w:vAlign w:val="bottom"/>
          </w:tcPr>
          <w:p>
            <w:pPr>
              <w:jc w:val="right"/>
              <w:ind w:right="8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ind w:right="859"/>
              <w:spacing w:after="0"/>
              <w:rPr>
                <w:sz w:val="20"/>
                <w:szCs w:val="20"/>
                <w:color w:val="auto"/>
              </w:rPr>
            </w:pPr>
            <w:r>
              <w:rPr>
                <w:rFonts w:ascii="Arial" w:cs="Arial" w:eastAsia="Arial" w:hAnsi="Arial"/>
                <w:sz w:val="16"/>
                <w:szCs w:val="16"/>
                <w:b w:val="1"/>
                <w:bCs w:val="1"/>
                <w:color w:val="auto"/>
              </w:rPr>
              <w:t>2019</w:t>
            </w:r>
          </w:p>
        </w:tc>
      </w:tr>
      <w:tr>
        <w:trPr>
          <w:trHeight w:val="33"/>
        </w:trPr>
        <w:tc>
          <w:tcPr>
            <w:tcW w:w="6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Before-tax amount</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7"/>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(26,593)</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(2,254)</w:t>
            </w:r>
          </w:p>
        </w:tc>
      </w:tr>
      <w:tr>
        <w:trPr>
          <w:trHeight w:val="253"/>
        </w:trPr>
        <w:tc>
          <w:tcPr>
            <w:tcW w:w="6760" w:type="dxa"/>
            <w:vAlign w:val="bottom"/>
          </w:tcPr>
          <w:p>
            <w:pPr>
              <w:ind w:left="18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520" w:type="dxa"/>
            <w:vAlign w:val="bottom"/>
          </w:tcPr>
          <w:p>
            <w:pPr>
              <w:spacing w:after="0"/>
              <w:rPr>
                <w:sz w:val="22"/>
                <w:szCs w:val="22"/>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171</w:t>
            </w:r>
          </w:p>
        </w:tc>
      </w:tr>
      <w:tr>
        <w:trPr>
          <w:trHeight w:val="260"/>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hedging (gain) loss reclassified to net income</w:t>
            </w:r>
          </w:p>
        </w:tc>
        <w:tc>
          <w:tcPr>
            <w:tcW w:w="52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(1,123)</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(264)</w:t>
            </w:r>
          </w:p>
        </w:tc>
      </w:tr>
      <w:tr>
        <w:trPr>
          <w:trHeight w:val="254"/>
        </w:trPr>
        <w:tc>
          <w:tcPr>
            <w:tcW w:w="6760" w:type="dxa"/>
            <w:vAlign w:val="bottom"/>
          </w:tcPr>
          <w:p>
            <w:pPr>
              <w:ind w:left="180"/>
              <w:spacing w:after="0"/>
              <w:rPr>
                <w:sz w:val="20"/>
                <w:szCs w:val="20"/>
                <w:color w:val="auto"/>
              </w:rPr>
            </w:pPr>
            <w:r>
              <w:rPr>
                <w:rFonts w:ascii="Arial" w:cs="Arial" w:eastAsia="Arial" w:hAnsi="Arial"/>
                <w:sz w:val="16"/>
                <w:szCs w:val="16"/>
                <w:color w:val="auto"/>
              </w:rPr>
              <w:t>Net unrealized gain (loss) on defined benefit plans</w:t>
            </w:r>
          </w:p>
        </w:tc>
        <w:tc>
          <w:tcPr>
            <w:tcW w:w="520" w:type="dxa"/>
            <w:vAlign w:val="bottom"/>
          </w:tcPr>
          <w:p>
            <w:pPr>
              <w:spacing w:after="0"/>
              <w:rPr>
                <w:sz w:val="22"/>
                <w:szCs w:val="22"/>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538</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342</w:t>
            </w:r>
          </w:p>
        </w:tc>
      </w:tr>
      <w:tr>
        <w:trPr>
          <w:trHeight w:val="256"/>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defined benefit plan (gain) loss reclassified to net income</w:t>
            </w:r>
          </w:p>
        </w:tc>
        <w:tc>
          <w:tcPr>
            <w:tcW w:w="52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471</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179</w:t>
            </w:r>
          </w:p>
        </w:tc>
      </w:tr>
      <w:tr>
        <w:trPr>
          <w:trHeight w:val="250"/>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(26,717)</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(1,826)</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7"/>
        </w:trPr>
        <w:tc>
          <w:tcPr>
            <w:tcW w:w="6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4"/>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Tax (provision) benefit</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3"/>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6"/>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1,148</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r>
      <w:tr>
        <w:trPr>
          <w:trHeight w:val="254"/>
        </w:trPr>
        <w:tc>
          <w:tcPr>
            <w:tcW w:w="6760" w:type="dxa"/>
            <w:vAlign w:val="bottom"/>
          </w:tcPr>
          <w:p>
            <w:pPr>
              <w:ind w:left="18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520" w:type="dxa"/>
            <w:vAlign w:val="bottom"/>
          </w:tcPr>
          <w:p>
            <w:pPr>
              <w:spacing w:after="0"/>
              <w:rPr>
                <w:sz w:val="22"/>
                <w:szCs w:val="22"/>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40</w:t>
            </w:r>
          </w:p>
        </w:tc>
      </w:tr>
      <w:tr>
        <w:trPr>
          <w:trHeight w:val="260"/>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hedging (gain) loss reclassified to net income</w:t>
            </w:r>
          </w:p>
        </w:tc>
        <w:tc>
          <w:tcPr>
            <w:tcW w:w="52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188</w:t>
            </w:r>
          </w:p>
        </w:tc>
      </w:tr>
      <w:tr>
        <w:trPr>
          <w:trHeight w:val="253"/>
        </w:trPr>
        <w:tc>
          <w:tcPr>
            <w:tcW w:w="6760" w:type="dxa"/>
            <w:vAlign w:val="bottom"/>
          </w:tcPr>
          <w:p>
            <w:pPr>
              <w:ind w:left="180"/>
              <w:spacing w:after="0"/>
              <w:rPr>
                <w:sz w:val="20"/>
                <w:szCs w:val="20"/>
                <w:color w:val="auto"/>
              </w:rPr>
            </w:pPr>
            <w:r>
              <w:rPr>
                <w:rFonts w:ascii="Arial" w:cs="Arial" w:eastAsia="Arial" w:hAnsi="Arial"/>
                <w:sz w:val="16"/>
                <w:szCs w:val="16"/>
                <w:color w:val="auto"/>
              </w:rPr>
              <w:t>Net unrealized gain (loss) on defined benefit plans</w:t>
            </w:r>
          </w:p>
        </w:tc>
        <w:tc>
          <w:tcPr>
            <w:tcW w:w="520" w:type="dxa"/>
            <w:vAlign w:val="bottom"/>
          </w:tcPr>
          <w:p>
            <w:pPr>
              <w:spacing w:after="0"/>
              <w:rPr>
                <w:sz w:val="22"/>
                <w:szCs w:val="22"/>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56"/>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defined benefit plan (gain) loss reclassified to net income</w:t>
            </w:r>
          </w:p>
        </w:tc>
        <w:tc>
          <w:tcPr>
            <w:tcW w:w="52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r>
      <w:tr>
        <w:trPr>
          <w:trHeight w:val="250"/>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Total other comprehensive income (loss) tax benefit</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1,506</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7"/>
        </w:trPr>
        <w:tc>
          <w:tcPr>
            <w:tcW w:w="6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3"/>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Net-of-tax amount</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3"/>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6"/>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(25,445)</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(2,386)</w:t>
            </w:r>
          </w:p>
        </w:tc>
      </w:tr>
      <w:tr>
        <w:trPr>
          <w:trHeight w:val="254"/>
        </w:trPr>
        <w:tc>
          <w:tcPr>
            <w:tcW w:w="6760" w:type="dxa"/>
            <w:vAlign w:val="bottom"/>
          </w:tcPr>
          <w:p>
            <w:pPr>
              <w:ind w:left="18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520" w:type="dxa"/>
            <w:vAlign w:val="bottom"/>
          </w:tcPr>
          <w:p>
            <w:pPr>
              <w:spacing w:after="0"/>
              <w:rPr>
                <w:sz w:val="22"/>
                <w:szCs w:val="22"/>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211</w:t>
            </w:r>
          </w:p>
        </w:tc>
      </w:tr>
      <w:tr>
        <w:trPr>
          <w:trHeight w:val="259"/>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hedging (gain) loss reclassified to net income</w:t>
            </w:r>
          </w:p>
        </w:tc>
        <w:tc>
          <w:tcPr>
            <w:tcW w:w="52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(1,049)</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r>
      <w:tr>
        <w:trPr>
          <w:trHeight w:val="254"/>
        </w:trPr>
        <w:tc>
          <w:tcPr>
            <w:tcW w:w="6760" w:type="dxa"/>
            <w:vAlign w:val="bottom"/>
          </w:tcPr>
          <w:p>
            <w:pPr>
              <w:ind w:left="180"/>
              <w:spacing w:after="0"/>
              <w:rPr>
                <w:sz w:val="20"/>
                <w:szCs w:val="20"/>
                <w:color w:val="auto"/>
              </w:rPr>
            </w:pPr>
            <w:r>
              <w:rPr>
                <w:rFonts w:ascii="Arial" w:cs="Arial" w:eastAsia="Arial" w:hAnsi="Arial"/>
                <w:sz w:val="16"/>
                <w:szCs w:val="16"/>
                <w:color w:val="auto"/>
              </w:rPr>
              <w:t>Net unrealized gain (loss) on defined benefit plans</w:t>
            </w:r>
          </w:p>
        </w:tc>
        <w:tc>
          <w:tcPr>
            <w:tcW w:w="520" w:type="dxa"/>
            <w:vAlign w:val="bottom"/>
          </w:tcPr>
          <w:p>
            <w:pPr>
              <w:spacing w:after="0"/>
              <w:rPr>
                <w:sz w:val="22"/>
                <w:szCs w:val="22"/>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327</w:t>
            </w:r>
          </w:p>
        </w:tc>
      </w:tr>
      <w:tr>
        <w:trPr>
          <w:trHeight w:val="256"/>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defined benefit plan (gain) loss reclassified to net income</w:t>
            </w:r>
          </w:p>
        </w:tc>
        <w:tc>
          <w:tcPr>
            <w:tcW w:w="52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467</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144</w:t>
            </w:r>
          </w:p>
        </w:tc>
      </w:tr>
      <w:tr>
        <w:trPr>
          <w:trHeight w:val="250"/>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(25,211)</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(1,780)</w:t>
            </w:r>
          </w:p>
        </w:tc>
      </w:tr>
      <w:tr>
        <w:trPr>
          <w:trHeight w:val="24"/>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Fair Values of Financial Instruments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at March 31, 2020 and December 31, 2019 do not reflect subsequent changes in the economy, interest rates, tax rates, and other variables that may affect the determination of fair value.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2"/>
          </w:tcPr>
          <w:p>
            <w:pPr>
              <w:jc w:val="right"/>
              <w:spacing w:after="0"/>
              <w:rPr>
                <w:sz w:val="20"/>
                <w:szCs w:val="20"/>
                <w:color w:val="auto"/>
              </w:rPr>
            </w:pPr>
            <w:r>
              <w:rPr>
                <w:rFonts w:ascii="Arial" w:cs="Arial" w:eastAsia="Arial" w:hAnsi="Arial"/>
                <w:sz w:val="16"/>
                <w:szCs w:val="16"/>
                <w:b w:val="1"/>
                <w:bCs w:val="1"/>
                <w:color w:val="auto"/>
              </w:rPr>
              <w:t>March 31, 2020</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2019</w:t>
            </w:r>
          </w:p>
        </w:tc>
        <w:tc>
          <w:tcPr>
            <w:tcW w:w="1020" w:type="dxa"/>
            <w:vAlign w:val="bottom"/>
          </w:tcPr>
          <w:p>
            <w:pPr>
              <w:spacing w:after="0"/>
              <w:rPr>
                <w:sz w:val="18"/>
                <w:szCs w:val="18"/>
                <w:color w:val="auto"/>
              </w:rPr>
            </w:pPr>
          </w:p>
        </w:tc>
      </w:tr>
      <w:tr>
        <w:trPr>
          <w:trHeight w:val="33"/>
        </w:trPr>
        <w:tc>
          <w:tcPr>
            <w:tcW w:w="4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4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Carrying</w:t>
            </w:r>
          </w:p>
        </w:tc>
        <w:tc>
          <w:tcPr>
            <w:tcW w:w="660" w:type="dxa"/>
            <w:vAlign w:val="bottom"/>
          </w:tcPr>
          <w:p>
            <w:pPr>
              <w:spacing w:after="0"/>
              <w:rPr>
                <w:sz w:val="18"/>
                <w:szCs w:val="18"/>
                <w:color w:val="auto"/>
              </w:rPr>
            </w:pPr>
          </w:p>
        </w:tc>
        <w:tc>
          <w:tcPr>
            <w:tcW w:w="120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rPr>
              <w:t>Fair</w:t>
            </w:r>
          </w:p>
        </w:tc>
        <w:tc>
          <w:tcPr>
            <w:tcW w:w="280" w:type="dxa"/>
            <w:vAlign w:val="bottom"/>
          </w:tcPr>
          <w:p>
            <w:pPr>
              <w:spacing w:after="0"/>
              <w:rPr>
                <w:sz w:val="18"/>
                <w:szCs w:val="18"/>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Carrying</w:t>
            </w:r>
          </w:p>
        </w:tc>
        <w:tc>
          <w:tcPr>
            <w:tcW w:w="740" w:type="dxa"/>
            <w:vAlign w:val="bottom"/>
          </w:tcPr>
          <w:p>
            <w:pPr>
              <w:spacing w:after="0"/>
              <w:rPr>
                <w:sz w:val="18"/>
                <w:szCs w:val="18"/>
                <w:color w:val="auto"/>
              </w:rPr>
            </w:pPr>
          </w:p>
        </w:tc>
        <w:tc>
          <w:tcPr>
            <w:tcW w:w="1020" w:type="dxa"/>
            <w:vAlign w:val="bottom"/>
          </w:tcPr>
          <w:p>
            <w:pPr>
              <w:jc w:val="right"/>
              <w:ind w:right="599"/>
              <w:spacing w:after="0"/>
              <w:rPr>
                <w:sz w:val="20"/>
                <w:szCs w:val="20"/>
                <w:color w:val="auto"/>
              </w:rPr>
            </w:pPr>
            <w:r>
              <w:rPr>
                <w:rFonts w:ascii="Arial" w:cs="Arial" w:eastAsia="Arial" w:hAnsi="Arial"/>
                <w:sz w:val="16"/>
                <w:szCs w:val="16"/>
                <w:b w:val="1"/>
                <w:bCs w:val="1"/>
                <w:color w:val="auto"/>
              </w:rPr>
              <w:t>Fair</w:t>
            </w:r>
          </w:p>
        </w:tc>
      </w:tr>
      <w:tr>
        <w:trPr>
          <w:trHeight w:val="210"/>
        </w:trPr>
        <w:tc>
          <w:tcPr>
            <w:tcW w:w="43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8"/>
                <w:szCs w:val="18"/>
                <w:color w:val="auto"/>
              </w:rPr>
            </w:pPr>
          </w:p>
        </w:tc>
        <w:tc>
          <w:tcPr>
            <w:tcW w:w="1340" w:type="dxa"/>
            <w:vAlign w:val="bottom"/>
          </w:tcPr>
          <w:p>
            <w:pPr>
              <w:jc w:val="right"/>
              <w:ind w:right="459"/>
              <w:spacing w:after="0"/>
              <w:rPr>
                <w:sz w:val="20"/>
                <w:szCs w:val="20"/>
                <w:color w:val="auto"/>
              </w:rPr>
            </w:pPr>
            <w:r>
              <w:rPr>
                <w:rFonts w:ascii="Arial" w:cs="Arial" w:eastAsia="Arial" w:hAnsi="Arial"/>
                <w:sz w:val="16"/>
                <w:szCs w:val="16"/>
                <w:b w:val="1"/>
                <w:bCs w:val="1"/>
                <w:color w:val="auto"/>
              </w:rPr>
              <w:t>Amount</w:t>
            </w:r>
          </w:p>
        </w:tc>
        <w:tc>
          <w:tcPr>
            <w:tcW w:w="660" w:type="dxa"/>
            <w:vAlign w:val="bottom"/>
          </w:tcPr>
          <w:p>
            <w:pPr>
              <w:spacing w:after="0"/>
              <w:rPr>
                <w:sz w:val="18"/>
                <w:szCs w:val="18"/>
                <w:color w:val="auto"/>
              </w:rPr>
            </w:pPr>
          </w:p>
        </w:tc>
        <w:tc>
          <w:tcPr>
            <w:tcW w:w="120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w w:val="88"/>
              </w:rPr>
              <w:t>Value</w:t>
            </w:r>
          </w:p>
        </w:tc>
        <w:tc>
          <w:tcPr>
            <w:tcW w:w="280" w:type="dxa"/>
            <w:vAlign w:val="bottom"/>
          </w:tcPr>
          <w:p>
            <w:pPr>
              <w:spacing w:after="0"/>
              <w:rPr>
                <w:sz w:val="18"/>
                <w:szCs w:val="18"/>
                <w:color w:val="auto"/>
              </w:rPr>
            </w:pPr>
          </w:p>
        </w:tc>
        <w:tc>
          <w:tcPr>
            <w:tcW w:w="1340" w:type="dxa"/>
            <w:vAlign w:val="bottom"/>
          </w:tcPr>
          <w:p>
            <w:pPr>
              <w:jc w:val="right"/>
              <w:ind w:right="439"/>
              <w:spacing w:after="0"/>
              <w:rPr>
                <w:sz w:val="20"/>
                <w:szCs w:val="20"/>
                <w:color w:val="auto"/>
              </w:rPr>
            </w:pPr>
            <w:r>
              <w:rPr>
                <w:rFonts w:ascii="Arial" w:cs="Arial" w:eastAsia="Arial" w:hAnsi="Arial"/>
                <w:sz w:val="16"/>
                <w:szCs w:val="16"/>
                <w:b w:val="1"/>
                <w:bCs w:val="1"/>
                <w:color w:val="auto"/>
              </w:rPr>
              <w:t>Amount</w:t>
            </w:r>
          </w:p>
        </w:tc>
        <w:tc>
          <w:tcPr>
            <w:tcW w:w="740" w:type="dxa"/>
            <w:vAlign w:val="bottom"/>
          </w:tcPr>
          <w:p>
            <w:pPr>
              <w:spacing w:after="0"/>
              <w:rPr>
                <w:sz w:val="18"/>
                <w:szCs w:val="18"/>
                <w:color w:val="auto"/>
              </w:rPr>
            </w:pPr>
          </w:p>
        </w:tc>
        <w:tc>
          <w:tcPr>
            <w:tcW w:w="1020" w:type="dxa"/>
            <w:vAlign w:val="bottom"/>
          </w:tcPr>
          <w:p>
            <w:pPr>
              <w:jc w:val="right"/>
              <w:ind w:right="53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4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4320" w:type="dxa"/>
            <w:vAlign w:val="bottom"/>
          </w:tcPr>
          <w:p>
            <w:pPr>
              <w:ind w:left="20"/>
              <w:spacing w:after="0"/>
              <w:rPr>
                <w:sz w:val="20"/>
                <w:szCs w:val="20"/>
                <w:color w:val="auto"/>
              </w:rPr>
            </w:pPr>
            <w:r>
              <w:rPr>
                <w:rFonts w:ascii="Arial" w:cs="Arial" w:eastAsia="Arial" w:hAnsi="Arial"/>
                <w:sz w:val="16"/>
                <w:szCs w:val="16"/>
                <w:color w:val="auto"/>
              </w:rPr>
              <w:t>Credit facility</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4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USD denominated term loan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546,710</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550,136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546,495</w:t>
            </w:r>
          </w:p>
        </w:tc>
        <w:tc>
          <w:tcPr>
            <w:tcW w:w="7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550,135</w:t>
            </w:r>
          </w:p>
        </w:tc>
      </w:tr>
      <w:tr>
        <w:trPr>
          <w:trHeight w:val="223"/>
        </w:trPr>
        <w:tc>
          <w:tcPr>
            <w:tcW w:w="4320" w:type="dxa"/>
            <w:vAlign w:val="bottom"/>
          </w:tcPr>
          <w:p>
            <w:pPr>
              <w:ind w:left="34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400,000</w:t>
            </w:r>
          </w:p>
        </w:tc>
        <w:tc>
          <w:tcPr>
            <w:tcW w:w="66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399,984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386,564</w:t>
            </w: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371,000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385,987</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416,500</w:t>
            </w:r>
          </w:p>
        </w:tc>
      </w:tr>
      <w:tr>
        <w:trPr>
          <w:trHeight w:val="33"/>
        </w:trPr>
        <w:tc>
          <w:tcPr>
            <w:tcW w:w="4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Cash, cash equivalents, and restricted cash: </w:t>
      </w:r>
      <w:r>
        <w:rPr>
          <w:rFonts w:ascii="Arial" w:cs="Arial" w:eastAsia="Arial" w:hAnsi="Arial"/>
          <w:sz w:val="17"/>
          <w:szCs w:val="17"/>
          <w:color w:val="auto"/>
        </w:rPr>
        <w:t>Due to the liquid nature of these instruments, the carrying amount approximates fair value (Level 1).</w:t>
      </w:r>
    </w:p>
    <w:p>
      <w:pPr>
        <w:spacing w:after="0" w:line="2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Credit Facility - term loan and multicurrency revolving line of credit: </w:t>
      </w:r>
      <w:r>
        <w:rPr>
          <w:rFonts w:ascii="Arial" w:cs="Arial" w:eastAsia="Arial" w:hAnsi="Arial"/>
          <w:sz w:val="17"/>
          <w:szCs w:val="17"/>
          <w:color w:val="auto"/>
        </w:rPr>
        <w:t>The term loan and revolver are not traded publicly. The fair values,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based upon a hypothetical market participant, are calculated using a discounted cash flow model with Level 2 inputs, including estimates of incremental borrowing rates for debt with similar terms, maturities, and credit profiles. Refer to "Note 6: Debt" for a further discussion of our debt.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The Senior Notes are not registered securities nor listed on any securities exchange but may be actively traded by qualified institutional</w:t>
      </w:r>
      <w:r>
        <w:rPr>
          <w:rFonts w:ascii="Arial" w:cs="Arial" w:eastAsia="Arial" w:hAnsi="Arial"/>
          <w:sz w:val="18"/>
          <w:szCs w:val="18"/>
          <w:i w:val="1"/>
          <w:iCs w:val="1"/>
          <w:color w:val="auto"/>
        </w:rPr>
        <w:t xml:space="preserve"> </w:t>
      </w:r>
      <w:r>
        <w:rPr>
          <w:rFonts w:ascii="Arial" w:cs="Arial" w:eastAsia="Arial" w:hAnsi="Arial"/>
          <w:sz w:val="18"/>
          <w:szCs w:val="18"/>
          <w:color w:val="auto"/>
        </w:rPr>
        <w:t>buyers. The fair value is estimated using Level 1 inputs, as it is based on quoted prices for these instruments in active markets.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Derivative Financial Instruments" for a description of our methods and assumptions in determining the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which were determined using Level 2 inputs. Each derivative asset and liability has a carrying value equal to fair value.</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Information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under the Itron brand worldwide and manage and report under three operating segments: Device Solutions, Networked Solutions, and Outcomes.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three GAAP measures of segment performance: revenues, gross profit (gross margin), and operating income (operating margin). Intersegment revenues are minimal. Certain operating expenses are allocated to the operating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In addition, we allocate only certain production assets and intangible assets to our operating segments. We do not manage the performance of the segments on a balance sheet basis.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Device Solutions </w:t>
      </w:r>
      <w:r>
        <w:rPr>
          <w:rFonts w:ascii="Arial" w:cs="Arial" w:eastAsia="Arial" w:hAnsi="Arial"/>
          <w:sz w:val="17"/>
          <w:szCs w:val="17"/>
          <w:color w:val="auto"/>
        </w:rPr>
        <w:t>– This segment primarily includes hardware products used for measurement, control, or sensing that do not have communications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meters, electricity IEC meters, and water meters, in addition to our heat and allocation products; communicating meters that are not a part of an Itron solution such as Smart Spec meters; and the implementation and installation of non-communicating devices, such as gas regulators.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Networked Solutions </w:t>
      </w:r>
      <w:r>
        <w:rPr>
          <w:rFonts w:ascii="Arial" w:cs="Arial" w:eastAsia="Arial" w:hAnsi="Arial"/>
          <w:sz w:val="18"/>
          <w:szCs w:val="18"/>
          <w:color w:val="auto"/>
        </w:rPr>
        <w:t>– This segment primarily includes a combination of communicating devices (smart meters, modules, endpoints, and sensors),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and associated application software designed and sold as a complete solution for acquiring and transporting robust application-specific data. Networked Solutions combines the majority of the assets from the recently acquired SSNI organization with our legacy Itron networking products and software and the implementation and installation of communicating devices into one operating segment. Examples from the Networked Solutions portfolio include: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communicating measurement, control, or sensing endpoints such as our Itron® and OpenWay® Riva meters, Itron traditional ERT® technology, Intelis smart gas or water meters, 500G gas communication modules, 500W water communication modules; GenX networking products, network modules and interface cards; and specific network control and management software applications. The IIoT solutions supported by this segment include automated meter reading (AMR), advanced metering infrastructure (AMI), smart grid and distribution automation (DA), and smart street lighting and smart city solutions.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Outcomes </w:t>
      </w:r>
      <w:r>
        <w:rPr>
          <w:rFonts w:ascii="Arial" w:cs="Arial" w:eastAsia="Arial" w:hAnsi="Arial"/>
          <w:sz w:val="17"/>
          <w:szCs w:val="17"/>
          <w:color w:val="auto"/>
        </w:rPr>
        <w:t>– This segment primarily includes our value-added, enhanced software and services in which we manage, organize, analyze, and interpret data to</w:t>
      </w:r>
      <w:r>
        <w:rPr>
          <w:rFonts w:ascii="Arial" w:cs="Arial" w:eastAsia="Arial" w:hAnsi="Arial"/>
          <w:sz w:val="17"/>
          <w:szCs w:val="17"/>
          <w:i w:val="1"/>
          <w:iCs w:val="1"/>
          <w:color w:val="auto"/>
        </w:rPr>
        <w:t xml:space="preserve"> </w:t>
      </w:r>
      <w:r>
        <w:rPr>
          <w:rFonts w:ascii="Arial" w:cs="Arial" w:eastAsia="Arial" w:hAnsi="Arial"/>
          <w:sz w:val="17"/>
          <w:szCs w:val="17"/>
          <w:color w:val="auto"/>
        </w:rPr>
        <w:t>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from the Outcomes portfolio include: our meter data management and analytics offerings; our managed service solutions including network-as-a-service and platform-as-a-service, forecasting software and services; and any consulting-based engagement. Within the Outcomes segment, we also identify new business models, including performance-based contracting, to drive broader portfolio offerings across utilities and cities.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operating segments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96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Pr>
          <w:p>
            <w:pPr>
              <w:spacing w:after="0"/>
              <w:rPr>
                <w:sz w:val="18"/>
                <w:szCs w:val="18"/>
                <w:color w:val="auto"/>
              </w:rPr>
            </w:pPr>
          </w:p>
        </w:tc>
        <w:tc>
          <w:tcPr>
            <w:tcW w:w="1660" w:type="dxa"/>
            <w:vAlign w:val="bottom"/>
          </w:tcPr>
          <w:p>
            <w:pPr>
              <w:jc w:val="right"/>
              <w:ind w:right="8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ind w:right="859"/>
              <w:spacing w:after="0"/>
              <w:rPr>
                <w:sz w:val="20"/>
                <w:szCs w:val="20"/>
                <w:color w:val="auto"/>
              </w:rPr>
            </w:pPr>
            <w:r>
              <w:rPr>
                <w:rFonts w:ascii="Arial" w:cs="Arial" w:eastAsia="Arial" w:hAnsi="Arial"/>
                <w:sz w:val="16"/>
                <w:szCs w:val="16"/>
                <w:b w:val="1"/>
                <w:bCs w:val="1"/>
                <w:color w:val="auto"/>
              </w:rPr>
              <w:t>2019</w:t>
            </w:r>
          </w:p>
        </w:tc>
      </w:tr>
      <w:tr>
        <w:trPr>
          <w:trHeight w:val="33"/>
        </w:trPr>
        <w:tc>
          <w:tcPr>
            <w:tcW w:w="6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Product revenues</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Device Solutions</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200,168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218,569</w:t>
            </w:r>
          </w:p>
        </w:tc>
      </w:tr>
      <w:tr>
        <w:trPr>
          <w:trHeight w:val="223"/>
        </w:trPr>
        <w:tc>
          <w:tcPr>
            <w:tcW w:w="6760" w:type="dxa"/>
            <w:vAlign w:val="bottom"/>
          </w:tcPr>
          <w:p>
            <w:pPr>
              <w:ind w:left="340"/>
              <w:spacing w:after="0"/>
              <w:rPr>
                <w:sz w:val="20"/>
                <w:szCs w:val="20"/>
                <w:color w:val="auto"/>
              </w:rPr>
            </w:pPr>
            <w:r>
              <w:rPr>
                <w:rFonts w:ascii="Arial" w:cs="Arial" w:eastAsia="Arial" w:hAnsi="Arial"/>
                <w:sz w:val="16"/>
                <w:szCs w:val="16"/>
                <w:color w:val="auto"/>
              </w:rPr>
              <w:t>Networked Solutions</w:t>
            </w: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315,437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314,350</w:t>
            </w:r>
          </w:p>
        </w:tc>
      </w:tr>
      <w:tr>
        <w:trPr>
          <w:trHeight w:val="33"/>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Outcomes</w:t>
            </w: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12,532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11,931</w:t>
            </w:r>
          </w:p>
        </w:tc>
      </w:tr>
      <w:tr>
        <w:trPr>
          <w:trHeight w:val="217"/>
        </w:trPr>
        <w:tc>
          <w:tcPr>
            <w:tcW w:w="6760" w:type="dxa"/>
            <w:vAlign w:val="bottom"/>
          </w:tcPr>
          <w:p>
            <w:pPr>
              <w:ind w:left="660"/>
              <w:spacing w:after="0"/>
              <w:rPr>
                <w:sz w:val="20"/>
                <w:szCs w:val="20"/>
                <w:color w:val="auto"/>
              </w:rPr>
            </w:pPr>
            <w:r>
              <w:rPr>
                <w:rFonts w:ascii="Arial" w:cs="Arial" w:eastAsia="Arial" w:hAnsi="Arial"/>
                <w:sz w:val="16"/>
                <w:szCs w:val="16"/>
                <w:color w:val="auto"/>
              </w:rPr>
              <w:t>Total Company</w:t>
            </w: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528,137</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544,850</w:t>
            </w:r>
          </w:p>
        </w:tc>
      </w:tr>
      <w:tr>
        <w:trPr>
          <w:trHeight w:val="3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3"/>
        </w:trPr>
        <w:tc>
          <w:tcPr>
            <w:tcW w:w="6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4"/>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Service revenues</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3"/>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Device Solutions</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2,111</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3,186</w:t>
            </w:r>
          </w:p>
        </w:tc>
      </w:tr>
      <w:tr>
        <w:trPr>
          <w:trHeight w:val="223"/>
        </w:trPr>
        <w:tc>
          <w:tcPr>
            <w:tcW w:w="6760" w:type="dxa"/>
            <w:vAlign w:val="bottom"/>
          </w:tcPr>
          <w:p>
            <w:pPr>
              <w:ind w:left="340"/>
              <w:spacing w:after="0"/>
              <w:rPr>
                <w:sz w:val="20"/>
                <w:szCs w:val="20"/>
                <w:color w:val="auto"/>
              </w:rPr>
            </w:pPr>
            <w:r>
              <w:rPr>
                <w:rFonts w:ascii="Arial" w:cs="Arial" w:eastAsia="Arial" w:hAnsi="Arial"/>
                <w:sz w:val="16"/>
                <w:szCs w:val="16"/>
                <w:color w:val="auto"/>
              </w:rPr>
              <w:t>Networked Solutions</w:t>
            </w: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25,408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22,077</w:t>
            </w:r>
          </w:p>
        </w:tc>
      </w:tr>
      <w:tr>
        <w:trPr>
          <w:trHeight w:val="33"/>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Outcomes</w:t>
            </w: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42,759</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44,463</w:t>
            </w:r>
          </w:p>
        </w:tc>
      </w:tr>
      <w:tr>
        <w:trPr>
          <w:trHeight w:val="217"/>
        </w:trPr>
        <w:tc>
          <w:tcPr>
            <w:tcW w:w="6760" w:type="dxa"/>
            <w:vAlign w:val="bottom"/>
          </w:tcPr>
          <w:p>
            <w:pPr>
              <w:ind w:left="660"/>
              <w:spacing w:after="0"/>
              <w:rPr>
                <w:sz w:val="20"/>
                <w:szCs w:val="20"/>
                <w:color w:val="auto"/>
              </w:rPr>
            </w:pPr>
            <w:r>
              <w:rPr>
                <w:rFonts w:ascii="Arial" w:cs="Arial" w:eastAsia="Arial" w:hAnsi="Arial"/>
                <w:sz w:val="16"/>
                <w:szCs w:val="16"/>
                <w:color w:val="auto"/>
              </w:rPr>
              <w:t>Total Company</w:t>
            </w: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70,278</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69,726</w:t>
            </w:r>
          </w:p>
        </w:tc>
      </w:tr>
      <w:tr>
        <w:trPr>
          <w:trHeight w:val="3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3"/>
        </w:trPr>
        <w:tc>
          <w:tcPr>
            <w:tcW w:w="6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3"/>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3"/>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6"/>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Device Solutions</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202,279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221,755</w:t>
            </w:r>
          </w:p>
        </w:tc>
      </w:tr>
      <w:tr>
        <w:trPr>
          <w:trHeight w:val="223"/>
        </w:trPr>
        <w:tc>
          <w:tcPr>
            <w:tcW w:w="6760" w:type="dxa"/>
            <w:vAlign w:val="bottom"/>
          </w:tcPr>
          <w:p>
            <w:pPr>
              <w:ind w:left="340"/>
              <w:spacing w:after="0"/>
              <w:rPr>
                <w:sz w:val="20"/>
                <w:szCs w:val="20"/>
                <w:color w:val="auto"/>
              </w:rPr>
            </w:pPr>
            <w:r>
              <w:rPr>
                <w:rFonts w:ascii="Arial" w:cs="Arial" w:eastAsia="Arial" w:hAnsi="Arial"/>
                <w:sz w:val="16"/>
                <w:szCs w:val="16"/>
                <w:color w:val="auto"/>
              </w:rPr>
              <w:t>Networked Solutions</w:t>
            </w: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340,845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336,427</w:t>
            </w:r>
          </w:p>
        </w:tc>
      </w:tr>
      <w:tr>
        <w:trPr>
          <w:trHeight w:val="33"/>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6"/>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Outcomes</w:t>
            </w: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55,291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56,394</w:t>
            </w:r>
          </w:p>
        </w:tc>
      </w:tr>
      <w:tr>
        <w:trPr>
          <w:trHeight w:val="217"/>
        </w:trPr>
        <w:tc>
          <w:tcPr>
            <w:tcW w:w="6760" w:type="dxa"/>
            <w:vAlign w:val="bottom"/>
          </w:tcPr>
          <w:p>
            <w:pPr>
              <w:ind w:left="660"/>
              <w:spacing w:after="0"/>
              <w:rPr>
                <w:sz w:val="20"/>
                <w:szCs w:val="20"/>
                <w:color w:val="auto"/>
              </w:rPr>
            </w:pPr>
            <w:r>
              <w:rPr>
                <w:rFonts w:ascii="Arial" w:cs="Arial" w:eastAsia="Arial" w:hAnsi="Arial"/>
                <w:sz w:val="16"/>
                <w:szCs w:val="16"/>
                <w:color w:val="auto"/>
              </w:rPr>
              <w:t>Total Company</w:t>
            </w: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598,415</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614,576</w:t>
            </w:r>
          </w:p>
        </w:tc>
      </w:tr>
      <w:tr>
        <w:trPr>
          <w:trHeight w:val="3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4"/>
        </w:trPr>
        <w:tc>
          <w:tcPr>
            <w:tcW w:w="6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3"/>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Gross profit</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3"/>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Device Solutions</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32,367</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39,916</w:t>
            </w:r>
          </w:p>
        </w:tc>
      </w:tr>
      <w:tr>
        <w:trPr>
          <w:trHeight w:val="223"/>
        </w:trPr>
        <w:tc>
          <w:tcPr>
            <w:tcW w:w="6760" w:type="dxa"/>
            <w:vAlign w:val="bottom"/>
          </w:tcPr>
          <w:p>
            <w:pPr>
              <w:ind w:left="340"/>
              <w:spacing w:after="0"/>
              <w:rPr>
                <w:sz w:val="20"/>
                <w:szCs w:val="20"/>
                <w:color w:val="auto"/>
              </w:rPr>
            </w:pPr>
            <w:r>
              <w:rPr>
                <w:rFonts w:ascii="Arial" w:cs="Arial" w:eastAsia="Arial" w:hAnsi="Arial"/>
                <w:sz w:val="16"/>
                <w:szCs w:val="16"/>
                <w:color w:val="auto"/>
              </w:rPr>
              <w:t>Networked Solutions</w:t>
            </w: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121,750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127,068</w:t>
            </w:r>
          </w:p>
        </w:tc>
      </w:tr>
      <w:tr>
        <w:trPr>
          <w:trHeight w:val="33"/>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Outcomes</w:t>
            </w: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17,449</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20,279</w:t>
            </w:r>
          </w:p>
        </w:tc>
      </w:tr>
      <w:tr>
        <w:trPr>
          <w:trHeight w:val="217"/>
        </w:trPr>
        <w:tc>
          <w:tcPr>
            <w:tcW w:w="6760" w:type="dxa"/>
            <w:vAlign w:val="bottom"/>
          </w:tcPr>
          <w:p>
            <w:pPr>
              <w:ind w:left="660"/>
              <w:spacing w:after="0"/>
              <w:rPr>
                <w:sz w:val="20"/>
                <w:szCs w:val="20"/>
                <w:color w:val="auto"/>
              </w:rPr>
            </w:pPr>
            <w:r>
              <w:rPr>
                <w:rFonts w:ascii="Arial" w:cs="Arial" w:eastAsia="Arial" w:hAnsi="Arial"/>
                <w:sz w:val="16"/>
                <w:szCs w:val="16"/>
                <w:color w:val="auto"/>
              </w:rPr>
              <w:t>Total Company</w:t>
            </w: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171,566</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187,263</w:t>
            </w:r>
          </w:p>
        </w:tc>
      </w:tr>
      <w:tr>
        <w:trPr>
          <w:trHeight w:val="3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3"/>
        </w:trPr>
        <w:tc>
          <w:tcPr>
            <w:tcW w:w="6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3"/>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3"/>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6"/>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Device Solutions</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18,198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25,457</w:t>
            </w:r>
          </w:p>
        </w:tc>
      </w:tr>
      <w:tr>
        <w:trPr>
          <w:trHeight w:val="224"/>
        </w:trPr>
        <w:tc>
          <w:tcPr>
            <w:tcW w:w="6760" w:type="dxa"/>
            <w:vAlign w:val="bottom"/>
          </w:tcPr>
          <w:p>
            <w:pPr>
              <w:ind w:left="340"/>
              <w:spacing w:after="0"/>
              <w:rPr>
                <w:sz w:val="20"/>
                <w:szCs w:val="20"/>
                <w:color w:val="auto"/>
              </w:rPr>
            </w:pPr>
            <w:r>
              <w:rPr>
                <w:rFonts w:ascii="Arial" w:cs="Arial" w:eastAsia="Arial" w:hAnsi="Arial"/>
                <w:sz w:val="16"/>
                <w:szCs w:val="16"/>
                <w:color w:val="auto"/>
              </w:rPr>
              <w:t>Networked Solutions</w:t>
            </w: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88,680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95,322</w:t>
            </w:r>
          </w:p>
        </w:tc>
      </w:tr>
      <w:tr>
        <w:trPr>
          <w:trHeight w:val="33"/>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Outcomes</w:t>
            </w: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8,198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10,410</w:t>
            </w:r>
          </w:p>
        </w:tc>
      </w:tr>
      <w:tr>
        <w:trPr>
          <w:trHeight w:val="223"/>
        </w:trPr>
        <w:tc>
          <w:tcPr>
            <w:tcW w:w="6760" w:type="dxa"/>
            <w:vAlign w:val="bottom"/>
          </w:tcPr>
          <w:p>
            <w:pPr>
              <w:ind w:left="340"/>
              <w:spacing w:after="0"/>
              <w:rPr>
                <w:sz w:val="20"/>
                <w:szCs w:val="20"/>
                <w:color w:val="auto"/>
              </w:rPr>
            </w:pPr>
            <w:r>
              <w:rPr>
                <w:rFonts w:ascii="Arial" w:cs="Arial" w:eastAsia="Arial" w:hAnsi="Arial"/>
                <w:sz w:val="16"/>
                <w:szCs w:val="16"/>
                <w:color w:val="auto"/>
              </w:rPr>
              <w:t>Corporate unallocated</w:t>
            </w:r>
          </w:p>
        </w:tc>
        <w:tc>
          <w:tcPr>
            <w:tcW w:w="52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(88,706)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(110,366)</w:t>
            </w:r>
          </w:p>
        </w:tc>
      </w:tr>
      <w:tr>
        <w:trPr>
          <w:trHeight w:val="33"/>
        </w:trPr>
        <w:tc>
          <w:tcPr>
            <w:tcW w:w="67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Company</w:t>
            </w: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26,370</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20,823</w:t>
            </w:r>
          </w:p>
        </w:tc>
      </w:tr>
      <w:tr>
        <w:trPr>
          <w:trHeight w:val="223"/>
        </w:trPr>
        <w:tc>
          <w:tcPr>
            <w:tcW w:w="6760" w:type="dxa"/>
            <w:vAlign w:val="bottom"/>
          </w:tcPr>
          <w:p>
            <w:pPr>
              <w:ind w:left="20"/>
              <w:spacing w:after="0"/>
              <w:rPr>
                <w:sz w:val="20"/>
                <w:szCs w:val="20"/>
                <w:color w:val="auto"/>
              </w:rPr>
            </w:pPr>
            <w:r>
              <w:rPr>
                <w:rFonts w:ascii="Arial" w:cs="Arial" w:eastAsia="Arial" w:hAnsi="Arial"/>
                <w:sz w:val="16"/>
                <w:szCs w:val="16"/>
                <w:color w:val="auto"/>
              </w:rPr>
              <w:t>Total other income (expense)</w:t>
            </w:r>
          </w:p>
        </w:tc>
        <w:tc>
          <w:tcPr>
            <w:tcW w:w="52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(9,658)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(14,851)</w:t>
            </w:r>
          </w:p>
        </w:tc>
      </w:tr>
      <w:tr>
        <w:trPr>
          <w:trHeight w:val="33"/>
        </w:trPr>
        <w:tc>
          <w:tcPr>
            <w:tcW w:w="67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75"/>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16,712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5,972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2020 and 2019, one customer represented 11% of total company revenues.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buy a majority of our integrated circuit board assemblies from three suppliers. Management believes that other suppliers could provide similar products, but a change in suppliers, disputes with our suppliers, or unexpected constraints on the suppliers' production capacity could adversely affect operating results.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96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Pr>
          <w:p>
            <w:pPr>
              <w:spacing w:after="0"/>
              <w:rPr>
                <w:sz w:val="18"/>
                <w:szCs w:val="18"/>
                <w:color w:val="auto"/>
              </w:rPr>
            </w:pPr>
          </w:p>
        </w:tc>
        <w:tc>
          <w:tcPr>
            <w:tcW w:w="1660" w:type="dxa"/>
            <w:vAlign w:val="bottom"/>
          </w:tcPr>
          <w:p>
            <w:pPr>
              <w:jc w:val="right"/>
              <w:ind w:right="8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ind w:right="859"/>
              <w:spacing w:after="0"/>
              <w:rPr>
                <w:sz w:val="20"/>
                <w:szCs w:val="20"/>
                <w:color w:val="auto"/>
              </w:rPr>
            </w:pPr>
            <w:r>
              <w:rPr>
                <w:rFonts w:ascii="Arial" w:cs="Arial" w:eastAsia="Arial" w:hAnsi="Arial"/>
                <w:sz w:val="16"/>
                <w:szCs w:val="16"/>
                <w:b w:val="1"/>
                <w:bCs w:val="1"/>
                <w:color w:val="auto"/>
              </w:rPr>
              <w:t>2019</w:t>
            </w:r>
          </w:p>
        </w:tc>
      </w:tr>
      <w:tr>
        <w:trPr>
          <w:trHeight w:val="33"/>
        </w:trPr>
        <w:tc>
          <w:tcPr>
            <w:tcW w:w="6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 and Canada</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385,325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397,566</w:t>
            </w:r>
          </w:p>
        </w:tc>
      </w:tr>
      <w:tr>
        <w:trPr>
          <w:trHeight w:val="224"/>
        </w:trPr>
        <w:tc>
          <w:tcPr>
            <w:tcW w:w="6760" w:type="dxa"/>
            <w:vAlign w:val="bottom"/>
          </w:tcPr>
          <w:p>
            <w:pPr>
              <w:ind w:left="20"/>
              <w:spacing w:after="0"/>
              <w:rPr>
                <w:sz w:val="20"/>
                <w:szCs w:val="20"/>
                <w:color w:val="auto"/>
              </w:rPr>
            </w:pPr>
            <w:r>
              <w:rPr>
                <w:rFonts w:ascii="Arial" w:cs="Arial" w:eastAsia="Arial" w:hAnsi="Arial"/>
                <w:sz w:val="16"/>
                <w:szCs w:val="16"/>
                <w:color w:val="auto"/>
              </w:rPr>
              <w:t>Europe, Middle East, and Africa (EMEA)</w:t>
            </w: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166,984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171,242</w:t>
            </w:r>
          </w:p>
        </w:tc>
      </w:tr>
      <w:tr>
        <w:trPr>
          <w:trHeight w:val="33"/>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Latin America and Asia Pacific</w:t>
            </w: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46,106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45,768</w:t>
            </w:r>
          </w:p>
        </w:tc>
      </w:tr>
      <w:tr>
        <w:trPr>
          <w:trHeight w:val="217"/>
        </w:trPr>
        <w:tc>
          <w:tcPr>
            <w:tcW w:w="6760" w:type="dxa"/>
            <w:vAlign w:val="bottom"/>
          </w:tcPr>
          <w:p>
            <w:pPr>
              <w:ind w:left="340"/>
              <w:spacing w:after="0"/>
              <w:rPr>
                <w:sz w:val="20"/>
                <w:szCs w:val="20"/>
                <w:color w:val="auto"/>
              </w:rPr>
            </w:pPr>
            <w:r>
              <w:rPr>
                <w:rFonts w:ascii="Arial" w:cs="Arial" w:eastAsia="Arial" w:hAnsi="Arial"/>
                <w:sz w:val="16"/>
                <w:szCs w:val="16"/>
                <w:color w:val="auto"/>
              </w:rPr>
              <w:t>Total Company</w:t>
            </w: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598,415</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614,576</w:t>
            </w:r>
          </w:p>
        </w:tc>
      </w:tr>
      <w:tr>
        <w:trPr>
          <w:trHeight w:val="3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
        </w:trPr>
        <w:tc>
          <w:tcPr>
            <w:tcW w:w="6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is allocated to the operating segments based upon each segments use of the assets. All amortization expense is recognized within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Corporate unallocated. Depreciation and amortization of intangible assets expense associated with our operating segments was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96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Pr>
          <w:p>
            <w:pPr>
              <w:spacing w:after="0"/>
              <w:rPr>
                <w:sz w:val="18"/>
                <w:szCs w:val="18"/>
                <w:color w:val="auto"/>
              </w:rPr>
            </w:pPr>
          </w:p>
        </w:tc>
        <w:tc>
          <w:tcPr>
            <w:tcW w:w="1660" w:type="dxa"/>
            <w:vAlign w:val="bottom"/>
          </w:tcPr>
          <w:p>
            <w:pPr>
              <w:jc w:val="right"/>
              <w:ind w:right="8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ind w:right="859"/>
              <w:spacing w:after="0"/>
              <w:rPr>
                <w:sz w:val="20"/>
                <w:szCs w:val="20"/>
                <w:color w:val="auto"/>
              </w:rPr>
            </w:pPr>
            <w:r>
              <w:rPr>
                <w:rFonts w:ascii="Arial" w:cs="Arial" w:eastAsia="Arial" w:hAnsi="Arial"/>
                <w:sz w:val="16"/>
                <w:szCs w:val="16"/>
                <w:b w:val="1"/>
                <w:bCs w:val="1"/>
                <w:color w:val="auto"/>
              </w:rPr>
              <w:t>2019</w:t>
            </w:r>
          </w:p>
        </w:tc>
      </w:tr>
      <w:tr>
        <w:trPr>
          <w:trHeight w:val="33"/>
        </w:trPr>
        <w:tc>
          <w:tcPr>
            <w:tcW w:w="6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Device Solutions</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6,435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6,436</w:t>
            </w:r>
          </w:p>
        </w:tc>
      </w:tr>
      <w:tr>
        <w:trPr>
          <w:trHeight w:val="224"/>
        </w:trPr>
        <w:tc>
          <w:tcPr>
            <w:tcW w:w="6760" w:type="dxa"/>
            <w:vAlign w:val="bottom"/>
          </w:tcPr>
          <w:p>
            <w:pPr>
              <w:ind w:left="20"/>
              <w:spacing w:after="0"/>
              <w:rPr>
                <w:sz w:val="20"/>
                <w:szCs w:val="20"/>
                <w:color w:val="auto"/>
              </w:rPr>
            </w:pPr>
            <w:r>
              <w:rPr>
                <w:rFonts w:ascii="Arial" w:cs="Arial" w:eastAsia="Arial" w:hAnsi="Arial"/>
                <w:sz w:val="16"/>
                <w:szCs w:val="16"/>
                <w:color w:val="auto"/>
              </w:rPr>
              <w:t>Networked Solutions</w:t>
            </w: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3,737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3,248</w:t>
            </w:r>
          </w:p>
        </w:tc>
      </w:tr>
      <w:tr>
        <w:trPr>
          <w:trHeight w:val="33"/>
        </w:trPr>
        <w:tc>
          <w:tcPr>
            <w:tcW w:w="6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6"/>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Outcomes</w:t>
            </w: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1,393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1,302</w:t>
            </w:r>
          </w:p>
        </w:tc>
      </w:tr>
      <w:tr>
        <w:trPr>
          <w:trHeight w:val="224"/>
        </w:trPr>
        <w:tc>
          <w:tcPr>
            <w:tcW w:w="6760" w:type="dxa"/>
            <w:vAlign w:val="bottom"/>
          </w:tcPr>
          <w:p>
            <w:pPr>
              <w:ind w:left="20"/>
              <w:spacing w:after="0"/>
              <w:rPr>
                <w:sz w:val="20"/>
                <w:szCs w:val="20"/>
                <w:color w:val="auto"/>
              </w:rPr>
            </w:pPr>
            <w:r>
              <w:rPr>
                <w:rFonts w:ascii="Arial" w:cs="Arial" w:eastAsia="Arial" w:hAnsi="Arial"/>
                <w:sz w:val="16"/>
                <w:szCs w:val="16"/>
                <w:color w:val="auto"/>
              </w:rPr>
              <w:t>Corporate unallocated</w:t>
            </w: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12,466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17,441</w:t>
            </w:r>
          </w:p>
        </w:tc>
      </w:tr>
      <w:tr>
        <w:trPr>
          <w:trHeight w:val="33"/>
        </w:trPr>
        <w:tc>
          <w:tcPr>
            <w:tcW w:w="67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75"/>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Company</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24,031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28,427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Revenues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significant net changes in the contract assets and the contract liabilities balances during the period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Contract liabilities, less</w:t>
            </w:r>
          </w:p>
        </w:tc>
      </w:tr>
      <w:tr>
        <w:trPr>
          <w:trHeight w:val="210"/>
        </w:trPr>
        <w:tc>
          <w:tcPr>
            <w:tcW w:w="9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8"/>
                <w:szCs w:val="18"/>
                <w:color w:val="auto"/>
              </w:rPr>
            </w:pPr>
          </w:p>
        </w:tc>
        <w:tc>
          <w:tcPr>
            <w:tcW w:w="2000" w:type="dxa"/>
            <w:vAlign w:val="bottom"/>
          </w:tcPr>
          <w:p>
            <w:pPr>
              <w:jc w:val="right"/>
              <w:ind w:right="499"/>
              <w:spacing w:after="0"/>
              <w:rPr>
                <w:sz w:val="20"/>
                <w:szCs w:val="20"/>
                <w:color w:val="auto"/>
              </w:rPr>
            </w:pPr>
            <w:r>
              <w:rPr>
                <w:rFonts w:ascii="Arial" w:cs="Arial" w:eastAsia="Arial" w:hAnsi="Arial"/>
                <w:sz w:val="16"/>
                <w:szCs w:val="16"/>
                <w:b w:val="1"/>
                <w:bCs w:val="1"/>
                <w:color w:val="auto"/>
              </w:rPr>
              <w:t>contract assets</w:t>
            </w:r>
          </w:p>
        </w:tc>
      </w:tr>
      <w:tr>
        <w:trPr>
          <w:trHeight w:val="33"/>
        </w:trPr>
        <w:tc>
          <w:tcPr>
            <w:tcW w:w="9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January 1, 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88,215</w:t>
            </w:r>
          </w:p>
        </w:tc>
      </w:tr>
      <w:tr>
        <w:trPr>
          <w:trHeight w:val="223"/>
        </w:trPr>
        <w:tc>
          <w:tcPr>
            <w:tcW w:w="9060" w:type="dxa"/>
            <w:vAlign w:val="bottom"/>
          </w:tcPr>
          <w:p>
            <w:pPr>
              <w:ind w:left="20"/>
              <w:spacing w:after="0"/>
              <w:rPr>
                <w:sz w:val="20"/>
                <w:szCs w:val="20"/>
                <w:color w:val="auto"/>
              </w:rPr>
            </w:pPr>
            <w:r>
              <w:rPr>
                <w:rFonts w:ascii="Arial" w:cs="Arial" w:eastAsia="Arial" w:hAnsi="Arial"/>
                <w:sz w:val="16"/>
                <w:szCs w:val="16"/>
                <w:color w:val="auto"/>
              </w:rPr>
              <w:t>Revenues recognized from beginning contract liability</w:t>
            </w:r>
          </w:p>
        </w:tc>
        <w:tc>
          <w:tcPr>
            <w:tcW w:w="180" w:type="dxa"/>
            <w:vAlign w:val="bottom"/>
          </w:tcPr>
          <w:p>
            <w:pPr>
              <w:spacing w:after="0"/>
              <w:rPr>
                <w:sz w:val="19"/>
                <w:szCs w:val="19"/>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(57,077)</w:t>
            </w:r>
          </w:p>
        </w:tc>
      </w:tr>
      <w:tr>
        <w:trPr>
          <w:trHeight w:val="33"/>
        </w:trPr>
        <w:tc>
          <w:tcPr>
            <w:tcW w:w="9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Increases due to amounts collected or due</w:t>
            </w:r>
          </w:p>
        </w:tc>
        <w:tc>
          <w:tcPr>
            <w:tcW w:w="1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112,394</w:t>
            </w:r>
          </w:p>
        </w:tc>
      </w:tr>
      <w:tr>
        <w:trPr>
          <w:trHeight w:val="223"/>
        </w:trPr>
        <w:tc>
          <w:tcPr>
            <w:tcW w:w="9060" w:type="dxa"/>
            <w:vAlign w:val="bottom"/>
          </w:tcPr>
          <w:p>
            <w:pPr>
              <w:ind w:left="20"/>
              <w:spacing w:after="0"/>
              <w:rPr>
                <w:sz w:val="20"/>
                <w:szCs w:val="20"/>
                <w:color w:val="auto"/>
              </w:rPr>
            </w:pPr>
            <w:r>
              <w:rPr>
                <w:rFonts w:ascii="Arial" w:cs="Arial" w:eastAsia="Arial" w:hAnsi="Arial"/>
                <w:sz w:val="16"/>
                <w:szCs w:val="16"/>
                <w:color w:val="auto"/>
              </w:rPr>
              <w:t>Revenues recognized from current period increases</w:t>
            </w:r>
          </w:p>
        </w:tc>
        <w:tc>
          <w:tcPr>
            <w:tcW w:w="180" w:type="dxa"/>
            <w:vAlign w:val="bottom"/>
          </w:tcPr>
          <w:p>
            <w:pPr>
              <w:spacing w:after="0"/>
              <w:rPr>
                <w:sz w:val="19"/>
                <w:szCs w:val="19"/>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(45,304)</w:t>
            </w:r>
          </w:p>
        </w:tc>
      </w:tr>
      <w:tr>
        <w:trPr>
          <w:trHeight w:val="33"/>
        </w:trPr>
        <w:tc>
          <w:tcPr>
            <w:tcW w:w="9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7"/>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(999)</w:t>
            </w:r>
          </w:p>
        </w:tc>
      </w:tr>
      <w:tr>
        <w:trPr>
          <w:trHeight w:val="247"/>
        </w:trPr>
        <w:tc>
          <w:tcPr>
            <w:tcW w:w="9060" w:type="dxa"/>
            <w:vAlign w:val="bottom"/>
          </w:tcPr>
          <w:p>
            <w:pPr>
              <w:ind w:left="20"/>
              <w:spacing w:after="0"/>
              <w:rPr>
                <w:sz w:val="20"/>
                <w:szCs w:val="20"/>
                <w:color w:val="auto"/>
              </w:rPr>
            </w:pPr>
            <w:r>
              <w:rPr>
                <w:rFonts w:ascii="Arial" w:cs="Arial" w:eastAsia="Arial" w:hAnsi="Arial"/>
                <w:sz w:val="16"/>
                <w:szCs w:val="16"/>
                <w:color w:val="auto"/>
              </w:rPr>
              <w:t>Ending balance, March 31, 2020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97,229</w:t>
            </w:r>
          </w:p>
        </w:tc>
      </w:tr>
      <w:tr>
        <w:trPr>
          <w:trHeight w:val="23"/>
        </w:trPr>
        <w:tc>
          <w:tcPr>
            <w:tcW w:w="9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 2020, total contract assets were $50.7 million and total contract liabilities were $138.9 million. On March 31, 2020, total contract assets were $58.2 million and total contract liabilities were $155.4 million. The contract assets primarily relate to contracts that include a retention clause and allocations related to contracts with multiple performance obligations. The contract liabilities primarily relate to deferred revenue, such as extended warranty and maintenance cost.</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transaction price allocated to remaining performance obligations related to contracts is approximately $1.2 billion for the next twelve months and approximately $1.1 billion for periods longer than 12 months. The total remaining performance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obligations consist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 revenue is recognized over the warranty period, and hardware, which is recognized as units are delivered. The estimate of when remaining performance obligations will be recognized requires significant judgment.</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to obtain a contract and cost to fulfill a contract with a customer</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 to "Note 15: Segment Information" and the Consolidated Statements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are presented.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discussion and analysis should be read in conjunction with the unaudited condensed consolidated financial statements and notes included in this report and with the consolidated financial statements and the notes thereto for the fiscal year ended December 31, 2019 filed with the Securities and Exchange Commission (SEC) in our Annual Report on Form 10-K on February 27, 2020 (2019 Annual Report).</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Documents we provide to the SEC are available free of charge under the Investors section of our website at </w:t>
      </w:r>
      <w:r>
        <w:rPr>
          <w:rFonts w:ascii="Arial" w:cs="Arial" w:eastAsia="Arial" w:hAnsi="Arial"/>
          <w:sz w:val="17"/>
          <w:szCs w:val="17"/>
          <w:i w:val="1"/>
          <w:iCs w:val="1"/>
          <w:color w:val="auto"/>
        </w:rPr>
        <w:t>www.itron.com</w:t>
      </w:r>
      <w:r>
        <w:rPr>
          <w:rFonts w:ascii="Arial" w:cs="Arial" w:eastAsia="Arial" w:hAnsi="Arial"/>
          <w:sz w:val="17"/>
          <w:szCs w:val="17"/>
          <w:color w:val="auto"/>
        </w:rPr>
        <w:t xml:space="preserve"> as soon as practicable after they are filed with or furnished to the SEC. In addition, these documents are available at the SEC's website (http://</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222222"/>
        </w:rPr>
        <w:t xml:space="preserve">This document contains forward-looking statements concerning our operations, financial performance, revenues, earnings growth, liquidity, and other items. This document reflects our current plans and expectations and is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Although we believe that these assumptions and estimates are reasonable, any of these assumptions and estimates could be inaccurate and cause our actual results to vary materially from expected results. </w:t>
      </w:r>
      <w:r>
        <w:rPr>
          <w:rFonts w:ascii="Arial" w:cs="Arial" w:eastAsia="Arial" w:hAnsi="Arial"/>
          <w:sz w:val="17"/>
          <w:szCs w:val="17"/>
          <w:i w:val="1"/>
          <w:iCs w:val="1"/>
          <w:color w:val="000000"/>
        </w:rPr>
        <w:t>Such factors include, but are not limited to, uncertainties caused by adverse economic</w:t>
      </w:r>
      <w:r>
        <w:rPr>
          <w:rFonts w:ascii="Arial" w:cs="Arial" w:eastAsia="Arial" w:hAnsi="Arial"/>
          <w:sz w:val="17"/>
          <w:szCs w:val="17"/>
          <w:i w:val="1"/>
          <w:iCs w:val="1"/>
          <w:color w:val="222222"/>
        </w:rPr>
        <w:t xml:space="preserve"> </w:t>
      </w:r>
      <w:r>
        <w:rPr>
          <w:rFonts w:ascii="Arial" w:cs="Arial" w:eastAsia="Arial" w:hAnsi="Arial"/>
          <w:sz w:val="17"/>
          <w:szCs w:val="17"/>
          <w:i w:val="1"/>
          <w:iCs w:val="1"/>
          <w:color w:val="000000"/>
        </w:rPr>
        <w:t>conditions, including, without limitation those resulting from extraordinary events or circumstances such as the COVID-19 pandemic, and their impact on our customers’ businesses and workforce levels, disruptions of our business and operations, including limitations on, or closures of, our facilities, or the business and operations of our customers or suppliers. For a more complete description of these and other risks, refer to Item 1A: "Risk Factors" included in our 2019 Annual Report, Part II - Item 1A of this document, and our other reports on file with the SEC. We do not have any obligation to publicly update or revise any forward-looking statement in this document.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technology and service company, which is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We operate under the Itron brand worldwide and manage and report under three operating segments: Device Solutions, Networked Solutions,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Outcomes. The product and operating definitions of the three segments are as follows: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Device Solutions </w:t>
      </w:r>
      <w:r>
        <w:rPr>
          <w:rFonts w:ascii="Arial" w:cs="Arial" w:eastAsia="Arial" w:hAnsi="Arial"/>
          <w:sz w:val="18"/>
          <w:szCs w:val="18"/>
          <w:color w:val="auto"/>
        </w:rPr>
        <w:t>– This segment primarily includes hardware products used for measurement, control, or sensing that do not have 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capability embedded for use with our broader Itron systems, i.e., hardware-based products not part of a complete "end-to-end" solution. Examples from the Device Solutions portfolio include: standard endpoints that are shipped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without Itron communications, such as our standard gas meters, electricity IEC meters, and water meters, in addition to our heat and allocation products; communicating meters that are not a part of an Itron solution such as Smart Spec meters; and the implementation and installation of non-communicating devices, such as gas regulators.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Networked Solutions </w:t>
      </w:r>
      <w:r>
        <w:rPr>
          <w:rFonts w:ascii="Arial" w:cs="Arial" w:eastAsia="Arial" w:hAnsi="Arial"/>
          <w:sz w:val="18"/>
          <w:szCs w:val="18"/>
          <w:color w:val="auto"/>
        </w:rPr>
        <w:t>– This segment primarily includes a combination of communicating devices (smart meters, modules, endpoints, and sensors),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and associated application software designed and sold as a complete solution for acquiring and transporting robust application-specific data. Networked Solutions combines the majority of the assets from the recently acquired SSNI organization with our legacy Itron networking products and software and the implementation and installation of communicating devices into one operating segment. Examples from the Networked Solutions portfolio include: communicating measurement, control, or sensing endpoints such as our Itron® and OpenWay® Riva meters, Itron traditional ERT® technology, Intelis smart gas or water meters, 500G gas communication modules, 500W water communication modules; GenX networking products, network modules and interface cards; and specific network control and management software applications. The IIoT solutions supported by this segment include automated meter reading (AMR), advanced metering infrastructure (AMI), smart grid and distribution automation (DA), and smart street lighting and smart city solutions.</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Outcomes </w:t>
      </w:r>
      <w:r>
        <w:rPr>
          <w:rFonts w:ascii="Arial" w:cs="Arial" w:eastAsia="Arial" w:hAnsi="Arial"/>
          <w:sz w:val="17"/>
          <w:szCs w:val="17"/>
          <w:color w:val="auto"/>
        </w:rPr>
        <w:t>– This segment primarily includes our value-added, enhanced software and services in which we manage, organize, analyze, and interpret data to</w:t>
      </w:r>
      <w:r>
        <w:rPr>
          <w:rFonts w:ascii="Arial" w:cs="Arial" w:eastAsia="Arial" w:hAnsi="Arial"/>
          <w:sz w:val="17"/>
          <w:szCs w:val="17"/>
          <w:i w:val="1"/>
          <w:iCs w:val="1"/>
          <w:color w:val="auto"/>
        </w:rPr>
        <w:t xml:space="preserve"> </w:t>
      </w:r>
      <w:r>
        <w:rPr>
          <w:rFonts w:ascii="Arial" w:cs="Arial" w:eastAsia="Arial" w:hAnsi="Arial"/>
          <w:sz w:val="17"/>
          <w:szCs w:val="17"/>
          <w:color w:val="auto"/>
        </w:rPr>
        <w:t>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from the Outcomes portfolio include: our meter data management and analytics offerings; our managed service solutions including network-as-a-service and platform-as-a-service, forecasting software and services; and any consulting-based engagement. Within the Outcomes segment, we also identify new business models, including performance-based contracting, to drive broader portfolio offerings across utilities and cities.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Non-GAAP Measures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following discussion includes financial information prepared in accordance with accounting principles generally accepted in the United States (GAAP), as well as certain adjusted or non-GAAP financial measures, such as constant currency, free cash flow, non-GAAP operating expenses, non-GAAP operating income, non-GAAP net income, adjusted EBITDA, and non-GAAP diluted earnings per share (EPS). We believe that non-GAAP financial measures, when reviewed in conjunction with GAAP financial measures, can provide more information to assist investors in evaluating current period performance and in assessing future performance. For these reasons, our internal management reporting also includes non-GAAP measures. We strongly encourage investors and shareholders to review our financial statements and publicly-filed reports in their entirety and not to rely on any single financial measure. Non-GAAP measures as presented herein may not be comparable to similarly titled measures used by other companies.</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our discussions of the operating results below, we sometimes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Arial" w:cs="Arial" w:eastAsia="Arial" w:hAnsi="Arial"/>
          <w:sz w:val="17"/>
          <w:szCs w:val="17"/>
          <w:color w:val="222222"/>
        </w:rPr>
        <w:t>"</w:t>
      </w:r>
      <w:r>
        <w:rPr>
          <w:rFonts w:ascii="Arial" w:cs="Arial" w:eastAsia="Arial" w:hAnsi="Arial"/>
          <w:sz w:val="17"/>
          <w:szCs w:val="17"/>
          <w:color w:val="auto"/>
        </w:rPr>
        <w:t>constant currency,</w:t>
      </w:r>
      <w:r>
        <w:rPr>
          <w:rFonts w:ascii="Arial" w:cs="Arial" w:eastAsia="Arial" w:hAnsi="Arial"/>
          <w:sz w:val="17"/>
          <w:szCs w:val="17"/>
          <w:color w:val="222222"/>
        </w:rPr>
        <w:t>"</w:t>
      </w:r>
      <w:r>
        <w:rPr>
          <w:rFonts w:ascii="Arial" w:cs="Arial" w:eastAsia="Arial" w:hAnsi="Arial"/>
          <w:sz w:val="17"/>
          <w:szCs w:val="17"/>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Refer to the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section below on pages 38-40 for information about these non-GAAP measures and the detailed reconciliation of items that impacted free cash flow, non-GAAP operating expense, non-GAAP operating income, non-GAAP net income, adjusted EBITDA, and non-GAAP diluted EPS in the presented periods.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Highlights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 xml:space="preserve">Highlights and significant developments for the </w:t>
      </w:r>
      <w:r>
        <w:rPr>
          <w:rFonts w:ascii="Arial" w:cs="Arial" w:eastAsia="Arial" w:hAnsi="Arial"/>
          <w:sz w:val="18"/>
          <w:szCs w:val="18"/>
          <w:i w:val="1"/>
          <w:iCs w:val="1"/>
          <w:color w:val="000000"/>
        </w:rPr>
        <w:t>three months ended March 31, 2020 compared with the three months ended March 31, 2019</w:t>
      </w:r>
    </w:p>
    <w:p>
      <w:pPr>
        <w:spacing w:after="0" w:line="63" w:lineRule="exact"/>
        <w:rPr>
          <w:sz w:val="20"/>
          <w:szCs w:val="20"/>
          <w:color w:val="auto"/>
        </w:rPr>
      </w:pPr>
    </w:p>
    <w:p>
      <w:pPr>
        <w:ind w:left="240" w:hanging="151"/>
        <w:spacing w:after="0"/>
        <w:tabs>
          <w:tab w:leader="none" w:pos="24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Revenues were $598.4 million compared with $614.6 million in 2019, a decrease of $16.2 million, or 3%</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 xml:space="preserve">Gross margin was </w:t>
      </w:r>
      <w:r>
        <w:rPr>
          <w:rFonts w:ascii="Arial" w:cs="Arial" w:eastAsia="Arial" w:hAnsi="Arial"/>
          <w:sz w:val="18"/>
          <w:szCs w:val="18"/>
          <w:color w:val="000000"/>
        </w:rPr>
        <w:t>28.7%</w:t>
      </w:r>
      <w:r>
        <w:rPr>
          <w:rFonts w:ascii="Arial" w:cs="Arial" w:eastAsia="Arial" w:hAnsi="Arial"/>
          <w:sz w:val="18"/>
          <w:szCs w:val="18"/>
          <w:color w:val="222222"/>
        </w:rPr>
        <w:t>, compared with 30.5% in the same period last year</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Operating expenses decreased $21.2 million, or 13%, compared with 2019</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Net income attributable to Itron, Inc. was $8.7 million compared with a net loss of $1.9 million in 2019</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 xml:space="preserve">GAAP diluted EPS increased by </w:t>
      </w:r>
      <w:r>
        <w:rPr>
          <w:rFonts w:ascii="Arial" w:cs="Arial" w:eastAsia="Arial" w:hAnsi="Arial"/>
          <w:sz w:val="18"/>
          <w:szCs w:val="18"/>
          <w:color w:val="000000"/>
        </w:rPr>
        <w:t>$0.26</w:t>
      </w:r>
      <w:r>
        <w:rPr>
          <w:rFonts w:ascii="Arial" w:cs="Arial" w:eastAsia="Arial" w:hAnsi="Arial"/>
          <w:sz w:val="18"/>
          <w:szCs w:val="18"/>
          <w:color w:val="222222"/>
        </w:rPr>
        <w:t xml:space="preserve"> to $0.21 compared with 2019</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Non-GAAP net income attributable to Itron, Inc. was $23.0 million compared with $27.9 million in 2019</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Non-GAAP diluted EPS was $0.57, a decrease of $0.13 compared with 2019</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Adjusted EBITDA decreased $13.8 million, or 21%, compared with 2019</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5"/>
        </w:numPr>
        <w:rPr>
          <w:rFonts w:ascii="Arial" w:cs="Arial" w:eastAsia="Arial" w:hAnsi="Arial"/>
          <w:sz w:val="18"/>
          <w:szCs w:val="18"/>
          <w:i w:val="1"/>
          <w:iCs w:val="1"/>
          <w:color w:val="222222"/>
        </w:rPr>
      </w:pPr>
      <w:r>
        <w:rPr>
          <w:rFonts w:ascii="Arial" w:cs="Arial" w:eastAsia="Arial" w:hAnsi="Arial"/>
          <w:sz w:val="18"/>
          <w:szCs w:val="18"/>
          <w:color w:val="222222"/>
        </w:rPr>
        <w:t xml:space="preserve">Total backlog was $3.0 billion and twelve-month backlog was $1.3 billion at </w:t>
      </w:r>
      <w:r>
        <w:rPr>
          <w:rFonts w:ascii="Arial" w:cs="Arial" w:eastAsia="Arial" w:hAnsi="Arial"/>
          <w:sz w:val="18"/>
          <w:szCs w:val="18"/>
          <w:color w:val="000000"/>
        </w:rPr>
        <w:t>March 31, 2020.</w:t>
      </w:r>
    </w:p>
    <w:p>
      <w:pPr>
        <w:spacing w:after="0" w:line="30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Outlook for 2020 due to COVID-19</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COVID-19 pandemic has had global economic impacts including disrupting global supply chains and creating market volatility. The extent of the recent pandemic and its ongoing impact on our operations is volatile, but is being monitored closely by management. Certain of our European factories were closed since the second half of March, and most had not reopened as of the end of the quarter, due to government actions and local conditions. Some of the factories have reopened subsequent to March 31, 2020. These closures as well as any further closures imposed on us could impact our results for the remainder of 2020. We expect that certain of our customers’ projects and deployments may shift to later in 2020 or possibly 2021. At this time, we expect that the Q2 2020 financial results of operations will be most affected by the pandemic. However, due to the fluid nature of the COVID-19 impact, we are not able to quantify the potential impact to our results of operations for the full year. Incremental costs to us related to the COVID-19 impact, such as personal protective equipment, increased cleaning and sanitizing of our facilities, and other such items, have not been material to date. At this time, we have not identified any significant decrease in long-term customer demand for our products and services. Nonetheless, a prolonged pandemic could adversely impact the efficiency and effectiveness of our organization, further impact our global supply chain network, result in delays or decreases in customer collections, reduce demand for our products and services, and inhibit our sales efforts, any of which could materially impact our revenues, results of operations, cash flows and financial condition. For more information on risks associated with the COVID-19 pandemic, please see our updated risk in Part II, Item 1A, "Risk Factors".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COVID 19 pandemic remains a rapidly evolving situation. Changes in the mix of earnings or losses from our different geographical operations, as well as any future enactment of tax legislation and other factors, may result in more volatile quarterly and annual effective tax rates. The detrimental impacts to financial results may be partially offset by financial assistance from the U.S. and foreign governments, including employer payroll tax credits for wages paid to employees who are unable to work during the COVID-19 outbreak. Other benefits, including options to defer payroll tax payments and additional deductions, may reduce future cash outlays.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drew $400 million U.S. dollars under the revolving line of credit within the 2018 credit facility on March 25, 2020. In light of the current uncertain environment, we deemed it prudent to increase our cash position and preserve future financial flexibility. The Total Net Leverage Ratio, as defined in the amended 2018 credit facility agreement, was unchanged by this drawing.</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GAAP and Non-GAAP Highlights and Unit Shipments: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40" w:type="dxa"/>
            <w:vAlign w:val="bottom"/>
            <w:gridSpan w:val="8"/>
          </w:tcPr>
          <w:p>
            <w:pPr>
              <w:ind w:left="580"/>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7300" w:type="dxa"/>
            <w:vAlign w:val="bottom"/>
            <w:gridSpan w:val="5"/>
          </w:tcPr>
          <w:p>
            <w:pPr>
              <w:spacing w:after="0"/>
              <w:rPr>
                <w:sz w:val="20"/>
                <w:szCs w:val="20"/>
                <w:color w:val="auto"/>
              </w:rPr>
            </w:pPr>
            <w:r>
              <w:rPr>
                <w:rFonts w:ascii="Arial" w:cs="Arial" w:eastAsia="Arial" w:hAnsi="Arial"/>
                <w:sz w:val="16"/>
                <w:szCs w:val="16"/>
                <w:i w:val="1"/>
                <w:iCs w:val="1"/>
                <w:color w:val="auto"/>
              </w:rPr>
              <w:t>In thousands, except margin and per share data</w:t>
            </w:r>
          </w:p>
        </w:tc>
        <w:tc>
          <w:tcPr>
            <w:tcW w:w="280" w:type="dxa"/>
            <w:vAlign w:val="bottom"/>
          </w:tcPr>
          <w:p>
            <w:pPr>
              <w:spacing w:after="0"/>
              <w:rPr>
                <w:sz w:val="18"/>
                <w:szCs w:val="18"/>
                <w:color w:val="auto"/>
              </w:rPr>
            </w:pPr>
          </w:p>
        </w:tc>
        <w:tc>
          <w:tcPr>
            <w:tcW w:w="800" w:type="dxa"/>
            <w:vAlign w:val="bottom"/>
          </w:tcPr>
          <w:p>
            <w:pPr>
              <w:jc w:val="right"/>
              <w:ind w:right="21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33"/>
        </w:trPr>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7300" w:type="dxa"/>
            <w:vAlign w:val="bottom"/>
            <w:gridSpan w:val="5"/>
          </w:tcPr>
          <w:p>
            <w:pPr>
              <w:spacing w:after="0" w:line="183" w:lineRule="exact"/>
              <w:rPr>
                <w:sz w:val="20"/>
                <w:szCs w:val="20"/>
                <w:color w:val="auto"/>
              </w:rPr>
            </w:pPr>
            <w:r>
              <w:rPr>
                <w:rFonts w:ascii="Arial" w:cs="Arial" w:eastAsia="Arial" w:hAnsi="Arial"/>
                <w:sz w:val="16"/>
                <w:szCs w:val="16"/>
                <w:b w:val="1"/>
                <w:bCs w:val="1"/>
                <w:color w:val="auto"/>
              </w:rPr>
              <w:t>GAAP</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7300" w:type="dxa"/>
            <w:vAlign w:val="bottom"/>
            <w:gridSpan w:val="5"/>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300" w:type="dxa"/>
            <w:vAlign w:val="bottom"/>
            <w:tcBorders>
              <w:bottom w:val="single" w:sz="8" w:color="CCEEFF"/>
            </w:tcBorders>
            <w:gridSpan w:val="5"/>
            <w:shd w:val="clear" w:color="auto" w:fill="CCEEFF"/>
          </w:tcPr>
          <w:p>
            <w:pPr>
              <w:ind w:left="200"/>
              <w:spacing w:after="0"/>
              <w:rPr>
                <w:sz w:val="20"/>
                <w:szCs w:val="20"/>
                <w:color w:val="auto"/>
              </w:rPr>
            </w:pPr>
            <w:r>
              <w:rPr>
                <w:rFonts w:ascii="Arial" w:cs="Arial" w:eastAsia="Arial" w:hAnsi="Arial"/>
                <w:sz w:val="16"/>
                <w:szCs w:val="16"/>
                <w:color w:val="auto"/>
              </w:rPr>
              <w:t>Product revenues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528,137</w:t>
            </w:r>
          </w:p>
        </w:tc>
        <w:tc>
          <w:tcPr>
            <w:tcW w:w="5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544,850</w:t>
            </w:r>
          </w:p>
        </w:tc>
        <w:tc>
          <w:tcPr>
            <w:tcW w:w="1460" w:type="dxa"/>
            <w:vAlign w:val="bottom"/>
            <w:tcBorders>
              <w:bottom w:val="single" w:sz="8" w:color="CCEEFF"/>
            </w:tcBorders>
            <w:gridSpan w:val="3"/>
            <w:shd w:val="clear" w:color="auto" w:fill="CCEEFF"/>
          </w:tcPr>
          <w:p>
            <w:pPr>
              <w:jc w:val="center"/>
              <w:ind w:left="179"/>
              <w:spacing w:after="0"/>
              <w:rPr>
                <w:sz w:val="20"/>
                <w:szCs w:val="20"/>
                <w:color w:val="auto"/>
              </w:rPr>
            </w:pPr>
            <w:r>
              <w:rPr>
                <w:rFonts w:ascii="Arial" w:cs="Arial" w:eastAsia="Arial" w:hAnsi="Arial"/>
                <w:sz w:val="16"/>
                <w:szCs w:val="16"/>
                <w:color w:val="auto"/>
                <w:w w:val="94"/>
              </w:rPr>
              <w:t>(3)%</w:t>
            </w:r>
          </w:p>
        </w:tc>
      </w:tr>
      <w:tr>
        <w:trPr>
          <w:trHeight w:val="224"/>
        </w:trPr>
        <w:tc>
          <w:tcPr>
            <w:tcW w:w="20" w:type="dxa"/>
            <w:vAlign w:val="bottom"/>
          </w:tcPr>
          <w:p>
            <w:pPr>
              <w:spacing w:after="0"/>
              <w:rPr>
                <w:sz w:val="19"/>
                <w:szCs w:val="19"/>
                <w:color w:val="auto"/>
              </w:rPr>
            </w:pPr>
          </w:p>
        </w:tc>
        <w:tc>
          <w:tcPr>
            <w:tcW w:w="7300" w:type="dxa"/>
            <w:vAlign w:val="bottom"/>
            <w:gridSpan w:val="5"/>
          </w:tcPr>
          <w:p>
            <w:pPr>
              <w:ind w:left="200"/>
              <w:spacing w:after="0"/>
              <w:rPr>
                <w:sz w:val="20"/>
                <w:szCs w:val="20"/>
                <w:color w:val="auto"/>
              </w:rPr>
            </w:pPr>
            <w:r>
              <w:rPr>
                <w:rFonts w:ascii="Arial" w:cs="Arial" w:eastAsia="Arial" w:hAnsi="Arial"/>
                <w:sz w:val="16"/>
                <w:szCs w:val="16"/>
                <w:color w:val="auto"/>
              </w:rPr>
              <w:t>Service revenues</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70,278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69,726</w:t>
            </w:r>
          </w:p>
        </w:tc>
        <w:tc>
          <w:tcPr>
            <w:tcW w:w="1460" w:type="dxa"/>
            <w:vAlign w:val="bottom"/>
            <w:gridSpan w:val="3"/>
          </w:tcPr>
          <w:p>
            <w:pPr>
              <w:jc w:val="center"/>
              <w:ind w:left="199"/>
              <w:spacing w:after="0"/>
              <w:rPr>
                <w:sz w:val="20"/>
                <w:szCs w:val="20"/>
                <w:color w:val="auto"/>
              </w:rPr>
            </w:pPr>
            <w:r>
              <w:rPr>
                <w:rFonts w:ascii="Arial" w:cs="Arial" w:eastAsia="Arial" w:hAnsi="Arial"/>
                <w:sz w:val="16"/>
                <w:szCs w:val="16"/>
                <w:color w:val="auto"/>
                <w:w w:val="94"/>
              </w:rPr>
              <w:t>1%</w:t>
            </w:r>
          </w:p>
        </w:tc>
      </w:tr>
      <w:tr>
        <w:trPr>
          <w:trHeight w:val="33"/>
        </w:trPr>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7300" w:type="dxa"/>
            <w:vAlign w:val="bottom"/>
            <w:tcBorders>
              <w:bottom w:val="single" w:sz="8" w:color="CCEEFF"/>
            </w:tcBorders>
            <w:gridSpan w:val="5"/>
            <w:shd w:val="clear" w:color="auto" w:fill="CCEEFF"/>
          </w:tcPr>
          <w:p>
            <w:pPr>
              <w:ind w:left="44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598,415</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614,576</w:t>
            </w:r>
          </w:p>
        </w:tc>
        <w:tc>
          <w:tcPr>
            <w:tcW w:w="1460" w:type="dxa"/>
            <w:vAlign w:val="bottom"/>
            <w:tcBorders>
              <w:bottom w:val="single" w:sz="8" w:color="CCEEFF"/>
            </w:tcBorders>
            <w:gridSpan w:val="3"/>
            <w:shd w:val="clear" w:color="auto" w:fill="CCEEFF"/>
          </w:tcPr>
          <w:p>
            <w:pPr>
              <w:jc w:val="center"/>
              <w:ind w:left="179"/>
              <w:spacing w:after="0"/>
              <w:rPr>
                <w:sz w:val="20"/>
                <w:szCs w:val="20"/>
                <w:color w:val="auto"/>
              </w:rPr>
            </w:pPr>
            <w:r>
              <w:rPr>
                <w:rFonts w:ascii="Arial" w:cs="Arial" w:eastAsia="Arial" w:hAnsi="Arial"/>
                <w:sz w:val="16"/>
                <w:szCs w:val="16"/>
                <w:color w:val="auto"/>
                <w:w w:val="94"/>
              </w:rPr>
              <w:t>(3)%</w:t>
            </w:r>
          </w:p>
        </w:tc>
      </w:tr>
      <w:tr>
        <w:trPr>
          <w:trHeight w:val="257"/>
        </w:trPr>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73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171,566</w:t>
            </w:r>
          </w:p>
        </w:tc>
        <w:tc>
          <w:tcPr>
            <w:tcW w:w="5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187,263</w:t>
            </w:r>
          </w:p>
        </w:tc>
        <w:tc>
          <w:tcPr>
            <w:tcW w:w="1460" w:type="dxa"/>
            <w:vAlign w:val="bottom"/>
            <w:tcBorders>
              <w:bottom w:val="single" w:sz="8" w:color="CCEEFF"/>
            </w:tcBorders>
            <w:gridSpan w:val="3"/>
            <w:shd w:val="clear" w:color="auto" w:fill="CCEEFF"/>
          </w:tcPr>
          <w:p>
            <w:pPr>
              <w:jc w:val="center"/>
              <w:ind w:left="179"/>
              <w:spacing w:after="0"/>
              <w:rPr>
                <w:sz w:val="20"/>
                <w:szCs w:val="20"/>
                <w:color w:val="auto"/>
              </w:rPr>
            </w:pPr>
            <w:r>
              <w:rPr>
                <w:rFonts w:ascii="Arial" w:cs="Arial" w:eastAsia="Arial" w:hAnsi="Arial"/>
                <w:sz w:val="16"/>
                <w:szCs w:val="16"/>
                <w:color w:val="auto"/>
                <w:w w:val="94"/>
              </w:rPr>
              <w:t>(8)%</w:t>
            </w:r>
          </w:p>
        </w:tc>
      </w:tr>
      <w:tr>
        <w:trPr>
          <w:trHeight w:val="224"/>
        </w:trPr>
        <w:tc>
          <w:tcPr>
            <w:tcW w:w="20" w:type="dxa"/>
            <w:vAlign w:val="bottom"/>
          </w:tcPr>
          <w:p>
            <w:pPr>
              <w:spacing w:after="0"/>
              <w:rPr>
                <w:sz w:val="19"/>
                <w:szCs w:val="19"/>
                <w:color w:val="auto"/>
              </w:rPr>
            </w:pPr>
          </w:p>
        </w:tc>
        <w:tc>
          <w:tcPr>
            <w:tcW w:w="7300" w:type="dxa"/>
            <w:vAlign w:val="bottom"/>
            <w:gridSpan w:val="5"/>
          </w:tcPr>
          <w:p>
            <w:pPr>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145,196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166,440</w:t>
            </w:r>
          </w:p>
        </w:tc>
        <w:tc>
          <w:tcPr>
            <w:tcW w:w="1460" w:type="dxa"/>
            <w:vAlign w:val="bottom"/>
            <w:gridSpan w:val="3"/>
          </w:tcPr>
          <w:p>
            <w:pPr>
              <w:jc w:val="center"/>
              <w:ind w:left="179"/>
              <w:spacing w:after="0"/>
              <w:rPr>
                <w:sz w:val="20"/>
                <w:szCs w:val="20"/>
                <w:color w:val="auto"/>
              </w:rPr>
            </w:pPr>
            <w:r>
              <w:rPr>
                <w:rFonts w:ascii="Arial" w:cs="Arial" w:eastAsia="Arial" w:hAnsi="Arial"/>
                <w:sz w:val="16"/>
                <w:szCs w:val="16"/>
                <w:color w:val="auto"/>
                <w:w w:val="93"/>
              </w:rPr>
              <w:t>(13)%</w:t>
            </w: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3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26,370</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20,823</w:t>
            </w:r>
          </w:p>
        </w:tc>
        <w:tc>
          <w:tcPr>
            <w:tcW w:w="1460" w:type="dxa"/>
            <w:vAlign w:val="bottom"/>
            <w:tcBorders>
              <w:bottom w:val="single" w:sz="8" w:color="CCEEFF"/>
            </w:tcBorders>
            <w:gridSpan w:val="3"/>
            <w:shd w:val="clear" w:color="auto" w:fill="CCEEFF"/>
          </w:tcPr>
          <w:p>
            <w:pPr>
              <w:jc w:val="center"/>
              <w:ind w:left="199"/>
              <w:spacing w:after="0"/>
              <w:rPr>
                <w:sz w:val="20"/>
                <w:szCs w:val="20"/>
                <w:color w:val="auto"/>
              </w:rPr>
            </w:pPr>
            <w:r>
              <w:rPr>
                <w:rFonts w:ascii="Arial" w:cs="Arial" w:eastAsia="Arial" w:hAnsi="Arial"/>
                <w:sz w:val="16"/>
                <w:szCs w:val="16"/>
                <w:color w:val="auto"/>
                <w:w w:val="93"/>
              </w:rPr>
              <w:t>27%</w:t>
            </w:r>
          </w:p>
        </w:tc>
      </w:tr>
      <w:tr>
        <w:trPr>
          <w:trHeight w:val="224"/>
        </w:trPr>
        <w:tc>
          <w:tcPr>
            <w:tcW w:w="20" w:type="dxa"/>
            <w:vAlign w:val="bottom"/>
          </w:tcPr>
          <w:p>
            <w:pPr>
              <w:spacing w:after="0"/>
              <w:rPr>
                <w:sz w:val="19"/>
                <w:szCs w:val="19"/>
                <w:color w:val="auto"/>
              </w:rPr>
            </w:pPr>
          </w:p>
        </w:tc>
        <w:tc>
          <w:tcPr>
            <w:tcW w:w="7300" w:type="dxa"/>
            <w:vAlign w:val="bottom"/>
            <w:gridSpan w:val="5"/>
          </w:tcPr>
          <w:p>
            <w:pPr>
              <w:spacing w:after="0"/>
              <w:rPr>
                <w:sz w:val="20"/>
                <w:szCs w:val="20"/>
                <w:color w:val="auto"/>
              </w:rPr>
            </w:pPr>
            <w:r>
              <w:rPr>
                <w:rFonts w:ascii="Arial" w:cs="Arial" w:eastAsia="Arial" w:hAnsi="Arial"/>
                <w:sz w:val="16"/>
                <w:szCs w:val="16"/>
                <w:color w:val="auto"/>
              </w:rPr>
              <w:t>Other income (expense)</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(14,851)</w:t>
            </w:r>
          </w:p>
        </w:tc>
        <w:tc>
          <w:tcPr>
            <w:tcW w:w="1460" w:type="dxa"/>
            <w:vAlign w:val="bottom"/>
            <w:gridSpan w:val="3"/>
          </w:tcPr>
          <w:p>
            <w:pPr>
              <w:jc w:val="center"/>
              <w:ind w:left="179"/>
              <w:spacing w:after="0"/>
              <w:rPr>
                <w:sz w:val="20"/>
                <w:szCs w:val="20"/>
                <w:color w:val="auto"/>
              </w:rPr>
            </w:pPr>
            <w:r>
              <w:rPr>
                <w:rFonts w:ascii="Arial" w:cs="Arial" w:eastAsia="Arial" w:hAnsi="Arial"/>
                <w:sz w:val="16"/>
                <w:szCs w:val="16"/>
                <w:color w:val="auto"/>
                <w:w w:val="93"/>
              </w:rPr>
              <w:t>(35)%</w:t>
            </w: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3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Income tax provision</w:t>
            </w: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(7,550)</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(6,121)</w:t>
            </w:r>
          </w:p>
        </w:tc>
        <w:tc>
          <w:tcPr>
            <w:tcW w:w="1460" w:type="dxa"/>
            <w:vAlign w:val="bottom"/>
            <w:tcBorders>
              <w:bottom w:val="single" w:sz="8" w:color="CCEEFF"/>
            </w:tcBorders>
            <w:gridSpan w:val="3"/>
            <w:shd w:val="clear" w:color="auto" w:fill="CCEEFF"/>
          </w:tcPr>
          <w:p>
            <w:pPr>
              <w:jc w:val="center"/>
              <w:ind w:left="199"/>
              <w:spacing w:after="0"/>
              <w:rPr>
                <w:sz w:val="20"/>
                <w:szCs w:val="20"/>
                <w:color w:val="auto"/>
              </w:rPr>
            </w:pPr>
            <w:r>
              <w:rPr>
                <w:rFonts w:ascii="Arial" w:cs="Arial" w:eastAsia="Arial" w:hAnsi="Arial"/>
                <w:sz w:val="16"/>
                <w:szCs w:val="16"/>
                <w:color w:val="auto"/>
                <w:w w:val="93"/>
              </w:rPr>
              <w:t>23%</w:t>
            </w:r>
          </w:p>
        </w:tc>
      </w:tr>
      <w:tr>
        <w:trPr>
          <w:trHeight w:val="223"/>
        </w:trPr>
        <w:tc>
          <w:tcPr>
            <w:tcW w:w="20" w:type="dxa"/>
            <w:vAlign w:val="bottom"/>
          </w:tcPr>
          <w:p>
            <w:pPr>
              <w:spacing w:after="0"/>
              <w:rPr>
                <w:sz w:val="19"/>
                <w:szCs w:val="19"/>
                <w:color w:val="auto"/>
              </w:rPr>
            </w:pPr>
          </w:p>
        </w:tc>
        <w:tc>
          <w:tcPr>
            <w:tcW w:w="7300" w:type="dxa"/>
            <w:vAlign w:val="bottom"/>
            <w:gridSpan w:val="5"/>
          </w:tcPr>
          <w:p>
            <w:pPr>
              <w:spacing w:after="0"/>
              <w:rPr>
                <w:sz w:val="20"/>
                <w:szCs w:val="20"/>
                <w:color w:val="auto"/>
              </w:rPr>
            </w:pPr>
            <w:r>
              <w:rPr>
                <w:rFonts w:ascii="Arial" w:cs="Arial" w:eastAsia="Arial" w:hAnsi="Arial"/>
                <w:sz w:val="16"/>
                <w:szCs w:val="16"/>
                <w:color w:val="auto"/>
              </w:rPr>
              <w:t>Net income (loss) attributable to Itron, Inc.</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NM</w:t>
            </w: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5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7300" w:type="dxa"/>
            <w:vAlign w:val="bottom"/>
            <w:gridSpan w:val="5"/>
          </w:tcPr>
          <w:p>
            <w:pPr>
              <w:spacing w:after="0" w:line="176" w:lineRule="exact"/>
              <w:rPr>
                <w:sz w:val="20"/>
                <w:szCs w:val="20"/>
                <w:color w:val="auto"/>
              </w:rPr>
            </w:pPr>
            <w:r>
              <w:rPr>
                <w:rFonts w:ascii="Arial" w:cs="Arial" w:eastAsia="Arial" w:hAnsi="Arial"/>
                <w:sz w:val="15"/>
                <w:szCs w:val="15"/>
                <w:b w:val="1"/>
                <w:bCs w:val="1"/>
                <w:color w:val="auto"/>
              </w:rPr>
              <w:t>Non-GAAP</w:t>
            </w:r>
            <w:r>
              <w:rPr>
                <w:rFonts w:ascii="Arial" w:cs="Arial" w:eastAsia="Arial" w:hAnsi="Arial"/>
                <w:sz w:val="20"/>
                <w:szCs w:val="20"/>
                <w:b w:val="1"/>
                <w:bCs w:val="1"/>
                <w:color w:val="auto"/>
                <w:vertAlign w:val="superscript"/>
              </w:rPr>
              <w:t>(1)</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3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Non-GAAP operating expenses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133,047</w:t>
            </w:r>
          </w:p>
        </w:tc>
        <w:tc>
          <w:tcPr>
            <w:tcW w:w="5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130,557</w:t>
            </w:r>
          </w:p>
        </w:tc>
        <w:tc>
          <w:tcPr>
            <w:tcW w:w="1460" w:type="dxa"/>
            <w:vAlign w:val="bottom"/>
            <w:tcBorders>
              <w:bottom w:val="single" w:sz="8" w:color="CCEEFF"/>
            </w:tcBorders>
            <w:gridSpan w:val="3"/>
            <w:shd w:val="clear" w:color="auto" w:fill="CCEEFF"/>
          </w:tcPr>
          <w:p>
            <w:pPr>
              <w:jc w:val="center"/>
              <w:ind w:left="199"/>
              <w:spacing w:after="0"/>
              <w:rPr>
                <w:sz w:val="20"/>
                <w:szCs w:val="20"/>
                <w:color w:val="auto"/>
              </w:rPr>
            </w:pPr>
            <w:r>
              <w:rPr>
                <w:rFonts w:ascii="Arial" w:cs="Arial" w:eastAsia="Arial" w:hAnsi="Arial"/>
                <w:sz w:val="16"/>
                <w:szCs w:val="16"/>
                <w:color w:val="auto"/>
                <w:w w:val="94"/>
              </w:rPr>
              <w:t>2%</w:t>
            </w:r>
          </w:p>
        </w:tc>
      </w:tr>
      <w:tr>
        <w:trPr>
          <w:trHeight w:val="224"/>
        </w:trPr>
        <w:tc>
          <w:tcPr>
            <w:tcW w:w="20" w:type="dxa"/>
            <w:vAlign w:val="bottom"/>
          </w:tcPr>
          <w:p>
            <w:pPr>
              <w:spacing w:after="0"/>
              <w:rPr>
                <w:sz w:val="19"/>
                <w:szCs w:val="19"/>
                <w:color w:val="auto"/>
              </w:rPr>
            </w:pPr>
          </w:p>
        </w:tc>
        <w:tc>
          <w:tcPr>
            <w:tcW w:w="7300" w:type="dxa"/>
            <w:vAlign w:val="bottom"/>
            <w:gridSpan w:val="5"/>
          </w:tcPr>
          <w:p>
            <w:pPr>
              <w:spacing w:after="0"/>
              <w:rPr>
                <w:sz w:val="20"/>
                <w:szCs w:val="20"/>
                <w:color w:val="auto"/>
              </w:rPr>
            </w:pPr>
            <w:r>
              <w:rPr>
                <w:rFonts w:ascii="Arial" w:cs="Arial" w:eastAsia="Arial" w:hAnsi="Arial"/>
                <w:sz w:val="16"/>
                <w:szCs w:val="16"/>
                <w:color w:val="auto"/>
              </w:rPr>
              <w:t>Non-GAAP operating income</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38,519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56,706</w:t>
            </w:r>
          </w:p>
        </w:tc>
        <w:tc>
          <w:tcPr>
            <w:tcW w:w="1460" w:type="dxa"/>
            <w:vAlign w:val="bottom"/>
            <w:gridSpan w:val="3"/>
          </w:tcPr>
          <w:p>
            <w:pPr>
              <w:jc w:val="center"/>
              <w:ind w:left="179"/>
              <w:spacing w:after="0"/>
              <w:rPr>
                <w:sz w:val="20"/>
                <w:szCs w:val="20"/>
                <w:color w:val="auto"/>
              </w:rPr>
            </w:pPr>
            <w:r>
              <w:rPr>
                <w:rFonts w:ascii="Arial" w:cs="Arial" w:eastAsia="Arial" w:hAnsi="Arial"/>
                <w:sz w:val="16"/>
                <w:szCs w:val="16"/>
                <w:color w:val="auto"/>
                <w:w w:val="93"/>
              </w:rPr>
              <w:t>(32)%</w:t>
            </w: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3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Non-GAAP net income attributable to Itron, Inc.</w:t>
            </w: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22,969</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27,890</w:t>
            </w:r>
          </w:p>
        </w:tc>
        <w:tc>
          <w:tcPr>
            <w:tcW w:w="1460" w:type="dxa"/>
            <w:vAlign w:val="bottom"/>
            <w:tcBorders>
              <w:bottom w:val="single" w:sz="8" w:color="CCEEFF"/>
            </w:tcBorders>
            <w:gridSpan w:val="3"/>
            <w:shd w:val="clear" w:color="auto" w:fill="CCEEFF"/>
          </w:tcPr>
          <w:p>
            <w:pPr>
              <w:jc w:val="center"/>
              <w:ind w:left="179"/>
              <w:spacing w:after="0"/>
              <w:rPr>
                <w:sz w:val="20"/>
                <w:szCs w:val="20"/>
                <w:color w:val="auto"/>
              </w:rPr>
            </w:pPr>
            <w:r>
              <w:rPr>
                <w:rFonts w:ascii="Arial" w:cs="Arial" w:eastAsia="Arial" w:hAnsi="Arial"/>
                <w:sz w:val="16"/>
                <w:szCs w:val="16"/>
                <w:color w:val="auto"/>
                <w:w w:val="93"/>
              </w:rPr>
              <w:t>(18)%</w:t>
            </w:r>
          </w:p>
        </w:tc>
      </w:tr>
      <w:tr>
        <w:trPr>
          <w:trHeight w:val="223"/>
        </w:trPr>
        <w:tc>
          <w:tcPr>
            <w:tcW w:w="20" w:type="dxa"/>
            <w:vAlign w:val="bottom"/>
          </w:tcPr>
          <w:p>
            <w:pPr>
              <w:spacing w:after="0"/>
              <w:rPr>
                <w:sz w:val="19"/>
                <w:szCs w:val="19"/>
                <w:color w:val="auto"/>
              </w:rPr>
            </w:pPr>
          </w:p>
        </w:tc>
        <w:tc>
          <w:tcPr>
            <w:tcW w:w="7300" w:type="dxa"/>
            <w:vAlign w:val="bottom"/>
            <w:gridSpan w:val="5"/>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51,973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65,758</w:t>
            </w:r>
          </w:p>
        </w:tc>
        <w:tc>
          <w:tcPr>
            <w:tcW w:w="1460" w:type="dxa"/>
            <w:vAlign w:val="bottom"/>
            <w:gridSpan w:val="3"/>
          </w:tcPr>
          <w:p>
            <w:pPr>
              <w:jc w:val="center"/>
              <w:ind w:left="179"/>
              <w:spacing w:after="0"/>
              <w:rPr>
                <w:sz w:val="20"/>
                <w:szCs w:val="20"/>
                <w:color w:val="auto"/>
              </w:rPr>
            </w:pPr>
            <w:r>
              <w:rPr>
                <w:rFonts w:ascii="Arial" w:cs="Arial" w:eastAsia="Arial" w:hAnsi="Arial"/>
                <w:sz w:val="16"/>
                <w:szCs w:val="16"/>
                <w:color w:val="auto"/>
                <w:w w:val="93"/>
              </w:rPr>
              <w:t>(21)%</w:t>
            </w: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5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7300" w:type="dxa"/>
            <w:vAlign w:val="bottom"/>
            <w:gridSpan w:val="5"/>
          </w:tcPr>
          <w:p>
            <w:pPr>
              <w:spacing w:after="0"/>
              <w:rPr>
                <w:sz w:val="20"/>
                <w:szCs w:val="20"/>
                <w:color w:val="auto"/>
              </w:rPr>
            </w:pPr>
            <w:r>
              <w:rPr>
                <w:rFonts w:ascii="Arial" w:cs="Arial" w:eastAsia="Arial" w:hAnsi="Arial"/>
                <w:sz w:val="16"/>
                <w:szCs w:val="16"/>
                <w:b w:val="1"/>
                <w:bCs w:val="1"/>
                <w:color w:val="auto"/>
              </w:rPr>
              <w:t>GAAP Margins and Earnings Per Share</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3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Gross margin</w:t>
            </w: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300" w:type="dxa"/>
            <w:vAlign w:val="bottom"/>
            <w:gridSpan w:val="5"/>
          </w:tcPr>
          <w:p>
            <w:pPr>
              <w:ind w:left="200"/>
              <w:spacing w:after="0"/>
              <w:rPr>
                <w:sz w:val="20"/>
                <w:szCs w:val="20"/>
                <w:color w:val="auto"/>
              </w:rPr>
            </w:pPr>
            <w:r>
              <w:rPr>
                <w:rFonts w:ascii="Arial" w:cs="Arial" w:eastAsia="Arial" w:hAnsi="Arial"/>
                <w:sz w:val="16"/>
                <w:szCs w:val="16"/>
                <w:color w:val="auto"/>
              </w:rPr>
              <w:t>Product gross margin</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27.2</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29.1</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300" w:type="dxa"/>
            <w:vAlign w:val="bottom"/>
            <w:tcBorders>
              <w:bottom w:val="single" w:sz="8" w:color="CCEEFF"/>
            </w:tcBorders>
            <w:gridSpan w:val="5"/>
            <w:shd w:val="clear" w:color="auto" w:fill="CCEEFF"/>
          </w:tcPr>
          <w:p>
            <w:pPr>
              <w:ind w:left="200"/>
              <w:spacing w:after="0"/>
              <w:rPr>
                <w:sz w:val="20"/>
                <w:szCs w:val="20"/>
                <w:color w:val="auto"/>
              </w:rPr>
            </w:pPr>
            <w:r>
              <w:rPr>
                <w:rFonts w:ascii="Arial" w:cs="Arial" w:eastAsia="Arial" w:hAnsi="Arial"/>
                <w:sz w:val="16"/>
                <w:szCs w:val="16"/>
                <w:color w:val="auto"/>
              </w:rPr>
              <w:t>Service gross margin</w:t>
            </w: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300" w:type="dxa"/>
            <w:vAlign w:val="bottom"/>
            <w:gridSpan w:val="5"/>
          </w:tcPr>
          <w:p>
            <w:pPr>
              <w:ind w:left="440"/>
              <w:spacing w:after="0"/>
              <w:rPr>
                <w:sz w:val="20"/>
                <w:szCs w:val="20"/>
                <w:color w:val="auto"/>
              </w:rPr>
            </w:pPr>
            <w:r>
              <w:rPr>
                <w:rFonts w:ascii="Arial" w:cs="Arial" w:eastAsia="Arial" w:hAnsi="Arial"/>
                <w:sz w:val="16"/>
                <w:szCs w:val="16"/>
                <w:color w:val="auto"/>
              </w:rPr>
              <w:t>Total gross margin</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28.7</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30.5</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5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23"/>
        </w:trPr>
        <w:tc>
          <w:tcPr>
            <w:tcW w:w="20" w:type="dxa"/>
            <w:vAlign w:val="bottom"/>
          </w:tcPr>
          <w:p>
            <w:pPr>
              <w:spacing w:after="0"/>
              <w:rPr>
                <w:sz w:val="19"/>
                <w:szCs w:val="19"/>
                <w:color w:val="auto"/>
              </w:rPr>
            </w:pPr>
          </w:p>
        </w:tc>
        <w:tc>
          <w:tcPr>
            <w:tcW w:w="7300" w:type="dxa"/>
            <w:vAlign w:val="bottom"/>
            <w:gridSpan w:val="5"/>
          </w:tcPr>
          <w:p>
            <w:pPr>
              <w:spacing w:after="0"/>
              <w:rPr>
                <w:sz w:val="20"/>
                <w:szCs w:val="20"/>
                <w:color w:val="auto"/>
              </w:rPr>
            </w:pPr>
            <w:r>
              <w:rPr>
                <w:rFonts w:ascii="Arial" w:cs="Arial" w:eastAsia="Arial" w:hAnsi="Arial"/>
                <w:sz w:val="16"/>
                <w:szCs w:val="16"/>
                <w:color w:val="auto"/>
              </w:rPr>
              <w:t>Operating margin</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income (loss) per common share - Basic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5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300" w:type="dxa"/>
            <w:vAlign w:val="bottom"/>
            <w:gridSpan w:val="5"/>
          </w:tcPr>
          <w:p>
            <w:pPr>
              <w:spacing w:after="0"/>
              <w:rPr>
                <w:sz w:val="20"/>
                <w:szCs w:val="20"/>
                <w:color w:val="auto"/>
              </w:rPr>
            </w:pPr>
            <w:r>
              <w:rPr>
                <w:rFonts w:ascii="Arial" w:cs="Arial" w:eastAsia="Arial" w:hAnsi="Arial"/>
                <w:sz w:val="18"/>
                <w:szCs w:val="18"/>
                <w:color w:val="auto"/>
              </w:rPr>
              <w:t>Net income (loss) per common share - Diluted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0.21</w:t>
            </w:r>
          </w:p>
        </w:tc>
        <w:tc>
          <w:tcPr>
            <w:tcW w:w="5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5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175"/>
        </w:trPr>
        <w:tc>
          <w:tcPr>
            <w:tcW w:w="20" w:type="dxa"/>
            <w:vAlign w:val="bottom"/>
          </w:tcPr>
          <w:p>
            <w:pPr>
              <w:spacing w:after="0"/>
              <w:rPr>
                <w:sz w:val="15"/>
                <w:szCs w:val="15"/>
                <w:color w:val="auto"/>
              </w:rPr>
            </w:pPr>
          </w:p>
        </w:tc>
        <w:tc>
          <w:tcPr>
            <w:tcW w:w="7300" w:type="dxa"/>
            <w:vAlign w:val="bottom"/>
            <w:gridSpan w:val="5"/>
          </w:tcPr>
          <w:p>
            <w:pPr>
              <w:spacing w:after="0" w:line="176" w:lineRule="exact"/>
              <w:rPr>
                <w:sz w:val="20"/>
                <w:szCs w:val="20"/>
                <w:color w:val="auto"/>
              </w:rPr>
            </w:pPr>
            <w:r>
              <w:rPr>
                <w:rFonts w:ascii="Arial" w:cs="Arial" w:eastAsia="Arial" w:hAnsi="Arial"/>
                <w:sz w:val="15"/>
                <w:szCs w:val="15"/>
                <w:b w:val="1"/>
                <w:bCs w:val="1"/>
                <w:color w:val="auto"/>
              </w:rPr>
              <w:t>Non-GAAP Earnings Per Share</w:t>
            </w:r>
            <w:r>
              <w:rPr>
                <w:rFonts w:ascii="Arial" w:cs="Arial" w:eastAsia="Arial" w:hAnsi="Arial"/>
                <w:sz w:val="20"/>
                <w:szCs w:val="20"/>
                <w:b w:val="1"/>
                <w:bCs w:val="1"/>
                <w:color w:val="auto"/>
                <w:vertAlign w:val="superscript"/>
              </w:rPr>
              <w:t>(1)</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Non-GAAP diluted EPS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33"/>
        </w:trPr>
        <w:tc>
          <w:tcPr>
            <w:tcW w:w="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98" w:lineRule="exact"/>
        <w:rPr>
          <w:sz w:val="20"/>
          <w:szCs w:val="20"/>
          <w:color w:val="auto"/>
        </w:rPr>
      </w:pPr>
    </w:p>
    <w:p>
      <w:pPr>
        <w:ind w:left="340" w:right="20" w:hanging="332"/>
        <w:spacing w:after="0" w:line="223" w:lineRule="auto"/>
        <w:tabs>
          <w:tab w:leader="none" w:pos="32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These measures exclude certain expenses that we do not believe are indicative of our core operating results. See pages 38-40 for information about these non-GAAP measures and reconciliations to the most comparable GAAP measures.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Endpoints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revenue is driven significantly by sales of endpoints. We classify our endpoints into two categories:</w:t>
      </w:r>
    </w:p>
    <w:p>
      <w:pPr>
        <w:spacing w:after="0" w:line="9" w:lineRule="exact"/>
        <w:rPr>
          <w:sz w:val="20"/>
          <w:szCs w:val="20"/>
          <w:color w:val="auto"/>
        </w:rPr>
      </w:pPr>
    </w:p>
    <w:p>
      <w:pPr>
        <w:jc w:val="both"/>
        <w:ind w:left="660" w:hanging="328"/>
        <w:spacing w:after="0" w:line="25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Standard Endpoints </w:t>
      </w:r>
      <w:r>
        <w:rPr>
          <w:rFonts w:ascii="Arial" w:cs="Arial" w:eastAsia="Arial" w:hAnsi="Arial"/>
          <w:sz w:val="18"/>
          <w:szCs w:val="18"/>
          <w:color w:val="auto"/>
        </w:rPr>
        <w:t>– an Itron product delivered primarily via our Device Solutions segment. The majority of our standard endpoint devices are</w:t>
      </w:r>
      <w:r>
        <w:rPr>
          <w:rFonts w:ascii="Arial" w:cs="Arial" w:eastAsia="Arial" w:hAnsi="Arial"/>
          <w:sz w:val="18"/>
          <w:szCs w:val="18"/>
          <w:i w:val="1"/>
          <w:iCs w:val="1"/>
          <w:color w:val="auto"/>
        </w:rPr>
        <w:t xml:space="preserve"> </w:t>
      </w:r>
      <w:r>
        <w:rPr>
          <w:rFonts w:ascii="Arial" w:cs="Arial" w:eastAsia="Arial" w:hAnsi="Arial"/>
          <w:sz w:val="18"/>
          <w:szCs w:val="18"/>
          <w:color w:val="auto"/>
        </w:rPr>
        <w:t>used for delivery and metrology in the electricity, water, and gas distribution industries, and have no built-in remote reading communication technology. However, some standard endpoint devices are shipped with non-Itron communications capabilities and are not a part of an Itron solution, such as the Smart Spec meters, and are classified as a standard endpoint.</w:t>
      </w:r>
    </w:p>
    <w:p>
      <w:pPr>
        <w:spacing w:after="0" w:line="219"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Networked Endpoints </w:t>
      </w:r>
      <w:r>
        <w:rPr>
          <w:rFonts w:ascii="Arial" w:cs="Arial" w:eastAsia="Arial" w:hAnsi="Arial"/>
          <w:sz w:val="18"/>
          <w:szCs w:val="18"/>
          <w:color w:val="auto"/>
        </w:rPr>
        <w:t>– an Itron product with the capability of one-way communication or two-way communication of data including remote</w:t>
      </w:r>
      <w:r>
        <w:rPr>
          <w:rFonts w:ascii="Arial" w:cs="Arial" w:eastAsia="Arial" w:hAnsi="Arial"/>
          <w:sz w:val="18"/>
          <w:szCs w:val="18"/>
          <w:i w:val="1"/>
          <w:iCs w:val="1"/>
          <w:color w:val="auto"/>
        </w:rPr>
        <w:t xml:space="preserve"> </w:t>
      </w:r>
      <w:r>
        <w:rPr>
          <w:rFonts w:ascii="Arial" w:cs="Arial" w:eastAsia="Arial" w:hAnsi="Arial"/>
          <w:sz w:val="18"/>
          <w:szCs w:val="18"/>
          <w:color w:val="auto"/>
        </w:rPr>
        <w:t>device configuration and upgrade (consisting primarily of our OpenWay® or Gen X technology). This primarily includes Itron devices used in electricity, water, and gas distribution industries. Networked endpoints also include smart communication modules and network interface cards (NICs). NICs are communicating modules that can be sold separately from the device directly to our customers or to third party manufacturers for use in endpoints such as electric, water, and gas meters; streetlights and smart city devices; sensors or another standard device that the end customer would like to connect to our OpenWay or Gen X Networked Solutions. These endpoints are primarily delivered via our Networked Solutions segment.</w:t>
      </w:r>
    </w:p>
    <w:p>
      <w:pPr>
        <w:sectPr>
          <w:pgSz w:w="11900" w:h="16838" w:orient="portrait"/>
          <w:cols w:equalWidth="0" w:num="1">
            <w:col w:w="11240"/>
          </w:cols>
          <w:pgMar w:left="320" w:top="125" w:right="339" w:bottom="144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endpoints shipped is as follows:</w:t>
      </w:r>
    </w:p>
    <w:p>
      <w:pPr>
        <w:spacing w:after="0" w:line="361"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Units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6832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Itron Endpoints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Standard endpoints </w:t>
      </w:r>
      <w:r>
        <w:rPr>
          <w:rFonts w:ascii="Arial" w:cs="Arial" w:eastAsia="Arial" w:hAnsi="Arial"/>
          <w:sz w:val="21"/>
          <w:szCs w:val="21"/>
          <w:color w:val="auto"/>
          <w:vertAlign w:val="superscript"/>
        </w:rPr>
        <w:t>(1)</w:t>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Networked endpoints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endpoints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jc w:val="center"/>
        <w:ind w:right="92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37465</wp:posOffset>
            </wp:positionV>
            <wp:extent cx="28289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66" w:lineRule="exact"/>
        <w:rPr>
          <w:sz w:val="20"/>
          <w:szCs w:val="20"/>
          <w:color w:val="auto"/>
        </w:rPr>
      </w:pPr>
    </w:p>
    <w:p>
      <w:pPr>
        <w:spacing w:after="0"/>
        <w:tabs>
          <w:tab w:leader="none" w:pos="228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867410</wp:posOffset>
            </wp:positionH>
            <wp:positionV relativeFrom="paragraph">
              <wp:posOffset>37465</wp:posOffset>
            </wp:positionV>
            <wp:extent cx="13798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27" w:lineRule="exact"/>
        <w:rPr>
          <w:sz w:val="20"/>
          <w:szCs w:val="20"/>
          <w:color w:val="auto"/>
        </w:rPr>
      </w:pPr>
    </w:p>
    <w:p>
      <w:pPr>
        <w:jc w:val="both"/>
        <w:ind w:left="740"/>
        <w:spacing w:after="0"/>
        <w:tabs>
          <w:tab w:leader="none" w:pos="3000" w:val="left"/>
        </w:tabs>
        <w:rPr>
          <w:sz w:val="20"/>
          <w:szCs w:val="20"/>
          <w:color w:val="auto"/>
        </w:rPr>
      </w:pPr>
      <w:r>
        <w:rPr>
          <w:rFonts w:ascii="Arial" w:cs="Arial" w:eastAsia="Arial" w:hAnsi="Arial"/>
          <w:sz w:val="16"/>
          <w:szCs w:val="16"/>
          <w:color w:val="auto"/>
        </w:rPr>
        <w:t>5,390</w:t>
      </w:r>
      <w:r>
        <w:rPr>
          <w:sz w:val="20"/>
          <w:szCs w:val="20"/>
          <w:color w:val="auto"/>
        </w:rPr>
        <w:tab/>
      </w:r>
      <w:r>
        <w:rPr>
          <w:rFonts w:ascii="Arial" w:cs="Arial" w:eastAsia="Arial" w:hAnsi="Arial"/>
          <w:sz w:val="16"/>
          <w:szCs w:val="16"/>
          <w:color w:val="auto"/>
        </w:rPr>
        <w:t>5,470</w:t>
      </w:r>
    </w:p>
    <w:p>
      <w:pPr>
        <w:spacing w:after="0" w:line="73" w:lineRule="exact"/>
        <w:rPr>
          <w:sz w:val="20"/>
          <w:szCs w:val="20"/>
          <w:color w:val="auto"/>
        </w:rPr>
      </w:pPr>
    </w:p>
    <w:p>
      <w:pPr>
        <w:jc w:val="both"/>
        <w:ind w:left="740"/>
        <w:spacing w:after="0"/>
        <w:tabs>
          <w:tab w:leader="none" w:pos="3000" w:val="left"/>
        </w:tabs>
        <w:rPr>
          <w:sz w:val="20"/>
          <w:szCs w:val="20"/>
          <w:color w:val="auto"/>
        </w:rPr>
      </w:pPr>
      <w:r>
        <w:rPr>
          <w:rFonts w:ascii="Arial" w:cs="Arial" w:eastAsia="Arial" w:hAnsi="Arial"/>
          <w:sz w:val="16"/>
          <w:szCs w:val="16"/>
          <w:color w:val="auto"/>
        </w:rPr>
        <w:t>3,900</w:t>
      </w:r>
      <w:r>
        <w:rPr>
          <w:sz w:val="20"/>
          <w:szCs w:val="20"/>
          <w:color w:val="auto"/>
        </w:rPr>
        <w:tab/>
      </w:r>
      <w:r>
        <w:rPr>
          <w:rFonts w:ascii="Arial" w:cs="Arial" w:eastAsia="Arial" w:hAnsi="Arial"/>
          <w:sz w:val="16"/>
          <w:szCs w:val="16"/>
          <w:color w:val="auto"/>
        </w:rPr>
        <w:t>3,980</w:t>
      </w:r>
    </w:p>
    <w:p>
      <w:pPr>
        <w:spacing w:after="0" w:line="86" w:lineRule="exact"/>
        <w:rPr>
          <w:sz w:val="20"/>
          <w:szCs w:val="20"/>
          <w:color w:val="auto"/>
        </w:rPr>
      </w:pPr>
    </w:p>
    <w:p>
      <w:pPr>
        <w:jc w:val="both"/>
        <w:ind w:left="740"/>
        <w:spacing w:after="0"/>
        <w:tabs>
          <w:tab w:leader="none" w:pos="3000" w:val="left"/>
        </w:tabs>
        <w:rPr>
          <w:sz w:val="20"/>
          <w:szCs w:val="20"/>
          <w:color w:val="auto"/>
        </w:rPr>
      </w:pPr>
      <w:r>
        <w:rPr>
          <w:rFonts w:ascii="Arial" w:cs="Arial" w:eastAsia="Arial" w:hAnsi="Arial"/>
          <w:sz w:val="16"/>
          <w:szCs w:val="16"/>
          <w:color w:val="auto"/>
        </w:rPr>
        <w:t>9,290</w:t>
      </w:r>
      <w:r>
        <w:rPr>
          <w:sz w:val="20"/>
          <w:szCs w:val="20"/>
          <w:color w:val="auto"/>
        </w:rPr>
        <w:tab/>
      </w:r>
      <w:r>
        <w:rPr>
          <w:rFonts w:ascii="Arial" w:cs="Arial" w:eastAsia="Arial" w:hAnsi="Arial"/>
          <w:sz w:val="16"/>
          <w:szCs w:val="16"/>
          <w:color w:val="auto"/>
        </w:rPr>
        <w:t>9,450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60960</wp:posOffset>
            </wp:positionV>
            <wp:extent cx="28289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6980" w:space="720"/>
            <w:col w:w="3540"/>
          </w:cols>
          <w:pgMar w:left="320" w:top="125" w:right="339" w:bottom="1440" w:gutter="0" w:footer="0" w:header="0"/>
          <w:type w:val="continuous"/>
        </w:sectPr>
      </w:pPr>
    </w:p>
    <w:p>
      <w:pPr>
        <w:jc w:val="both"/>
        <w:ind w:left="340" w:hanging="332"/>
        <w:spacing w:after="0" w:line="245" w:lineRule="auto"/>
        <w:tabs>
          <w:tab w:leader="none" w:pos="328"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As of the second quarter of 2019, we have refined the definition of a standard endpoint to more closely align to the segment performance of Device Solutions and Networked Solutions as reported in the Operating Segment Results section below. The quantities presented for the three months ended March 31, 2019 have been recast to align with the refined definitions of standard and networked endpoints. The total endpoints shipped for the period is unchanged.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of and effects of changes in foreign currency exchange rates on revenues and gross profit were as follows:</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40" w:type="dxa"/>
            <w:vAlign w:val="bottom"/>
            <w:gridSpan w:val="4"/>
            <w:vMerge w:val="restart"/>
          </w:tcPr>
          <w:p>
            <w:pPr>
              <w:jc w:val="right"/>
              <w:ind w:right="49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7"/>
                <w:szCs w:val="17"/>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200"/>
              <w:spacing w:after="0" w:line="176" w:lineRule="exact"/>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vMerge w:val="restart"/>
          </w:tcPr>
          <w:p>
            <w:pPr>
              <w:jc w:val="center"/>
              <w:ind w:right="100"/>
              <w:spacing w:after="0" w:line="176" w:lineRule="exact"/>
              <w:rPr>
                <w:sz w:val="20"/>
                <w:szCs w:val="20"/>
                <w:color w:val="auto"/>
              </w:rPr>
            </w:pPr>
            <w:r>
              <w:rPr>
                <w:rFonts w:ascii="Arial" w:cs="Arial" w:eastAsia="Arial" w:hAnsi="Arial"/>
                <w:sz w:val="16"/>
                <w:szCs w:val="16"/>
                <w:b w:val="1"/>
                <w:bCs w:val="1"/>
                <w:color w:val="auto"/>
                <w:w w:val="91"/>
              </w:rPr>
              <w:t>Constant Currency</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18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Revenues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598,415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614,576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(8,414)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(16,161)</w:t>
            </w:r>
          </w:p>
        </w:tc>
        <w:tc>
          <w:tcPr>
            <w:tcW w:w="0" w:type="dxa"/>
            <w:vAlign w:val="bottom"/>
          </w:tcPr>
          <w:p>
            <w:pPr>
              <w:spacing w:after="0"/>
              <w:rPr>
                <w:sz w:val="1"/>
                <w:szCs w:val="1"/>
                <w:color w:val="auto"/>
              </w:rPr>
            </w:pPr>
          </w:p>
        </w:tc>
      </w:tr>
      <w:tr>
        <w:trPr>
          <w:trHeight w:val="223"/>
        </w:trPr>
        <w:tc>
          <w:tcPr>
            <w:tcW w:w="2980" w:type="dxa"/>
            <w:vAlign w:val="bottom"/>
          </w:tcPr>
          <w:p>
            <w:pPr>
              <w:ind w:left="100"/>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171,566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187,263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(1,866)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(13,831)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(15,697)</w:t>
            </w:r>
          </w:p>
        </w:tc>
        <w:tc>
          <w:tcPr>
            <w:tcW w:w="0" w:type="dxa"/>
            <w:vAlign w:val="bottom"/>
          </w:tcPr>
          <w:p>
            <w:pPr>
              <w:spacing w:after="0"/>
              <w:rPr>
                <w:sz w:val="1"/>
                <w:szCs w:val="1"/>
                <w:color w:val="auto"/>
              </w:rPr>
            </w:pPr>
          </w:p>
        </w:tc>
      </w:tr>
    </w:tbl>
    <w:p>
      <w:pPr>
        <w:spacing w:after="0" w:line="3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22222"/>
        </w:rPr>
        <w:t xml:space="preserve">Revenues decreased $16.2 million, or 3%, for the three months ended </w:t>
      </w:r>
      <w:r>
        <w:rPr>
          <w:rFonts w:ascii="Arial" w:cs="Arial" w:eastAsia="Arial" w:hAnsi="Arial"/>
          <w:sz w:val="17"/>
          <w:szCs w:val="17"/>
          <w:color w:val="000000"/>
        </w:rPr>
        <w:t>March 31, 2020</w:t>
      </w:r>
      <w:r>
        <w:rPr>
          <w:rFonts w:ascii="Arial" w:cs="Arial" w:eastAsia="Arial" w:hAnsi="Arial"/>
          <w:sz w:val="17"/>
          <w:szCs w:val="17"/>
          <w:color w:val="222222"/>
        </w:rPr>
        <w:t xml:space="preserve">, compared with the same period in </w:t>
      </w:r>
      <w:r>
        <w:rPr>
          <w:rFonts w:ascii="Arial" w:cs="Arial" w:eastAsia="Arial" w:hAnsi="Arial"/>
          <w:sz w:val="17"/>
          <w:szCs w:val="17"/>
          <w:color w:val="000000"/>
        </w:rPr>
        <w:t>2019. We were negatively</w:t>
      </w:r>
      <w:r>
        <w:rPr>
          <w:rFonts w:ascii="Arial" w:cs="Arial" w:eastAsia="Arial" w:hAnsi="Arial"/>
          <w:sz w:val="17"/>
          <w:szCs w:val="17"/>
          <w:color w:val="222222"/>
        </w:rPr>
        <w:t xml:space="preserve"> </w:t>
      </w:r>
      <w:r>
        <w:rPr>
          <w:rFonts w:ascii="Arial" w:cs="Arial" w:eastAsia="Arial" w:hAnsi="Arial"/>
          <w:sz w:val="17"/>
          <w:szCs w:val="17"/>
          <w:color w:val="000000"/>
        </w:rPr>
        <w:t xml:space="preserve">impacted by COVID-19 related delays, which played a significant role in lower year-over-year comparisons. Product revenues decreased by $16.7 million, and service revenues were substantially flat. </w:t>
      </w:r>
      <w:r>
        <w:rPr>
          <w:rFonts w:ascii="Arial" w:cs="Arial" w:eastAsia="Arial" w:hAnsi="Arial"/>
          <w:sz w:val="17"/>
          <w:szCs w:val="17"/>
          <w:color w:val="222222"/>
        </w:rPr>
        <w:t>For the first quarter of 2020, the Device Solutions segment decreased by $19.5 million, and the Outcomes</w:t>
      </w:r>
      <w:r>
        <w:rPr>
          <w:rFonts w:ascii="Arial" w:cs="Arial" w:eastAsia="Arial" w:hAnsi="Arial"/>
          <w:sz w:val="17"/>
          <w:szCs w:val="17"/>
          <w:color w:val="000000"/>
        </w:rPr>
        <w:t xml:space="preserve"> </w:t>
      </w:r>
      <w:r>
        <w:rPr>
          <w:rFonts w:ascii="Arial" w:cs="Arial" w:eastAsia="Arial" w:hAnsi="Arial"/>
          <w:sz w:val="17"/>
          <w:szCs w:val="17"/>
          <w:color w:val="222222"/>
        </w:rPr>
        <w:t xml:space="preserve">segment decreased by $1.1 million when compared with the same period last year. </w:t>
      </w:r>
      <w:r>
        <w:rPr>
          <w:rFonts w:ascii="Arial" w:cs="Arial" w:eastAsia="Arial" w:hAnsi="Arial"/>
          <w:sz w:val="17"/>
          <w:szCs w:val="17"/>
          <w:color w:val="000000"/>
        </w:rPr>
        <w:t>The Networked Solutions segment increased by $4.4 million</w:t>
      </w:r>
      <w:r>
        <w:rPr>
          <w:rFonts w:ascii="Arial" w:cs="Arial" w:eastAsia="Arial" w:hAnsi="Arial"/>
          <w:sz w:val="17"/>
          <w:szCs w:val="17"/>
          <w:color w:val="222222"/>
        </w:rPr>
        <w:t xml:space="preserve"> for </w:t>
      </w:r>
      <w:r>
        <w:rPr>
          <w:rFonts w:ascii="Arial" w:cs="Arial" w:eastAsia="Arial" w:hAnsi="Arial"/>
          <w:sz w:val="17"/>
          <w:szCs w:val="17"/>
          <w:color w:val="000000"/>
        </w:rPr>
        <w:t>the</w:t>
      </w:r>
      <w:r>
        <w:rPr>
          <w:rFonts w:ascii="Arial" w:cs="Arial" w:eastAsia="Arial" w:hAnsi="Arial"/>
          <w:sz w:val="17"/>
          <w:szCs w:val="17"/>
          <w:color w:val="222222"/>
        </w:rPr>
        <w:t xml:space="preserve"> three months ended </w:t>
      </w:r>
      <w:r>
        <w:rPr>
          <w:rFonts w:ascii="Arial" w:cs="Arial" w:eastAsia="Arial" w:hAnsi="Arial"/>
          <w:sz w:val="17"/>
          <w:szCs w:val="17"/>
          <w:color w:val="000000"/>
        </w:rPr>
        <w:t>March 31, 2020, compared with the same period in 2019</w:t>
      </w:r>
      <w:r>
        <w:rPr>
          <w:rFonts w:ascii="Arial" w:cs="Arial" w:eastAsia="Arial" w:hAnsi="Arial"/>
          <w:sz w:val="17"/>
          <w:szCs w:val="17"/>
          <w:color w:val="222222"/>
        </w:rPr>
        <w:t xml:space="preserve">. </w:t>
      </w:r>
      <w:r>
        <w:rPr>
          <w:rFonts w:ascii="Arial" w:cs="Arial" w:eastAsia="Arial" w:hAnsi="Arial"/>
          <w:sz w:val="17"/>
          <w:szCs w:val="17"/>
          <w:color w:val="000000"/>
        </w:rPr>
        <w:t>During the first quarter of 2020</w:t>
      </w:r>
      <w:r>
        <w:rPr>
          <w:rFonts w:ascii="Arial" w:cs="Arial" w:eastAsia="Arial" w:hAnsi="Arial"/>
          <w:sz w:val="17"/>
          <w:szCs w:val="17"/>
          <w:color w:val="222222"/>
        </w:rPr>
        <w:t>, c</w:t>
      </w:r>
      <w:r>
        <w:rPr>
          <w:rFonts w:ascii="Arial" w:cs="Arial" w:eastAsia="Arial" w:hAnsi="Arial"/>
          <w:sz w:val="17"/>
          <w:szCs w:val="17"/>
          <w:color w:val="000000"/>
        </w:rPr>
        <w:t>hanges in exchange rates unfavorably</w:t>
      </w:r>
      <w:r>
        <w:rPr>
          <w:rFonts w:ascii="Arial" w:cs="Arial" w:eastAsia="Arial" w:hAnsi="Arial"/>
          <w:sz w:val="17"/>
          <w:szCs w:val="17"/>
          <w:color w:val="222222"/>
        </w:rPr>
        <w:t xml:space="preserve"> </w:t>
      </w:r>
      <w:r>
        <w:rPr>
          <w:rFonts w:ascii="Arial" w:cs="Arial" w:eastAsia="Arial" w:hAnsi="Arial"/>
          <w:sz w:val="17"/>
          <w:szCs w:val="17"/>
          <w:color w:val="000000"/>
        </w:rPr>
        <w:t>impacted total revenues by $8.4 million, of which $7.6 million unfavorably impacted the Device Solutions segment total revenue.</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222222"/>
        </w:rPr>
        <w:t xml:space="preserve">Gross margin for the three months ended </w:t>
      </w:r>
      <w:r>
        <w:rPr>
          <w:rFonts w:ascii="Arial" w:cs="Arial" w:eastAsia="Arial" w:hAnsi="Arial"/>
          <w:sz w:val="18"/>
          <w:szCs w:val="18"/>
          <w:color w:val="000000"/>
        </w:rPr>
        <w:t>March 31, 2020</w:t>
      </w:r>
      <w:r>
        <w:rPr>
          <w:rFonts w:ascii="Arial" w:cs="Arial" w:eastAsia="Arial" w:hAnsi="Arial"/>
          <w:sz w:val="18"/>
          <w:szCs w:val="18"/>
          <w:color w:val="222222"/>
        </w:rPr>
        <w:t xml:space="preserve"> was 28.7%, compared with 30.5% in </w:t>
      </w:r>
      <w:r>
        <w:rPr>
          <w:rFonts w:ascii="Arial" w:cs="Arial" w:eastAsia="Arial" w:hAnsi="Arial"/>
          <w:sz w:val="18"/>
          <w:szCs w:val="18"/>
          <w:color w:val="000000"/>
        </w:rPr>
        <w:t>2019</w:t>
      </w:r>
      <w:r>
        <w:rPr>
          <w:rFonts w:ascii="Arial" w:cs="Arial" w:eastAsia="Arial" w:hAnsi="Arial"/>
          <w:sz w:val="18"/>
          <w:szCs w:val="18"/>
          <w:color w:val="222222"/>
        </w:rPr>
        <w:t xml:space="preserve">. </w:t>
      </w:r>
      <w:r>
        <w:rPr>
          <w:rFonts w:ascii="Arial" w:cs="Arial" w:eastAsia="Arial" w:hAnsi="Arial"/>
          <w:sz w:val="18"/>
          <w:szCs w:val="18"/>
          <w:color w:val="000000"/>
        </w:rPr>
        <w:t>We were negatively impacted by unfavorable product</w:t>
      </w:r>
      <w:r>
        <w:rPr>
          <w:rFonts w:ascii="Arial" w:cs="Arial" w:eastAsia="Arial" w:hAnsi="Arial"/>
          <w:sz w:val="18"/>
          <w:szCs w:val="18"/>
          <w:color w:val="222222"/>
        </w:rPr>
        <w:t xml:space="preserve"> </w:t>
      </w:r>
      <w:r>
        <w:rPr>
          <w:rFonts w:ascii="Arial" w:cs="Arial" w:eastAsia="Arial" w:hAnsi="Arial"/>
          <w:sz w:val="18"/>
          <w:szCs w:val="18"/>
          <w:color w:val="000000"/>
        </w:rPr>
        <w:t xml:space="preserve">mix and manufacturing inefficiencies. </w:t>
      </w:r>
      <w:r>
        <w:rPr>
          <w:rFonts w:ascii="Arial" w:cs="Arial" w:eastAsia="Arial" w:hAnsi="Arial"/>
          <w:sz w:val="18"/>
          <w:szCs w:val="18"/>
          <w:color w:val="222222"/>
        </w:rPr>
        <w:t>Product sales gross margin decreased to 27.2% in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222222"/>
        </w:rPr>
        <w:t xml:space="preserve">first quarter of </w:t>
      </w:r>
      <w:r>
        <w:rPr>
          <w:rFonts w:ascii="Arial" w:cs="Arial" w:eastAsia="Arial" w:hAnsi="Arial"/>
          <w:sz w:val="17"/>
          <w:szCs w:val="17"/>
          <w:color w:val="000000"/>
        </w:rPr>
        <w:t>2020</w:t>
      </w:r>
      <w:r>
        <w:rPr>
          <w:rFonts w:ascii="Arial" w:cs="Arial" w:eastAsia="Arial" w:hAnsi="Arial"/>
          <w:sz w:val="17"/>
          <w:szCs w:val="17"/>
          <w:color w:val="222222"/>
        </w:rPr>
        <w:t xml:space="preserve">, compared with 29.1% in </w:t>
      </w:r>
      <w:r>
        <w:rPr>
          <w:rFonts w:ascii="Arial" w:cs="Arial" w:eastAsia="Arial" w:hAnsi="Arial"/>
          <w:sz w:val="17"/>
          <w:szCs w:val="17"/>
          <w:color w:val="000000"/>
        </w:rPr>
        <w:t>2019</w:t>
      </w:r>
      <w:r>
        <w:rPr>
          <w:rFonts w:ascii="Arial" w:cs="Arial" w:eastAsia="Arial" w:hAnsi="Arial"/>
          <w:sz w:val="17"/>
          <w:szCs w:val="17"/>
          <w:color w:val="222222"/>
        </w:rPr>
        <w:t xml:space="preserve">. Gross margin on service revenues decreased to 40.0% in </w:t>
      </w:r>
      <w:r>
        <w:rPr>
          <w:rFonts w:ascii="Arial" w:cs="Arial" w:eastAsia="Arial" w:hAnsi="Arial"/>
          <w:sz w:val="17"/>
          <w:szCs w:val="17"/>
          <w:color w:val="000000"/>
        </w:rPr>
        <w:t>2020</w:t>
      </w:r>
      <w:r>
        <w:rPr>
          <w:rFonts w:ascii="Arial" w:cs="Arial" w:eastAsia="Arial" w:hAnsi="Arial"/>
          <w:sz w:val="17"/>
          <w:szCs w:val="17"/>
          <w:color w:val="222222"/>
        </w:rPr>
        <w:t xml:space="preserve">, compared with 40.9% in </w:t>
      </w:r>
      <w:r>
        <w:rPr>
          <w:rFonts w:ascii="Arial" w:cs="Arial" w:eastAsia="Arial" w:hAnsi="Arial"/>
          <w:sz w:val="17"/>
          <w:szCs w:val="17"/>
          <w:color w:val="000000"/>
        </w:rPr>
        <w:t>2019</w:t>
      </w:r>
      <w:r>
        <w:rPr>
          <w:rFonts w:ascii="Arial" w:cs="Arial" w:eastAsia="Arial" w:hAnsi="Arial"/>
          <w:sz w:val="17"/>
          <w:szCs w:val="17"/>
          <w:color w:val="222222"/>
        </w:rPr>
        <w: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Refer to Operating Segment Results section below for further detail on total company revenues and gross margin.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of and effects of changes in foreign currency exchange rates on operating expenses were as follows:</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40" w:type="dxa"/>
            <w:vAlign w:val="bottom"/>
            <w:gridSpan w:val="5"/>
            <w:vMerge w:val="restart"/>
          </w:tcPr>
          <w:p>
            <w:pPr>
              <w:ind w:left="240"/>
              <w:spacing w:after="0"/>
              <w:rPr>
                <w:sz w:val="20"/>
                <w:szCs w:val="20"/>
                <w:color w:val="auto"/>
              </w:rPr>
            </w:pPr>
            <w:r>
              <w:rPr>
                <w:rFonts w:ascii="Arial" w:cs="Arial" w:eastAsia="Arial" w:hAnsi="Arial"/>
                <w:sz w:val="16"/>
                <w:szCs w:val="16"/>
                <w:b w:val="1"/>
                <w:bCs w:val="1"/>
                <w:color w:val="auto"/>
              </w:rPr>
              <w:t>Three Months Ended March 31,</w:t>
            </w:r>
          </w:p>
        </w:tc>
        <w:tc>
          <w:tcPr>
            <w:tcW w:w="16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200"/>
              <w:spacing w:after="0" w:line="176" w:lineRule="exact"/>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vMerge w:val="restart"/>
          </w:tcPr>
          <w:p>
            <w:pPr>
              <w:jc w:val="center"/>
              <w:ind w:right="100"/>
              <w:spacing w:after="0" w:line="176" w:lineRule="exact"/>
              <w:rPr>
                <w:sz w:val="20"/>
                <w:szCs w:val="20"/>
                <w:color w:val="auto"/>
              </w:rPr>
            </w:pPr>
            <w:r>
              <w:rPr>
                <w:rFonts w:ascii="Arial" w:cs="Arial" w:eastAsia="Arial" w:hAnsi="Arial"/>
                <w:sz w:val="16"/>
                <w:szCs w:val="16"/>
                <w:b w:val="1"/>
                <w:bCs w:val="1"/>
                <w:color w:val="auto"/>
                <w:w w:val="91"/>
              </w:rPr>
              <w:t>Constant Currency</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18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Sales, general and administrative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80,498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92,715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(10,988)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(12,217)</w:t>
            </w:r>
          </w:p>
        </w:tc>
        <w:tc>
          <w:tcPr>
            <w:tcW w:w="0" w:type="dxa"/>
            <w:vAlign w:val="bottom"/>
          </w:tcPr>
          <w:p>
            <w:pPr>
              <w:spacing w:after="0"/>
              <w:rPr>
                <w:sz w:val="1"/>
                <w:szCs w:val="1"/>
                <w:color w:val="auto"/>
              </w:rPr>
            </w:pPr>
          </w:p>
        </w:tc>
      </w:tr>
      <w:tr>
        <w:trPr>
          <w:trHeight w:val="224"/>
        </w:trPr>
        <w:tc>
          <w:tcPr>
            <w:tcW w:w="2980" w:type="dxa"/>
            <w:vAlign w:val="bottom"/>
          </w:tcPr>
          <w:p>
            <w:pPr>
              <w:ind w:left="10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53,781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50,490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3,422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3,291</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11,165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15,973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(4,808)</w:t>
            </w:r>
          </w:p>
        </w:tc>
        <w:tc>
          <w:tcPr>
            <w:tcW w:w="0" w:type="dxa"/>
            <w:vAlign w:val="bottom"/>
          </w:tcPr>
          <w:p>
            <w:pPr>
              <w:spacing w:after="0"/>
              <w:rPr>
                <w:sz w:val="1"/>
                <w:szCs w:val="1"/>
                <w:color w:val="auto"/>
              </w:rPr>
            </w:pPr>
          </w:p>
        </w:tc>
      </w:tr>
      <w:tr>
        <w:trPr>
          <w:trHeight w:val="223"/>
        </w:trPr>
        <w:tc>
          <w:tcPr>
            <w:tcW w:w="2980" w:type="dxa"/>
            <w:vAlign w:val="bottom"/>
          </w:tcPr>
          <w:p>
            <w:pPr>
              <w:ind w:left="100"/>
              <w:spacing w:after="0"/>
              <w:rPr>
                <w:sz w:val="20"/>
                <w:szCs w:val="20"/>
                <w:color w:val="auto"/>
              </w:rPr>
            </w:pPr>
            <w:r>
              <w:rPr>
                <w:rFonts w:ascii="Arial" w:cs="Arial" w:eastAsia="Arial" w:hAnsi="Arial"/>
                <w:sz w:val="16"/>
                <w:szCs w:val="16"/>
                <w:color w:val="auto"/>
              </w:rPr>
              <w:t>Restructuring</w:t>
            </w:r>
          </w:p>
        </w:tc>
        <w:tc>
          <w:tcPr>
            <w:tcW w:w="34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7,262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(7,351)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(7,510)</w:t>
            </w: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2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145,196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166,440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(21,244)</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expenses decreased $21.2 million for the three months ended March 31, 2020 as compared with the same period in 2019. This was primarily due to a decrease of $10.3 million in acquisition and integration costs that are classified within sales, general and administrative expenses, and a decrease of $7.5 million in restructuring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4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 March 31,</w:t>
            </w:r>
          </w:p>
        </w:tc>
        <w:tc>
          <w:tcPr>
            <w:tcW w:w="820" w:type="dxa"/>
            <w:vAlign w:val="bottom"/>
          </w:tcPr>
          <w:p>
            <w:pPr>
              <w:spacing w:after="0"/>
              <w:rPr>
                <w:sz w:val="18"/>
                <w:szCs w:val="18"/>
                <w:color w:val="auto"/>
              </w:rPr>
            </w:pPr>
          </w:p>
        </w:tc>
      </w:tr>
      <w:tr>
        <w:trPr>
          <w:trHeight w:val="33"/>
        </w:trPr>
        <w:tc>
          <w:tcPr>
            <w:tcW w:w="6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7"/>
        </w:trPr>
        <w:tc>
          <w:tcPr>
            <w:tcW w:w="69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98"/>
              </w:rPr>
              <w:t>% Change</w:t>
            </w:r>
          </w:p>
        </w:tc>
      </w:tr>
      <w:tr>
        <w:trPr>
          <w:trHeight w:val="33"/>
        </w:trPr>
        <w:tc>
          <w:tcPr>
            <w:tcW w:w="6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328</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69%</w:t>
            </w:r>
          </w:p>
        </w:tc>
      </w:tr>
      <w:tr>
        <w:trPr>
          <w:trHeight w:val="223"/>
        </w:trPr>
        <w:tc>
          <w:tcPr>
            <w:tcW w:w="69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(10,270)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(12,335)</w:t>
            </w:r>
          </w:p>
        </w:tc>
        <w:tc>
          <w:tcPr>
            <w:tcW w:w="120" w:type="dxa"/>
            <w:vAlign w:val="bottom"/>
          </w:tcPr>
          <w:p>
            <w:pPr>
              <w:spacing w:after="0"/>
              <w:rPr>
                <w:sz w:val="19"/>
                <w:szCs w:val="19"/>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(17)%</w:t>
            </w:r>
          </w:p>
        </w:tc>
      </w:tr>
      <w:tr>
        <w:trPr>
          <w:trHeight w:val="33"/>
        </w:trPr>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prepaid debt fees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(1,200)</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r>
      <w:tr>
        <w:trPr>
          <w:trHeight w:val="223"/>
        </w:trPr>
        <w:tc>
          <w:tcPr>
            <w:tcW w:w="694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34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(1,644)</w:t>
            </w:r>
          </w:p>
        </w:tc>
        <w:tc>
          <w:tcPr>
            <w:tcW w:w="120" w:type="dxa"/>
            <w:vAlign w:val="bottom"/>
          </w:tcPr>
          <w:p>
            <w:pPr>
              <w:spacing w:after="0"/>
              <w:rPr>
                <w:sz w:val="19"/>
                <w:szCs w:val="19"/>
                <w:color w:val="auto"/>
              </w:rPr>
            </w:pPr>
          </w:p>
        </w:tc>
        <w:tc>
          <w:tcPr>
            <w:tcW w:w="820" w:type="dxa"/>
            <w:vAlign w:val="bottom"/>
          </w:tcPr>
          <w:p>
            <w:pPr>
              <w:jc w:val="right"/>
              <w:ind w:right="199"/>
              <w:spacing w:after="0"/>
              <w:rPr>
                <w:sz w:val="20"/>
                <w:szCs w:val="20"/>
                <w:color w:val="auto"/>
              </w:rPr>
            </w:pPr>
            <w:r>
              <w:rPr>
                <w:rFonts w:ascii="Arial" w:cs="Arial" w:eastAsia="Arial" w:hAnsi="Arial"/>
                <w:sz w:val="16"/>
                <w:szCs w:val="16"/>
                <w:color w:val="auto"/>
              </w:rPr>
              <w:t>NM</w:t>
            </w:r>
          </w:p>
        </w:tc>
      </w:tr>
      <w:tr>
        <w:trPr>
          <w:trHeight w:val="33"/>
        </w:trPr>
        <w:tc>
          <w:tcPr>
            <w:tcW w:w="6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r>
      <w:tr>
        <w:trPr>
          <w:trHeight w:val="272"/>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other income (expense)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(9,658)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(14,851)</w:t>
            </w: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(35)%</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other income (expense), net, for the three months ended March 31, 2020, as compared with the same period in 2019, was primarily the result of $2.5 million decrease in interest expense for the credit facility and the effect of recognized foreign currency exchange gains and losses due to transactions denominated in a currency other than the reporting entity's functional currency.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three months ended March 31, 2020, our income tax expense was $7.6 million compared with income tax expense of $6.1 million for the same period in 2019. Our tax rate for the three months ended March 31, 2020 of 45% differed from the federal statutory rate of 21% due to the forecasted mix of earnings in domestic and international jurisdictions, losses experienced in jurisdictions with valuation allowances on deferred tax assets, a benefit related to excess stock-based compensation, and uncertain tax positions. Our tax rate for the three months ended March 31, 2019 of 102% differed from the federal statutory rate of 21% due to the forecasted mix of earnings in domestic and international jurisdictions, a benefit related to excess stock based compensation, and losses experienced in jurisdictions with valuation allowances on deferred tax assets.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discussion related to income taxes, see Item 1: "Financial Statements (Unaudited), Note 10: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description of our operating segments, refer to Item 1: "Financial Statements (Unaudited) Note 15: Segment Information". The following tables and discussion highlight significant changes in trends or components of each operating segment: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60" w:type="dxa"/>
            <w:vAlign w:val="bottom"/>
            <w:gridSpan w:val="6"/>
          </w:tcPr>
          <w:p>
            <w:pPr>
              <w:ind w:left="26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4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gridSpan w:val="3"/>
          </w:tcPr>
          <w:p>
            <w:pPr>
              <w:spacing w:after="0"/>
              <w:rPr>
                <w:sz w:val="2"/>
                <w:szCs w:val="2"/>
                <w:color w:val="auto"/>
              </w:rPr>
            </w:pPr>
          </w:p>
        </w:tc>
        <w:tc>
          <w:tcPr>
            <w:tcW w:w="126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ind w:right="17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center"/>
              <w:ind w:right="560"/>
              <w:spacing w:after="0"/>
              <w:rPr>
                <w:sz w:val="20"/>
                <w:szCs w:val="20"/>
                <w:color w:val="auto"/>
              </w:rPr>
            </w:pPr>
            <w:r>
              <w:rPr>
                <w:rFonts w:ascii="Arial" w:cs="Arial" w:eastAsia="Arial" w:hAnsi="Arial"/>
                <w:sz w:val="16"/>
                <w:szCs w:val="16"/>
                <w:b w:val="1"/>
                <w:bCs w:val="1"/>
                <w:color w:val="auto"/>
                <w:w w:val="95"/>
              </w:rPr>
              <w:t>% Change</w:t>
            </w:r>
          </w:p>
        </w:tc>
        <w:tc>
          <w:tcPr>
            <w:tcW w:w="1260" w:type="dxa"/>
            <w:vAlign w:val="bottom"/>
          </w:tcPr>
          <w:p>
            <w:pPr>
              <w:spacing w:after="0"/>
              <w:rPr>
                <w:sz w:val="18"/>
                <w:szCs w:val="18"/>
                <w:color w:val="auto"/>
              </w:rPr>
            </w:pPr>
          </w:p>
        </w:tc>
      </w:tr>
      <w:tr>
        <w:trPr>
          <w:trHeight w:val="33"/>
        </w:trPr>
        <w:tc>
          <w:tcPr>
            <w:tcW w:w="4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Segment Revenues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Device Solutions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202,279</w:t>
            </w:r>
          </w:p>
        </w:tc>
        <w:tc>
          <w:tcPr>
            <w:tcW w:w="48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221,755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4"/>
        </w:trPr>
        <w:tc>
          <w:tcPr>
            <w:tcW w:w="4800" w:type="dxa"/>
            <w:vAlign w:val="bottom"/>
          </w:tcPr>
          <w:p>
            <w:pPr>
              <w:ind w:left="120"/>
              <w:spacing w:after="0"/>
              <w:rPr>
                <w:sz w:val="20"/>
                <w:szCs w:val="20"/>
                <w:color w:val="auto"/>
              </w:rPr>
            </w:pPr>
            <w:r>
              <w:rPr>
                <w:rFonts w:ascii="Arial" w:cs="Arial" w:eastAsia="Arial" w:hAnsi="Arial"/>
                <w:sz w:val="16"/>
                <w:szCs w:val="16"/>
                <w:color w:val="auto"/>
              </w:rPr>
              <w:t>Networked Solutions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340,845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336,427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color w:val="auto"/>
                <w:w w:val="94"/>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Outcomes</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56,394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4800" w:type="dxa"/>
            <w:vAlign w:val="bottom"/>
          </w:tcPr>
          <w:p>
            <w:pPr>
              <w:ind w:left="300"/>
              <w:spacing w:after="0"/>
              <w:rPr>
                <w:sz w:val="20"/>
                <w:szCs w:val="20"/>
                <w:color w:val="auto"/>
              </w:rPr>
            </w:pPr>
            <w:r>
              <w:rPr>
                <w:rFonts w:ascii="Arial" w:cs="Arial" w:eastAsia="Arial" w:hAnsi="Arial"/>
                <w:sz w:val="16"/>
                <w:szCs w:val="16"/>
                <w:color w:val="auto"/>
              </w:rPr>
              <w:t>Total revenues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598,415</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614,576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06"/>
        </w:trPr>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60" w:type="dxa"/>
            <w:vAlign w:val="bottom"/>
            <w:gridSpan w:val="6"/>
          </w:tcPr>
          <w:p>
            <w:pPr>
              <w:jc w:val="right"/>
              <w:ind w:right="840"/>
              <w:spacing w:after="0"/>
              <w:rPr>
                <w:sz w:val="20"/>
                <w:szCs w:val="20"/>
                <w:color w:val="auto"/>
              </w:rPr>
            </w:pPr>
            <w:r>
              <w:rPr>
                <w:rFonts w:ascii="Arial" w:cs="Arial" w:eastAsia="Arial" w:hAnsi="Arial"/>
                <w:sz w:val="16"/>
                <w:szCs w:val="16"/>
                <w:b w:val="1"/>
                <w:bCs w:val="1"/>
                <w:color w:val="auto"/>
              </w:rPr>
              <w:t>Three Months Ended March 31,</w:t>
            </w:r>
          </w:p>
        </w:tc>
        <w:tc>
          <w:tcPr>
            <w:tcW w:w="1260" w:type="dxa"/>
            <w:vAlign w:val="bottom"/>
          </w:tcPr>
          <w:p>
            <w:pPr>
              <w:spacing w:after="0"/>
              <w:rPr>
                <w:sz w:val="24"/>
                <w:szCs w:val="24"/>
                <w:color w:val="auto"/>
              </w:rPr>
            </w:pPr>
          </w:p>
        </w:tc>
      </w:tr>
      <w:tr>
        <w:trPr>
          <w:trHeight w:val="33"/>
        </w:trPr>
        <w:tc>
          <w:tcPr>
            <w:tcW w:w="4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w w:val="84"/>
              </w:rPr>
              <w:t>2020</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2019</w:t>
            </w:r>
          </w:p>
        </w:tc>
        <w:tc>
          <w:tcPr>
            <w:tcW w:w="1260" w:type="dxa"/>
            <w:vAlign w:val="bottom"/>
          </w:tcPr>
          <w:p>
            <w:pPr>
              <w:spacing w:after="0"/>
              <w:rPr>
                <w:sz w:val="18"/>
                <w:szCs w:val="18"/>
                <w:color w:val="auto"/>
              </w:rPr>
            </w:pPr>
          </w:p>
        </w:tc>
      </w:tr>
      <w:tr>
        <w:trPr>
          <w:trHeight w:val="33"/>
        </w:trPr>
        <w:tc>
          <w:tcPr>
            <w:tcW w:w="4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3"/>
        </w:trPr>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b w:val="1"/>
                <w:bCs w:val="1"/>
                <w:i w:val="1"/>
                <w:iCs w:val="1"/>
                <w:color w:val="auto"/>
                <w:w w:val="86"/>
              </w:rPr>
              <w:t>Gross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i w:val="1"/>
                <w:iCs w:val="1"/>
                <w:color w:val="auto"/>
                <w:w w:val="86"/>
              </w:rPr>
              <w:t>Gross</w:t>
            </w:r>
          </w:p>
        </w:tc>
        <w:tc>
          <w:tcPr>
            <w:tcW w:w="200" w:type="dxa"/>
            <w:vAlign w:val="bottom"/>
          </w:tcPr>
          <w:p>
            <w:pPr>
              <w:spacing w:after="0"/>
              <w:rPr>
                <w:sz w:val="18"/>
                <w:szCs w:val="18"/>
                <w:color w:val="auto"/>
              </w:rPr>
            </w:pPr>
          </w:p>
        </w:tc>
        <w:tc>
          <w:tcPr>
            <w:tcW w:w="1700" w:type="dxa"/>
            <w:vAlign w:val="bottom"/>
            <w:gridSpan w:val="3"/>
          </w:tcPr>
          <w:p>
            <w:pPr>
              <w:jc w:val="center"/>
              <w:ind w:right="560"/>
              <w:spacing w:after="0"/>
              <w:rPr>
                <w:sz w:val="20"/>
                <w:szCs w:val="20"/>
                <w:color w:val="auto"/>
              </w:rPr>
            </w:pPr>
            <w:r>
              <w:rPr>
                <w:rFonts w:ascii="Arial" w:cs="Arial" w:eastAsia="Arial" w:hAnsi="Arial"/>
                <w:sz w:val="16"/>
                <w:szCs w:val="16"/>
                <w:b w:val="1"/>
                <w:bCs w:val="1"/>
                <w:i w:val="1"/>
                <w:iCs w:val="1"/>
                <w:color w:val="auto"/>
                <w:w w:val="82"/>
              </w:rPr>
              <w:t>Gross</w:t>
            </w:r>
          </w:p>
        </w:tc>
        <w:tc>
          <w:tcPr>
            <w:tcW w:w="1260" w:type="dxa"/>
            <w:vAlign w:val="bottom"/>
          </w:tcPr>
          <w:p>
            <w:pPr>
              <w:jc w:val="center"/>
              <w:ind w:right="179"/>
              <w:spacing w:after="0"/>
              <w:rPr>
                <w:sz w:val="20"/>
                <w:szCs w:val="20"/>
                <w:color w:val="auto"/>
              </w:rPr>
            </w:pPr>
            <w:r>
              <w:rPr>
                <w:rFonts w:ascii="Arial" w:cs="Arial" w:eastAsia="Arial" w:hAnsi="Arial"/>
                <w:sz w:val="16"/>
                <w:szCs w:val="16"/>
                <w:b w:val="1"/>
                <w:bCs w:val="1"/>
                <w:i w:val="1"/>
                <w:iCs w:val="1"/>
                <w:color w:val="auto"/>
                <w:w w:val="86"/>
              </w:rPr>
              <w:t>Gross</w:t>
            </w:r>
          </w:p>
        </w:tc>
      </w:tr>
      <w:tr>
        <w:trPr>
          <w:trHeight w:val="206"/>
        </w:trPr>
        <w:tc>
          <w:tcPr>
            <w:tcW w:w="48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7"/>
                <w:szCs w:val="17"/>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b w:val="1"/>
                <w:bCs w:val="1"/>
                <w:i w:val="1"/>
                <w:iCs w:val="1"/>
                <w:color w:val="auto"/>
                <w:w w:val="95"/>
              </w:rPr>
              <w:t>Profit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i w:val="1"/>
                <w:iCs w:val="1"/>
                <w:color w:val="auto"/>
                <w:w w:val="95"/>
              </w:rPr>
              <w:t>Margin</w:t>
            </w:r>
          </w:p>
        </w:tc>
        <w:tc>
          <w:tcPr>
            <w:tcW w:w="200" w:type="dxa"/>
            <w:vAlign w:val="bottom"/>
          </w:tcPr>
          <w:p>
            <w:pPr>
              <w:spacing w:after="0"/>
              <w:rPr>
                <w:sz w:val="17"/>
                <w:szCs w:val="17"/>
                <w:color w:val="auto"/>
              </w:rPr>
            </w:pPr>
          </w:p>
        </w:tc>
        <w:tc>
          <w:tcPr>
            <w:tcW w:w="1700" w:type="dxa"/>
            <w:vAlign w:val="bottom"/>
            <w:gridSpan w:val="3"/>
          </w:tcPr>
          <w:p>
            <w:pPr>
              <w:jc w:val="center"/>
              <w:ind w:right="560"/>
              <w:spacing w:after="0"/>
              <w:rPr>
                <w:sz w:val="20"/>
                <w:szCs w:val="20"/>
                <w:color w:val="auto"/>
              </w:rPr>
            </w:pPr>
            <w:r>
              <w:rPr>
                <w:rFonts w:ascii="Arial" w:cs="Arial" w:eastAsia="Arial" w:hAnsi="Arial"/>
                <w:sz w:val="16"/>
                <w:szCs w:val="16"/>
                <w:b w:val="1"/>
                <w:bCs w:val="1"/>
                <w:i w:val="1"/>
                <w:iCs w:val="1"/>
                <w:color w:val="auto"/>
                <w:w w:val="90"/>
              </w:rPr>
              <w:t>Profit</w:t>
            </w:r>
          </w:p>
        </w:tc>
        <w:tc>
          <w:tcPr>
            <w:tcW w:w="1260" w:type="dxa"/>
            <w:vAlign w:val="bottom"/>
          </w:tcPr>
          <w:p>
            <w:pPr>
              <w:jc w:val="center"/>
              <w:ind w:right="199"/>
              <w:spacing w:after="0"/>
              <w:rPr>
                <w:sz w:val="20"/>
                <w:szCs w:val="20"/>
                <w:color w:val="auto"/>
              </w:rPr>
            </w:pPr>
            <w:r>
              <w:rPr>
                <w:rFonts w:ascii="Arial" w:cs="Arial" w:eastAsia="Arial" w:hAnsi="Arial"/>
                <w:sz w:val="16"/>
                <w:szCs w:val="16"/>
                <w:b w:val="1"/>
                <w:bCs w:val="1"/>
                <w:i w:val="1"/>
                <w:iCs w:val="1"/>
                <w:color w:val="auto"/>
                <w:w w:val="95"/>
              </w:rPr>
              <w:t>Margin</w:t>
            </w:r>
          </w:p>
        </w:tc>
      </w:tr>
      <w:tr>
        <w:trPr>
          <w:trHeight w:val="33"/>
        </w:trPr>
        <w:tc>
          <w:tcPr>
            <w:tcW w:w="4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Segment Gross Profit and Margin</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Device Solutions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32,367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center"/>
              <w:ind w:right="199"/>
              <w:spacing w:after="0"/>
              <w:rPr>
                <w:sz w:val="20"/>
                <w:szCs w:val="20"/>
                <w:color w:val="auto"/>
              </w:rPr>
            </w:pPr>
            <w:r>
              <w:rPr>
                <w:rFonts w:ascii="Arial" w:cs="Arial" w:eastAsia="Arial" w:hAnsi="Arial"/>
                <w:sz w:val="16"/>
                <w:szCs w:val="16"/>
                <w:color w:val="auto"/>
                <w:w w:val="92"/>
              </w:rPr>
              <w:t>16.0%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39,916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center"/>
              <w:ind w:right="199"/>
              <w:spacing w:after="0"/>
              <w:rPr>
                <w:sz w:val="20"/>
                <w:szCs w:val="20"/>
                <w:color w:val="auto"/>
              </w:rPr>
            </w:pPr>
            <w:r>
              <w:rPr>
                <w:rFonts w:ascii="Arial" w:cs="Arial" w:eastAsia="Arial" w:hAnsi="Arial"/>
                <w:sz w:val="16"/>
                <w:szCs w:val="16"/>
                <w:color w:val="auto"/>
                <w:w w:val="92"/>
              </w:rPr>
              <w:t>18.0%</w:t>
            </w:r>
          </w:p>
        </w:tc>
      </w:tr>
      <w:tr>
        <w:trPr>
          <w:trHeight w:val="224"/>
        </w:trPr>
        <w:tc>
          <w:tcPr>
            <w:tcW w:w="4800" w:type="dxa"/>
            <w:vAlign w:val="bottom"/>
          </w:tcPr>
          <w:p>
            <w:pPr>
              <w:ind w:left="120"/>
              <w:spacing w:after="0"/>
              <w:rPr>
                <w:sz w:val="20"/>
                <w:szCs w:val="20"/>
                <w:color w:val="auto"/>
              </w:rPr>
            </w:pPr>
            <w:r>
              <w:rPr>
                <w:rFonts w:ascii="Arial" w:cs="Arial" w:eastAsia="Arial" w:hAnsi="Arial"/>
                <w:sz w:val="16"/>
                <w:szCs w:val="16"/>
                <w:color w:val="auto"/>
              </w:rPr>
              <w:t>Networked Solutions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121,750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right="199"/>
              <w:spacing w:after="0"/>
              <w:rPr>
                <w:sz w:val="20"/>
                <w:szCs w:val="20"/>
                <w:color w:val="auto"/>
              </w:rPr>
            </w:pPr>
            <w:r>
              <w:rPr>
                <w:rFonts w:ascii="Arial" w:cs="Arial" w:eastAsia="Arial" w:hAnsi="Arial"/>
                <w:sz w:val="16"/>
                <w:szCs w:val="16"/>
                <w:color w:val="auto"/>
                <w:w w:val="92"/>
              </w:rPr>
              <w:t>35.7%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127,068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right="199"/>
              <w:spacing w:after="0"/>
              <w:rPr>
                <w:sz w:val="20"/>
                <w:szCs w:val="20"/>
                <w:color w:val="auto"/>
              </w:rPr>
            </w:pPr>
            <w:r>
              <w:rPr>
                <w:rFonts w:ascii="Arial" w:cs="Arial" w:eastAsia="Arial" w:hAnsi="Arial"/>
                <w:sz w:val="16"/>
                <w:szCs w:val="16"/>
                <w:color w:val="auto"/>
                <w:w w:val="92"/>
              </w:rPr>
              <w:t>37.8%</w:t>
            </w:r>
          </w:p>
        </w:tc>
      </w:tr>
      <w:tr>
        <w:trPr>
          <w:trHeight w:val="33"/>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Outcomes</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17,449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center"/>
              <w:ind w:right="199"/>
              <w:spacing w:after="0"/>
              <w:rPr>
                <w:sz w:val="20"/>
                <w:szCs w:val="20"/>
                <w:color w:val="auto"/>
              </w:rPr>
            </w:pPr>
            <w:r>
              <w:rPr>
                <w:rFonts w:ascii="Arial" w:cs="Arial" w:eastAsia="Arial" w:hAnsi="Arial"/>
                <w:sz w:val="16"/>
                <w:szCs w:val="16"/>
                <w:color w:val="auto"/>
                <w:w w:val="92"/>
              </w:rPr>
              <w:t>31.6%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20,279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center"/>
              <w:ind w:right="199"/>
              <w:spacing w:after="0"/>
              <w:rPr>
                <w:sz w:val="20"/>
                <w:szCs w:val="20"/>
                <w:color w:val="auto"/>
              </w:rPr>
            </w:pPr>
            <w:r>
              <w:rPr>
                <w:rFonts w:ascii="Arial" w:cs="Arial" w:eastAsia="Arial" w:hAnsi="Arial"/>
                <w:sz w:val="16"/>
                <w:szCs w:val="16"/>
                <w:color w:val="auto"/>
                <w:w w:val="92"/>
              </w:rPr>
              <w:t>36.0%</w:t>
            </w:r>
          </w:p>
        </w:tc>
      </w:tr>
      <w:tr>
        <w:trPr>
          <w:trHeight w:val="250"/>
        </w:trPr>
        <w:tc>
          <w:tcPr>
            <w:tcW w:w="4800" w:type="dxa"/>
            <w:vAlign w:val="bottom"/>
          </w:tcPr>
          <w:p>
            <w:pPr>
              <w:ind w:left="300"/>
              <w:spacing w:after="0"/>
              <w:rPr>
                <w:sz w:val="20"/>
                <w:szCs w:val="20"/>
                <w:color w:val="auto"/>
              </w:rPr>
            </w:pPr>
            <w:r>
              <w:rPr>
                <w:rFonts w:ascii="Arial" w:cs="Arial" w:eastAsia="Arial" w:hAnsi="Arial"/>
                <w:sz w:val="16"/>
                <w:szCs w:val="16"/>
                <w:color w:val="auto"/>
              </w:rPr>
              <w:t>Total gross profit and margin</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171,566</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center"/>
              <w:ind w:right="199"/>
              <w:spacing w:after="0"/>
              <w:rPr>
                <w:sz w:val="20"/>
                <w:szCs w:val="20"/>
                <w:color w:val="auto"/>
              </w:rPr>
            </w:pPr>
            <w:r>
              <w:rPr>
                <w:rFonts w:ascii="Arial" w:cs="Arial" w:eastAsia="Arial" w:hAnsi="Arial"/>
                <w:sz w:val="16"/>
                <w:szCs w:val="16"/>
                <w:color w:val="auto"/>
                <w:w w:val="92"/>
              </w:rPr>
              <w:t>28.7%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187,263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center"/>
              <w:ind w:right="199"/>
              <w:spacing w:after="0"/>
              <w:rPr>
                <w:sz w:val="20"/>
                <w:szCs w:val="20"/>
                <w:color w:val="auto"/>
              </w:rPr>
            </w:pPr>
            <w:r>
              <w:rPr>
                <w:rFonts w:ascii="Arial" w:cs="Arial" w:eastAsia="Arial" w:hAnsi="Arial"/>
                <w:sz w:val="16"/>
                <w:szCs w:val="16"/>
                <w:color w:val="auto"/>
                <w:w w:val="92"/>
              </w:rPr>
              <w:t>30.5%</w:t>
            </w:r>
          </w:p>
        </w:tc>
      </w:tr>
      <w:tr>
        <w:trPr>
          <w:trHeight w:val="20"/>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06"/>
        </w:trPr>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gridSpan w:val="6"/>
          </w:tcPr>
          <w:p>
            <w:pPr>
              <w:ind w:left="26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
        </w:trPr>
        <w:tc>
          <w:tcPr>
            <w:tcW w:w="4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gridSpan w:val="3"/>
          </w:tcPr>
          <w:p>
            <w:pPr>
              <w:spacing w:after="0"/>
              <w:rPr>
                <w:sz w:val="2"/>
                <w:szCs w:val="2"/>
                <w:color w:val="auto"/>
              </w:rPr>
            </w:pPr>
          </w:p>
        </w:tc>
        <w:tc>
          <w:tcPr>
            <w:tcW w:w="126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ind w:right="17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center"/>
              <w:ind w:right="560"/>
              <w:spacing w:after="0"/>
              <w:rPr>
                <w:sz w:val="20"/>
                <w:szCs w:val="20"/>
                <w:color w:val="auto"/>
              </w:rPr>
            </w:pPr>
            <w:r>
              <w:rPr>
                <w:rFonts w:ascii="Arial" w:cs="Arial" w:eastAsia="Arial" w:hAnsi="Arial"/>
                <w:sz w:val="16"/>
                <w:szCs w:val="16"/>
                <w:b w:val="1"/>
                <w:bCs w:val="1"/>
                <w:color w:val="auto"/>
                <w:w w:val="95"/>
              </w:rPr>
              <w:t>% Change</w:t>
            </w:r>
          </w:p>
        </w:tc>
        <w:tc>
          <w:tcPr>
            <w:tcW w:w="1260" w:type="dxa"/>
            <w:vAlign w:val="bottom"/>
          </w:tcPr>
          <w:p>
            <w:pPr>
              <w:spacing w:after="0"/>
              <w:rPr>
                <w:sz w:val="18"/>
                <w:szCs w:val="18"/>
                <w:color w:val="auto"/>
              </w:rPr>
            </w:pPr>
          </w:p>
        </w:tc>
      </w:tr>
      <w:tr>
        <w:trPr>
          <w:trHeight w:val="33"/>
        </w:trPr>
        <w:tc>
          <w:tcPr>
            <w:tcW w:w="4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Segment Operating Expenses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Device Solutions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14,169</w:t>
            </w:r>
          </w:p>
        </w:tc>
        <w:tc>
          <w:tcPr>
            <w:tcW w:w="48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14,459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3"/>
        </w:trPr>
        <w:tc>
          <w:tcPr>
            <w:tcW w:w="4800" w:type="dxa"/>
            <w:vAlign w:val="bottom"/>
          </w:tcPr>
          <w:p>
            <w:pPr>
              <w:ind w:left="120"/>
              <w:spacing w:after="0"/>
              <w:rPr>
                <w:sz w:val="20"/>
                <w:szCs w:val="20"/>
                <w:color w:val="auto"/>
              </w:rPr>
            </w:pPr>
            <w:r>
              <w:rPr>
                <w:rFonts w:ascii="Arial" w:cs="Arial" w:eastAsia="Arial" w:hAnsi="Arial"/>
                <w:sz w:val="16"/>
                <w:szCs w:val="16"/>
                <w:color w:val="auto"/>
              </w:rPr>
              <w:t>Networked Solutions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33,070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31,746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color w:val="auto"/>
                <w:w w:val="94"/>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Outcomes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9,869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4"/>
        </w:trPr>
        <w:tc>
          <w:tcPr>
            <w:tcW w:w="4800" w:type="dxa"/>
            <w:vAlign w:val="bottom"/>
          </w:tcPr>
          <w:p>
            <w:pPr>
              <w:ind w:left="120"/>
              <w:spacing w:after="0"/>
              <w:rPr>
                <w:sz w:val="20"/>
                <w:szCs w:val="20"/>
                <w:color w:val="auto"/>
              </w:rPr>
            </w:pPr>
            <w:r>
              <w:rPr>
                <w:rFonts w:ascii="Arial" w:cs="Arial" w:eastAsia="Arial" w:hAnsi="Arial"/>
                <w:sz w:val="16"/>
                <w:szCs w:val="16"/>
                <w:color w:val="auto"/>
              </w:rPr>
              <w:t>Corporate unallocated</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88,706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110,366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color w:val="auto"/>
                <w:w w:val="98"/>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7"/>
        </w:trPr>
        <w:tc>
          <w:tcPr>
            <w:tcW w:w="4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145,196</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166,440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98"/>
              </w:rPr>
              <w:t>(13)%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90"/>
        </w:trPr>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60" w:type="dxa"/>
            <w:vAlign w:val="bottom"/>
            <w:gridSpan w:val="6"/>
          </w:tcPr>
          <w:p>
            <w:pPr>
              <w:jc w:val="right"/>
              <w:ind w:right="840"/>
              <w:spacing w:after="0"/>
              <w:rPr>
                <w:sz w:val="20"/>
                <w:szCs w:val="20"/>
                <w:color w:val="auto"/>
              </w:rPr>
            </w:pPr>
            <w:r>
              <w:rPr>
                <w:rFonts w:ascii="Arial" w:cs="Arial" w:eastAsia="Arial" w:hAnsi="Arial"/>
                <w:sz w:val="16"/>
                <w:szCs w:val="16"/>
                <w:b w:val="1"/>
                <w:bCs w:val="1"/>
                <w:color w:val="auto"/>
              </w:rPr>
              <w:t>Three Months Ended March 31,</w:t>
            </w:r>
          </w:p>
        </w:tc>
        <w:tc>
          <w:tcPr>
            <w:tcW w:w="1260" w:type="dxa"/>
            <w:vAlign w:val="bottom"/>
          </w:tcPr>
          <w:p>
            <w:pPr>
              <w:spacing w:after="0"/>
              <w:rPr>
                <w:sz w:val="24"/>
                <w:szCs w:val="24"/>
                <w:color w:val="auto"/>
              </w:rPr>
            </w:pPr>
          </w:p>
        </w:tc>
      </w:tr>
      <w:tr>
        <w:trPr>
          <w:trHeight w:val="33"/>
        </w:trPr>
        <w:tc>
          <w:tcPr>
            <w:tcW w:w="4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w w:val="84"/>
              </w:rPr>
              <w:t>2020</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2019</w:t>
            </w:r>
          </w:p>
        </w:tc>
        <w:tc>
          <w:tcPr>
            <w:tcW w:w="1260" w:type="dxa"/>
            <w:vAlign w:val="bottom"/>
          </w:tcPr>
          <w:p>
            <w:pPr>
              <w:spacing w:after="0"/>
              <w:rPr>
                <w:sz w:val="18"/>
                <w:szCs w:val="18"/>
                <w:color w:val="auto"/>
              </w:rPr>
            </w:pPr>
          </w:p>
        </w:tc>
      </w:tr>
      <w:tr>
        <w:trPr>
          <w:trHeight w:val="33"/>
        </w:trPr>
        <w:tc>
          <w:tcPr>
            <w:tcW w:w="4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3"/>
        </w:trPr>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b w:val="1"/>
                <w:bCs w:val="1"/>
                <w:i w:val="1"/>
                <w:iCs w:val="1"/>
                <w:color w:val="auto"/>
                <w:w w:val="89"/>
              </w:rPr>
              <w:t>Operating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i w:val="1"/>
                <w:iCs w:val="1"/>
                <w:color w:val="auto"/>
                <w:w w:val="89"/>
              </w:rPr>
              <w:t>Operating</w:t>
            </w:r>
          </w:p>
        </w:tc>
        <w:tc>
          <w:tcPr>
            <w:tcW w:w="200" w:type="dxa"/>
            <w:vAlign w:val="bottom"/>
          </w:tcPr>
          <w:p>
            <w:pPr>
              <w:spacing w:after="0"/>
              <w:rPr>
                <w:sz w:val="18"/>
                <w:szCs w:val="18"/>
                <w:color w:val="auto"/>
              </w:rPr>
            </w:pPr>
          </w:p>
        </w:tc>
        <w:tc>
          <w:tcPr>
            <w:tcW w:w="1700" w:type="dxa"/>
            <w:vAlign w:val="bottom"/>
            <w:gridSpan w:val="3"/>
          </w:tcPr>
          <w:p>
            <w:pPr>
              <w:jc w:val="center"/>
              <w:ind w:right="560"/>
              <w:spacing w:after="0"/>
              <w:rPr>
                <w:sz w:val="20"/>
                <w:szCs w:val="20"/>
                <w:color w:val="auto"/>
              </w:rPr>
            </w:pPr>
            <w:r>
              <w:rPr>
                <w:rFonts w:ascii="Arial" w:cs="Arial" w:eastAsia="Arial" w:hAnsi="Arial"/>
                <w:sz w:val="16"/>
                <w:szCs w:val="16"/>
                <w:b w:val="1"/>
                <w:bCs w:val="1"/>
                <w:i w:val="1"/>
                <w:iCs w:val="1"/>
                <w:color w:val="auto"/>
                <w:w w:val="87"/>
              </w:rPr>
              <w:t>Operating</w:t>
            </w:r>
          </w:p>
        </w:tc>
        <w:tc>
          <w:tcPr>
            <w:tcW w:w="1260" w:type="dxa"/>
            <w:vAlign w:val="bottom"/>
          </w:tcPr>
          <w:p>
            <w:pPr>
              <w:jc w:val="center"/>
              <w:ind w:right="179"/>
              <w:spacing w:after="0"/>
              <w:rPr>
                <w:sz w:val="20"/>
                <w:szCs w:val="20"/>
                <w:color w:val="auto"/>
              </w:rPr>
            </w:pPr>
            <w:r>
              <w:rPr>
                <w:rFonts w:ascii="Arial" w:cs="Arial" w:eastAsia="Arial" w:hAnsi="Arial"/>
                <w:sz w:val="16"/>
                <w:szCs w:val="16"/>
                <w:b w:val="1"/>
                <w:bCs w:val="1"/>
                <w:i w:val="1"/>
                <w:iCs w:val="1"/>
                <w:color w:val="auto"/>
                <w:w w:val="89"/>
              </w:rPr>
              <w:t>Operating</w:t>
            </w:r>
          </w:p>
        </w:tc>
      </w:tr>
      <w:tr>
        <w:trPr>
          <w:trHeight w:val="206"/>
        </w:trPr>
        <w:tc>
          <w:tcPr>
            <w:tcW w:w="48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7"/>
                <w:szCs w:val="17"/>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b w:val="1"/>
                <w:bCs w:val="1"/>
                <w:i w:val="1"/>
                <w:iCs w:val="1"/>
                <w:color w:val="auto"/>
                <w:w w:val="88"/>
              </w:rPr>
              <w:t>Income (Loss)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i w:val="1"/>
                <w:iCs w:val="1"/>
                <w:color w:val="auto"/>
                <w:w w:val="95"/>
              </w:rPr>
              <w:t>Margin</w:t>
            </w:r>
          </w:p>
        </w:tc>
        <w:tc>
          <w:tcPr>
            <w:tcW w:w="200" w:type="dxa"/>
            <w:vAlign w:val="bottom"/>
          </w:tcPr>
          <w:p>
            <w:pPr>
              <w:spacing w:after="0"/>
              <w:rPr>
                <w:sz w:val="17"/>
                <w:szCs w:val="17"/>
                <w:color w:val="auto"/>
              </w:rPr>
            </w:pPr>
          </w:p>
        </w:tc>
        <w:tc>
          <w:tcPr>
            <w:tcW w:w="1700" w:type="dxa"/>
            <w:vAlign w:val="bottom"/>
            <w:gridSpan w:val="3"/>
          </w:tcPr>
          <w:p>
            <w:pPr>
              <w:jc w:val="center"/>
              <w:ind w:right="560"/>
              <w:spacing w:after="0"/>
              <w:rPr>
                <w:sz w:val="20"/>
                <w:szCs w:val="20"/>
                <w:color w:val="auto"/>
              </w:rPr>
            </w:pPr>
            <w:r>
              <w:rPr>
                <w:rFonts w:ascii="Arial" w:cs="Arial" w:eastAsia="Arial" w:hAnsi="Arial"/>
                <w:sz w:val="16"/>
                <w:szCs w:val="16"/>
                <w:b w:val="1"/>
                <w:bCs w:val="1"/>
                <w:i w:val="1"/>
                <w:iCs w:val="1"/>
                <w:color w:val="auto"/>
                <w:w w:val="86"/>
              </w:rPr>
              <w:t>Income (Loss)</w:t>
            </w:r>
          </w:p>
        </w:tc>
        <w:tc>
          <w:tcPr>
            <w:tcW w:w="1260" w:type="dxa"/>
            <w:vAlign w:val="bottom"/>
          </w:tcPr>
          <w:p>
            <w:pPr>
              <w:jc w:val="center"/>
              <w:ind w:right="199"/>
              <w:spacing w:after="0"/>
              <w:rPr>
                <w:sz w:val="20"/>
                <w:szCs w:val="20"/>
                <w:color w:val="auto"/>
              </w:rPr>
            </w:pPr>
            <w:r>
              <w:rPr>
                <w:rFonts w:ascii="Arial" w:cs="Arial" w:eastAsia="Arial" w:hAnsi="Arial"/>
                <w:sz w:val="16"/>
                <w:szCs w:val="16"/>
                <w:b w:val="1"/>
                <w:bCs w:val="1"/>
                <w:i w:val="1"/>
                <w:iCs w:val="1"/>
                <w:color w:val="auto"/>
                <w:w w:val="95"/>
              </w:rPr>
              <w:t>Margin</w:t>
            </w:r>
          </w:p>
        </w:tc>
      </w:tr>
      <w:tr>
        <w:trPr>
          <w:trHeight w:val="33"/>
        </w:trPr>
        <w:tc>
          <w:tcPr>
            <w:tcW w:w="4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48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Segment Operating Income (Loss) and Operating Margin</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Device Solutions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18,198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center"/>
              <w:ind w:right="199"/>
              <w:spacing w:after="0"/>
              <w:rPr>
                <w:sz w:val="20"/>
                <w:szCs w:val="20"/>
                <w:color w:val="auto"/>
              </w:rPr>
            </w:pPr>
            <w:r>
              <w:rPr>
                <w:rFonts w:ascii="Arial" w:cs="Arial" w:eastAsia="Arial" w:hAnsi="Arial"/>
                <w:sz w:val="16"/>
                <w:szCs w:val="16"/>
                <w:color w:val="auto"/>
                <w:w w:val="93"/>
              </w:rPr>
              <w:t>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25,457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center"/>
              <w:ind w:right="179"/>
              <w:spacing w:after="0"/>
              <w:rPr>
                <w:sz w:val="20"/>
                <w:szCs w:val="20"/>
                <w:color w:val="auto"/>
              </w:rPr>
            </w:pPr>
            <w:r>
              <w:rPr>
                <w:rFonts w:ascii="Arial" w:cs="Arial" w:eastAsia="Arial" w:hAnsi="Arial"/>
                <w:sz w:val="16"/>
                <w:szCs w:val="16"/>
                <w:color w:val="auto"/>
                <w:w w:val="88"/>
              </w:rPr>
              <w:t>11.5%</w:t>
            </w:r>
          </w:p>
        </w:tc>
      </w:tr>
      <w:tr>
        <w:trPr>
          <w:trHeight w:val="223"/>
        </w:trPr>
        <w:tc>
          <w:tcPr>
            <w:tcW w:w="4800" w:type="dxa"/>
            <w:vAlign w:val="bottom"/>
          </w:tcPr>
          <w:p>
            <w:pPr>
              <w:ind w:left="120"/>
              <w:spacing w:after="0"/>
              <w:rPr>
                <w:sz w:val="20"/>
                <w:szCs w:val="20"/>
                <w:color w:val="auto"/>
              </w:rPr>
            </w:pPr>
            <w:r>
              <w:rPr>
                <w:rFonts w:ascii="Arial" w:cs="Arial" w:eastAsia="Arial" w:hAnsi="Arial"/>
                <w:sz w:val="16"/>
                <w:szCs w:val="16"/>
                <w:color w:val="auto"/>
              </w:rPr>
              <w:t>Networked Solutions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88,680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right="199"/>
              <w:spacing w:after="0"/>
              <w:rPr>
                <w:sz w:val="20"/>
                <w:szCs w:val="20"/>
                <w:color w:val="auto"/>
              </w:rPr>
            </w:pPr>
            <w:r>
              <w:rPr>
                <w:rFonts w:ascii="Arial" w:cs="Arial" w:eastAsia="Arial" w:hAnsi="Arial"/>
                <w:sz w:val="16"/>
                <w:szCs w:val="16"/>
                <w:color w:val="auto"/>
                <w:w w:val="92"/>
              </w:rPr>
              <w:t>26.0%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95,322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right="199"/>
              <w:spacing w:after="0"/>
              <w:rPr>
                <w:sz w:val="20"/>
                <w:szCs w:val="20"/>
                <w:color w:val="auto"/>
              </w:rPr>
            </w:pPr>
            <w:r>
              <w:rPr>
                <w:rFonts w:ascii="Arial" w:cs="Arial" w:eastAsia="Arial" w:hAnsi="Arial"/>
                <w:sz w:val="16"/>
                <w:szCs w:val="16"/>
                <w:color w:val="auto"/>
                <w:w w:val="92"/>
              </w:rPr>
              <w:t>28.3%</w:t>
            </w:r>
          </w:p>
        </w:tc>
      </w:tr>
      <w:tr>
        <w:trPr>
          <w:trHeight w:val="33"/>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Outcomes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8,198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center"/>
              <w:ind w:right="199"/>
              <w:spacing w:after="0"/>
              <w:rPr>
                <w:sz w:val="20"/>
                <w:szCs w:val="20"/>
                <w:color w:val="auto"/>
              </w:rPr>
            </w:pPr>
            <w:r>
              <w:rPr>
                <w:rFonts w:ascii="Arial" w:cs="Arial" w:eastAsia="Arial" w:hAnsi="Arial"/>
                <w:sz w:val="16"/>
                <w:szCs w:val="16"/>
                <w:color w:val="auto"/>
                <w:w w:val="92"/>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center"/>
              <w:ind w:right="199"/>
              <w:spacing w:after="0"/>
              <w:rPr>
                <w:sz w:val="20"/>
                <w:szCs w:val="20"/>
                <w:color w:val="auto"/>
              </w:rPr>
            </w:pPr>
            <w:r>
              <w:rPr>
                <w:rFonts w:ascii="Arial" w:cs="Arial" w:eastAsia="Arial" w:hAnsi="Arial"/>
                <w:sz w:val="16"/>
                <w:szCs w:val="16"/>
                <w:color w:val="auto"/>
                <w:w w:val="92"/>
              </w:rPr>
              <w:t>18.5%</w:t>
            </w:r>
          </w:p>
        </w:tc>
      </w:tr>
      <w:tr>
        <w:trPr>
          <w:trHeight w:val="223"/>
        </w:trPr>
        <w:tc>
          <w:tcPr>
            <w:tcW w:w="4800" w:type="dxa"/>
            <w:vAlign w:val="bottom"/>
          </w:tcPr>
          <w:p>
            <w:pPr>
              <w:ind w:left="120"/>
              <w:spacing w:after="0"/>
              <w:rPr>
                <w:sz w:val="20"/>
                <w:szCs w:val="20"/>
                <w:color w:val="auto"/>
              </w:rPr>
            </w:pPr>
            <w:r>
              <w:rPr>
                <w:rFonts w:ascii="Arial" w:cs="Arial" w:eastAsia="Arial" w:hAnsi="Arial"/>
                <w:sz w:val="16"/>
                <w:szCs w:val="16"/>
                <w:color w:val="auto"/>
              </w:rPr>
              <w:t>Corporate unallocated</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(88,706)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right="179"/>
              <w:spacing w:after="0"/>
              <w:rPr>
                <w:sz w:val="20"/>
                <w:szCs w:val="20"/>
                <w:color w:val="auto"/>
              </w:rPr>
            </w:pPr>
            <w:r>
              <w:rPr>
                <w:rFonts w:ascii="Arial" w:cs="Arial" w:eastAsia="Arial" w:hAnsi="Arial"/>
                <w:sz w:val="16"/>
                <w:szCs w:val="16"/>
                <w:color w:val="auto"/>
                <w:w w:val="92"/>
              </w:rPr>
              <w:t>(14.8)%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(110,366)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right="179"/>
              <w:spacing w:after="0"/>
              <w:rPr>
                <w:sz w:val="20"/>
                <w:szCs w:val="20"/>
                <w:color w:val="auto"/>
              </w:rPr>
            </w:pPr>
            <w:r>
              <w:rPr>
                <w:rFonts w:ascii="Arial" w:cs="Arial" w:eastAsia="Arial" w:hAnsi="Arial"/>
                <w:sz w:val="16"/>
                <w:szCs w:val="16"/>
                <w:color w:val="auto"/>
                <w:w w:val="92"/>
              </w:rPr>
              <w:t>(18.0)%</w:t>
            </w:r>
          </w:p>
        </w:tc>
      </w:tr>
      <w:tr>
        <w:trPr>
          <w:trHeight w:val="33"/>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75"/>
        </w:trPr>
        <w:tc>
          <w:tcPr>
            <w:tcW w:w="4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operating income and operating margin</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26,370</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center"/>
              <w:ind w:right="199"/>
              <w:spacing w:after="0"/>
              <w:rPr>
                <w:sz w:val="20"/>
                <w:szCs w:val="20"/>
                <w:color w:val="auto"/>
              </w:rPr>
            </w:pPr>
            <w:r>
              <w:rPr>
                <w:rFonts w:ascii="Arial" w:cs="Arial" w:eastAsia="Arial" w:hAnsi="Arial"/>
                <w:sz w:val="16"/>
                <w:szCs w:val="16"/>
                <w:color w:val="auto"/>
                <w:w w:val="93"/>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20,823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center"/>
              <w:ind w:right="199"/>
              <w:spacing w:after="0"/>
              <w:rPr>
                <w:sz w:val="20"/>
                <w:szCs w:val="20"/>
                <w:color w:val="auto"/>
              </w:rPr>
            </w:pPr>
            <w:r>
              <w:rPr>
                <w:rFonts w:ascii="Arial" w:cs="Arial" w:eastAsia="Arial" w:hAnsi="Arial"/>
                <w:sz w:val="16"/>
                <w:szCs w:val="16"/>
                <w:color w:val="auto"/>
                <w:w w:val="93"/>
              </w:rPr>
              <w:t>3.4%</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Device Solutions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Device Solutions segment financial results were as follows:</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40" w:type="dxa"/>
            <w:vAlign w:val="bottom"/>
            <w:gridSpan w:val="4"/>
            <w:vMerge w:val="restart"/>
          </w:tcPr>
          <w:p>
            <w:pPr>
              <w:jc w:val="right"/>
              <w:ind w:right="49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7"/>
                <w:szCs w:val="17"/>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200"/>
              <w:spacing w:after="0" w:line="176" w:lineRule="exact"/>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vMerge w:val="restart"/>
          </w:tcPr>
          <w:p>
            <w:pPr>
              <w:jc w:val="center"/>
              <w:ind w:right="100"/>
              <w:spacing w:after="0" w:line="176" w:lineRule="exact"/>
              <w:rPr>
                <w:sz w:val="20"/>
                <w:szCs w:val="20"/>
                <w:color w:val="auto"/>
              </w:rPr>
            </w:pPr>
            <w:r>
              <w:rPr>
                <w:rFonts w:ascii="Arial" w:cs="Arial" w:eastAsia="Arial" w:hAnsi="Arial"/>
                <w:sz w:val="16"/>
                <w:szCs w:val="16"/>
                <w:b w:val="1"/>
                <w:bCs w:val="1"/>
                <w:color w:val="auto"/>
                <w:w w:val="91"/>
              </w:rPr>
              <w:t>Constant Currency</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18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Device Solutions Segment</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Revenues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202,279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221,755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(7,633)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(19,476)</w:t>
            </w:r>
          </w:p>
        </w:tc>
        <w:tc>
          <w:tcPr>
            <w:tcW w:w="0" w:type="dxa"/>
            <w:vAlign w:val="bottom"/>
          </w:tcPr>
          <w:p>
            <w:pPr>
              <w:spacing w:after="0"/>
              <w:rPr>
                <w:sz w:val="1"/>
                <w:szCs w:val="1"/>
                <w:color w:val="auto"/>
              </w:rPr>
            </w:pPr>
          </w:p>
        </w:tc>
      </w:tr>
      <w:tr>
        <w:trPr>
          <w:trHeight w:val="224"/>
        </w:trPr>
        <w:tc>
          <w:tcPr>
            <w:tcW w:w="2980" w:type="dxa"/>
            <w:vAlign w:val="bottom"/>
          </w:tcPr>
          <w:p>
            <w:pPr>
              <w:ind w:left="100"/>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32,367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39,916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(1,505)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(7,549)</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14,169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14,459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33"/>
        </w:trPr>
        <w:tc>
          <w:tcPr>
            <w:tcW w:w="2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March 31, 2020 vs. Three months ended March 31,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Revenues decreased $19.5 million, or 9%. Changes in foreign currency exchange rates unfavorably impacted revenues by</w:t>
      </w:r>
    </w:p>
    <w:p>
      <w:pPr>
        <w:spacing w:after="0" w:line="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$7.6 million, and we were also impacted by COVID-19 related delays. The decrease in revenue was due to lower EMEA water and gas shipments of $12.9 million. These decreases were partially offset by higher shipments for electricity devices of $1.8 million.</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March 31, 2020 vs. Three months ended March 31, 2019</w:t>
      </w:r>
    </w:p>
    <w:p>
      <w:pPr>
        <w:spacing w:after="0" w:line="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three months ended March 31, 2020, gross margin was 16.0%, compared with 18.0% for the three months in 2019. During 2020, the 200 basis point reduction over the prior year was primarily due to $6.9 million from unfavorable product mix and manufacturing inefficiencies, partially offset by lower warranty expense of $0.7 million.</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March 31, 2020 vs. Three months ended March 31, 2019</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Operating expenses decreased $0.3 million, or 2%, for the three months ended March 31, 2020, compared with the same period in 2019. The decrease was primarily a result of lower research and development expense.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Networked Solutions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Networked Solutions segment financial results were as follows:</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40" w:type="dxa"/>
            <w:vAlign w:val="bottom"/>
            <w:gridSpan w:val="4"/>
            <w:vMerge w:val="restart"/>
          </w:tcPr>
          <w:p>
            <w:pPr>
              <w:jc w:val="right"/>
              <w:ind w:right="49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7"/>
                <w:szCs w:val="17"/>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200"/>
              <w:spacing w:after="0" w:line="176" w:lineRule="exact"/>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vMerge w:val="restart"/>
          </w:tcPr>
          <w:p>
            <w:pPr>
              <w:jc w:val="center"/>
              <w:ind w:right="100"/>
              <w:spacing w:after="0" w:line="176" w:lineRule="exact"/>
              <w:rPr>
                <w:sz w:val="20"/>
                <w:szCs w:val="20"/>
                <w:color w:val="auto"/>
              </w:rPr>
            </w:pPr>
            <w:r>
              <w:rPr>
                <w:rFonts w:ascii="Arial" w:cs="Arial" w:eastAsia="Arial" w:hAnsi="Arial"/>
                <w:sz w:val="16"/>
                <w:szCs w:val="16"/>
                <w:b w:val="1"/>
                <w:bCs w:val="1"/>
                <w:color w:val="auto"/>
                <w:w w:val="91"/>
              </w:rPr>
              <w:t>Constant Currency</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180" w:type="dxa"/>
            <w:vAlign w:val="bottom"/>
          </w:tcPr>
          <w:p>
            <w:pPr>
              <w:spacing w:after="0"/>
              <w:rPr>
                <w:sz w:val="18"/>
                <w:szCs w:val="18"/>
                <w:color w:val="auto"/>
              </w:rPr>
            </w:pPr>
          </w:p>
        </w:tc>
        <w:tc>
          <w:tcPr>
            <w:tcW w:w="1320" w:type="dxa"/>
            <w:vAlign w:val="bottom"/>
          </w:tcPr>
          <w:p>
            <w:pPr>
              <w:ind w:left="100"/>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Networked Solutions Segment</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Revenues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340,845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336,427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center"/>
              <w:ind w:left="479"/>
              <w:spacing w:after="0"/>
              <w:rPr>
                <w:sz w:val="20"/>
                <w:szCs w:val="20"/>
                <w:color w:val="auto"/>
              </w:rPr>
            </w:pPr>
            <w:r>
              <w:rPr>
                <w:rFonts w:ascii="Arial" w:cs="Arial" w:eastAsia="Arial" w:hAnsi="Arial"/>
                <w:sz w:val="16"/>
                <w:szCs w:val="16"/>
                <w:color w:val="auto"/>
                <w:w w:val="89"/>
              </w:rPr>
              <w:t>4,807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center"/>
              <w:ind w:left="559"/>
              <w:spacing w:after="0"/>
              <w:rPr>
                <w:sz w:val="20"/>
                <w:szCs w:val="20"/>
                <w:color w:val="auto"/>
              </w:rPr>
            </w:pPr>
            <w:r>
              <w:rPr>
                <w:rFonts w:ascii="Arial" w:cs="Arial" w:eastAsia="Arial" w:hAnsi="Arial"/>
                <w:sz w:val="16"/>
                <w:szCs w:val="16"/>
                <w:color w:val="auto"/>
                <w:w w:val="89"/>
              </w:rPr>
              <w:t>4,418</w:t>
            </w:r>
          </w:p>
        </w:tc>
        <w:tc>
          <w:tcPr>
            <w:tcW w:w="0" w:type="dxa"/>
            <w:vAlign w:val="bottom"/>
          </w:tcPr>
          <w:p>
            <w:pPr>
              <w:spacing w:after="0"/>
              <w:rPr>
                <w:sz w:val="1"/>
                <w:szCs w:val="1"/>
                <w:color w:val="auto"/>
              </w:rPr>
            </w:pPr>
          </w:p>
        </w:tc>
      </w:tr>
      <w:tr>
        <w:trPr>
          <w:trHeight w:val="223"/>
        </w:trPr>
        <w:tc>
          <w:tcPr>
            <w:tcW w:w="2980" w:type="dxa"/>
            <w:vAlign w:val="bottom"/>
          </w:tcPr>
          <w:p>
            <w:pPr>
              <w:ind w:left="100"/>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121,750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127,068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center"/>
              <w:ind w:left="439"/>
              <w:spacing w:after="0"/>
              <w:rPr>
                <w:sz w:val="20"/>
                <w:szCs w:val="20"/>
                <w:color w:val="auto"/>
              </w:rPr>
            </w:pPr>
            <w:r>
              <w:rPr>
                <w:rFonts w:ascii="Arial" w:cs="Arial" w:eastAsia="Arial" w:hAnsi="Arial"/>
                <w:sz w:val="16"/>
                <w:szCs w:val="16"/>
                <w:color w:val="auto"/>
                <w:w w:val="94"/>
              </w:rPr>
              <w:t>(5,161)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left="539"/>
              <w:spacing w:after="0"/>
              <w:rPr>
                <w:sz w:val="20"/>
                <w:szCs w:val="20"/>
                <w:color w:val="auto"/>
              </w:rPr>
            </w:pPr>
            <w:r>
              <w:rPr>
                <w:rFonts w:ascii="Arial" w:cs="Arial" w:eastAsia="Arial" w:hAnsi="Arial"/>
                <w:sz w:val="16"/>
                <w:szCs w:val="16"/>
                <w:color w:val="auto"/>
                <w:w w:val="90"/>
              </w:rPr>
              <w:t>(5,318)</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33,070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31,746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479"/>
              <w:spacing w:after="0"/>
              <w:rPr>
                <w:sz w:val="20"/>
                <w:szCs w:val="20"/>
                <w:color w:val="auto"/>
              </w:rPr>
            </w:pPr>
            <w:r>
              <w:rPr>
                <w:rFonts w:ascii="Arial" w:cs="Arial" w:eastAsia="Arial" w:hAnsi="Arial"/>
                <w:sz w:val="16"/>
                <w:szCs w:val="16"/>
                <w:color w:val="auto"/>
                <w:w w:val="89"/>
              </w:rPr>
              <w:t>1,346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559"/>
              <w:spacing w:after="0"/>
              <w:rPr>
                <w:sz w:val="20"/>
                <w:szCs w:val="20"/>
                <w:color w:val="auto"/>
              </w:rPr>
            </w:pPr>
            <w:r>
              <w:rPr>
                <w:rFonts w:ascii="Arial" w:cs="Arial" w:eastAsia="Arial" w:hAnsi="Arial"/>
                <w:sz w:val="16"/>
                <w:szCs w:val="16"/>
                <w:color w:val="auto"/>
                <w:w w:val="89"/>
              </w:rPr>
              <w:t>1,324</w:t>
            </w:r>
          </w:p>
        </w:tc>
        <w:tc>
          <w:tcPr>
            <w:tcW w:w="0" w:type="dxa"/>
            <w:vAlign w:val="bottom"/>
          </w:tcPr>
          <w:p>
            <w:pPr>
              <w:spacing w:after="0"/>
              <w:rPr>
                <w:sz w:val="1"/>
                <w:szCs w:val="1"/>
                <w:color w:val="auto"/>
              </w:rPr>
            </w:pPr>
          </w:p>
        </w:tc>
      </w:tr>
      <w:tr>
        <w:trPr>
          <w:trHeight w:val="33"/>
        </w:trPr>
        <w:tc>
          <w:tcPr>
            <w:tcW w:w="2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March 31, 2020 vs. Three months ended March 31, 2019</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$4.4 million, or 1%, for the three months ended March 31, 2020 compared with the same period in 2019, despite COVID-19 related delays. The change was primarily driven by continued strength in North America AMI deployments, with higher maintenance service revenue of $3.3 million and product revenue of $1.1 million.</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March 31, 2020 vs. Three months ended March 31, 2019</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Gross margin was 35.7% for the three months ended March 31, 2020, compared with 37.8% for the same period in 2019. The 210 basis point decrease was primarily related to higher deployment cost and unfavorable product mix.</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March 31, 2020 vs. Three months ended March 31, 2019</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Operating expenses increased $1.3 million, or 4%, for the three months ended March 31, 2020, compared with the same period in 2019. The increase was primarily related to higher research and development expenses of $1.8 million, partially offset by a decrease of $0.5 in sales and marketing labor expense.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Outcomes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Outcomes segment financial results were as follows:</w:t>
      </w: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40" w:type="dxa"/>
            <w:vAlign w:val="bottom"/>
            <w:gridSpan w:val="4"/>
            <w:vMerge w:val="restart"/>
          </w:tcPr>
          <w:p>
            <w:pPr>
              <w:jc w:val="right"/>
              <w:ind w:right="49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7"/>
                <w:szCs w:val="17"/>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200"/>
              <w:spacing w:after="0" w:line="176" w:lineRule="exact"/>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vMerge w:val="restart"/>
          </w:tcPr>
          <w:p>
            <w:pPr>
              <w:jc w:val="center"/>
              <w:ind w:right="100"/>
              <w:spacing w:after="0" w:line="176" w:lineRule="exact"/>
              <w:rPr>
                <w:sz w:val="20"/>
                <w:szCs w:val="20"/>
                <w:color w:val="auto"/>
              </w:rPr>
            </w:pPr>
            <w:r>
              <w:rPr>
                <w:rFonts w:ascii="Arial" w:cs="Arial" w:eastAsia="Arial" w:hAnsi="Arial"/>
                <w:sz w:val="16"/>
                <w:szCs w:val="16"/>
                <w:b w:val="1"/>
                <w:bCs w:val="1"/>
                <w:color w:val="auto"/>
                <w:w w:val="91"/>
              </w:rPr>
              <w:t>Constant Currency</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Change</w:t>
            </w:r>
          </w:p>
        </w:tc>
        <w:tc>
          <w:tcPr>
            <w:tcW w:w="180" w:type="dxa"/>
            <w:vAlign w:val="bottom"/>
          </w:tcPr>
          <w:p>
            <w:pPr>
              <w:spacing w:after="0"/>
              <w:rPr>
                <w:sz w:val="18"/>
                <w:szCs w:val="18"/>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Outcomes Segment</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Revenues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55,291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56,394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(1,103)</w:t>
            </w:r>
          </w:p>
        </w:tc>
        <w:tc>
          <w:tcPr>
            <w:tcW w:w="0" w:type="dxa"/>
            <w:vAlign w:val="bottom"/>
          </w:tcPr>
          <w:p>
            <w:pPr>
              <w:spacing w:after="0"/>
              <w:rPr>
                <w:sz w:val="1"/>
                <w:szCs w:val="1"/>
                <w:color w:val="auto"/>
              </w:rPr>
            </w:pPr>
          </w:p>
        </w:tc>
      </w:tr>
      <w:tr>
        <w:trPr>
          <w:trHeight w:val="223"/>
        </w:trPr>
        <w:tc>
          <w:tcPr>
            <w:tcW w:w="2980" w:type="dxa"/>
            <w:vAlign w:val="bottom"/>
          </w:tcPr>
          <w:p>
            <w:pPr>
              <w:ind w:left="100"/>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17,449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20,279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(2,830)</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9,251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9,869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33"/>
        </w:trPr>
        <w:tc>
          <w:tcPr>
            <w:tcW w:w="2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March 31, 2020 vs. Three months ended March 31, 2019</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Revenues decreased $1.1 million, or 2%, for the three months ended March 31, 2020, compared with the same period in 2019. This decline was driven by a decrease in managed services of $1.7 million, partially offset by an increase in maintenance revenue of $1.2 million.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March 31, 2020 vs. Three months ended March 31, 2019</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Gross margin decreased to 31.6% for the three months ended March 31, 2020, compared with 36.0% for the same period last year. The 440 basis point decrease was driven by product mix and infrastructure investments, partially offset by an increase in maintenance.</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March 31, 2020 vs. Three months ended March 31, 2019</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Operating expenses for the three months ended March 31, 2020 decreased $0.6 million, or 6%, compared with the same period last year. This was primarily related to lower product marketing expenses of $0.4 million and lower research and development expenses of $0.2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Three months ended March 31, 2020 vs. Three months ended March 31, 2019</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not directly associated with an operating segment are classified as "Corporate unallocated." These expenses decreased $21.7 million, or 20%, for the three months ended March 31, 2020 compared with the same period in 2019. This was primarily the result of a $10.3 million decrease in acquisition and integration costs and a $7.5 million decrease in restructuring expense.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as well as frame contracts.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 Total bookings and backlog include certain contracts with termination for convenience clause, which will not agree to the total transaction price allocated to the remaining performance obligations disclosed in Item 1: "Financial Statements (Unaudited), Note 16: Revenues".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center"/>
              <w:ind w:left="599"/>
              <w:spacing w:after="0"/>
              <w:rPr>
                <w:sz w:val="20"/>
                <w:szCs w:val="20"/>
                <w:color w:val="auto"/>
              </w:rPr>
            </w:pPr>
            <w:r>
              <w:rPr>
                <w:rFonts w:ascii="Arial" w:cs="Arial" w:eastAsia="Arial" w:hAnsi="Arial"/>
                <w:sz w:val="16"/>
                <w:szCs w:val="16"/>
                <w:b w:val="1"/>
                <w:bCs w:val="1"/>
                <w:color w:val="auto"/>
                <w:w w:val="92"/>
              </w:rPr>
              <w:t>Ending</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ind w:left="539"/>
              <w:spacing w:after="0"/>
              <w:rPr>
                <w:sz w:val="20"/>
                <w:szCs w:val="20"/>
                <w:color w:val="auto"/>
              </w:rPr>
            </w:pPr>
            <w:r>
              <w:rPr>
                <w:rFonts w:ascii="Arial" w:cs="Arial" w:eastAsia="Arial" w:hAnsi="Arial"/>
                <w:sz w:val="16"/>
                <w:szCs w:val="16"/>
                <w:b w:val="1"/>
                <w:bCs w:val="1"/>
                <w:color w:val="auto"/>
                <w:w w:val="95"/>
              </w:rPr>
              <w:t>Ending</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center"/>
              <w:ind w:left="499"/>
              <w:spacing w:after="0"/>
              <w:rPr>
                <w:sz w:val="20"/>
                <w:szCs w:val="20"/>
                <w:color w:val="auto"/>
              </w:rPr>
            </w:pPr>
            <w:r>
              <w:rPr>
                <w:rFonts w:ascii="Arial" w:cs="Arial" w:eastAsia="Arial" w:hAnsi="Arial"/>
                <w:sz w:val="16"/>
                <w:szCs w:val="16"/>
                <w:b w:val="1"/>
                <w:bCs w:val="1"/>
                <w:color w:val="auto"/>
                <w:w w:val="98"/>
              </w:rPr>
              <w:t>Quarterly</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center"/>
              <w:ind w:left="619"/>
              <w:spacing w:after="0"/>
              <w:rPr>
                <w:sz w:val="20"/>
                <w:szCs w:val="20"/>
                <w:color w:val="auto"/>
              </w:rPr>
            </w:pPr>
            <w:r>
              <w:rPr>
                <w:rFonts w:ascii="Arial" w:cs="Arial" w:eastAsia="Arial" w:hAnsi="Arial"/>
                <w:sz w:val="16"/>
                <w:szCs w:val="16"/>
                <w:b w:val="1"/>
                <w:bCs w:val="1"/>
                <w:color w:val="auto"/>
                <w:w w:val="94"/>
              </w:rPr>
              <w:t>Total</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ind w:left="539"/>
              <w:spacing w:after="0"/>
              <w:rPr>
                <w:sz w:val="20"/>
                <w:szCs w:val="20"/>
                <w:color w:val="auto"/>
              </w:rPr>
            </w:pPr>
            <w:r>
              <w:rPr>
                <w:rFonts w:ascii="Arial" w:cs="Arial" w:eastAsia="Arial" w:hAnsi="Arial"/>
                <w:sz w:val="16"/>
                <w:szCs w:val="16"/>
                <w:b w:val="1"/>
                <w:bCs w:val="1"/>
                <w:color w:val="auto"/>
                <w:w w:val="95"/>
              </w:rPr>
              <w:t>12-Month</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4440" w:type="dxa"/>
            <w:vAlign w:val="bottom"/>
            <w:gridSpan w:val="2"/>
          </w:tcPr>
          <w:p>
            <w:pPr>
              <w:ind w:left="20"/>
              <w:spacing w:after="0"/>
              <w:rPr>
                <w:sz w:val="20"/>
                <w:szCs w:val="20"/>
                <w:color w:val="auto"/>
              </w:rPr>
            </w:pPr>
            <w:r>
              <w:rPr>
                <w:rFonts w:ascii="Arial" w:cs="Arial" w:eastAsia="Arial" w:hAnsi="Arial"/>
                <w:sz w:val="16"/>
                <w:szCs w:val="16"/>
                <w:b w:val="1"/>
                <w:bCs w:val="1"/>
                <w:color w:val="auto"/>
              </w:rPr>
              <w:t>Quarter Ended</w:t>
            </w:r>
          </w:p>
        </w:tc>
        <w:tc>
          <w:tcPr>
            <w:tcW w:w="1600" w:type="dxa"/>
            <w:vAlign w:val="bottom"/>
          </w:tcPr>
          <w:p>
            <w:pPr>
              <w:jc w:val="center"/>
              <w:ind w:left="519"/>
              <w:spacing w:after="0"/>
              <w:rPr>
                <w:sz w:val="20"/>
                <w:szCs w:val="20"/>
                <w:color w:val="auto"/>
              </w:rPr>
            </w:pPr>
            <w:r>
              <w:rPr>
                <w:rFonts w:ascii="Arial" w:cs="Arial" w:eastAsia="Arial" w:hAnsi="Arial"/>
                <w:sz w:val="16"/>
                <w:szCs w:val="16"/>
                <w:b w:val="1"/>
                <w:bCs w:val="1"/>
                <w:color w:val="auto"/>
                <w:w w:val="87"/>
              </w:rPr>
              <w:t>Bookings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left="619"/>
              <w:spacing w:after="0"/>
              <w:rPr>
                <w:sz w:val="20"/>
                <w:szCs w:val="20"/>
                <w:color w:val="auto"/>
              </w:rPr>
            </w:pPr>
            <w:r>
              <w:rPr>
                <w:rFonts w:ascii="Arial" w:cs="Arial" w:eastAsia="Arial" w:hAnsi="Arial"/>
                <w:sz w:val="16"/>
                <w:szCs w:val="16"/>
                <w:b w:val="1"/>
                <w:bCs w:val="1"/>
                <w:color w:val="auto"/>
                <w:w w:val="89"/>
              </w:rPr>
              <w:t>Backlog</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left="539"/>
              <w:spacing w:after="0"/>
              <w:rPr>
                <w:sz w:val="20"/>
                <w:szCs w:val="20"/>
                <w:color w:val="auto"/>
              </w:rPr>
            </w:pPr>
            <w:r>
              <w:rPr>
                <w:rFonts w:ascii="Arial" w:cs="Arial" w:eastAsia="Arial" w:hAnsi="Arial"/>
                <w:sz w:val="16"/>
                <w:szCs w:val="16"/>
                <w:b w:val="1"/>
                <w:bCs w:val="1"/>
                <w:color w:val="auto"/>
                <w:w w:val="89"/>
              </w:rPr>
              <w:t>Backlog</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3"/>
        </w:trPr>
        <w:tc>
          <w:tcPr>
            <w:tcW w:w="4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17"/>
        </w:trPr>
        <w:tc>
          <w:tcPr>
            <w:tcW w:w="44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1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3"/>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6"/>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31, 2020</w:t>
            </w:r>
          </w:p>
        </w:tc>
        <w:tc>
          <w:tcPr>
            <w:tcW w:w="1600" w:type="dxa"/>
            <w:vAlign w:val="bottom"/>
            <w:tcBorders>
              <w:bottom w:val="single" w:sz="8" w:color="CCEEFF"/>
            </w:tcBorders>
            <w:shd w:val="clear" w:color="auto" w:fill="CCEEFF"/>
          </w:tcPr>
          <w:p>
            <w:pPr>
              <w:jc w:val="right"/>
              <w:ind w:right="14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6"/>
                <w:szCs w:val="16"/>
                <w:color w:val="auto"/>
              </w:rPr>
              <w:t>418</w:t>
            </w:r>
          </w:p>
        </w:tc>
        <w:tc>
          <w:tcPr>
            <w:tcW w:w="1560" w:type="dxa"/>
            <w:vAlign w:val="bottom"/>
            <w:tcBorders>
              <w:bottom w:val="single" w:sz="8" w:color="CCEEFF"/>
            </w:tcBorders>
            <w:gridSpan w:val="2"/>
            <w:shd w:val="clear" w:color="auto" w:fill="CCEEFF"/>
          </w:tcPr>
          <w:p>
            <w:pPr>
              <w:jc w:val="right"/>
              <w:ind w:right="12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3,020</w:t>
            </w:r>
          </w:p>
        </w:tc>
        <w:tc>
          <w:tcPr>
            <w:tcW w:w="1580" w:type="dxa"/>
            <w:vAlign w:val="bottom"/>
            <w:tcBorders>
              <w:bottom w:val="single" w:sz="8" w:color="CCEEFF"/>
            </w:tcBorders>
            <w:gridSpan w:val="2"/>
            <w:shd w:val="clear" w:color="auto" w:fill="CCEEFF"/>
          </w:tcPr>
          <w:p>
            <w:pPr>
              <w:jc w:val="right"/>
              <w:ind w:right="13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1,319</w:t>
            </w:r>
          </w:p>
        </w:tc>
        <w:tc>
          <w:tcPr>
            <w:tcW w:w="60" w:type="dxa"/>
            <w:vAlign w:val="bottom"/>
          </w:tcPr>
          <w:p>
            <w:pPr>
              <w:spacing w:after="0"/>
              <w:rPr>
                <w:sz w:val="20"/>
                <w:szCs w:val="20"/>
                <w:color w:val="auto"/>
              </w:rPr>
            </w:pP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December 31, 2019</w:t>
            </w:r>
          </w:p>
        </w:tc>
        <w:tc>
          <w:tcPr>
            <w:tcW w:w="1600" w:type="dxa"/>
            <w:vAlign w:val="bottom"/>
          </w:tcPr>
          <w:p>
            <w:pPr>
              <w:spacing w:after="0"/>
              <w:rPr>
                <w:sz w:val="21"/>
                <w:szCs w:val="21"/>
                <w:color w:val="auto"/>
              </w:rPr>
            </w:pPr>
          </w:p>
        </w:tc>
        <w:tc>
          <w:tcPr>
            <w:tcW w:w="580" w:type="dxa"/>
            <w:vAlign w:val="bottom"/>
          </w:tcPr>
          <w:p>
            <w:pPr>
              <w:jc w:val="right"/>
              <w:ind w:right="55"/>
              <w:spacing w:after="0"/>
              <w:rPr>
                <w:sz w:val="20"/>
                <w:szCs w:val="20"/>
                <w:color w:val="auto"/>
              </w:rPr>
            </w:pPr>
            <w:r>
              <w:rPr>
                <w:rFonts w:ascii="Arial" w:cs="Arial" w:eastAsia="Arial" w:hAnsi="Arial"/>
                <w:sz w:val="18"/>
                <w:szCs w:val="18"/>
                <w:color w:val="auto"/>
              </w:rPr>
              <w:t>767</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3,207</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1,499</w:t>
            </w:r>
          </w:p>
        </w:tc>
        <w:tc>
          <w:tcPr>
            <w:tcW w:w="6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September 30, 2019</w:t>
            </w:r>
          </w:p>
        </w:tc>
        <w:tc>
          <w:tcPr>
            <w:tcW w:w="16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609</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3,063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1,361</w:t>
            </w:r>
          </w:p>
        </w:tc>
        <w:tc>
          <w:tcPr>
            <w:tcW w:w="60" w:type="dxa"/>
            <w:vAlign w:val="bottom"/>
          </w:tcPr>
          <w:p>
            <w:pPr>
              <w:spacing w:after="0"/>
              <w:rPr>
                <w:sz w:val="21"/>
                <w:szCs w:val="21"/>
                <w:color w:val="auto"/>
              </w:rPr>
            </w:pPr>
          </w:p>
        </w:tc>
      </w:tr>
      <w:tr>
        <w:trPr>
          <w:trHeight w:val="224"/>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June 30, 2019</w:t>
            </w:r>
          </w:p>
        </w:tc>
        <w:tc>
          <w:tcPr>
            <w:tcW w:w="1600" w:type="dxa"/>
            <w:vAlign w:val="bottom"/>
          </w:tcPr>
          <w:p>
            <w:pPr>
              <w:spacing w:after="0"/>
              <w:rPr>
                <w:sz w:val="19"/>
                <w:szCs w:val="19"/>
                <w:color w:val="auto"/>
              </w:rPr>
            </w:pPr>
          </w:p>
        </w:tc>
        <w:tc>
          <w:tcPr>
            <w:tcW w:w="580" w:type="dxa"/>
            <w:vAlign w:val="bottom"/>
          </w:tcPr>
          <w:p>
            <w:pPr>
              <w:jc w:val="right"/>
              <w:ind w:right="55"/>
              <w:spacing w:after="0"/>
              <w:rPr>
                <w:sz w:val="20"/>
                <w:szCs w:val="20"/>
                <w:color w:val="auto"/>
              </w:rPr>
            </w:pPr>
            <w:r>
              <w:rPr>
                <w:rFonts w:ascii="Arial" w:cs="Arial" w:eastAsia="Arial" w:hAnsi="Arial"/>
                <w:sz w:val="16"/>
                <w:szCs w:val="16"/>
                <w:color w:val="auto"/>
              </w:rPr>
              <w:t>702</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3,090</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1,403</w:t>
            </w:r>
          </w:p>
        </w:tc>
        <w:tc>
          <w:tcPr>
            <w:tcW w:w="60" w:type="dxa"/>
            <w:vAlign w:val="bottom"/>
          </w:tcPr>
          <w:p>
            <w:pPr>
              <w:spacing w:after="0"/>
              <w:rPr>
                <w:sz w:val="19"/>
                <w:szCs w:val="19"/>
                <w:color w:val="auto"/>
              </w:rPr>
            </w:pPr>
          </w:p>
        </w:tc>
      </w:tr>
      <w:tr>
        <w:trPr>
          <w:trHeight w:val="33"/>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31, 2019</w:t>
            </w:r>
          </w:p>
        </w:tc>
        <w:tc>
          <w:tcPr>
            <w:tcW w:w="16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6"/>
                <w:szCs w:val="16"/>
                <w:color w:val="auto"/>
              </w:rPr>
              <w:t>473</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3,022</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1,375</w:t>
            </w:r>
          </w:p>
        </w:tc>
        <w:tc>
          <w:tcPr>
            <w:tcW w:w="60" w:type="dxa"/>
            <w:vAlign w:val="bottom"/>
          </w:tcPr>
          <w:p>
            <w:pPr>
              <w:spacing w:after="0"/>
              <w:rPr>
                <w:sz w:val="20"/>
                <w:szCs w:val="20"/>
                <w:color w:val="auto"/>
              </w:rPr>
            </w:pPr>
          </w:p>
        </w:tc>
      </w:tr>
      <w:tr>
        <w:trPr>
          <w:trHeight w:val="567"/>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Financial Condition</w:t>
            </w: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Flow Information</w:t>
            </w: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1"/>
        </w:trPr>
        <w:tc>
          <w:tcPr>
            <w:tcW w:w="4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6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3"/>
        </w:trPr>
        <w:tc>
          <w:tcPr>
            <w:tcW w:w="444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17"/>
        </w:trPr>
        <w:tc>
          <w:tcPr>
            <w:tcW w:w="44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760" w:type="dxa"/>
            <w:vAlign w:val="bottom"/>
          </w:tcPr>
          <w:p>
            <w:pPr>
              <w:spacing w:after="0"/>
              <w:rPr>
                <w:sz w:val="18"/>
                <w:szCs w:val="18"/>
                <w:color w:val="auto"/>
              </w:rPr>
            </w:pPr>
          </w:p>
        </w:tc>
        <w:tc>
          <w:tcPr>
            <w:tcW w:w="158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3"/>
        </w:trPr>
        <w:tc>
          <w:tcPr>
            <w:tcW w:w="44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16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12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18,894</w:t>
            </w:r>
          </w:p>
        </w:tc>
        <w:tc>
          <w:tcPr>
            <w:tcW w:w="1580" w:type="dxa"/>
            <w:vAlign w:val="bottom"/>
            <w:tcBorders>
              <w:bottom w:val="single" w:sz="8" w:color="CCEEFF"/>
            </w:tcBorders>
            <w:gridSpan w:val="2"/>
            <w:shd w:val="clear" w:color="auto" w:fill="CCEEFF"/>
          </w:tcPr>
          <w:p>
            <w:pPr>
              <w:jc w:val="right"/>
              <w:ind w:right="12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24,924</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24"/>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Cash used in investing activities</w:t>
            </w:r>
          </w:p>
        </w:tc>
        <w:tc>
          <w:tcPr>
            <w:tcW w:w="1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(9,257)</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90"/>
              </w:rPr>
              <w:t>(11,116)</w:t>
            </w:r>
          </w:p>
        </w:tc>
        <w:tc>
          <w:tcPr>
            <w:tcW w:w="60" w:type="dxa"/>
            <w:vAlign w:val="bottom"/>
          </w:tcPr>
          <w:p>
            <w:pPr>
              <w:spacing w:after="0"/>
              <w:rPr>
                <w:sz w:val="19"/>
                <w:szCs w:val="19"/>
                <w:color w:val="auto"/>
              </w:rPr>
            </w:pPr>
          </w:p>
        </w:tc>
      </w:tr>
      <w:tr>
        <w:trPr>
          <w:trHeight w:val="33"/>
        </w:trPr>
        <w:tc>
          <w:tcPr>
            <w:tcW w:w="444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provided by (used in) financing activities</w:t>
            </w:r>
          </w:p>
        </w:tc>
        <w:tc>
          <w:tcPr>
            <w:tcW w:w="16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401,737</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(23,243)</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23"/>
        </w:trPr>
        <w:tc>
          <w:tcPr>
            <w:tcW w:w="6040" w:type="dxa"/>
            <w:vAlign w:val="bottom"/>
            <w:gridSpan w:val="3"/>
          </w:tcPr>
          <w:p>
            <w:pPr>
              <w:ind w:left="20"/>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(6,758)</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w:t>
            </w:r>
          </w:p>
        </w:tc>
        <w:tc>
          <w:tcPr>
            <w:tcW w:w="60" w:type="dxa"/>
            <w:vAlign w:val="bottom"/>
          </w:tcPr>
          <w:p>
            <w:pPr>
              <w:spacing w:after="0"/>
              <w:rPr>
                <w:sz w:val="19"/>
                <w:szCs w:val="19"/>
                <w:color w:val="auto"/>
              </w:rPr>
            </w:pPr>
          </w:p>
        </w:tc>
      </w:tr>
      <w:tr>
        <w:trPr>
          <w:trHeight w:val="33"/>
        </w:trPr>
        <w:tc>
          <w:tcPr>
            <w:tcW w:w="6040" w:type="dxa"/>
            <w:vAlign w:val="bottom"/>
            <w:tcBorders>
              <w:bottom w:val="single" w:sz="8" w:color="CCEEFF"/>
            </w:tcBorders>
            <w:gridSpan w:val="3"/>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75"/>
        </w:trPr>
        <w:tc>
          <w:tcPr>
            <w:tcW w:w="60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Increase (decrease) in cash, cash equivalents, and restricted cash</w:t>
            </w:r>
          </w:p>
        </w:tc>
        <w:tc>
          <w:tcPr>
            <w:tcW w:w="5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12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404,616</w:t>
            </w:r>
          </w:p>
        </w:tc>
        <w:tc>
          <w:tcPr>
            <w:tcW w:w="1580" w:type="dxa"/>
            <w:vAlign w:val="bottom"/>
            <w:tcBorders>
              <w:bottom w:val="single" w:sz="8" w:color="CCEEFF"/>
            </w:tcBorders>
            <w:gridSpan w:val="2"/>
            <w:shd w:val="clear" w:color="auto" w:fill="CCEEFF"/>
          </w:tcPr>
          <w:p>
            <w:pPr>
              <w:jc w:val="right"/>
              <w:ind w:right="12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(9,363)</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cash equivalents, and restricted cash was $554.5 million at March 31, 2020, compared with $149.9 million at December 31, 2019. The $404.6 million increase in cash, cash equivalents, and restricted cash in the 2020 period was primarily the result of a $400 million draw from our credit facility, along with cash flows from operating activities, partially offset by acquisitions of property, plant, and equipment.</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Cash provided by operating activities during the three months in 2020 was $18.9 million compared with $24.9 million during the same period in 2019. The decrease was primarily due to changes in working capital, with increased variable compensation payouts, partially offset by higher net income in 2020.</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Cash used by investing activities during 2020 was $1.9 million lower than in 2019. This decrease in use of cash was primarily related to proceeds received from the sale of property, plant and equipment, partially offset by a $1.2 million greater investment in property, plant, and equipment.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financing activities during the three months in 2020 was $401.7 million, compared with net cash used of $23.2 million for the same period in 2019. On March 25, 2020, we drew on our revolver in the amount of $400 million to increase our cash position and preserve future financial flexibility. In 2019, we had net repayments of debt of $14.1 million.</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effect of exchange rates on the cash balances of currencies held in foreign denominations at March 31, 2020 was a decrease of $6.8 million, compared with an increase of $0.1 million for the same period in 2019. Our foreign currency exposure relates to non-U.S. dollar denominated balances in our international subsidiary operations.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(Non-GAAP)</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96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6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Pr>
          <w:p>
            <w:pPr>
              <w:spacing w:after="0"/>
              <w:rPr>
                <w:sz w:val="18"/>
                <w:szCs w:val="18"/>
                <w:color w:val="auto"/>
              </w:rPr>
            </w:pPr>
          </w:p>
        </w:tc>
        <w:tc>
          <w:tcPr>
            <w:tcW w:w="1660" w:type="dxa"/>
            <w:vAlign w:val="bottom"/>
          </w:tcPr>
          <w:p>
            <w:pPr>
              <w:jc w:val="right"/>
              <w:ind w:right="8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ind w:right="859"/>
              <w:spacing w:after="0"/>
              <w:rPr>
                <w:sz w:val="20"/>
                <w:szCs w:val="20"/>
                <w:color w:val="auto"/>
              </w:rPr>
            </w:pPr>
            <w:r>
              <w:rPr>
                <w:rFonts w:ascii="Arial" w:cs="Arial" w:eastAsia="Arial" w:hAnsi="Arial"/>
                <w:sz w:val="16"/>
                <w:szCs w:val="16"/>
                <w:b w:val="1"/>
                <w:bCs w:val="1"/>
                <w:color w:val="auto"/>
              </w:rPr>
              <w:t>2019</w:t>
            </w:r>
          </w:p>
        </w:tc>
      </w:tr>
      <w:tr>
        <w:trPr>
          <w:trHeight w:val="33"/>
        </w:trPr>
        <w:tc>
          <w:tcPr>
            <w:tcW w:w="6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18,894</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center"/>
              <w:ind w:left="859"/>
              <w:spacing w:after="0"/>
              <w:rPr>
                <w:sz w:val="20"/>
                <w:szCs w:val="20"/>
                <w:color w:val="auto"/>
              </w:rPr>
            </w:pPr>
            <w:r>
              <w:rPr>
                <w:rFonts w:ascii="Arial" w:cs="Arial" w:eastAsia="Arial" w:hAnsi="Arial"/>
                <w:sz w:val="16"/>
                <w:szCs w:val="16"/>
                <w:color w:val="auto"/>
                <w:w w:val="93"/>
              </w:rPr>
              <w:t>24,924</w:t>
            </w:r>
          </w:p>
        </w:tc>
      </w:tr>
      <w:tr>
        <w:trPr>
          <w:trHeight w:val="223"/>
        </w:trPr>
        <w:tc>
          <w:tcPr>
            <w:tcW w:w="6760" w:type="dxa"/>
            <w:vAlign w:val="bottom"/>
          </w:tcPr>
          <w:p>
            <w:pPr>
              <w:ind w:left="20"/>
              <w:spacing w:after="0"/>
              <w:rPr>
                <w:sz w:val="20"/>
                <w:szCs w:val="20"/>
                <w:color w:val="auto"/>
              </w:rPr>
            </w:pPr>
            <w:r>
              <w:rPr>
                <w:rFonts w:ascii="Arial" w:cs="Arial" w:eastAsia="Arial" w:hAnsi="Arial"/>
                <w:sz w:val="16"/>
                <w:szCs w:val="16"/>
                <w:color w:val="auto"/>
              </w:rPr>
              <w:t>Acquisitions of property, plant, and equipment</w:t>
            </w:r>
          </w:p>
        </w:tc>
        <w:tc>
          <w:tcPr>
            <w:tcW w:w="52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(12,602)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center"/>
              <w:ind w:left="839"/>
              <w:spacing w:after="0"/>
              <w:rPr>
                <w:sz w:val="20"/>
                <w:szCs w:val="20"/>
                <w:color w:val="auto"/>
              </w:rPr>
            </w:pPr>
            <w:r>
              <w:rPr>
                <w:rFonts w:ascii="Arial" w:cs="Arial" w:eastAsia="Arial" w:hAnsi="Arial"/>
                <w:sz w:val="16"/>
                <w:szCs w:val="16"/>
                <w:color w:val="auto"/>
                <w:w w:val="93"/>
              </w:rPr>
              <w:t>(11,415)</w:t>
            </w:r>
          </w:p>
        </w:tc>
      </w:tr>
      <w:tr>
        <w:trPr>
          <w:trHeight w:val="33"/>
        </w:trPr>
        <w:tc>
          <w:tcPr>
            <w:tcW w:w="67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72"/>
        </w:trPr>
        <w:tc>
          <w:tcPr>
            <w:tcW w:w="6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Free cash flow</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6,292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center"/>
              <w:ind w:left="859"/>
              <w:spacing w:after="0"/>
              <w:rPr>
                <w:sz w:val="20"/>
                <w:szCs w:val="20"/>
                <w:color w:val="auto"/>
              </w:rPr>
            </w:pPr>
            <w:r>
              <w:rPr>
                <w:rFonts w:ascii="Arial" w:cs="Arial" w:eastAsia="Arial" w:hAnsi="Arial"/>
                <w:sz w:val="16"/>
                <w:szCs w:val="16"/>
                <w:color w:val="auto"/>
                <w:w w:val="93"/>
              </w:rPr>
              <w:t>13,509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Free cash flow fluctuated primarily as a result of changes in cash provided by operating activities. See the cash flow discussion of operating activities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have no off-balance sheet financing agreements or guarantees as defined by Item 303 of Regulation S-K at March 31, 2020 and December 31, 2019 that we believe could reasonably likely have a current or future effect on our financial condition,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of debt. Working capital, which represents current assets less current liabilities, continues to be in a net favorable position.</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18, 2019 we amended our credit facility that was initially entered on January 5, 2018 (together with the amendment, the "2018 credit facility"). The 2018 credit facility provides for committed credit facilities in the amount of $1.2 billion U.S. dollars.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The October 18, 2019, amendment extended the maturity date to October 18, 2024 and re-amortized the term loan based on the new balance as of the amendment date.</w:t>
      </w:r>
    </w:p>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drew $400 million in U.S. dollars under the revolving line of credit within the 2018 credit facility on March 25, 2020. In light of the current uncertain environment, we deemed it prudent to increase our cash position and preserve future financial flexibility. The Total Net Leverage Ratio, as defined in the amended 2018 credit facility agreement, is unchanged by this drawing.</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2017 and January 2018, we issued a combined $400 million in aggregate principal amount of 5.00% senior notes maturing January 15, 2026 (Senior Notes). The proceeds were used to refinance existing indebtedness related to the acquisition of SSNI, pay related fees and expenses, and for general corporate purposes. Interest on the Senior Notes is payable semi-annually in arrears on January 15 and July 15, commencing on July 15, 2018. The Senior Notes are fully and unconditionally guaranteed, jointly and severally, on a senior unsecured basis by each of our subsidiaries that guarantee the 2018 credit facility.</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maturity, we may redeem some or all of the Senior Notes, together with accrued and unpaid interest, if any, plus a "make-whole" premium. On or after January 15, 2021, we may redeem some or all of the Senior Notes at any time at declining redemption prices equal to 102.50% beginning on January 15, 2021, 101.25% beginning on January 15, 2022 and 100.00% beginning on January 15, 2023 and thereafter to the applicable redemption date. In addition, before January 15, 2021, and subject to certain conditions, we may redeem up to 35% of the aggregate principal amount of Senior Notes with the net proceeds of certain equity offerings at 105.00% of the principal amount thereof to the date of redemption; provided that (i) at least 65% of the aggregate principal amount of Senior Notes remains outstanding after such redemption and (ii) the redemption occurs within 60 days of the closing of any such equity offering.</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For further description of our borrowings, refer to Item 1: "Financial Statements (Unaudited), Note 6: Debt".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(Unaudited), Note 11: Commitments and Contingencies".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Silver Spring Networks, Inc. Acquisition</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part of the acquisition of SSNI, we announced an integration plan to obtain approximately $50 million of annualized savings by the end of 2020. For the three months ended March 31, 2020, we paid out $6.0 million and we have approximately</w:t>
      </w:r>
    </w:p>
    <w:p>
      <w:pPr>
        <w:spacing w:after="0" w:line="1"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$10 million to $15 million of estimated cash payments remaining on the integration plan, the majority of which is expected to be paid out in the next 12 months. We have recognized $1.3 million of acquisition and integration related expenses during the first quarter of 2020.</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the three months ended March 31, 2020, we paid out a net $3.3 million related to the restructuring projects. As of March 31, 2020, $50.8 million was accrued for restructuring projects, of which $22.2 million is expected to be paid over the next 12 months.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regarding our restructuring activities, refer to Item 1: "Financial Statements (Unaudited), Note 12: Restructuring".</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$3 million in state taxes and approximately $6 million in local and foreign taxes during 2020. We expect to receive approximately $7 million in U.S. federal tax refunds. For a discussion of our tax provision and unrecognized tax benefits, see Item 1: "Financial Statements (Unaudited), Note 10: Income Taxes".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2020,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2020, there was $41.4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the many factors that we consider in the management of global cash. Accordingly, the amount of taxes that we would need to accrue and pay to repatriate foreign cash could vary significantly.</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March 31, 2020, $8.9 million of our consolidated cash balance is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industries, competitive pressures, </w:t>
      </w:r>
      <w:r>
        <w:rPr>
          <w:rFonts w:ascii="Arial" w:cs="Arial" w:eastAsia="Arial" w:hAnsi="Arial"/>
          <w:sz w:val="17"/>
          <w:szCs w:val="17"/>
          <w:color w:val="222222"/>
        </w:rPr>
        <w:t>our dependence on certain key vendors and components,</w:t>
      </w:r>
      <w:r>
        <w:rPr>
          <w:rFonts w:ascii="Arial" w:cs="Arial" w:eastAsia="Arial" w:hAnsi="Arial"/>
          <w:sz w:val="17"/>
          <w:szCs w:val="17"/>
          <w:color w:val="auto"/>
        </w:rPr>
        <w:t xml:space="preserve"> changes in estimated liabilities for product warranties and/or litigation, duration of the COVID-19 pandemic, future business combinations, capital market fluctuations, international risks, and other factors described under "Risk Factors" within Item 1A of Part I of our 2019 Annual Report, as well as "Quantitative and Qualitative Disclosures About Market Risk" within Item 3 of Part I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(Unaudited), Note 11: Commitments and Contingencies".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consolidated financial statements and accompanying notes are prepared in accordance with U.S. GAAP. Preparing consolidated financial statements requires management to make estimates and assumptions that affect the reported amounts of assets, liabilities, revenues, and expenses. These estimates and assumptions are based on historical experience and on various other assumptions management believes to be reasonable. Actual results could differ from the amounts reported and disclosed herein. Our critical accounting policies that require the use of estimates and assumptions were discussed in detail in the 2019 Annual Report and have not changed materially.</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Item 1: "Financial Statements (Unaudited), Note 1: Summary of Significant Accounting Policies" included in this Quarterly Report on Form 10-Q for further disclosures regarding new accounting pronouncements.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schedule contains non-GAAP financial measures. 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more information on these non-GAAP financial measures, please see the table captioned "Reconciliations of Non-GAAP Financial Measures to the most Directly Comparable GAAP Financial Measures".</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acquisition and integration related expenses,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Non-GAAP operating expenses </w:t>
      </w:r>
      <w:r>
        <w:rPr>
          <w:rFonts w:ascii="Arial" w:cs="Arial" w:eastAsia="Arial" w:hAnsi="Arial"/>
          <w:sz w:val="16"/>
          <w:szCs w:val="16"/>
          <w:color w:val="auto"/>
        </w:rPr>
        <w:t>and</w:t>
      </w:r>
      <w:r>
        <w:rPr>
          <w:rFonts w:ascii="Arial" w:cs="Arial" w:eastAsia="Arial" w:hAnsi="Arial"/>
          <w:sz w:val="16"/>
          <w:szCs w:val="16"/>
          <w:i w:val="1"/>
          <w:iCs w:val="1"/>
          <w:color w:val="auto"/>
        </w:rPr>
        <w:t xml:space="preserve"> non-GAAP operating income </w:t>
      </w:r>
      <w:r>
        <w:rPr>
          <w:rFonts w:ascii="Arial" w:cs="Arial" w:eastAsia="Arial" w:hAnsi="Arial"/>
          <w:sz w:val="16"/>
          <w:szCs w:val="16"/>
          <w:color w:val="auto"/>
        </w:rPr>
        <w:t>– We define non-GAAP operating expenses as operating expenses excluding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related to the amortization of intangible assets, restructuring, corporate transition cost, acquisition and integration, and goodwill impairment. We define non-GAAP operating income as operating income excluding the expenses related to the amortization of intangible assets, restructuring, corporate transition cost, acquisition and integration, and goodwill impairment.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Non-GAAP net income </w:t>
      </w:r>
      <w:r>
        <w:rPr>
          <w:rFonts w:ascii="Arial" w:cs="Arial" w:eastAsia="Arial" w:hAnsi="Arial"/>
          <w:sz w:val="17"/>
          <w:szCs w:val="17"/>
          <w:color w:val="auto"/>
        </w:rPr>
        <w:t>and</w:t>
      </w:r>
      <w:r>
        <w:rPr>
          <w:rFonts w:ascii="Arial" w:cs="Arial" w:eastAsia="Arial" w:hAnsi="Arial"/>
          <w:sz w:val="17"/>
          <w:szCs w:val="17"/>
          <w:i w:val="1"/>
          <w:iCs w:val="1"/>
          <w:color w:val="auto"/>
        </w:rPr>
        <w:t xml:space="preserve"> non-GAAP diluted EPS </w:t>
      </w:r>
      <w:r>
        <w:rPr>
          <w:rFonts w:ascii="Arial" w:cs="Arial" w:eastAsia="Arial" w:hAnsi="Arial"/>
          <w:sz w:val="17"/>
          <w:szCs w:val="17"/>
          <w:color w:val="auto"/>
        </w:rPr>
        <w:t>– We define non-GAAP net income as net income attributable to Itron, Inc. excluding the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amortization of intangible assets, amortization of debt placement fees, restructuring, corporate transition cost, acquisition and integration, goodwill impairment,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interim periods, beginning the first quarter of 2019, the budgeted annual effective tax rate (AETR) is used, adjusted for any discrete items, as defined in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 throughout the year and use the most recent AETR anytime it increases or decreases by 200 basis points or more from the prior interim period.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 We define adjusted EBITDA as net income (a) minus interest income, (b) plus interest expense, depreciation and amortization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 assets, restructuring, corporate transition cost, acquisition and integration related expense, goodwill impairment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spacing w:after="0" w:line="19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i w:val="1"/>
          <w:iCs w:val="1"/>
          <w:color w:val="auto"/>
        </w:rPr>
        <w:t xml:space="preserve">Free cash flow </w:t>
      </w:r>
      <w:r>
        <w:rPr>
          <w:rFonts w:ascii="Arial" w:cs="Arial" w:eastAsia="Arial" w:hAnsi="Arial"/>
          <w:sz w:val="17"/>
          <w:szCs w:val="17"/>
          <w:color w:val="auto"/>
        </w:rPr>
        <w:t>– We define free cash flow as net cash provided by operating activities less cash used for acquisitions of property, plant and equipment.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Constant currency </w:t>
      </w:r>
      <w:r>
        <w:rPr>
          <w:rFonts w:ascii="Arial" w:cs="Arial" w:eastAsia="Arial" w:hAnsi="Arial"/>
          <w:sz w:val="17"/>
          <w:szCs w:val="17"/>
          <w:color w:val="auto"/>
        </w:rPr>
        <w:t>– We refer to the impact of foreign currency exchange rate fluctuations in our discussions of financial results, which references the</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differences between the foreign currency exchange rates used to translate operating results from local currencies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 of Non-GAAP Financial Measures to the most Directly Comparable GAAP Financial Measures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tables below reconcile the non-GAAP financial measures of operating expenses, operating income, net income, diluted EPS, adjusted EBITDA, and free cash flow with the most directly comparable GAAP financial measures.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COMPANY RECONCILIATIONS</w:t>
            </w:r>
          </w:p>
        </w:tc>
        <w:tc>
          <w:tcPr>
            <w:tcW w:w="520" w:type="dxa"/>
            <w:vAlign w:val="bottom"/>
          </w:tcPr>
          <w:p>
            <w:pPr>
              <w:spacing w:after="0"/>
              <w:rPr>
                <w:sz w:val="18"/>
                <w:szCs w:val="18"/>
                <w:color w:val="auto"/>
              </w:rPr>
            </w:pPr>
          </w:p>
        </w:tc>
        <w:tc>
          <w:tcPr>
            <w:tcW w:w="3940" w:type="dxa"/>
            <w:vAlign w:val="bottom"/>
            <w:gridSpan w:val="4"/>
          </w:tcPr>
          <w:p>
            <w:pPr>
              <w:jc w:val="right"/>
              <w:ind w:right="103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1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10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520" w:type="dxa"/>
            <w:vAlign w:val="bottom"/>
          </w:tcPr>
          <w:p>
            <w:pPr>
              <w:spacing w:after="0"/>
              <w:rPr>
                <w:sz w:val="18"/>
                <w:szCs w:val="18"/>
                <w:color w:val="auto"/>
              </w:rPr>
            </w:pPr>
          </w:p>
        </w:tc>
        <w:tc>
          <w:tcPr>
            <w:tcW w:w="1660" w:type="dxa"/>
            <w:vAlign w:val="bottom"/>
          </w:tcPr>
          <w:p>
            <w:pPr>
              <w:jc w:val="right"/>
              <w:ind w:right="8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ind w:right="839"/>
              <w:spacing w:after="0"/>
              <w:rPr>
                <w:sz w:val="20"/>
                <w:szCs w:val="20"/>
                <w:color w:val="auto"/>
              </w:rPr>
            </w:pPr>
            <w:r>
              <w:rPr>
                <w:rFonts w:ascii="Arial" w:cs="Arial" w:eastAsia="Arial" w:hAnsi="Arial"/>
                <w:sz w:val="16"/>
                <w:szCs w:val="16"/>
                <w:b w:val="1"/>
                <w:bCs w:val="1"/>
                <w:color w:val="auto"/>
              </w:rPr>
              <w:t>2019</w:t>
            </w:r>
          </w:p>
        </w:tc>
      </w:tr>
      <w:tr>
        <w:trPr>
          <w:trHeight w:val="33"/>
        </w:trPr>
        <w:tc>
          <w:tcPr>
            <w:tcW w:w="100" w:type="dxa"/>
            <w:vAlign w:val="bottom"/>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10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6"/>
                <w:szCs w:val="16"/>
                <w:b w:val="1"/>
                <w:bCs w:val="1"/>
                <w:color w:val="auto"/>
              </w:rPr>
              <w:t>NON-GAAP OPERATING EXPENSES</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1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6"/>
        </w:trPr>
        <w:tc>
          <w:tcPr>
            <w:tcW w:w="10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GAAP operating expenses</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145,196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166,440</w:t>
            </w:r>
          </w:p>
        </w:tc>
      </w:tr>
      <w:tr>
        <w:trPr>
          <w:trHeight w:val="224"/>
        </w:trPr>
        <w:tc>
          <w:tcPr>
            <w:tcW w:w="100" w:type="dxa"/>
            <w:vAlign w:val="bottom"/>
          </w:tcPr>
          <w:p>
            <w:pPr>
              <w:spacing w:after="0"/>
              <w:rPr>
                <w:sz w:val="19"/>
                <w:szCs w:val="19"/>
                <w:color w:val="auto"/>
              </w:rPr>
            </w:pPr>
          </w:p>
        </w:tc>
        <w:tc>
          <w:tcPr>
            <w:tcW w:w="668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52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(11,165)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(15,973)</w:t>
            </w:r>
          </w:p>
        </w:tc>
      </w:tr>
      <w:tr>
        <w:trPr>
          <w:trHeight w:val="33"/>
        </w:trPr>
        <w:tc>
          <w:tcPr>
            <w:tcW w:w="1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(7,262)</w:t>
            </w:r>
          </w:p>
        </w:tc>
      </w:tr>
      <w:tr>
        <w:trPr>
          <w:trHeight w:val="223"/>
        </w:trPr>
        <w:tc>
          <w:tcPr>
            <w:tcW w:w="100" w:type="dxa"/>
            <w:vAlign w:val="bottom"/>
          </w:tcPr>
          <w:p>
            <w:pPr>
              <w:spacing w:after="0"/>
              <w:rPr>
                <w:sz w:val="19"/>
                <w:szCs w:val="19"/>
                <w:color w:val="auto"/>
              </w:rPr>
            </w:pPr>
          </w:p>
        </w:tc>
        <w:tc>
          <w:tcPr>
            <w:tcW w:w="6680" w:type="dxa"/>
            <w:vAlign w:val="bottom"/>
          </w:tcPr>
          <w:p>
            <w:pPr>
              <w:ind w:left="360"/>
              <w:spacing w:after="0"/>
              <w:rPr>
                <w:sz w:val="20"/>
                <w:szCs w:val="20"/>
                <w:color w:val="auto"/>
              </w:rPr>
            </w:pPr>
            <w:r>
              <w:rPr>
                <w:rFonts w:ascii="Arial" w:cs="Arial" w:eastAsia="Arial" w:hAnsi="Arial"/>
                <w:sz w:val="16"/>
                <w:szCs w:val="16"/>
                <w:color w:val="auto"/>
              </w:rPr>
              <w:t>Corporate transition cost</w:t>
            </w: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(1,083)</w:t>
            </w:r>
          </w:p>
        </w:tc>
      </w:tr>
      <w:tr>
        <w:trPr>
          <w:trHeight w:val="33"/>
        </w:trPr>
        <w:tc>
          <w:tcPr>
            <w:tcW w:w="1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6"/>
        </w:trPr>
        <w:tc>
          <w:tcPr>
            <w:tcW w:w="100" w:type="dxa"/>
            <w:vAlign w:val="bottom"/>
            <w:tcBorders>
              <w:bottom w:val="single" w:sz="8" w:color="CCEEFF"/>
            </w:tcBorders>
            <w:shd w:val="clear" w:color="auto" w:fill="CCEEFF"/>
          </w:tcPr>
          <w:p>
            <w:pPr>
              <w:spacing w:after="0"/>
              <w:rPr>
                <w:sz w:val="22"/>
                <w:szCs w:val="22"/>
                <w:color w:val="auto"/>
              </w:rPr>
            </w:pPr>
          </w:p>
        </w:tc>
        <w:tc>
          <w:tcPr>
            <w:tcW w:w="6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(11,565)</w:t>
            </w:r>
          </w:p>
        </w:tc>
      </w:tr>
      <w:tr>
        <w:trPr>
          <w:trHeight w:val="247"/>
        </w:trPr>
        <w:tc>
          <w:tcPr>
            <w:tcW w:w="100" w:type="dxa"/>
            <w:vAlign w:val="bottom"/>
          </w:tcPr>
          <w:p>
            <w:pPr>
              <w:spacing w:after="0"/>
              <w:rPr>
                <w:sz w:val="21"/>
                <w:szCs w:val="21"/>
                <w:color w:val="auto"/>
              </w:rPr>
            </w:pPr>
          </w:p>
        </w:tc>
        <w:tc>
          <w:tcPr>
            <w:tcW w:w="6680" w:type="dxa"/>
            <w:vAlign w:val="bottom"/>
          </w:tcPr>
          <w:p>
            <w:pPr>
              <w:ind w:left="200"/>
              <w:spacing w:after="0"/>
              <w:rPr>
                <w:sz w:val="20"/>
                <w:szCs w:val="20"/>
                <w:color w:val="auto"/>
              </w:rPr>
            </w:pPr>
            <w:r>
              <w:rPr>
                <w:rFonts w:ascii="Arial" w:cs="Arial" w:eastAsia="Arial" w:hAnsi="Arial"/>
                <w:sz w:val="16"/>
                <w:szCs w:val="16"/>
                <w:color w:val="auto"/>
              </w:rPr>
              <w:t>Non-GAAP operating expenses</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133,047</w:t>
            </w:r>
          </w:p>
        </w:tc>
        <w:tc>
          <w:tcPr>
            <w:tcW w:w="10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130,557</w:t>
            </w: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6"/>
        </w:trPr>
        <w:tc>
          <w:tcPr>
            <w:tcW w:w="100" w:type="dxa"/>
            <w:vAlign w:val="bottom"/>
            <w:shd w:val="clear" w:color="auto" w:fill="CCEEFF"/>
          </w:tcPr>
          <w:p>
            <w:pPr>
              <w:spacing w:after="0"/>
              <w:rPr>
                <w:sz w:val="16"/>
                <w:szCs w:val="16"/>
                <w:color w:val="auto"/>
              </w:rPr>
            </w:pPr>
          </w:p>
        </w:tc>
        <w:tc>
          <w:tcPr>
            <w:tcW w:w="6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224"/>
        </w:trPr>
        <w:tc>
          <w:tcPr>
            <w:tcW w:w="10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6"/>
                <w:szCs w:val="16"/>
                <w:b w:val="1"/>
                <w:bCs w:val="1"/>
                <w:color w:val="auto"/>
              </w:rPr>
              <w:t>NON-GAAP OPERATING INCOME</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33"/>
        </w:trPr>
        <w:tc>
          <w:tcPr>
            <w:tcW w:w="1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GAAP operating income</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26,370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20,823</w:t>
            </w:r>
          </w:p>
        </w:tc>
      </w:tr>
      <w:tr>
        <w:trPr>
          <w:trHeight w:val="223"/>
        </w:trPr>
        <w:tc>
          <w:tcPr>
            <w:tcW w:w="100" w:type="dxa"/>
            <w:vAlign w:val="bottom"/>
          </w:tcPr>
          <w:p>
            <w:pPr>
              <w:spacing w:after="0"/>
              <w:rPr>
                <w:sz w:val="19"/>
                <w:szCs w:val="19"/>
                <w:color w:val="auto"/>
              </w:rPr>
            </w:pPr>
          </w:p>
        </w:tc>
        <w:tc>
          <w:tcPr>
            <w:tcW w:w="668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11,165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15,973</w:t>
            </w:r>
          </w:p>
        </w:tc>
      </w:tr>
      <w:tr>
        <w:trPr>
          <w:trHeight w:val="33"/>
        </w:trPr>
        <w:tc>
          <w:tcPr>
            <w:tcW w:w="1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7,262</w:t>
            </w:r>
          </w:p>
        </w:tc>
      </w:tr>
      <w:tr>
        <w:trPr>
          <w:trHeight w:val="224"/>
        </w:trPr>
        <w:tc>
          <w:tcPr>
            <w:tcW w:w="100" w:type="dxa"/>
            <w:vAlign w:val="bottom"/>
          </w:tcPr>
          <w:p>
            <w:pPr>
              <w:spacing w:after="0"/>
              <w:rPr>
                <w:sz w:val="19"/>
                <w:szCs w:val="19"/>
                <w:color w:val="auto"/>
              </w:rPr>
            </w:pPr>
          </w:p>
        </w:tc>
        <w:tc>
          <w:tcPr>
            <w:tcW w:w="6680" w:type="dxa"/>
            <w:vAlign w:val="bottom"/>
          </w:tcPr>
          <w:p>
            <w:pPr>
              <w:ind w:left="360"/>
              <w:spacing w:after="0"/>
              <w:rPr>
                <w:sz w:val="20"/>
                <w:szCs w:val="20"/>
                <w:color w:val="auto"/>
              </w:rPr>
            </w:pPr>
            <w:r>
              <w:rPr>
                <w:rFonts w:ascii="Arial" w:cs="Arial" w:eastAsia="Arial" w:hAnsi="Arial"/>
                <w:sz w:val="16"/>
                <w:szCs w:val="16"/>
                <w:color w:val="auto"/>
              </w:rPr>
              <w:t>Corporate transition cost</w:t>
            </w:r>
          </w:p>
        </w:tc>
        <w:tc>
          <w:tcPr>
            <w:tcW w:w="52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1,083</w:t>
            </w:r>
          </w:p>
        </w:tc>
      </w:tr>
      <w:tr>
        <w:trPr>
          <w:trHeight w:val="33"/>
        </w:trPr>
        <w:tc>
          <w:tcPr>
            <w:tcW w:w="1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7"/>
        </w:trPr>
        <w:tc>
          <w:tcPr>
            <w:tcW w:w="100" w:type="dxa"/>
            <w:vAlign w:val="bottom"/>
            <w:tcBorders>
              <w:bottom w:val="single" w:sz="8" w:color="CCEEFF"/>
            </w:tcBorders>
            <w:shd w:val="clear" w:color="auto" w:fill="CCEEFF"/>
          </w:tcPr>
          <w:p>
            <w:pPr>
              <w:spacing w:after="0"/>
              <w:rPr>
                <w:sz w:val="22"/>
                <w:szCs w:val="22"/>
                <w:color w:val="auto"/>
              </w:rPr>
            </w:pPr>
          </w:p>
        </w:tc>
        <w:tc>
          <w:tcPr>
            <w:tcW w:w="6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1,272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11,565</w:t>
            </w:r>
          </w:p>
        </w:tc>
      </w:tr>
      <w:tr>
        <w:trPr>
          <w:trHeight w:val="247"/>
        </w:trPr>
        <w:tc>
          <w:tcPr>
            <w:tcW w:w="100" w:type="dxa"/>
            <w:vAlign w:val="bottom"/>
          </w:tcPr>
          <w:p>
            <w:pPr>
              <w:spacing w:after="0"/>
              <w:rPr>
                <w:sz w:val="21"/>
                <w:szCs w:val="21"/>
                <w:color w:val="auto"/>
              </w:rPr>
            </w:pPr>
          </w:p>
        </w:tc>
        <w:tc>
          <w:tcPr>
            <w:tcW w:w="6680" w:type="dxa"/>
            <w:vAlign w:val="bottom"/>
          </w:tcPr>
          <w:p>
            <w:pPr>
              <w:ind w:left="200"/>
              <w:spacing w:after="0"/>
              <w:rPr>
                <w:sz w:val="20"/>
                <w:szCs w:val="20"/>
                <w:color w:val="auto"/>
              </w:rPr>
            </w:pPr>
            <w:r>
              <w:rPr>
                <w:rFonts w:ascii="Arial" w:cs="Arial" w:eastAsia="Arial" w:hAnsi="Arial"/>
                <w:sz w:val="16"/>
                <w:szCs w:val="16"/>
                <w:color w:val="auto"/>
              </w:rPr>
              <w:t>Non-GAAP operating income</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38,519</w:t>
            </w:r>
          </w:p>
        </w:tc>
        <w:tc>
          <w:tcPr>
            <w:tcW w:w="10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56,706</w:t>
            </w: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6"/>
        </w:trPr>
        <w:tc>
          <w:tcPr>
            <w:tcW w:w="100" w:type="dxa"/>
            <w:vAlign w:val="bottom"/>
            <w:shd w:val="clear" w:color="auto" w:fill="CCEEFF"/>
          </w:tcPr>
          <w:p>
            <w:pPr>
              <w:spacing w:after="0"/>
              <w:rPr>
                <w:sz w:val="16"/>
                <w:szCs w:val="16"/>
                <w:color w:val="auto"/>
              </w:rPr>
            </w:pPr>
          </w:p>
        </w:tc>
        <w:tc>
          <w:tcPr>
            <w:tcW w:w="6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224"/>
        </w:trPr>
        <w:tc>
          <w:tcPr>
            <w:tcW w:w="10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6"/>
                <w:szCs w:val="16"/>
                <w:b w:val="1"/>
                <w:bCs w:val="1"/>
                <w:color w:val="auto"/>
              </w:rPr>
              <w:t>NON-GAAP NET INCOME &amp; DILUTED EPS</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33"/>
        </w:trPr>
        <w:tc>
          <w:tcPr>
            <w:tcW w:w="1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6"/>
        </w:trPr>
        <w:tc>
          <w:tcPr>
            <w:tcW w:w="10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GAAP net income (loss) attributable to Itron, Inc.</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8,684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(1,907)</w:t>
            </w:r>
          </w:p>
        </w:tc>
      </w:tr>
      <w:tr>
        <w:trPr>
          <w:trHeight w:val="224"/>
        </w:trPr>
        <w:tc>
          <w:tcPr>
            <w:tcW w:w="100" w:type="dxa"/>
            <w:vAlign w:val="bottom"/>
          </w:tcPr>
          <w:p>
            <w:pPr>
              <w:spacing w:after="0"/>
              <w:rPr>
                <w:sz w:val="19"/>
                <w:szCs w:val="19"/>
                <w:color w:val="auto"/>
              </w:rPr>
            </w:pPr>
          </w:p>
        </w:tc>
        <w:tc>
          <w:tcPr>
            <w:tcW w:w="668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11,165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15,973</w:t>
            </w:r>
          </w:p>
        </w:tc>
      </w:tr>
      <w:tr>
        <w:trPr>
          <w:trHeight w:val="33"/>
        </w:trPr>
        <w:tc>
          <w:tcPr>
            <w:tcW w:w="1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Amortization of debt placement fees</w:t>
            </w: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1,156</w:t>
            </w:r>
          </w:p>
        </w:tc>
      </w:tr>
      <w:tr>
        <w:trPr>
          <w:trHeight w:val="223"/>
        </w:trPr>
        <w:tc>
          <w:tcPr>
            <w:tcW w:w="100" w:type="dxa"/>
            <w:vAlign w:val="bottom"/>
          </w:tcPr>
          <w:p>
            <w:pPr>
              <w:spacing w:after="0"/>
              <w:rPr>
                <w:sz w:val="19"/>
                <w:szCs w:val="19"/>
                <w:color w:val="auto"/>
              </w:rPr>
            </w:pPr>
          </w:p>
        </w:tc>
        <w:tc>
          <w:tcPr>
            <w:tcW w:w="6680" w:type="dxa"/>
            <w:vAlign w:val="bottom"/>
          </w:tcPr>
          <w:p>
            <w:pPr>
              <w:ind w:left="360"/>
              <w:spacing w:after="0"/>
              <w:rPr>
                <w:sz w:val="20"/>
                <w:szCs w:val="20"/>
                <w:color w:val="auto"/>
              </w:rPr>
            </w:pPr>
            <w:r>
              <w:rPr>
                <w:rFonts w:ascii="Arial" w:cs="Arial" w:eastAsia="Arial" w:hAnsi="Arial"/>
                <w:sz w:val="16"/>
                <w:szCs w:val="16"/>
                <w:color w:val="auto"/>
              </w:rPr>
              <w:t>Restructuring</w:t>
            </w:r>
          </w:p>
        </w:tc>
        <w:tc>
          <w:tcPr>
            <w:tcW w:w="52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7,262</w:t>
            </w:r>
          </w:p>
        </w:tc>
      </w:tr>
      <w:tr>
        <w:trPr>
          <w:trHeight w:val="33"/>
        </w:trPr>
        <w:tc>
          <w:tcPr>
            <w:tcW w:w="1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Corporate transition cost</w:t>
            </w: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1,083</w:t>
            </w:r>
          </w:p>
        </w:tc>
      </w:tr>
      <w:tr>
        <w:trPr>
          <w:trHeight w:val="223"/>
        </w:trPr>
        <w:tc>
          <w:tcPr>
            <w:tcW w:w="100" w:type="dxa"/>
            <w:vAlign w:val="bottom"/>
          </w:tcPr>
          <w:p>
            <w:pPr>
              <w:spacing w:after="0"/>
              <w:rPr>
                <w:sz w:val="19"/>
                <w:szCs w:val="19"/>
                <w:color w:val="auto"/>
              </w:rPr>
            </w:pPr>
          </w:p>
        </w:tc>
        <w:tc>
          <w:tcPr>
            <w:tcW w:w="6680" w:type="dxa"/>
            <w:vAlign w:val="bottom"/>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1,272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11,565</w:t>
            </w:r>
          </w:p>
        </w:tc>
      </w:tr>
      <w:tr>
        <w:trPr>
          <w:trHeight w:val="33"/>
        </w:trPr>
        <w:tc>
          <w:tcPr>
            <w:tcW w:w="1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7"/>
        </w:trPr>
        <w:tc>
          <w:tcPr>
            <w:tcW w:w="100" w:type="dxa"/>
            <w:vAlign w:val="bottom"/>
            <w:tcBorders>
              <w:bottom w:val="single" w:sz="8" w:color="CCEEFF"/>
            </w:tcBorders>
            <w:shd w:val="clear" w:color="auto" w:fill="CCEEFF"/>
          </w:tcPr>
          <w:p>
            <w:pPr>
              <w:spacing w:after="0"/>
              <w:rPr>
                <w:sz w:val="22"/>
                <w:szCs w:val="22"/>
                <w:color w:val="auto"/>
              </w:rPr>
            </w:pPr>
          </w:p>
        </w:tc>
        <w:tc>
          <w:tcPr>
            <w:tcW w:w="6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Income tax effect of non-GAAP adjustments</w:t>
            </w: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1,173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(7,242)</w:t>
            </w:r>
          </w:p>
        </w:tc>
      </w:tr>
      <w:tr>
        <w:trPr>
          <w:trHeight w:val="247"/>
        </w:trPr>
        <w:tc>
          <w:tcPr>
            <w:tcW w:w="100" w:type="dxa"/>
            <w:vAlign w:val="bottom"/>
          </w:tcPr>
          <w:p>
            <w:pPr>
              <w:spacing w:after="0"/>
              <w:rPr>
                <w:sz w:val="21"/>
                <w:szCs w:val="21"/>
                <w:color w:val="auto"/>
              </w:rPr>
            </w:pPr>
          </w:p>
        </w:tc>
        <w:tc>
          <w:tcPr>
            <w:tcW w:w="6680" w:type="dxa"/>
            <w:vAlign w:val="bottom"/>
          </w:tcPr>
          <w:p>
            <w:pPr>
              <w:ind w:left="200"/>
              <w:spacing w:after="0"/>
              <w:rPr>
                <w:sz w:val="20"/>
                <w:szCs w:val="20"/>
                <w:color w:val="auto"/>
              </w:rPr>
            </w:pPr>
            <w:r>
              <w:rPr>
                <w:rFonts w:ascii="Arial" w:cs="Arial" w:eastAsia="Arial" w:hAnsi="Arial"/>
                <w:sz w:val="16"/>
                <w:szCs w:val="16"/>
                <w:color w:val="auto"/>
              </w:rPr>
              <w:t>Non-GAAP net income attributable to Itron, Inc.</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22,969</w:t>
            </w:r>
          </w:p>
        </w:tc>
        <w:tc>
          <w:tcPr>
            <w:tcW w:w="10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27,890</w:t>
            </w: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6"/>
        </w:trPr>
        <w:tc>
          <w:tcPr>
            <w:tcW w:w="100" w:type="dxa"/>
            <w:vAlign w:val="bottom"/>
            <w:shd w:val="clear" w:color="auto" w:fill="CCEEFF"/>
          </w:tcPr>
          <w:p>
            <w:pPr>
              <w:spacing w:after="0"/>
              <w:rPr>
                <w:sz w:val="16"/>
                <w:szCs w:val="16"/>
                <w:color w:val="auto"/>
              </w:rPr>
            </w:pPr>
          </w:p>
        </w:tc>
        <w:tc>
          <w:tcPr>
            <w:tcW w:w="6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253"/>
        </w:trPr>
        <w:tc>
          <w:tcPr>
            <w:tcW w:w="100" w:type="dxa"/>
            <w:vAlign w:val="bottom"/>
          </w:tcPr>
          <w:p>
            <w:pPr>
              <w:spacing w:after="0"/>
              <w:rPr>
                <w:sz w:val="22"/>
                <w:szCs w:val="22"/>
                <w:color w:val="auto"/>
              </w:rPr>
            </w:pPr>
          </w:p>
        </w:tc>
        <w:tc>
          <w:tcPr>
            <w:tcW w:w="6680" w:type="dxa"/>
            <w:vAlign w:val="bottom"/>
          </w:tcPr>
          <w:p>
            <w:pPr>
              <w:ind w:left="200"/>
              <w:spacing w:after="0"/>
              <w:rPr>
                <w:sz w:val="20"/>
                <w:szCs w:val="20"/>
                <w:color w:val="auto"/>
              </w:rPr>
            </w:pPr>
            <w:r>
              <w:rPr>
                <w:rFonts w:ascii="Arial" w:cs="Arial" w:eastAsia="Arial" w:hAnsi="Arial"/>
                <w:sz w:val="16"/>
                <w:szCs w:val="16"/>
                <w:color w:val="auto"/>
              </w:rPr>
              <w:t>Non-GAAP diluted EPS</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0.57</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0.70</w:t>
            </w: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6"/>
        </w:trPr>
        <w:tc>
          <w:tcPr>
            <w:tcW w:w="100" w:type="dxa"/>
            <w:vAlign w:val="bottom"/>
            <w:shd w:val="clear" w:color="auto" w:fill="CCEEFF"/>
          </w:tcPr>
          <w:p>
            <w:pPr>
              <w:spacing w:after="0"/>
              <w:rPr>
                <w:sz w:val="16"/>
                <w:szCs w:val="16"/>
                <w:color w:val="auto"/>
              </w:rPr>
            </w:pPr>
          </w:p>
        </w:tc>
        <w:tc>
          <w:tcPr>
            <w:tcW w:w="6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253"/>
        </w:trPr>
        <w:tc>
          <w:tcPr>
            <w:tcW w:w="100" w:type="dxa"/>
            <w:vAlign w:val="bottom"/>
          </w:tcPr>
          <w:p>
            <w:pPr>
              <w:spacing w:after="0"/>
              <w:rPr>
                <w:sz w:val="22"/>
                <w:szCs w:val="22"/>
                <w:color w:val="auto"/>
              </w:rPr>
            </w:pPr>
          </w:p>
        </w:tc>
        <w:tc>
          <w:tcPr>
            <w:tcW w:w="6680" w:type="dxa"/>
            <w:vAlign w:val="bottom"/>
          </w:tcPr>
          <w:p>
            <w:pPr>
              <w:ind w:left="200"/>
              <w:spacing w:after="0"/>
              <w:rPr>
                <w:sz w:val="20"/>
                <w:szCs w:val="20"/>
                <w:color w:val="auto"/>
              </w:rPr>
            </w:pPr>
            <w:r>
              <w:rPr>
                <w:rFonts w:ascii="Arial" w:cs="Arial" w:eastAsia="Arial" w:hAnsi="Arial"/>
                <w:sz w:val="16"/>
                <w:szCs w:val="16"/>
                <w:color w:val="auto"/>
              </w:rPr>
              <w:t>Weighted average common shares outstanding - Diluted</w:t>
            </w:r>
          </w:p>
        </w:tc>
        <w:tc>
          <w:tcPr>
            <w:tcW w:w="5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40,474</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40,066</w:t>
            </w: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6"/>
        </w:trPr>
        <w:tc>
          <w:tcPr>
            <w:tcW w:w="100" w:type="dxa"/>
            <w:vAlign w:val="bottom"/>
            <w:shd w:val="clear" w:color="auto" w:fill="CCEEFF"/>
          </w:tcPr>
          <w:p>
            <w:pPr>
              <w:spacing w:after="0"/>
              <w:rPr>
                <w:sz w:val="16"/>
                <w:szCs w:val="16"/>
                <w:color w:val="auto"/>
              </w:rPr>
            </w:pPr>
          </w:p>
        </w:tc>
        <w:tc>
          <w:tcPr>
            <w:tcW w:w="6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223"/>
        </w:trPr>
        <w:tc>
          <w:tcPr>
            <w:tcW w:w="10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33"/>
        </w:trPr>
        <w:tc>
          <w:tcPr>
            <w:tcW w:w="1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6"/>
        </w:trPr>
        <w:tc>
          <w:tcPr>
            <w:tcW w:w="10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GAAP net income (loss) attributable to Itron, Inc.</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8,684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(1,907)</w:t>
            </w:r>
          </w:p>
        </w:tc>
      </w:tr>
      <w:tr>
        <w:trPr>
          <w:trHeight w:val="224"/>
        </w:trPr>
        <w:tc>
          <w:tcPr>
            <w:tcW w:w="100" w:type="dxa"/>
            <w:vAlign w:val="bottom"/>
          </w:tcPr>
          <w:p>
            <w:pPr>
              <w:spacing w:after="0"/>
              <w:rPr>
                <w:sz w:val="19"/>
                <w:szCs w:val="19"/>
                <w:color w:val="auto"/>
              </w:rPr>
            </w:pPr>
          </w:p>
        </w:tc>
        <w:tc>
          <w:tcPr>
            <w:tcW w:w="6680" w:type="dxa"/>
            <w:vAlign w:val="bottom"/>
          </w:tcPr>
          <w:p>
            <w:pPr>
              <w:ind w:left="360"/>
              <w:spacing w:after="0"/>
              <w:rPr>
                <w:sz w:val="20"/>
                <w:szCs w:val="20"/>
                <w:color w:val="auto"/>
              </w:rPr>
            </w:pPr>
            <w:r>
              <w:rPr>
                <w:rFonts w:ascii="Arial" w:cs="Arial" w:eastAsia="Arial" w:hAnsi="Arial"/>
                <w:sz w:val="16"/>
                <w:szCs w:val="16"/>
                <w:color w:val="auto"/>
              </w:rPr>
              <w:t>Interest income</w:t>
            </w:r>
          </w:p>
        </w:tc>
        <w:tc>
          <w:tcPr>
            <w:tcW w:w="52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(328)</w:t>
            </w:r>
          </w:p>
        </w:tc>
      </w:tr>
      <w:tr>
        <w:trPr>
          <w:trHeight w:val="33"/>
        </w:trPr>
        <w:tc>
          <w:tcPr>
            <w:tcW w:w="1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11,277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13,535</w:t>
            </w:r>
          </w:p>
        </w:tc>
      </w:tr>
      <w:tr>
        <w:trPr>
          <w:trHeight w:val="223"/>
        </w:trPr>
        <w:tc>
          <w:tcPr>
            <w:tcW w:w="100" w:type="dxa"/>
            <w:vAlign w:val="bottom"/>
          </w:tcPr>
          <w:p>
            <w:pPr>
              <w:spacing w:after="0"/>
              <w:rPr>
                <w:sz w:val="19"/>
                <w:szCs w:val="19"/>
                <w:color w:val="auto"/>
              </w:rPr>
            </w:pPr>
          </w:p>
        </w:tc>
        <w:tc>
          <w:tcPr>
            <w:tcW w:w="6680" w:type="dxa"/>
            <w:vAlign w:val="bottom"/>
          </w:tcPr>
          <w:p>
            <w:pPr>
              <w:ind w:left="360"/>
              <w:spacing w:after="0"/>
              <w:rPr>
                <w:sz w:val="20"/>
                <w:szCs w:val="20"/>
                <w:color w:val="auto"/>
              </w:rPr>
            </w:pPr>
            <w:r>
              <w:rPr>
                <w:rFonts w:ascii="Arial" w:cs="Arial" w:eastAsia="Arial" w:hAnsi="Arial"/>
                <w:sz w:val="16"/>
                <w:szCs w:val="16"/>
                <w:color w:val="auto"/>
              </w:rPr>
              <w:t>Income tax provision</w:t>
            </w: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7,550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6,121</w:t>
            </w:r>
          </w:p>
        </w:tc>
      </w:tr>
      <w:tr>
        <w:trPr>
          <w:trHeight w:val="33"/>
        </w:trPr>
        <w:tc>
          <w:tcPr>
            <w:tcW w:w="1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6"/>
        </w:trPr>
        <w:tc>
          <w:tcPr>
            <w:tcW w:w="10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24,031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28,427</w:t>
            </w:r>
          </w:p>
        </w:tc>
      </w:tr>
      <w:tr>
        <w:trPr>
          <w:trHeight w:val="224"/>
        </w:trPr>
        <w:tc>
          <w:tcPr>
            <w:tcW w:w="100" w:type="dxa"/>
            <w:vAlign w:val="bottom"/>
          </w:tcPr>
          <w:p>
            <w:pPr>
              <w:spacing w:after="0"/>
              <w:rPr>
                <w:sz w:val="19"/>
                <w:szCs w:val="19"/>
                <w:color w:val="auto"/>
              </w:rPr>
            </w:pPr>
          </w:p>
        </w:tc>
        <w:tc>
          <w:tcPr>
            <w:tcW w:w="6680" w:type="dxa"/>
            <w:vAlign w:val="bottom"/>
          </w:tcPr>
          <w:p>
            <w:pPr>
              <w:ind w:left="360"/>
              <w:spacing w:after="0"/>
              <w:rPr>
                <w:sz w:val="20"/>
                <w:szCs w:val="20"/>
                <w:color w:val="auto"/>
              </w:rPr>
            </w:pPr>
            <w:r>
              <w:rPr>
                <w:rFonts w:ascii="Arial" w:cs="Arial" w:eastAsia="Arial" w:hAnsi="Arial"/>
                <w:sz w:val="16"/>
                <w:szCs w:val="16"/>
                <w:color w:val="auto"/>
              </w:rPr>
              <w:t>Restructuring</w:t>
            </w:r>
          </w:p>
        </w:tc>
        <w:tc>
          <w:tcPr>
            <w:tcW w:w="52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7,262</w:t>
            </w:r>
          </w:p>
        </w:tc>
      </w:tr>
      <w:tr>
        <w:trPr>
          <w:trHeight w:val="33"/>
        </w:trPr>
        <w:tc>
          <w:tcPr>
            <w:tcW w:w="1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10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Corporate transition cost</w:t>
            </w: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1,083</w:t>
            </w:r>
          </w:p>
        </w:tc>
      </w:tr>
      <w:tr>
        <w:trPr>
          <w:trHeight w:val="223"/>
        </w:trPr>
        <w:tc>
          <w:tcPr>
            <w:tcW w:w="100" w:type="dxa"/>
            <w:vAlign w:val="bottom"/>
          </w:tcPr>
          <w:p>
            <w:pPr>
              <w:spacing w:after="0"/>
              <w:rPr>
                <w:sz w:val="19"/>
                <w:szCs w:val="19"/>
                <w:color w:val="auto"/>
              </w:rPr>
            </w:pPr>
          </w:p>
        </w:tc>
        <w:tc>
          <w:tcPr>
            <w:tcW w:w="6680" w:type="dxa"/>
            <w:vAlign w:val="bottom"/>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1,272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11,565</w:t>
            </w:r>
          </w:p>
        </w:tc>
      </w:tr>
      <w:tr>
        <w:trPr>
          <w:trHeight w:val="33"/>
        </w:trPr>
        <w:tc>
          <w:tcPr>
            <w:tcW w:w="10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72"/>
        </w:trPr>
        <w:tc>
          <w:tcPr>
            <w:tcW w:w="100" w:type="dxa"/>
            <w:vAlign w:val="bottom"/>
            <w:tcBorders>
              <w:bottom w:val="single" w:sz="8" w:color="CCEEFF"/>
            </w:tcBorders>
            <w:shd w:val="clear" w:color="auto" w:fill="CCEEFF"/>
          </w:tcPr>
          <w:p>
            <w:pPr>
              <w:spacing w:after="0"/>
              <w:rPr>
                <w:sz w:val="23"/>
                <w:szCs w:val="23"/>
                <w:color w:val="auto"/>
              </w:rPr>
            </w:pPr>
          </w:p>
        </w:tc>
        <w:tc>
          <w:tcPr>
            <w:tcW w:w="6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Adjusted EBITDA</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51,973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65,758</w:t>
            </w: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1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36"/>
        </w:trPr>
        <w:tc>
          <w:tcPr>
            <w:tcW w:w="100" w:type="dxa"/>
            <w:vAlign w:val="bottom"/>
            <w:tcBorders>
              <w:bottom w:val="single" w:sz="8" w:color="CCEEFF"/>
            </w:tcBorders>
            <w:shd w:val="clear" w:color="auto" w:fill="CCEEFF"/>
          </w:tcPr>
          <w:p>
            <w:pPr>
              <w:spacing w:after="0"/>
              <w:rPr>
                <w:sz w:val="20"/>
                <w:szCs w:val="20"/>
                <w:color w:val="auto"/>
              </w:rPr>
            </w:pPr>
          </w:p>
        </w:tc>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FREE CASH FLOW</w:t>
            </w: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r>
      <w:tr>
        <w:trPr>
          <w:trHeight w:val="223"/>
        </w:trPr>
        <w:tc>
          <w:tcPr>
            <w:tcW w:w="100" w:type="dxa"/>
            <w:vAlign w:val="bottom"/>
          </w:tcPr>
          <w:p>
            <w:pPr>
              <w:spacing w:after="0"/>
              <w:rPr>
                <w:sz w:val="19"/>
                <w:szCs w:val="19"/>
                <w:color w:val="auto"/>
              </w:rPr>
            </w:pPr>
          </w:p>
        </w:tc>
        <w:tc>
          <w:tcPr>
            <w:tcW w:w="6680" w:type="dxa"/>
            <w:vAlign w:val="bottom"/>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18,894</w:t>
            </w:r>
          </w:p>
        </w:tc>
        <w:tc>
          <w:tcPr>
            <w:tcW w:w="100" w:type="dxa"/>
            <w:vAlign w:val="bottom"/>
          </w:tcPr>
          <w:p>
            <w:pPr>
              <w:spacing w:after="0"/>
              <w:rPr>
                <w:sz w:val="19"/>
                <w:szCs w:val="19"/>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24,924</w:t>
            </w:r>
          </w:p>
        </w:tc>
      </w:tr>
      <w:tr>
        <w:trPr>
          <w:trHeight w:val="33"/>
        </w:trPr>
        <w:tc>
          <w:tcPr>
            <w:tcW w:w="1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6"/>
        </w:trPr>
        <w:tc>
          <w:tcPr>
            <w:tcW w:w="100" w:type="dxa"/>
            <w:vAlign w:val="bottom"/>
            <w:tcBorders>
              <w:bottom w:val="single" w:sz="8" w:color="CCEEFF"/>
            </w:tcBorders>
            <w:shd w:val="clear" w:color="auto" w:fill="CCEEFF"/>
          </w:tcPr>
          <w:p>
            <w:pPr>
              <w:spacing w:after="0"/>
              <w:rPr>
                <w:sz w:val="22"/>
                <w:szCs w:val="22"/>
                <w:color w:val="auto"/>
              </w:rPr>
            </w:pPr>
          </w:p>
        </w:tc>
        <w:tc>
          <w:tcPr>
            <w:tcW w:w="6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Acquisitions of property, plant, and equipment</w:t>
            </w: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(12,602)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(11,415)</w:t>
            </w:r>
          </w:p>
        </w:tc>
      </w:tr>
      <w:tr>
        <w:trPr>
          <w:trHeight w:val="247"/>
        </w:trPr>
        <w:tc>
          <w:tcPr>
            <w:tcW w:w="100" w:type="dxa"/>
            <w:vAlign w:val="bottom"/>
          </w:tcPr>
          <w:p>
            <w:pPr>
              <w:spacing w:after="0"/>
              <w:rPr>
                <w:sz w:val="21"/>
                <w:szCs w:val="21"/>
                <w:color w:val="auto"/>
              </w:rPr>
            </w:pPr>
          </w:p>
        </w:tc>
        <w:tc>
          <w:tcPr>
            <w:tcW w:w="6680" w:type="dxa"/>
            <w:vAlign w:val="bottom"/>
          </w:tcPr>
          <w:p>
            <w:pPr>
              <w:ind w:left="200"/>
              <w:spacing w:after="0"/>
              <w:rPr>
                <w:sz w:val="20"/>
                <w:szCs w:val="20"/>
                <w:color w:val="auto"/>
              </w:rPr>
            </w:pPr>
            <w:r>
              <w:rPr>
                <w:rFonts w:ascii="Arial" w:cs="Arial" w:eastAsia="Arial" w:hAnsi="Arial"/>
                <w:sz w:val="16"/>
                <w:szCs w:val="16"/>
                <w:color w:val="auto"/>
              </w:rPr>
              <w:t>Free Cash Flow</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6,292</w:t>
            </w:r>
          </w:p>
        </w:tc>
        <w:tc>
          <w:tcPr>
            <w:tcW w:w="10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13,509</w:t>
            </w:r>
          </w:p>
        </w:tc>
      </w:tr>
      <w:tr>
        <w:trPr>
          <w:trHeight w:val="23"/>
        </w:trPr>
        <w:tc>
          <w:tcPr>
            <w:tcW w:w="1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763"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exposed to interest rate risk through our variable rate debt instruments. In October 2015, we entered into an interest rate swap, which is effective from August 31, 2016 to June 23, 2020, and converts $214 million of our LIBOR-based debt from a floating LIBOR interest rate to a fixed interest rate of 1.42% (excluding the applicable margin on the debt). The notional balance will amortize to maturity at the same rate as required minimum payments on our term loan. In March 2020, we entered into an interest rate swap, which is effective from June 30, 2020 to June 30, 2023, and converts $240 million of our LIBOR-based debt from a floating LIBOR interest rate to a fixed interest rate of 0.617% (excluding the applicable margin). The notional balance will amortize to maturity at the same rate of originally required amortizations on our term loan. At March 31, 2020, our LIBOR-based debt balance was $950.2 million.</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2015, we entered into three interest rate cap contracts with a total notional amount of $100 million. The interest rate cap contracts expire on June 23, 2020 and were entered into in order to limit our interest rate exposure on $100 million of our variable LIBOR-based debt up to 2.00%. In the event LIBOR is higher than 2.00%, we will pay interest at the capped rate of 2.00% with respect to the $100 million notional amount of such agreements. The interest rate cap contracts do not include the effect of the applicable margin.</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2018, we entered into a cross-currency swap, which converts $56.0 million of floating rate LIBOR-based U.S. dollar denominated debt into 1.38% fixed rate euro denominated debt. This cross-currency swap matures on April 30, 2021 and mitigates the risk associated with fluctuations in interest and currency rates impacting cash flows related to a U.S. dollar denominated debt in a euro functional currency entity.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the weighted average interest rates at March 31, 2020. Weighted average variable rates in the table are based on implied forward rates in the Reuters U.S. dollar yield curve as of March 31, 2020 and our estimated leverage ratio, which determines our additional interest rate margin at March 31, 2020.</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18"/>
                <w:szCs w:val="18"/>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33"/>
        </w:trPr>
        <w:tc>
          <w:tcPr>
            <w:tcW w:w="28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Variable Rate Debt</w:t>
            </w: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8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8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Principal: U.S. dollar term loan</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32,422</w:t>
            </w: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44,063</w:t>
            </w: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44,063</w:t>
            </w: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429,608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550,156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550,136</w:t>
            </w:r>
          </w:p>
        </w:tc>
        <w:tc>
          <w:tcPr>
            <w:tcW w:w="0" w:type="dxa"/>
            <w:vAlign w:val="bottom"/>
          </w:tcPr>
          <w:p>
            <w:pPr>
              <w:spacing w:after="0"/>
              <w:rPr>
                <w:sz w:val="1"/>
                <w:szCs w:val="1"/>
                <w:color w:val="auto"/>
              </w:rPr>
            </w:pPr>
          </w:p>
        </w:tc>
      </w:tr>
      <w:tr>
        <w:trPr>
          <w:trHeight w:val="253"/>
        </w:trPr>
        <w:tc>
          <w:tcPr>
            <w:tcW w:w="2820" w:type="dxa"/>
            <w:vAlign w:val="bottom"/>
          </w:tcPr>
          <w:p>
            <w:pPr>
              <w:ind w:left="100"/>
              <w:spacing w:after="0"/>
              <w:rPr>
                <w:sz w:val="20"/>
                <w:szCs w:val="20"/>
                <w:color w:val="auto"/>
              </w:rPr>
            </w:pPr>
            <w:r>
              <w:rPr>
                <w:rFonts w:ascii="Arial" w:cs="Arial" w:eastAsia="Arial" w:hAnsi="Arial"/>
                <w:sz w:val="16"/>
                <w:szCs w:val="16"/>
                <w:color w:val="auto"/>
              </w:rPr>
              <w:t>Weighted average interest rate</w:t>
            </w: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2.01 %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820" w:type="dxa"/>
            <w:vAlign w:val="bottom"/>
          </w:tcPr>
          <w:p>
            <w:pPr>
              <w:ind w:left="100"/>
              <w:spacing w:after="0" w:line="166" w:lineRule="exact"/>
              <w:rPr>
                <w:sz w:val="20"/>
                <w:szCs w:val="20"/>
                <w:color w:val="auto"/>
              </w:rPr>
            </w:pPr>
            <w:r>
              <w:rPr>
                <w:rFonts w:ascii="Arial" w:cs="Arial" w:eastAsia="Arial" w:hAnsi="Arial"/>
                <w:sz w:val="16"/>
                <w:szCs w:val="16"/>
                <w:color w:val="auto"/>
              </w:rPr>
              <w:t>Principal: Multicurrency revolving line</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39"/>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59"/>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ind w:right="59"/>
              <w:spacing w:after="0"/>
              <w:rPr>
                <w:sz w:val="20"/>
                <w:szCs w:val="20"/>
                <w:color w:val="auto"/>
              </w:rPr>
            </w:pPr>
            <w:r>
              <w:rPr>
                <w:rFonts w:ascii="Arial" w:cs="Arial" w:eastAsia="Arial" w:hAnsi="Arial"/>
                <w:sz w:val="16"/>
                <w:szCs w:val="16"/>
                <w:color w:val="auto"/>
              </w:rPr>
              <w:t>399,984</w:t>
            </w:r>
          </w:p>
        </w:tc>
        <w:tc>
          <w:tcPr>
            <w:tcW w:w="0" w:type="dxa"/>
            <w:vAlign w:val="bottom"/>
          </w:tcPr>
          <w:p>
            <w:pPr>
              <w:spacing w:after="0"/>
              <w:rPr>
                <w:sz w:val="1"/>
                <w:szCs w:val="1"/>
                <w:color w:val="auto"/>
              </w:rPr>
            </w:pPr>
          </w:p>
        </w:tc>
      </w:tr>
      <w:tr>
        <w:trPr>
          <w:trHeight w:val="209"/>
        </w:trPr>
        <w:tc>
          <w:tcPr>
            <w:tcW w:w="2820" w:type="dxa"/>
            <w:vAlign w:val="bottom"/>
          </w:tcPr>
          <w:p>
            <w:pPr>
              <w:ind w:left="360"/>
              <w:spacing w:after="0"/>
              <w:rPr>
                <w:sz w:val="20"/>
                <w:szCs w:val="20"/>
                <w:color w:val="auto"/>
              </w:rPr>
            </w:pPr>
            <w:r>
              <w:rPr>
                <w:rFonts w:ascii="Arial" w:cs="Arial" w:eastAsia="Arial" w:hAnsi="Arial"/>
                <w:sz w:val="16"/>
                <w:szCs w:val="16"/>
                <w:color w:val="auto"/>
              </w:rPr>
              <w:t>of credit</w:t>
            </w:r>
          </w:p>
        </w:tc>
        <w:tc>
          <w:tcPr>
            <w:tcW w:w="24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540" w:type="dxa"/>
            <w:vAlign w:val="bottom"/>
            <w:gridSpan w:val="3"/>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540" w:type="dxa"/>
            <w:vAlign w:val="bottom"/>
            <w:gridSpan w:val="3"/>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540" w:type="dxa"/>
            <w:vAlign w:val="bottom"/>
            <w:gridSpan w:val="3"/>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540" w:type="dxa"/>
            <w:vAlign w:val="bottom"/>
            <w:gridSpan w:val="3"/>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28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Weighted average interest rate</w:t>
            </w: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rate swap</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20" w:type="dxa"/>
            <w:vAlign w:val="bottom"/>
          </w:tcPr>
          <w:p>
            <w:pPr>
              <w:ind w:left="340"/>
              <w:spacing w:after="0"/>
              <w:rPr>
                <w:sz w:val="20"/>
                <w:szCs w:val="20"/>
                <w:color w:val="auto"/>
              </w:rPr>
            </w:pPr>
            <w:r>
              <w:rPr>
                <w:rFonts w:ascii="Arial" w:cs="Arial" w:eastAsia="Arial" w:hAnsi="Arial"/>
                <w:sz w:val="16"/>
                <w:szCs w:val="16"/>
                <w:color w:val="auto"/>
                <w:w w:val="94"/>
              </w:rPr>
              <w:t>Weighted average interest rate (pay)</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20" w:type="dxa"/>
            <w:vAlign w:val="bottom"/>
          </w:tcPr>
          <w:p>
            <w:pPr>
              <w:ind w:left="340"/>
              <w:spacing w:after="0"/>
              <w:rPr>
                <w:sz w:val="20"/>
                <w:szCs w:val="20"/>
                <w:color w:val="auto"/>
              </w:rPr>
            </w:pPr>
            <w:r>
              <w:rPr>
                <w:rFonts w:ascii="Arial" w:cs="Arial" w:eastAsia="Arial" w:hAnsi="Arial"/>
                <w:sz w:val="16"/>
                <w:szCs w:val="16"/>
                <w:color w:val="auto"/>
              </w:rPr>
              <w:t>Fixed</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0.88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0.62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0.62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0.62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Weighted average interest rate</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(receive) Floating LIBOR</w:t>
            </w:r>
          </w:p>
        </w:tc>
        <w:tc>
          <w:tcPr>
            <w:tcW w:w="2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rate cap</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20" w:type="dxa"/>
            <w:vAlign w:val="bottom"/>
          </w:tcPr>
          <w:p>
            <w:pPr>
              <w:ind w:left="340"/>
              <w:spacing w:after="0"/>
              <w:rPr>
                <w:sz w:val="20"/>
                <w:szCs w:val="20"/>
                <w:color w:val="auto"/>
              </w:rPr>
            </w:pPr>
            <w:r>
              <w:rPr>
                <w:rFonts w:ascii="Arial" w:cs="Arial" w:eastAsia="Arial" w:hAnsi="Arial"/>
                <w:sz w:val="16"/>
                <w:szCs w:val="16"/>
                <w:color w:val="auto"/>
              </w:rPr>
              <w:t>Cap rate</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Weighted average interest rate</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Floating LIBOR</w:t>
            </w:r>
          </w:p>
        </w:tc>
        <w:tc>
          <w:tcPr>
            <w:tcW w:w="2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Cross currency swap</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20" w:type="dxa"/>
            <w:vAlign w:val="bottom"/>
          </w:tcPr>
          <w:p>
            <w:pPr>
              <w:ind w:left="340"/>
              <w:spacing w:after="0"/>
              <w:rPr>
                <w:sz w:val="20"/>
                <w:szCs w:val="20"/>
                <w:color w:val="auto"/>
              </w:rPr>
            </w:pPr>
            <w:r>
              <w:rPr>
                <w:rFonts w:ascii="Arial" w:cs="Arial" w:eastAsia="Arial" w:hAnsi="Arial"/>
                <w:sz w:val="16"/>
                <w:szCs w:val="16"/>
                <w:color w:val="auto"/>
                <w:w w:val="94"/>
              </w:rPr>
              <w:t>Weighted average interest rate (pay)</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20" w:type="dxa"/>
            <w:vAlign w:val="bottom"/>
          </w:tcPr>
          <w:p>
            <w:pPr>
              <w:ind w:left="340"/>
              <w:spacing w:after="0"/>
              <w:rPr>
                <w:sz w:val="20"/>
                <w:szCs w:val="20"/>
                <w:color w:val="auto"/>
              </w:rPr>
            </w:pPr>
            <w:r>
              <w:rPr>
                <w:rFonts w:ascii="Arial" w:cs="Arial" w:eastAsia="Arial" w:hAnsi="Arial"/>
                <w:sz w:val="16"/>
                <w:szCs w:val="16"/>
                <w:color w:val="auto"/>
              </w:rPr>
              <w:t>Fixed - EURIBOR</w:t>
            </w:r>
          </w:p>
        </w:tc>
        <w:tc>
          <w:tcPr>
            <w:tcW w:w="2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1.38 %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1.38 %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Weighted average interest rate</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(receive) Floating - LIBOR</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a sensitivity analysis as of March 31, 2020, we estimate that, if market interest rates average one percentage point higher in 2020 than in the table above, our financial results in 2020 would not be materially impacted.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 business in a number of countries. As a result, approximately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were 39% of total revenues for the three months ended March 31, 2020 compared with 37% for the same respective periods in 2019.</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 to other income and expense. We enter into monthly foreign exchange forward contracts, which are not designated for hedge accounting, with the intent to reduce earnings volatility associated with currency exposures. As of March 31, 2020, a total of 53 contracts were offsetting our exposures from the euro, Indonesian rupiah, Chinese yuan, Canadian dollar, Indian rupee and various other currencies, with notional amounts ranging from $113,000 to $26.4 million. Based on a sensitivity analysis as of March 31, 2020, we estimate that, if foreign currency exchange rates average ten percentage points higher in 2019 for these financial instruments, our financial results in 2019 would not be materially impacted.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March 31, 2020,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March 31, 2020 that materially affected, or are reasonably likely to materially affect, internal control over financial reporting.</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(Unaudited), Note 11: Commitments and Contingencies".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complete list of Risk Factors, refer to Item 1A: "Risk Factors" of Part I of our Annual Report on Form 10-K for the fiscal year ended December 31, 2019, which was filed with the Securities and Exchange Commission on February 27, 2020.</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We have been and will continue to be affected by the ongoing COVID-19 pandemic, and such effects could have an adverse effect on our business operations, results of operations, cash flows, and financial condition.</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experienced disruptions to our business from the ongoing COVID-19 pandemic, and the full impact of the COVID-19 pandemic on all aspects of our business and geographic markets is highly uncertain and cannot be predicted with confidence. This includes how it may impact our customers, employees, vendors, strategic partners, managed services, and manufacturing operations. The COVID-19 pandemic has created significant volatility, uncertainty, and economic disruption, which may materially and adversely affect our business operations, cash flows, and financial condition.</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impact of the virus on third parties on which we rely, such as our suppliers, contract manufacturers, distributors, and strategic partners, cannot be fully known or controlled by us. As a result, we may experience difficulties sourcing components and other critical inventory. The impact of the COVID-19 pandemic on our customers and demand for our products is also uncertain. Due to resulting financial constraints, illness within their organizations, quarantine and travel restrictions placed upon our customers’ employees, as well as individual actions our customers may take in response to the spread of COVID-19, our customers may have difficulty in making timely payments to us or may have an inability or unwillingness to purchase our products and services. Also, certain of our projects require regulatory approvals, and our customers may experience delays in regulatory approvals. Any of these effects may materially and adversely affect us.</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company is also taking measures, both voluntary and as a result of government directives and guidance, to mitigate the effects of the COVID-19 pandemic on us and others. These measures include, among others, restrictions on our employees' access to our physical work locations and the purchase of personal protective equipment. Additionally, we have implemented the temporary closure or reduction in operations of certain of our manufacturing facilities, which is disruptive to our operations. We have also implemented measures to allow certain employees to work remotely, which may place a burden on our IT systems and may expose us to increased vulnerability to cyber-attack and other cyber-disruption. Many of these measures may result in incremental costs to us, and such costs may not be recoverable or adequately covered by our insurance. Further, any focus by our management on mitigating COVID-19 effects has required, and will continue to require, a large investment of time and resources, which may delay other value-add initiatives.</w:t>
      </w: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a company with global operations, we are subject to numerous government jurisdictions at all levels that are addressing COVID-19 differently. The guidance and directives provided by these governmental authorities is difficult to predict, may be unclear in their application, and are unknown in duration. This includes uncertainty in governmental authorities’ assessments of our business as “essential”. If governmental authorities were to reverse their designation of our business as “essential”, it could have a material effect on our results of operations and cash flows.</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full extent to which the COVID-19 pandemic impacts us depends on numerous evolving factors and future developments that we are not able to predict at this time, including: medical advancements to treat or stop the virus, governmental, business, and other actions (which could include limitations on our operations to provide products or services); the duration of the outbreak and the related limitations on our ability to conduct business; or the length of time and velocity at which we will return to more normalized operations. In addition, we cannot predict the impact that COVID-19 will have on our customers, vendors, strategic partners, and other business partners, and each of their financial conditions; however, any material effect on these parties could materially and adversely impact us. The impact of COVID-19 may also include possible impairment or other charges and may exacerbate other risks discussed in Item 1A. Risk Factors in our Annual Report on Form 10-K, any of which could have a material effect on us. This situation is changing rapidly and additional impacts may arise that we are not aware of currently.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Issuer Repurchase of Equity Securities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4320" w:type="dxa"/>
            <w:vAlign w:val="bottom"/>
            <w:vMerge w:val="restart"/>
          </w:tcPr>
          <w:p>
            <w:pPr>
              <w:spacing w:after="0"/>
              <w:rPr>
                <w:sz w:val="20"/>
                <w:szCs w:val="20"/>
                <w:color w:val="auto"/>
              </w:rPr>
            </w:pPr>
            <w:r>
              <w:rPr>
                <w:rFonts w:ascii="Arial" w:cs="Arial" w:eastAsia="Arial" w:hAnsi="Arial"/>
                <w:sz w:val="16"/>
                <w:szCs w:val="16"/>
                <w:b w:val="1"/>
                <w:bCs w:val="1"/>
                <w:color w:val="auto"/>
              </w:rPr>
              <w:t>Period</w:t>
            </w:r>
          </w:p>
        </w:tc>
        <w:tc>
          <w:tcPr>
            <w:tcW w:w="120" w:type="dxa"/>
            <w:vAlign w:val="bottom"/>
            <w:vMerge w:val="restart"/>
          </w:tcPr>
          <w:p>
            <w:pPr>
              <w:spacing w:after="0"/>
              <w:rPr>
                <w:sz w:val="16"/>
                <w:szCs w:val="16"/>
                <w:color w:val="auto"/>
              </w:rPr>
            </w:pPr>
          </w:p>
        </w:tc>
        <w:tc>
          <w:tcPr>
            <w:tcW w:w="1580" w:type="dxa"/>
            <w:vAlign w:val="bottom"/>
          </w:tcPr>
          <w:p>
            <w:pPr>
              <w:jc w:val="right"/>
              <w:ind w:right="139"/>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Average Price Paid</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580" w:type="dxa"/>
            <w:vAlign w:val="bottom"/>
            <w:tcBorders>
              <w:bottom w:val="single" w:sz="8" w:color="auto"/>
            </w:tcBorders>
          </w:tcPr>
          <w:p>
            <w:pPr>
              <w:jc w:val="right"/>
              <w:ind w:right="19"/>
              <w:spacing w:after="0" w:line="216" w:lineRule="exact"/>
              <w:rPr>
                <w:sz w:val="20"/>
                <w:szCs w:val="20"/>
                <w:color w:val="auto"/>
              </w:rPr>
            </w:pPr>
            <w:r>
              <w:rPr>
                <w:rFonts w:ascii="Arial" w:cs="Arial" w:eastAsia="Arial" w:hAnsi="Arial"/>
                <w:sz w:val="16"/>
                <w:szCs w:val="16"/>
                <w:b w:val="1"/>
                <w:bCs w:val="1"/>
                <w:color w:val="auto"/>
                <w:w w:val="90"/>
              </w:rPr>
              <w:t xml:space="preserve">Shares Purchased </w:t>
            </w:r>
            <w:r>
              <w:rPr>
                <w:rFonts w:ascii="Arial" w:cs="Arial" w:eastAsia="Arial" w:hAnsi="Arial"/>
                <w:sz w:val="21"/>
                <w:szCs w:val="21"/>
                <w:b w:val="1"/>
                <w:bCs w:val="1"/>
                <w:color w:val="auto"/>
                <w:w w:val="90"/>
                <w:vertAlign w:val="superscript"/>
              </w:rPr>
              <w:t>(1)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99"/>
              <w:spacing w:after="0" w:line="216" w:lineRule="exact"/>
              <w:rPr>
                <w:sz w:val="20"/>
                <w:szCs w:val="20"/>
                <w:color w:val="auto"/>
              </w:rPr>
            </w:pPr>
            <w:r>
              <w:rPr>
                <w:rFonts w:ascii="Arial" w:cs="Arial" w:eastAsia="Arial" w:hAnsi="Arial"/>
                <w:sz w:val="16"/>
                <w:szCs w:val="16"/>
                <w:b w:val="1"/>
                <w:bCs w:val="1"/>
                <w:color w:val="auto"/>
              </w:rPr>
              <w:t xml:space="preserve">per Share </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474"/>
        </w:trPr>
        <w:tc>
          <w:tcPr>
            <w:tcW w:w="4440" w:type="dxa"/>
            <w:vAlign w:val="bottom"/>
            <w:gridSpan w:val="2"/>
          </w:tcPr>
          <w:p>
            <w:pPr>
              <w:spacing w:after="0"/>
              <w:rPr>
                <w:sz w:val="20"/>
                <w:szCs w:val="20"/>
                <w:color w:val="auto"/>
              </w:rPr>
            </w:pPr>
            <w:r>
              <w:rPr>
                <w:rFonts w:ascii="Arial" w:cs="Arial" w:eastAsia="Arial" w:hAnsi="Arial"/>
                <w:sz w:val="16"/>
                <w:szCs w:val="16"/>
                <w:color w:val="auto"/>
              </w:rPr>
              <w:t>January 1 through January 31, 2020</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4440" w:type="dxa"/>
            <w:vAlign w:val="bottom"/>
            <w:gridSpan w:val="2"/>
          </w:tcPr>
          <w:p>
            <w:pPr>
              <w:spacing w:after="0"/>
              <w:rPr>
                <w:sz w:val="20"/>
                <w:szCs w:val="20"/>
                <w:color w:val="auto"/>
              </w:rPr>
            </w:pPr>
            <w:r>
              <w:rPr>
                <w:rFonts w:ascii="Arial" w:cs="Arial" w:eastAsia="Arial" w:hAnsi="Arial"/>
                <w:sz w:val="16"/>
                <w:szCs w:val="16"/>
                <w:color w:val="auto"/>
              </w:rPr>
              <w:t>February 1, 2020 through February 29, 2020</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8,082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82.10</w:t>
            </w:r>
          </w:p>
        </w:tc>
        <w:tc>
          <w:tcPr>
            <w:tcW w:w="0" w:type="dxa"/>
            <w:vAlign w:val="bottom"/>
          </w:tcPr>
          <w:p>
            <w:pPr>
              <w:spacing w:after="0"/>
              <w:rPr>
                <w:sz w:val="1"/>
                <w:szCs w:val="1"/>
                <w:color w:val="auto"/>
              </w:rPr>
            </w:pPr>
          </w:p>
        </w:tc>
      </w:tr>
      <w:tr>
        <w:trPr>
          <w:trHeight w:val="257"/>
        </w:trPr>
        <w:tc>
          <w:tcPr>
            <w:tcW w:w="4440" w:type="dxa"/>
            <w:vAlign w:val="bottom"/>
            <w:gridSpan w:val="2"/>
          </w:tcPr>
          <w:p>
            <w:pPr>
              <w:spacing w:after="0"/>
              <w:rPr>
                <w:sz w:val="20"/>
                <w:szCs w:val="20"/>
                <w:color w:val="auto"/>
              </w:rPr>
            </w:pPr>
            <w:r>
              <w:rPr>
                <w:rFonts w:ascii="Arial" w:cs="Arial" w:eastAsia="Arial" w:hAnsi="Arial"/>
                <w:sz w:val="16"/>
                <w:szCs w:val="16"/>
                <w:color w:val="auto"/>
              </w:rPr>
              <w:t>March 1, 2020 through March 31, 2020</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440" w:type="dxa"/>
            <w:vAlign w:val="bottom"/>
            <w:gridSpan w:val="2"/>
          </w:tcPr>
          <w:p>
            <w:pPr>
              <w:ind w:left="200"/>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8,082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-694055</wp:posOffset>
            </wp:positionV>
            <wp:extent cx="705485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54850" cy="16319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-368300</wp:posOffset>
            </wp:positionV>
            <wp:extent cx="705485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5485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Maximum Dollar</w:t>
            </w: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 as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Value of Shares that</w:t>
            </w: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4"/>
              </w:rPr>
              <w:t>Part of Publicly</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May Yet Be</w:t>
            </w: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1"/>
              </w:rPr>
              <w:t>Announced Plans or</w:t>
            </w:r>
          </w:p>
        </w:tc>
        <w:tc>
          <w:tcPr>
            <w:tcW w:w="12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Purchased Under the</w:t>
            </w:r>
          </w:p>
        </w:tc>
      </w:tr>
      <w:tr>
        <w:trPr>
          <w:trHeight w:val="210"/>
        </w:trPr>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Plans or Programs</w:t>
            </w:r>
          </w:p>
        </w:tc>
      </w:tr>
      <w:tr>
        <w:trPr>
          <w:trHeight w:val="33"/>
        </w:trPr>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center"/>
              <w:ind w:right="19"/>
              <w:spacing w:after="0"/>
              <w:rPr>
                <w:sz w:val="20"/>
                <w:szCs w:val="20"/>
                <w:color w:val="auto"/>
              </w:rPr>
            </w:pPr>
            <w:r>
              <w:rPr>
                <w:rFonts w:ascii="Arial" w:cs="Arial" w:eastAsia="Arial" w:hAnsi="Arial"/>
                <w:sz w:val="16"/>
                <w:szCs w:val="16"/>
                <w:i w:val="1"/>
                <w:iCs w:val="1"/>
                <w:color w:val="auto"/>
                <w:w w:val="90"/>
              </w:rPr>
              <w:t>(in thousands)</w:t>
            </w:r>
          </w:p>
        </w:tc>
      </w:tr>
      <w:tr>
        <w:trPr>
          <w:trHeight w:val="257"/>
        </w:trPr>
        <w:tc>
          <w:tcPr>
            <w:tcW w:w="1580" w:type="dxa"/>
            <w:vAlign w:val="bottom"/>
          </w:tcPr>
          <w:p>
            <w:pPr>
              <w:ind w:left="126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25,000</w:t>
            </w:r>
          </w:p>
        </w:tc>
      </w:tr>
      <w:tr>
        <w:trPr>
          <w:trHeight w:val="257"/>
        </w:trPr>
        <w:tc>
          <w:tcPr>
            <w:tcW w:w="1580" w:type="dxa"/>
            <w:vAlign w:val="bottom"/>
          </w:tcPr>
          <w:p>
            <w:pPr>
              <w:ind w:left="1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25,000</w:t>
            </w:r>
          </w:p>
        </w:tc>
      </w:tr>
      <w:tr>
        <w:trPr>
          <w:trHeight w:val="257"/>
        </w:trPr>
        <w:tc>
          <w:tcPr>
            <w:tcW w:w="1580" w:type="dxa"/>
            <w:vAlign w:val="bottom"/>
          </w:tcPr>
          <w:p>
            <w:pPr>
              <w:ind w:left="1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7"/>
        </w:trPr>
        <w:tc>
          <w:tcPr>
            <w:tcW w:w="1580" w:type="dxa"/>
            <w:vAlign w:val="bottom"/>
          </w:tcPr>
          <w:p>
            <w:pPr>
              <w:ind w:left="1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00" w:space="100"/>
            <w:col w:w="3340"/>
          </w:cols>
          <w:pgMar w:left="320" w:top="125" w:right="339" w:bottom="1440" w:gutter="0" w:footer="0" w:header="0"/>
        </w:sectPr>
      </w:pPr>
    </w:p>
    <w:p>
      <w:pPr>
        <w:spacing w:after="0" w:line="141" w:lineRule="exact"/>
        <w:rPr>
          <w:sz w:val="20"/>
          <w:szCs w:val="20"/>
          <w:color w:val="auto"/>
        </w:rPr>
      </w:pPr>
    </w:p>
    <w:p>
      <w:pPr>
        <w:jc w:val="both"/>
        <w:ind w:left="340" w:hanging="332"/>
        <w:spacing w:after="0" w:line="233" w:lineRule="auto"/>
        <w:tabs>
          <w:tab w:leader="none" w:pos="32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Shares repurchased represent shares transferred to us by certain employees who vested in restricted stock units and used shares to pay all, or a portion of, the related taxes. On March 14, 2019, Itron's Board authorized a repurchase program of up to $50 million of our common stock over a 12-month period. Repurchases are made in the open market or in privately negotiated transactions, and in accordance with applicable securities laws. There were no repurchases of equity securities during the quarter ended March 31, 2020.</w:t>
      </w:r>
    </w:p>
    <w:p>
      <w:pPr>
        <w:spacing w:after="0" w:line="4"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Includes commissions.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first quarter of 2020 that was not reported.</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spacing w:after="0"/>
              <w:rPr>
                <w:rFonts w:ascii="Arial" w:cs="Arial" w:eastAsia="Arial" w:hAnsi="Arial"/>
                <w:sz w:val="18"/>
                <w:szCs w:val="18"/>
                <w:u w:val="single" w:color="auto"/>
                <w:color w:val="0000FF"/>
                <w:w w:val="95"/>
              </w:rPr>
            </w:pPr>
            <w:hyperlink w:anchor="page1">
              <w:r>
                <w:rPr>
                  <w:rFonts w:ascii="Arial" w:cs="Arial" w:eastAsia="Arial" w:hAnsi="Arial"/>
                  <w:sz w:val="18"/>
                  <w:szCs w:val="18"/>
                  <w:u w:val="single" w:color="auto"/>
                  <w:color w:val="0000FF"/>
                  <w:w w:val="95"/>
                </w:rPr>
                <w:t>Table of Contents</w:t>
              </w:r>
            </w:hyperlink>
          </w:p>
        </w:tc>
        <w:tc>
          <w:tcPr>
            <w:tcW w:w="9840" w:type="dxa"/>
            <w:vAlign w:val="bottom"/>
          </w:tcPr>
          <w:p>
            <w:pPr>
              <w:spacing w:after="0"/>
              <w:rPr>
                <w:sz w:val="20"/>
                <w:szCs w:val="20"/>
                <w:color w:val="auto"/>
              </w:rPr>
            </w:pPr>
          </w:p>
        </w:tc>
      </w:tr>
      <w:tr>
        <w:trPr>
          <w:trHeight w:val="769"/>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840" w:type="dxa"/>
            <w:vAlign w:val="bottom"/>
          </w:tcPr>
          <w:p>
            <w:pPr>
              <w:spacing w:after="0"/>
              <w:rPr>
                <w:sz w:val="24"/>
                <w:szCs w:val="24"/>
                <w:color w:val="auto"/>
              </w:rPr>
            </w:pPr>
          </w:p>
        </w:tc>
      </w:tr>
      <w:tr>
        <w:trPr>
          <w:trHeight w:val="495"/>
        </w:trPr>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9840" w:type="dxa"/>
            <w:vAlign w:val="bottom"/>
          </w:tcPr>
          <w:p>
            <w:pPr>
              <w:spacing w:after="0"/>
              <w:rPr>
                <w:sz w:val="24"/>
                <w:szCs w:val="24"/>
                <w:color w:val="auto"/>
              </w:rPr>
            </w:pPr>
          </w:p>
        </w:tc>
      </w:tr>
      <w:tr>
        <w:trPr>
          <w:trHeight w:val="234"/>
        </w:trPr>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9840" w:type="dxa"/>
            <w:vAlign w:val="bottom"/>
          </w:tcPr>
          <w:p>
            <w:pPr>
              <w:ind w:left="20"/>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840" w:type="dxa"/>
            <w:vAlign w:val="bottom"/>
            <w:tcBorders>
              <w:bottom w:val="single" w:sz="8" w:color="auto"/>
            </w:tcBorders>
          </w:tcPr>
          <w:p>
            <w:pPr>
              <w:spacing w:after="0"/>
              <w:rPr>
                <w:sz w:val="2"/>
                <w:szCs w:val="2"/>
                <w:color w:val="auto"/>
              </w:rPr>
            </w:pPr>
          </w:p>
        </w:tc>
      </w:tr>
      <w:tr>
        <w:trPr>
          <w:trHeight w:val="493"/>
        </w:trPr>
        <w:tc>
          <w:tcPr>
            <w:tcW w:w="1220" w:type="dxa"/>
            <w:vAlign w:val="bottom"/>
          </w:tcPr>
          <w:p>
            <w:pPr>
              <w:ind w:left="50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9840" w:type="dxa"/>
            <w:vAlign w:val="bottom"/>
          </w:tcPr>
          <w:p>
            <w:pPr>
              <w:ind w:left="2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Certification Pursuant to Section 302 of the Sarbanes-Oxley Act of 2002.</w:t>
              </w:r>
            </w:hyperlink>
          </w:p>
        </w:tc>
      </w:tr>
      <w:tr>
        <w:trPr>
          <w:trHeight w:val="540"/>
        </w:trPr>
        <w:tc>
          <w:tcPr>
            <w:tcW w:w="1220" w:type="dxa"/>
            <w:vAlign w:val="bottom"/>
          </w:tcPr>
          <w:p>
            <w:pPr>
              <w:ind w:left="50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9840" w:type="dxa"/>
            <w:vAlign w:val="bottom"/>
          </w:tcPr>
          <w:p>
            <w:pPr>
              <w:ind w:left="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Certification Pursuant to Section 302 of the Sarbanes-Oxley Act of 2002.</w:t>
              </w:r>
            </w:hyperlink>
          </w:p>
        </w:tc>
      </w:tr>
      <w:tr>
        <w:trPr>
          <w:trHeight w:val="540"/>
        </w:trPr>
        <w:tc>
          <w:tcPr>
            <w:tcW w:w="1220" w:type="dxa"/>
            <w:vAlign w:val="bottom"/>
          </w:tcPr>
          <w:p>
            <w:pPr>
              <w:ind w:left="50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9840" w:type="dxa"/>
            <w:vAlign w:val="bottom"/>
          </w:tcPr>
          <w:p>
            <w:pPr>
              <w:ind w:left="2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Certification Pursuant to Section 906 of the Sarbanes-Oxley Act of 2002.</w:t>
              </w:r>
            </w:hyperlink>
          </w:p>
        </w:tc>
      </w:tr>
    </w:tbl>
    <w:p>
      <w:pPr>
        <w:spacing w:after="0" w:line="310" w:lineRule="exact"/>
        <w:rPr>
          <w:sz w:val="20"/>
          <w:szCs w:val="20"/>
          <w:color w:val="auto"/>
        </w:rPr>
      </w:pPr>
    </w:p>
    <w:p>
      <w:pPr>
        <w:jc w:val="both"/>
        <w:ind w:left="1400" w:right="20" w:hanging="920"/>
        <w:spacing w:after="0" w:line="279" w:lineRule="auto"/>
        <w:tabs>
          <w:tab w:leader="none" w:pos="14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following financial information from Itron, Inc.'s Quarterly Report on Form 10-Q for the quarter ended March 31, 2020 formatted in Inline XBRL (Extensible Business Reporting Language) includes: (i) the Consolidated Statements of Operations, (ii) the Consolidated Statements of Comprehensive Income (Loss), (iii) the Consolidated Balance Sheets, (iv) the Consolidated Statements of Equity, (v) the Consolidated Statements of Cash Flows, and (vi) Notes to the Consolidated Financial Statements.</w:t>
      </w:r>
    </w:p>
    <w:p>
      <w:pPr>
        <w:spacing w:after="0" w:line="279" w:lineRule="exact"/>
        <w:rPr>
          <w:sz w:val="20"/>
          <w:szCs w:val="20"/>
          <w:color w:val="auto"/>
        </w:rPr>
      </w:pPr>
    </w:p>
    <w:p>
      <w:pPr>
        <w:ind w:left="1400" w:hanging="920"/>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360" w:type="dxa"/>
            <w:vAlign w:val="bottom"/>
          </w:tcPr>
          <w:p>
            <w:pPr>
              <w:ind w:left="2300"/>
              <w:spacing w:after="0"/>
              <w:rPr>
                <w:sz w:val="20"/>
                <w:szCs w:val="20"/>
                <w:color w:val="auto"/>
              </w:rPr>
            </w:pPr>
            <w:r>
              <w:rPr>
                <w:rFonts w:ascii="Arial" w:cs="Arial" w:eastAsia="Arial" w:hAnsi="Arial"/>
                <w:sz w:val="18"/>
                <w:szCs w:val="18"/>
                <w:color w:val="auto"/>
              </w:rPr>
              <w:t>ITRON, INC.</w:t>
            </w:r>
          </w:p>
        </w:tc>
      </w:tr>
      <w:tr>
        <w:trPr>
          <w:trHeight w:val="526"/>
        </w:trPr>
        <w:tc>
          <w:tcPr>
            <w:tcW w:w="3600" w:type="dxa"/>
            <w:vAlign w:val="bottom"/>
          </w:tcPr>
          <w:p>
            <w:pPr>
              <w:jc w:val="center"/>
              <w:spacing w:after="0"/>
              <w:rPr>
                <w:sz w:val="20"/>
                <w:szCs w:val="20"/>
                <w:color w:val="auto"/>
              </w:rPr>
            </w:pPr>
            <w:r>
              <w:rPr>
                <w:rFonts w:ascii="Arial" w:cs="Arial" w:eastAsia="Arial" w:hAnsi="Arial"/>
                <w:sz w:val="18"/>
                <w:szCs w:val="18"/>
                <w:color w:val="auto"/>
                <w:w w:val="92"/>
              </w:rPr>
              <w:t>May 4, 2020</w:t>
            </w:r>
          </w:p>
        </w:tc>
        <w:tc>
          <w:tcPr>
            <w:tcW w:w="1260" w:type="dxa"/>
            <w:vAlign w:val="bottom"/>
          </w:tcPr>
          <w:p>
            <w:pPr>
              <w:ind w:left="540"/>
              <w:spacing w:after="0"/>
              <w:rPr>
                <w:sz w:val="20"/>
                <w:szCs w:val="20"/>
                <w:color w:val="auto"/>
              </w:rPr>
            </w:pPr>
            <w:r>
              <w:rPr>
                <w:rFonts w:ascii="Arial" w:cs="Arial" w:eastAsia="Arial" w:hAnsi="Arial"/>
                <w:sz w:val="18"/>
                <w:szCs w:val="18"/>
                <w:color w:val="auto"/>
              </w:rPr>
              <w:t>By:</w:t>
            </w:r>
          </w:p>
        </w:tc>
        <w:tc>
          <w:tcPr>
            <w:tcW w:w="6360" w:type="dxa"/>
            <w:vAlign w:val="bottom"/>
          </w:tcPr>
          <w:p>
            <w:pPr>
              <w:jc w:val="center"/>
              <w:spacing w:after="0"/>
              <w:rPr>
                <w:sz w:val="20"/>
                <w:szCs w:val="20"/>
                <w:color w:val="auto"/>
              </w:rPr>
            </w:pPr>
            <w:r>
              <w:rPr>
                <w:rFonts w:ascii="Arial" w:cs="Arial" w:eastAsia="Arial" w:hAnsi="Arial"/>
                <w:sz w:val="18"/>
                <w:szCs w:val="18"/>
                <w:color w:val="auto"/>
                <w:w w:val="92"/>
              </w:rPr>
              <w:t>/s/ JOAN S. HOOPER</w:t>
            </w:r>
          </w:p>
        </w:tc>
      </w:tr>
      <w:tr>
        <w:trPr>
          <w:trHeight w:val="27"/>
        </w:trPr>
        <w:tc>
          <w:tcPr>
            <w:tcW w:w="36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tcPr>
          <w:p>
            <w:pPr>
              <w:spacing w:after="0"/>
              <w:rPr>
                <w:sz w:val="20"/>
                <w:szCs w:val="20"/>
                <w:color w:val="auto"/>
              </w:rPr>
            </w:pPr>
          </w:p>
        </w:tc>
        <w:tc>
          <w:tcPr>
            <w:tcW w:w="6360" w:type="dxa"/>
            <w:vAlign w:val="bottom"/>
          </w:tcPr>
          <w:p>
            <w:pPr>
              <w:jc w:val="center"/>
              <w:spacing w:after="0"/>
              <w:rPr>
                <w:sz w:val="20"/>
                <w:szCs w:val="20"/>
                <w:color w:val="auto"/>
              </w:rPr>
            </w:pPr>
            <w:r>
              <w:rPr>
                <w:rFonts w:ascii="Arial" w:cs="Arial" w:eastAsia="Arial" w:hAnsi="Arial"/>
                <w:sz w:val="18"/>
                <w:szCs w:val="18"/>
                <w:b w:val="1"/>
                <w:bCs w:val="1"/>
                <w:color w:val="auto"/>
                <w:w w:val="90"/>
              </w:rPr>
              <w:t>Joan S. Hooper</w:t>
            </w:r>
          </w:p>
        </w:tc>
      </w:tr>
      <w:tr>
        <w:trPr>
          <w:trHeight w:val="270"/>
        </w:trPr>
        <w:tc>
          <w:tcPr>
            <w:tcW w:w="36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360" w:type="dxa"/>
            <w:vAlign w:val="bottom"/>
          </w:tcPr>
          <w:p>
            <w:pPr>
              <w:jc w:val="center"/>
              <w:spacing w:after="0"/>
              <w:rPr>
                <w:sz w:val="20"/>
                <w:szCs w:val="20"/>
                <w:color w:val="auto"/>
              </w:rPr>
            </w:pPr>
            <w:r>
              <w:rPr>
                <w:rFonts w:ascii="Arial" w:cs="Arial" w:eastAsia="Arial" w:hAnsi="Arial"/>
                <w:sz w:val="18"/>
                <w:szCs w:val="18"/>
                <w:b w:val="1"/>
                <w:bCs w:val="1"/>
                <w:color w:val="auto"/>
                <w:w w:val="90"/>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Thomas L. Deitrich, certify that:</w:t>
      </w:r>
    </w:p>
    <w:p>
      <w:pPr>
        <w:spacing w:after="0" w:line="25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20" w:hanging="324"/>
        <w:spacing w:after="0" w:line="308" w:lineRule="auto"/>
        <w:tabs>
          <w:tab w:leader="none" w:pos="971"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ITRON, INC.</w:t>
      </w:r>
    </w:p>
    <w:p>
      <w:pPr>
        <w:spacing w:after="0" w:line="171" w:lineRule="exact"/>
        <w:rPr>
          <w:sz w:val="20"/>
          <w:szCs w:val="20"/>
          <w:color w:val="auto"/>
        </w:rPr>
      </w:pPr>
    </w:p>
    <w:p>
      <w:pPr>
        <w:ind w:left="5400"/>
        <w:spacing w:after="0"/>
        <w:tabs>
          <w:tab w:leader="none" w:pos="7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31750</wp:posOffset>
            </wp:positionV>
            <wp:extent cx="33089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Thomas L. Deitrich</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4, 2020</w:t>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Joan S. Hooper, certify that:</w:t>
      </w:r>
    </w:p>
    <w:p>
      <w:pPr>
        <w:spacing w:after="0" w:line="25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7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20" w:hanging="324"/>
        <w:spacing w:after="0" w:line="308" w:lineRule="auto"/>
        <w:tabs>
          <w:tab w:leader="none" w:pos="971"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ITRON, INC.</w:t>
      </w:r>
    </w:p>
    <w:p>
      <w:pPr>
        <w:spacing w:after="0" w:line="171" w:lineRule="exact"/>
        <w:rPr>
          <w:sz w:val="20"/>
          <w:szCs w:val="20"/>
          <w:color w:val="auto"/>
        </w:rPr>
      </w:pPr>
    </w:p>
    <w:p>
      <w:pPr>
        <w:ind w:left="540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31750</wp:posOffset>
            </wp:positionV>
            <wp:extent cx="33089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Joan S. Hooper</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4, 2020</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March 31, 2020 (the Report) for the purpose of complying with Rule 13a-14(b) or Rule 15d-14(b) of the Securities Exchange Act of 1934 and Section 1350 of Chapter 63 of Title 18 of the United States Code.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Thomas L. Deitrich, the Chief Executive Officer and Joan S. Hooper, the Chief Financial Officer of the Company, each certifies that to the best of his or her knowledge:</w:t>
      </w:r>
    </w:p>
    <w:p>
      <w:pPr>
        <w:spacing w:after="0" w:line="170" w:lineRule="exact"/>
        <w:rPr>
          <w:sz w:val="20"/>
          <w:szCs w:val="20"/>
          <w:color w:val="auto"/>
        </w:rPr>
      </w:pPr>
    </w:p>
    <w:p>
      <w:pPr>
        <w:ind w:left="700" w:hanging="247"/>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47"/>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gridSpan w:val="2"/>
          </w:tcPr>
          <w:p>
            <w:pPr>
              <w:jc w:val="center"/>
              <w:ind w:right="520"/>
              <w:spacing w:after="0"/>
              <w:rPr>
                <w:sz w:val="20"/>
                <w:szCs w:val="20"/>
                <w:color w:val="auto"/>
              </w:rPr>
            </w:pPr>
            <w:r>
              <w:rPr>
                <w:rFonts w:ascii="Arial" w:cs="Arial" w:eastAsia="Arial" w:hAnsi="Arial"/>
                <w:sz w:val="18"/>
                <w:szCs w:val="18"/>
                <w:color w:val="auto"/>
                <w:w w:val="97"/>
              </w:rPr>
              <w:t>/s/ THOMAS L. DEITRICH</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May 4, 2020</w:t>
            </w:r>
          </w:p>
        </w:tc>
      </w:tr>
      <w:tr>
        <w:trPr>
          <w:trHeight w:val="27"/>
        </w:trPr>
        <w:tc>
          <w:tcPr>
            <w:tcW w:w="54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18"/>
        </w:trPr>
        <w:tc>
          <w:tcPr>
            <w:tcW w:w="60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3"/>
              </w:rPr>
              <w:t>Thomas L. Deitrich</w:t>
            </w:r>
          </w:p>
        </w:tc>
        <w:tc>
          <w:tcPr>
            <w:tcW w:w="3340" w:type="dxa"/>
            <w:vAlign w:val="bottom"/>
          </w:tcPr>
          <w:p>
            <w:pPr>
              <w:spacing w:after="0"/>
              <w:rPr>
                <w:sz w:val="18"/>
                <w:szCs w:val="18"/>
                <w:color w:val="auto"/>
              </w:rPr>
            </w:pPr>
          </w:p>
        </w:tc>
      </w:tr>
      <w:tr>
        <w:trPr>
          <w:trHeight w:val="234"/>
        </w:trPr>
        <w:tc>
          <w:tcPr>
            <w:tcW w:w="60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/s/ JOAN S. HOOPER</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May 4, 2020</w:t>
            </w:r>
          </w:p>
        </w:tc>
        <w:tc>
          <w:tcPr>
            <w:tcW w:w="0" w:type="dxa"/>
            <w:vAlign w:val="bottom"/>
          </w:tcPr>
          <w:p>
            <w:pPr>
              <w:spacing w:after="0"/>
              <w:rPr>
                <w:sz w:val="1"/>
                <w:szCs w:val="1"/>
                <w:color w:val="auto"/>
              </w:rPr>
            </w:pPr>
          </w:p>
        </w:tc>
      </w:tr>
      <w:tr>
        <w:trPr>
          <w:trHeight w:val="27"/>
        </w:trPr>
        <w:tc>
          <w:tcPr>
            <w:tcW w:w="54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Joan S. Hooper</w:t>
            </w:r>
          </w:p>
        </w:tc>
        <w:tc>
          <w:tcPr>
            <w:tcW w:w="3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126"/>
        </w:trPr>
        <w:tc>
          <w:tcPr>
            <w:tcW w:w="6020" w:type="dxa"/>
            <w:vAlign w:val="bottom"/>
            <w:gridSpan w:val="2"/>
            <w:vMerge w:val="restart"/>
          </w:tcPr>
          <w:p>
            <w:pPr>
              <w:jc w:val="center"/>
              <w:ind w:right="540"/>
              <w:spacing w:after="0"/>
              <w:rPr>
                <w:sz w:val="20"/>
                <w:szCs w:val="20"/>
                <w:color w:val="auto"/>
              </w:rPr>
            </w:pPr>
            <w:r>
              <w:rPr>
                <w:rFonts w:ascii="Arial" w:cs="Arial" w:eastAsia="Arial" w:hAnsi="Arial"/>
                <w:sz w:val="18"/>
                <w:szCs w:val="18"/>
                <w:b w:val="1"/>
                <w:bCs w:val="1"/>
                <w:color w:val="auto"/>
                <w:w w:val="90"/>
              </w:rPr>
              <w:t>Senior Vice President and Chief Financial Officer</w:t>
            </w:r>
          </w:p>
        </w:tc>
        <w:tc>
          <w:tcPr>
            <w:tcW w:w="3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20" w:type="dxa"/>
            <w:vAlign w:val="bottom"/>
            <w:gridSpan w:val="2"/>
            <w:vMerge w:val="continue"/>
          </w:tcPr>
          <w:p>
            <w:pPr>
              <w:spacing w:after="0"/>
              <w:rPr>
                <w:sz w:val="9"/>
                <w:szCs w:val="9"/>
                <w:color w:val="auto"/>
              </w:rPr>
            </w:pPr>
          </w:p>
        </w:tc>
        <w:tc>
          <w:tcPr>
            <w:tcW w:w="3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decimal"/>
      <w:start w:val="101"/>
    </w:lvl>
  </w:abstractNum>
  <w:abstractNum w:abstractNumId="12">
    <w:nsid w:val="7FDCC233"/>
    <w:multiLevelType w:val="hybridMultilevel"/>
    <w:lvl w:ilvl="0">
      <w:lvlJc w:val="left"/>
      <w:lvlText w:val="%1"/>
      <w:numFmt w:val="decimal"/>
      <w:start w:val="104"/>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2020-05-05T05:13:08Z</dcterms:created>
  <dcterms:modified xsi:type="dcterms:W3CDTF">2020-05-05T05:13:08Z</dcterms:modified>
</cp:coreProperties>
</file>