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1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20"/>
          </w:cols>
          <w:pgMar w:left="240" w:top="230" w:right="439" w:bottom="1440" w:gutter="0" w:footer="0" w:header="0"/>
        </w:sectPr>
      </w:pPr>
    </w:p>
    <w:p>
      <w:pPr>
        <w:spacing w:after="0" w:line="10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840" w:space="620"/>
            <w:col w:w="776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5"/>
          <w:szCs w:val="15"/>
          <w:b w:val="1"/>
          <w:bCs w:val="1"/>
          <w:color w:val="auto"/>
        </w:rPr>
        <w:t>Commission file number 000-22418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tbl>
      <w:tblPr>
        <w:tblLayout w:type="fixed"/>
        <w:tblInd w:w="2180" w:type="dxa"/>
        <w:tblCellMar>
          <w:top w:w="0" w:type="dxa"/>
          <w:left w:w="0" w:type="dxa"/>
          <w:bottom w:w="0" w:type="dxa"/>
          <w:right w:w="0" w:type="dxa"/>
        </w:tblCellMar>
      </w:tblPr>
      <w:tr>
        <w:trPr>
          <w:trHeight w:val="530"/>
        </w:trPr>
        <w:tc>
          <w:tcPr>
            <w:tcW w:w="1700" w:type="dxa"/>
            <w:vAlign w:val="bottom"/>
          </w:tcPr>
          <w:p>
            <w:pPr>
              <w:spacing w:after="0"/>
              <w:rPr>
                <w:sz w:val="24"/>
                <w:szCs w:val="24"/>
                <w:color w:val="auto"/>
              </w:rPr>
            </w:pPr>
          </w:p>
        </w:tc>
        <w:tc>
          <w:tcPr>
            <w:tcW w:w="5980" w:type="dxa"/>
            <w:vAlign w:val="bottom"/>
            <w:gridSpan w:val="3"/>
          </w:tcPr>
          <w:p>
            <w:pPr>
              <w:jc w:val="center"/>
              <w:ind w:right="225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1700" w:type="dxa"/>
            <w:vAlign w:val="bottom"/>
          </w:tcPr>
          <w:p>
            <w:pPr>
              <w:spacing w:after="0"/>
              <w:rPr>
                <w:sz w:val="15"/>
                <w:szCs w:val="15"/>
                <w:color w:val="auto"/>
              </w:rPr>
            </w:pPr>
          </w:p>
        </w:tc>
        <w:tc>
          <w:tcPr>
            <w:tcW w:w="5980" w:type="dxa"/>
            <w:vAlign w:val="bottom"/>
            <w:gridSpan w:val="3"/>
          </w:tcPr>
          <w:p>
            <w:pPr>
              <w:jc w:val="center"/>
              <w:ind w:right="22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1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160" w:type="dxa"/>
            <w:vAlign w:val="bottom"/>
          </w:tcPr>
          <w:p>
            <w:pPr>
              <w:spacing w:after="0"/>
              <w:rPr>
                <w:sz w:val="21"/>
                <w:szCs w:val="21"/>
                <w:color w:val="auto"/>
              </w:rPr>
            </w:pPr>
          </w:p>
        </w:tc>
      </w:tr>
      <w:tr>
        <w:trPr>
          <w:trHeight w:val="453"/>
        </w:trPr>
        <w:tc>
          <w:tcPr>
            <w:tcW w:w="1700" w:type="dxa"/>
            <w:vAlign w:val="bottom"/>
          </w:tcPr>
          <w:p>
            <w:pPr>
              <w:jc w:val="center"/>
              <w:ind w:right="242"/>
              <w:spacing w:after="0"/>
              <w:rPr>
                <w:sz w:val="20"/>
                <w:szCs w:val="20"/>
                <w:color w:val="auto"/>
              </w:rPr>
            </w:pPr>
            <w:r>
              <w:rPr>
                <w:rFonts w:ascii="Arial" w:cs="Arial" w:eastAsia="Arial" w:hAnsi="Arial"/>
                <w:sz w:val="18"/>
                <w:szCs w:val="18"/>
                <w:b w:val="1"/>
                <w:bCs w:val="1"/>
                <w:color w:val="auto"/>
                <w:w w:val="87"/>
              </w:rPr>
              <w:t>Washington</w:t>
            </w:r>
          </w:p>
        </w:tc>
        <w:tc>
          <w:tcPr>
            <w:tcW w:w="5980" w:type="dxa"/>
            <w:vAlign w:val="bottom"/>
            <w:gridSpan w:val="3"/>
          </w:tcPr>
          <w:p>
            <w:pPr>
              <w:jc w:val="right"/>
              <w:ind w:right="692"/>
              <w:spacing w:after="0"/>
              <w:rPr>
                <w:sz w:val="20"/>
                <w:szCs w:val="20"/>
                <w:color w:val="auto"/>
              </w:rPr>
            </w:pPr>
            <w:r>
              <w:rPr>
                <w:rFonts w:ascii="Arial" w:cs="Arial" w:eastAsia="Arial" w:hAnsi="Arial"/>
                <w:sz w:val="18"/>
                <w:szCs w:val="18"/>
                <w:b w:val="1"/>
                <w:bCs w:val="1"/>
                <w:color w:val="auto"/>
              </w:rPr>
              <w:t>91-1011792</w:t>
            </w:r>
          </w:p>
        </w:tc>
      </w:tr>
      <w:tr>
        <w:trPr>
          <w:trHeight w:val="174"/>
        </w:trPr>
        <w:tc>
          <w:tcPr>
            <w:tcW w:w="1700" w:type="dxa"/>
            <w:vAlign w:val="bottom"/>
          </w:tcPr>
          <w:p>
            <w:pPr>
              <w:jc w:val="center"/>
              <w:ind w:right="242"/>
              <w:spacing w:after="0"/>
              <w:rPr>
                <w:sz w:val="20"/>
                <w:szCs w:val="20"/>
                <w:color w:val="auto"/>
              </w:rPr>
            </w:pPr>
            <w:r>
              <w:rPr>
                <w:rFonts w:ascii="Arial" w:cs="Arial" w:eastAsia="Arial" w:hAnsi="Arial"/>
                <w:sz w:val="14"/>
                <w:szCs w:val="14"/>
                <w:b w:val="1"/>
                <w:bCs w:val="1"/>
                <w:color w:val="auto"/>
                <w:w w:val="89"/>
              </w:rPr>
              <w:t>(State of Incorporation)</w:t>
            </w: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60" w:type="dxa"/>
            <w:vAlign w:val="bottom"/>
          </w:tcPr>
          <w:p>
            <w:pPr>
              <w:jc w:val="center"/>
              <w:ind w:left="752"/>
              <w:spacing w:after="0"/>
              <w:rPr>
                <w:sz w:val="20"/>
                <w:szCs w:val="20"/>
                <w:color w:val="auto"/>
              </w:rPr>
            </w:pPr>
            <w:r>
              <w:rPr>
                <w:rFonts w:ascii="Arial" w:cs="Arial" w:eastAsia="Arial" w:hAnsi="Arial"/>
                <w:sz w:val="14"/>
                <w:szCs w:val="14"/>
                <w:b w:val="1"/>
                <w:bCs w:val="1"/>
                <w:color w:val="auto"/>
                <w:w w:val="90"/>
              </w:rPr>
              <w:t>(I.R.S. Employer Identification Number)</w:t>
            </w:r>
          </w:p>
        </w:tc>
      </w:tr>
    </w:tbl>
    <w:p>
      <w:pPr>
        <w:spacing w:after="0" w:line="1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As of July 29, 2005, there were outstanding 24,177,295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4"/>
          </w:tcPr>
          <w:p>
            <w:pPr>
              <w:jc w:val="center"/>
              <w:ind w:right="476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80" w:type="dxa"/>
            <w:vAlign w:val="bottom"/>
            <w:gridSpan w:val="4"/>
          </w:tcPr>
          <w:p>
            <w:pPr>
              <w:jc w:val="center"/>
              <w:ind w:right="47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302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120" w:type="dxa"/>
            <w:vAlign w:val="bottom"/>
            <w:gridSpan w:val="11"/>
            <w:vMerge w:val="restart"/>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020" w:type="dxa"/>
            <w:vAlign w:val="bottom"/>
            <w:tcBorders>
              <w:bottom w:val="single" w:sz="8" w:color="0000EE"/>
            </w:tcBorders>
            <w:gridSpan w:val="9"/>
            <w:vMerge w:val="continue"/>
          </w:tcPr>
          <w:p>
            <w:pPr>
              <w:spacing w:after="0"/>
              <w:rPr>
                <w:sz w:val="24"/>
                <w:szCs w:val="24"/>
                <w:color w:val="auto"/>
              </w:rPr>
            </w:pPr>
          </w:p>
        </w:tc>
        <w:tc>
          <w:tcPr>
            <w:tcW w:w="8120" w:type="dxa"/>
            <w:vAlign w:val="bottom"/>
            <w:gridSpan w:val="11"/>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1088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 (Unaudited)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8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8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65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10880" w:type="dxa"/>
            <w:vAlign w:val="bottom"/>
            <w:gridSpan w:val="1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72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3: Quantitative and Qualitative Disclosures About Market Risk</w:t>
              </w:r>
            </w:hyperlink>
          </w:p>
        </w:tc>
        <w:tc>
          <w:tcPr>
            <w:tcW w:w="3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Item 4: Controls and Procedures</w:t>
              </w:r>
            </w:hyperlink>
          </w:p>
        </w:tc>
        <w:tc>
          <w:tcPr>
            <w:tcW w:w="2680" w:type="dxa"/>
            <w:vAlign w:val="bottom"/>
            <w:tcBorders>
              <w:top w:val="single" w:sz="8" w:color="0000EE"/>
            </w:tcBorders>
            <w:gridSpan w:val="10"/>
          </w:tcPr>
          <w:p>
            <w:pPr>
              <w:spacing w:after="0"/>
              <w:rPr>
                <w:sz w:val="24"/>
                <w:szCs w:val="24"/>
                <w:color w:val="auto"/>
              </w:rPr>
            </w:pPr>
          </w:p>
        </w:tc>
        <w:tc>
          <w:tcPr>
            <w:tcW w:w="5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1: Legal Proceedings</w:t>
              </w:r>
            </w:hyperlink>
          </w:p>
        </w:tc>
        <w:tc>
          <w:tcPr>
            <w:tcW w:w="84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880" w:type="dxa"/>
            <w:vAlign w:val="bottom"/>
            <w:gridSpan w:val="19"/>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4: 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446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5: Other Information</w:t>
              </w:r>
            </w:hyperlink>
          </w:p>
        </w:tc>
        <w:tc>
          <w:tcPr>
            <w:tcW w:w="64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198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6: Exhibits</w:t>
              </w:r>
            </w:hyperlink>
          </w:p>
        </w:tc>
        <w:tc>
          <w:tcPr>
            <w:tcW w:w="89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8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51">
              <w:r>
                <w:rPr>
                  <w:rFonts w:ascii="Arial" w:cs="Arial" w:eastAsia="Arial" w:hAnsi="Arial"/>
                  <w:sz w:val="18"/>
                  <w:szCs w:val="18"/>
                  <w:b w:val="1"/>
                  <w:bCs w:val="1"/>
                  <w:color w:val="0000EE"/>
                  <w:w w:val="96"/>
                </w:rPr>
                <w:t>SIGNATURE</w:t>
              </w:r>
            </w:hyperlink>
          </w:p>
        </w:tc>
        <w:tc>
          <w:tcPr>
            <w:tcW w:w="1010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6"/>
              </w:rPr>
              <w:t>Three Months Ended June 30,</w:t>
            </w:r>
          </w:p>
        </w:tc>
        <w:tc>
          <w:tcPr>
            <w:tcW w:w="20" w:type="dxa"/>
            <w:vAlign w:val="bottom"/>
          </w:tcPr>
          <w:p>
            <w:pPr>
              <w:spacing w:after="0"/>
              <w:rPr>
                <w:sz w:val="15"/>
                <w:szCs w:val="15"/>
                <w:color w:val="auto"/>
              </w:rPr>
            </w:pPr>
          </w:p>
        </w:tc>
        <w:tc>
          <w:tcPr>
            <w:tcW w:w="18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2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86"/>
              </w:rPr>
              <w:t>(in thousands, except per share data)</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122,811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68,015</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227,013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251,593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130,009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143,856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107,737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(6,385)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(10,952)</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(5,837)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(10,299)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Basic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-1245235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-1245235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-1245235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-1245235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-1245235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-1245235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-1245235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-1245235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-1245235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-1245235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-1245235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-807720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-807720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-807720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-807720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-807720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-807720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-807720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-807720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-807720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-807720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-807720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-507365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-507365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-507365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-507365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-507365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-507365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-507365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-507365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-507365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-507365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85,921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10,912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159,285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53,979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142,704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115,512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12,998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536,061</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165,172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239,361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Warranty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5,116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262,425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Commitments and contingencies (Notes 7 and 10)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291,458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(18,314)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273,636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536,061</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-3862705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-3862705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-3862705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-3862705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-3862705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-3862705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10,130</w:t>
            </w:r>
          </w:p>
        </w:tc>
        <w:tc>
          <w:tcPr>
            <w:tcW w:w="4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26,124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plan income tax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investments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Deferred income tax benefit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(12,380)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Unearned revenue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Warranty</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obligations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(5,276)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activities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Payment of contingent purchase price for acquisition</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used by investing activities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Transfer to escrow for senior subordinated notes</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(108,178)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debt fees</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(used) by financing activities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Taxes on contingent purchase price payable for acquisition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-991870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-991870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-991870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-991870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-991870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-991870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Condensed Consolidated Statements of Operations for the three and six months ended June 30, 2005 and 2004, Condensed Consolidated Balance Sheets as of June 30, 2005 and December 31, 2004 and Condensed Consolidated Statements of Cash Flows for the six months ended June 30, 2005 and 2004, of Itron and our wholly owned subsidiaries. All such entries are of a normal recurring nature. Inter-company transactions and balances are eliminated upon consolidation. We consolidate all entities in which we have a greater than 50% ownership interest. We also consolidate entities in which we have a 50% or less investment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Any variable interest entity of which we are the primary beneficiary is also considered for consolidation. We are not the primary beneficiary of any variable interest entities.</w:t>
      </w:r>
    </w:p>
    <w:p>
      <w:pPr>
        <w:spacing w:after="0" w:line="10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Certain information and note disclosures normally included in financial statements prepared in accordance with accounting principles generally accepted in the United States of America (GAAP) have been condensed or omitted pursuant to the rules and regulations of the Securities and Exchange Commission (SEC) regarding interim results. These condensed consolidated financial statements should be read in conjunction with the 2004 audited financial statements and notes included in our Annual Report on Form 10-K, as filed with the SEC on March 11, 2005. The results of operations for the three and six months ended June 30, 2005 are not necessarily indicative of the results expected for the full fiscal year or for any other fiscal period.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consider all highly liquid instruments with original maturities of three months or less to be cash equivalents. Cash equivalents are recorded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Unbilled receivables are recorded when revenues are recognized upon product shipment or service delivery and invoicing occurs at a later date. The allowance for doubtful accounts is based on our historical experience of bad debts and is adjusted for estimated uncollectible amounts. Accounts receivable are written-off against the allowance when we believe an account, or a portion thereof, is no longer collectible.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A large portion of our low-volume manufacturing and all of our repair services for our domestic handheld meter reading units are provided by an outside vendor in which we have a 30% equity interest. Consigned inventory at the outside vendor affiliate was $2.8 million at June 30, 2005 and $1.9 million at December 31, 2004.</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or over the term of the applicable lease, if shorter. Project management, installation costs and equipment used in outsourcing contracts are depreciated using the straight-line method over the shorter of the useful life or the term of the contract. Costs related to internally developed software and software purchased for internal uses are capitalized in accordance with Statement of Position 98-1, </w:t>
      </w:r>
      <w:r>
        <w:rPr>
          <w:rFonts w:ascii="Arial" w:cs="Arial" w:eastAsia="Arial" w:hAnsi="Arial"/>
          <w:sz w:val="16"/>
          <w:szCs w:val="16"/>
          <w:i w:val="1"/>
          <w:iCs w:val="1"/>
          <w:color w:val="auto"/>
        </w:rPr>
        <w:t>Accounting for Costs of Computer Software Developed or Obtained for Internal Use</w:t>
      </w:r>
      <w:r>
        <w:rPr>
          <w:rFonts w:ascii="Arial" w:cs="Arial" w:eastAsia="Arial" w:hAnsi="Arial"/>
          <w:sz w:val="16"/>
          <w:szCs w:val="16"/>
          <w:color w:val="auto"/>
        </w:rPr>
        <w:t>. Repair and maintenance costs are expensed as incurred. We have no major planned maintenance activities.</w:t>
      </w:r>
    </w:p>
    <w:p>
      <w:pPr>
        <w:spacing w:after="0" w:line="107"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We review long-lived assets for impairment whenever events or circumstances indicate the carrying amount of an asset may not be recoverable. There were no significant impairments in the three and six months ended June 30, 2005 and 2004, respectively. If there were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Issue Costs</w:t>
      </w:r>
    </w:p>
    <w:p>
      <w:pPr>
        <w:spacing w:after="0" w:line="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Debt issue costs represent direct costs incurred in connection with the issuance of long-term debt and are recorded in other noncurrent assets. These costs are amortized to interest expense over the lives of the respective debt issues using the effective interest method. When debt is repaid early, the portion of unamortized debt issue costs related to the early principal repayment is written-off and included in interest expense in the Condensed Consolidated Statements of Operations.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utilize the purchase method of accounting for business combinations. Business combinations accounted for under the purchase method include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Amounts allocated to in-process research and development (IPR&amp;D) are expensed in the period of acquisition.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Goodwill is tested for impairment each year as of October 1 or more frequently if a significant event occurs under the guidance of SFAS No.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Intangible Assets</w:t>
      </w:r>
      <w:r>
        <w:rPr>
          <w:rFonts w:ascii="Arial" w:cs="Arial" w:eastAsia="Arial" w:hAnsi="Arial"/>
          <w:sz w:val="16"/>
          <w:szCs w:val="16"/>
          <w:color w:val="auto"/>
        </w:rPr>
        <w:t>. Intangible assets with a finite life are amortized based on estimated discounted cash flows over estimated useful lives and tested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account for derivative instruments and hedging activities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as amended by SFAS No. 138, </w:t>
      </w:r>
      <w:r>
        <w:rPr>
          <w:rFonts w:ascii="Arial" w:cs="Arial" w:eastAsia="Arial" w:hAnsi="Arial"/>
          <w:sz w:val="16"/>
          <w:szCs w:val="16"/>
          <w:i w:val="1"/>
          <w:iCs w:val="1"/>
          <w:color w:val="auto"/>
        </w:rPr>
        <w:t>Accounting for Certain Derivative Instruments and Hedging Activities—an Amendment of SFAS 133</w:t>
      </w:r>
      <w:r>
        <w:rPr>
          <w:rFonts w:ascii="Arial" w:cs="Arial" w:eastAsia="Arial" w:hAnsi="Arial"/>
          <w:sz w:val="16"/>
          <w:szCs w:val="16"/>
          <w:color w:val="auto"/>
        </w:rPr>
        <w:t xml:space="preserve"> and SFAS 149, </w:t>
      </w:r>
      <w:r>
        <w:rPr>
          <w:rFonts w:ascii="Arial" w:cs="Arial" w:eastAsia="Arial" w:hAnsi="Arial"/>
          <w:sz w:val="16"/>
          <w:szCs w:val="16"/>
          <w:i w:val="1"/>
          <w:iCs w:val="1"/>
          <w:color w:val="auto"/>
        </w:rPr>
        <w:t>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133 on Derivative Instruments and Hedging Activities. </w:t>
      </w:r>
      <w:r>
        <w:rPr>
          <w:rFonts w:ascii="Arial" w:cs="Arial" w:eastAsia="Arial" w:hAnsi="Arial"/>
          <w:sz w:val="16"/>
          <w:szCs w:val="16"/>
          <w:color w:val="auto"/>
        </w:rPr>
        <w:t>In accordance with these standards, every derivative instrument is recorded in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as either an asset or liability measured at its fair value. If the derivative is designated as a cash flow hedge, the effective portion of changes in the fair value of the derivative is recorded in shareholders’ equity as a separate component of accumulated other comprehensive income (loss) and is recognized in the Condensed Consolidated Statement of Operations when the hedged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item affects earnings. Ineffective portions of changes in fair value of cash flow hedges are immediately recognized in the results of operations. A cash flow hedge must be expected to be highly effective in achieving offsetting cash flows attributable to the hedged risk during the term of the hedge. The expectation of hedge effectiveness must be supported by matching the essential terms of the hedged asset, liability or forecasted transaction to the derivative hedge contract or by effectiveness assessments using statistical measurements. Our policy is to assess actual hedge effectiveness at the end of each calendar quarter. Derivatives are not used for trading or speculative purposes. Refer to Note 7: Debt for a discussion of our interest rate swap and cap agreements.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generally offer a one-year standard warranty on most of our hardware products and a three-month standard warranty on our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 The long-term warranty balance includes estimated warranty claims beyond one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0"/>
              </w:rPr>
              <w:t>Three Months Ended June 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13,574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SEM acquisition - opening balance adjustment</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New warranty accruals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Adjustments to pre-existing items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Claims activity</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-29210</wp:posOffset>
            </wp:positionV>
            <wp:extent cx="75882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Total warranty expense, which consists of new warranty accruals for product warranties issued and adjustments to pre-existing items, totaled approximately $1.7 million and $1.2 million for the three months ended June 30, 2005 and 2004 and approximately $3.0 million and $1.5 million for the six months ended June 30, 2005 and 2004, respectively. Warranty expense is classified within cost of sales.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2003, we established a warranty accrual for the product replacement of an electric automatic meter reading (AMR) module due to the failure of a specific component from a supplier. Product replacement work was substantially completed for this specific AMR module during 2004, resulting in a decline in claims activity for the 2005 periods. The increase in new warranty accruals in 2005, compared with 2004, is due to the acquisition of our Electricity Metering business. Adjustments to pre-existing items increased in the first half of 2005 by approximately $992,000, compared with the first half of 2004, due to changes in estimates.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self insured for a substantial portion of the cost of employee group health insurance. We purchase insurance from a third party, which provides individual and aggregate stop loss protection for these costs. Each reporting period, we record the costs of our health insurance plan including paid claims, an estimate of the change in incurred but not reported (IBNR) claims, taxes and administrative fees (collectively the Plan Costs). The IBNR accrual is based upon the recent average level of paid claims under the plan and an estimated lag factor to provide for those claims that have been incurred but not yet reported. We believe that the assumptions and information used to develop our accruals are reasonable based on historical results. However, significant changes in the various cost factors of our medical and health care costs could have an effect on the determination of the amount of these accruals in future periods. Plan Costs were approximately $1.7 million and $3.0 million in the three months ended June 30, 2005 and 2004, respectively. Plan Costs were approximately $3.6 million and $4.1 million in the six months ended June 30, 2005 and 2004, respectively. The IBNR accrual, which is included in wages and benefits payable, was $1.1 million and $1.8 million at June 30, 2005 and December 31, 2004, respectively.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An estimated loss for a contingency is charged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 allowance for a portion of the deferred tax asset when we believe it is not likely it will be utilized.</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Deferred tax liabilities have been recorded on undistributed earnings of foreign subsidiaries. The American Jobs Creation Act of 2004 introduced a special one-time dividends-received deduction on the repatriation of certain foreign earnings to a U.S. taxpayer, provided certain criteria are met. We do not expect to repatriate foreign earnings under the provision of this Act.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condensed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net of tax in other comprehensive income (loss) in shareholders’ equity, as the transactions are considered to be of a long-term investment nature. Transaction gains and losses that arise from exchange rate fluctuations on transactions denominated in a currency other than the local currency are included in results of operations, except when the balances are long-term in nature in which case the adjustment is recorded in other comprehensive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Sales consist of hardware, software license fees, custom software development, field and project management service and engineering, consulting and installation service revenues.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objective and reliable evidence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of fair value of the undelivered item(s) and delivery/performance of the undelivered item(s) is probable. The total arrangement consideration is allocated among the separate units of accounting based on their relative fair values and the applicable revenue recognition criteria is considered for each unit of accounting. For our standard contract arrangements that combine deliverables such as hardware, meter reading system software, installation and maintenance services, each deliverable is generally considered a single unit of accounting. The amount allocable to a delivered item is limited to the amount that we are entitled to bill and collect and is not contingent upon the delivery/performance of additional items.</w:t>
      </w:r>
    </w:p>
    <w:p>
      <w:pPr>
        <w:spacing w:after="0" w:line="10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the timing of revenue recognition is dependent upon vendor-specific objective evidence (VSOE) of fair value for each of the elements. The availability of VSOE affects the timing of revenue recognition, which can vary from recognizing revenue at the time of delivery of each element, to the percentage of completion method or ratably over the performance period. If the implementation services are essential to the software arrangement, revenue is recognized using the percentage of completion methodology. Hardware and software post-sale maintenance support fees are recognized ratably over the life of the related service contract. Under outsourcing arrangements, revenue is recognized as services are provided.</w:t>
      </w:r>
    </w:p>
    <w:p>
      <w:pPr>
        <w:spacing w:after="0" w:line="10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Expenses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Product and software development expenses primarily include payroll and other employee benefit costs. For software to be marketed or sold, financial accounting standards require the capitalization of development costs after technological feasibility is established. Due to the relatively short period between technological feasibility and the completion of product development, the insignificance of related costs and the immaterial nature of these costs, we do not capitalize software development. All product and software development costs are expensed when incurred.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Basic earnings per share (EPS) is calculated using net income divided by the weighted average common shares outstanding during the period. Diluted EPS is similar to basic EPS except that the weighted average common shares outstanding are increased to include the number of additional common shares that would have been outstanding if dilutive stock-based awards had been exercised. Diluted EPS assumes that common shares were issued upon the exercise of stock-based awards for which the market price exceeded the exercise price, less shares that could have been repurchased with the related proceeds (treasury stock method). In periods when we report a net loss, diluted net loss per share is the same as basic net loss per share. In such circumstances, we exclude all outstanding stock-based awards from the calculation of diluted net loss per common share because including such awards among the weighted average shares outstanding would be anti-dilutive.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We have granted stock-based awards to purchase shares of our common stock to directors and employees at fair market value on the date of grant. SFAS No.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allows companies to either expense the estimated fair value of stock-based awards or to continue to follow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intrinsic value method set forth in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but disclose the pro forma effects on net income (loss) had the fair value of the awards been expensed. We elected to continue to apply APB Opinion No. 25 in accounting for our stock-based compensation plans and disclose the pro forma effects of applying the fair value provisions of SFAS No. 123.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(loss) and net income (loss) per share would have been reduced to the pro forma amounts indicated below:</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9"/>
              </w:rPr>
              <w:t>Three Months Ended June 30,</w:t>
            </w:r>
          </w:p>
        </w:tc>
        <w:tc>
          <w:tcPr>
            <w:tcW w:w="80" w:type="dxa"/>
            <w:vAlign w:val="bottom"/>
          </w:tcPr>
          <w:p>
            <w:pPr>
              <w:spacing w:after="0"/>
              <w:rPr>
                <w:sz w:val="15"/>
                <w:szCs w:val="15"/>
                <w:color w:val="auto"/>
              </w:rPr>
            </w:pPr>
          </w:p>
        </w:tc>
        <w:tc>
          <w:tcPr>
            <w:tcW w:w="17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2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86"/>
              </w:rPr>
              <w:t>(in thousands, except per share data)</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9,313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10,130</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 Stock-based compensation, net of tax</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 (loss)</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-1504315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-1504315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-1504315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-1504315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-1504315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-1504315</wp:posOffset>
            </wp:positionV>
            <wp:extent cx="86169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69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-1504315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-1066800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-1066800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-1066800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-1066800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-1066800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-1066800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-1066800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-1066800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-1066800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-1066800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-1066800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-1066800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-766445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-766445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-766445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-766445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-766445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-766445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-766445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-766445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-766445</wp:posOffset>
            </wp:positionV>
            <wp:extent cx="65595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-329565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-329565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-329565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-329565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-329565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-329565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-329565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-329565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-329565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weighted average fair value of awards granted was $37.40 and $20.79 during the three months ended June 30, 2005 and 2004, respectively. The weighted average fair value of awards granted was $36.55 and $20.50 during the six months ended June 30, 2005 and 2004, respectively. The fair value of each option is estimated on the date of grant using the Black-Scholes option-pricing model and the following assumptions: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8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97"/>
              </w:rPr>
              <w:t>Three Months Ended June 30,</w:t>
            </w:r>
          </w:p>
        </w:tc>
        <w:tc>
          <w:tcPr>
            <w:tcW w:w="2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22"/>
                <w:szCs w:val="22"/>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22"/>
                <w:szCs w:val="22"/>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58.6%</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72.5%</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life (years)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Volatility measures the amount that a stock price has fluctuated or is expected to fluctuate during a period. The risk-free interest rate is the rate available as of the option date on zero-coupon U.S. government issues with a remaining term equal to the expected life of the option. The expected life is the weighted average expected life for the entire award based on the fixed period of time between the date the option is granted and the date the award is fully exercised. Factors to be considered in estimating the expected life are the vesting period of the award and the average period of time similar awards have remained outstanding in the past.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2004 have been reclassified to conform to the 2005 presentation.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November 2004, the Financial Accounting Standards Board (FASB) issued Statement No. 151, </w:t>
      </w:r>
      <w:r>
        <w:rPr>
          <w:rFonts w:ascii="Arial" w:cs="Arial" w:eastAsia="Arial" w:hAnsi="Arial"/>
          <w:sz w:val="16"/>
          <w:szCs w:val="16"/>
          <w:i w:val="1"/>
          <w:iCs w:val="1"/>
          <w:color w:val="auto"/>
        </w:rPr>
        <w:t>Inventory Costs—an amendment of ARB No. 43, Chapter 4</w:t>
      </w:r>
      <w:r>
        <w:rPr>
          <w:rFonts w:ascii="Arial" w:cs="Arial" w:eastAsia="Arial" w:hAnsi="Arial"/>
          <w:sz w:val="16"/>
          <w:szCs w:val="16"/>
          <w:color w:val="auto"/>
        </w:rPr>
        <w:t>, which clarifies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on or after January 1, 2006. While we believe this Statement is not likely to have a material effect on our financial statements, the impact of adopting the new rule is dependent on events in future periods, and as such, an estimate of the impact cannot be determined.</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requires companies to expense the fair value of equity awards over the required service period. We have not yet quantified the effects of the adoption of SFAS 123R, but the adoption of SFAS 123R will decrease gross profit and increase operating expenses and will affect the tax rate. The pro forma effects on net income (loss) and EPS if we had applied the fair value recognition provisions of original SFAS No. 123 on stock compensation awards are disclosed above. Such pro forma effects of applying the original SFAS No. 123 may not be indicative of the effects of adopting SFAS 123R, since the provisions of the two statements differ.</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SFAS 123R will be effective for Itron’s fiscal year beginning January 1, 2006. The Statement will be implemented on a prospective basis for new awards, awards modified, repurchased or cancelled after January 1, 2006 and unvested options previously granted.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EPS: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w w:val="86"/>
              </w:rPr>
              <w:t>Three Months Ended June 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80" w:type="dxa"/>
            <w:vAlign w:val="bottom"/>
            <w:gridSpan w:val="7"/>
          </w:tcPr>
          <w:p>
            <w:pPr>
              <w:ind w:left="80"/>
              <w:spacing w:after="0"/>
              <w:rPr>
                <w:sz w:val="20"/>
                <w:szCs w:val="20"/>
                <w:color w:val="auto"/>
              </w:rPr>
            </w:pPr>
            <w:r>
              <w:rPr>
                <w:rFonts w:ascii="Arial" w:cs="Arial" w:eastAsia="Arial" w:hAnsi="Arial"/>
                <w:sz w:val="14"/>
                <w:szCs w:val="14"/>
                <w:b w:val="1"/>
                <w:bCs w:val="1"/>
                <w:color w:val="auto"/>
                <w:w w:val="87"/>
              </w:rPr>
              <w:t>(in thousands, except per share data)</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9,313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10,130</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9,313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10,130</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stock-based awards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number of shares outstanding</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-1607185</wp:posOffset>
            </wp:positionV>
            <wp:extent cx="249999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999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-1169670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-1169670</wp:posOffset>
            </wp:positionV>
            <wp:extent cx="242252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2252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49999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9995" cy="29845"/>
                    </a:xfrm>
                    <a:prstGeom prst="rect">
                      <a:avLst/>
                    </a:prstGeom>
                    <a:noFill/>
                  </pic:spPr>
                </pic:pic>
              </a:graphicData>
            </a:graphic>
          </wp:anchor>
        </w:drawing>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dilutive effect of stock-based awards is calculated using the treasury stock method. Under this method, EPS is computed as if the awards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stock-based awards. At June 30, 2005 and 2004, we had stock-based awards outstanding of approximately 3.2 million and 4.0 million at average option exercise prices of $19.76 and $11.99, respectively. Approximately 10,000 and 397,000 stock-based awards were excluded from the calculation of diluted EPS for the three months ended June 30, 2005 and 2004, respectively,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because they were anti-dilutive. Approximately 201,000 and 550,000 stock-based awards were excluded from the calculation of diluted EPS for the six months ended June 30, 2005 and 2004, respectively, because they were anti-dilutive. These stock-based awards could be dilutive in future periods.</w:t>
      </w:r>
    </w:p>
    <w:p>
      <w:pPr>
        <w:spacing w:after="0" w:line="7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May 2005, we sold 1,725,000 shares of common stock at a price of $36.50 per share in an underwritten public offering. Proceeds to the Company totaled approximately $59.6 million after payment of the underwriting discount and approximately $200,000 in other expenses. The proceeds of the public offering were used to pay down borrowings under our senior secured term loan.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Certain Balance Sheet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6"/>
              </w:rPr>
              <w:t>At June 30, 2005</w:t>
            </w:r>
          </w:p>
        </w:tc>
        <w:tc>
          <w:tcPr>
            <w:tcW w:w="74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1"/>
              </w:rPr>
              <w:t>At 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87"/>
              </w:rPr>
              <w:t>(in thousands)</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Trade (net of allowance for doubtful accounts of $711 and $1,312)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82,163</w:t>
            </w:r>
          </w:p>
        </w:tc>
        <w:tc>
          <w:tcPr>
            <w:tcW w:w="100" w:type="dxa"/>
            <w:vAlign w:val="bottom"/>
          </w:tcPr>
          <w:p>
            <w:pPr>
              <w:spacing w:after="0"/>
              <w:rPr>
                <w:sz w:val="18"/>
                <w:szCs w:val="18"/>
                <w:color w:val="auto"/>
              </w:rPr>
            </w:pP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revenue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accounts receivable,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Materials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20,302</w:t>
            </w:r>
          </w:p>
        </w:tc>
        <w:tc>
          <w:tcPr>
            <w:tcW w:w="100" w:type="dxa"/>
            <w:vAlign w:val="bottom"/>
          </w:tcPr>
          <w:p>
            <w:pPr>
              <w:spacing w:after="0"/>
              <w:rPr>
                <w:sz w:val="18"/>
                <w:szCs w:val="18"/>
                <w:color w:val="auto"/>
              </w:rPr>
            </w:pP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manufacturing inventories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Service inventories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45,308</w:t>
            </w:r>
          </w:p>
        </w:tc>
        <w:tc>
          <w:tcPr>
            <w:tcW w:w="100" w:type="dxa"/>
            <w:vAlign w:val="bottom"/>
          </w:tcPr>
          <w:p>
            <w:pPr>
              <w:spacing w:after="0"/>
              <w:rPr>
                <w:sz w:val="18"/>
                <w:szCs w:val="18"/>
                <w:color w:val="auto"/>
              </w:rPr>
            </w:pP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used in outsourcing</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Computers and purchased software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34,427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furniture and improvements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(71,896)</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-3133725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-3133725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-3133725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-3133725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-3133725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-3133725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-1718945</wp:posOffset>
            </wp:positionV>
            <wp:extent cx="19939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939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83629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36295" cy="29845"/>
                    </a:xfrm>
                    <a:prstGeom prst="rect">
                      <a:avLst/>
                    </a:prstGeom>
                    <a:noFill/>
                  </pic:spPr>
                </pic:pic>
              </a:graphicData>
            </a:graphic>
          </wp:anchor>
        </w:drawing>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Depreciation expense was $3.4 million and $2.3 million during the three months ended June 30, 2005 and 2004, respectively. Depreciation expense was $6.7 million and $4.7 million during the six months ended June 30, 2005 and 2004,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allowance for doubtful accounts activity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8"/>
              </w:rPr>
              <w:t>Three Months Ended June 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158"/>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Provision (benefit) for doubtful accounts</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Accounts charged off</w:t>
            </w:r>
          </w:p>
        </w:tc>
        <w:tc>
          <w:tcPr>
            <w:tcW w:w="1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9"/>
                <w:szCs w:val="19"/>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July 1, 2004, we completed the acquisition of our Electricity Metering business, which included the manufacturing and sales operations in the United States and the electricity meter operations of certain foreign affiliates of Schlumberger in Canada, Mexico, Taiwan and France. We also completed the purchase of the remaining 49% of the Taiwan subsidiary, not previously owned by Schlumberger, which is included in the purchase price below. This acquisition added electricity meter manufacturing and sales to our operations, and now represents our Hardware Solutions—Electricity Metering operating segment.</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purchase price was $248.3 million and we used proceeds from a new $240 million senior secured credit facility and a private placement of $125 million in senior subordinated notes (notes) to finance the acquisition, pay related fees and expenses and repay approximately $50.2 million of outstanding Itron debt under an existing credit facility.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w w:val="90"/>
              </w:rPr>
              <w:t>The purchase price, including estimated direct transaction costs and other consideration, is summarized as follows (in thousands):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$248,294</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acquisition costs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$256,293</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 xml:space="preserve">The excess of the purchase price over the fair value of net assets acquired has been recorded as goodwill. Goodwill and intangible assets are allocated to our Hardware Solutions—Electricity Metering segment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information reflects the allocation of the purchase price based on final estimated fair values of assets and liabilities.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4"/>
              <w:spacing w:after="0"/>
              <w:rPr>
                <w:sz w:val="20"/>
                <w:szCs w:val="20"/>
                <w:color w:val="auto"/>
              </w:rPr>
            </w:pPr>
            <w:r>
              <w:rPr>
                <w:rFonts w:ascii="Arial" w:cs="Arial" w:eastAsia="Arial" w:hAnsi="Arial"/>
                <w:sz w:val="14"/>
                <w:szCs w:val="14"/>
                <w:b w:val="1"/>
                <w:bCs w:val="1"/>
                <w:color w:val="auto"/>
                <w:w w:val="86"/>
              </w:rPr>
              <w:t>Fair Value</w:t>
            </w:r>
          </w:p>
        </w:tc>
        <w:tc>
          <w:tcPr>
            <w:tcW w:w="46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89"/>
              </w:rPr>
              <w:t>Useful Life</w:t>
            </w: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980" w:type="dxa"/>
            <w:vAlign w:val="bottom"/>
            <w:gridSpan w:val="3"/>
          </w:tcPr>
          <w:p>
            <w:pPr>
              <w:ind w:left="2160"/>
              <w:spacing w:after="0"/>
              <w:rPr>
                <w:sz w:val="20"/>
                <w:szCs w:val="20"/>
                <w:color w:val="auto"/>
              </w:rPr>
            </w:pPr>
            <w:r>
              <w:rPr>
                <w:rFonts w:ascii="Arial" w:cs="Arial" w:eastAsia="Arial" w:hAnsi="Arial"/>
                <w:sz w:val="14"/>
                <w:szCs w:val="14"/>
                <w:b w:val="1"/>
                <w:bCs w:val="1"/>
                <w:color w:val="auto"/>
                <w:w w:val="82"/>
              </w:rPr>
              <w:t>(in thousands)</w:t>
            </w:r>
          </w:p>
        </w:tc>
        <w:tc>
          <w:tcPr>
            <w:tcW w:w="1120" w:type="dxa"/>
            <w:vAlign w:val="bottom"/>
            <w:gridSpan w:val="2"/>
          </w:tcPr>
          <w:p>
            <w:pPr>
              <w:ind w:left="440"/>
              <w:spacing w:after="0"/>
              <w:rPr>
                <w:sz w:val="20"/>
                <w:szCs w:val="20"/>
                <w:color w:val="auto"/>
              </w:rPr>
            </w:pPr>
            <w:r>
              <w:rPr>
                <w:rFonts w:ascii="Arial" w:cs="Arial" w:eastAsia="Arial" w:hAnsi="Arial"/>
                <w:sz w:val="14"/>
                <w:szCs w:val="14"/>
                <w:b w:val="1"/>
                <w:bCs w:val="1"/>
                <w:color w:val="auto"/>
                <w:w w:val="86"/>
              </w:rPr>
              <w:t>(in months)</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Core-developed technology</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136,900</w:t>
            </w:r>
          </w:p>
        </w:tc>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85"/>
              </w:rPr>
              <w:t>54 to 168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backlog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Customer relationships/contracts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trade names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256,293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values assigned to the identified intangible assets were estimated using the income approach. Under the income approach, the fair value reflects the present value of the projected discounted cash flows that are expected to be generated. The intangible assets will be amortized over the estimated useful lives of the projected cash flows assumed in the valuation models.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$6.4 million of IPR&amp;D expensed in the fourth quarter of 2004 consists primarily of next generation technology, valued at $5.7 million. At June 30, 2005, we estimate the research and development to be approximately 70% complete with a cost to complete the development of approximately $750,000 over the next nine to twelve months.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moved our manufacturing operations located in Quebec, Canada to our South Carolina facility. Our distribution activities will remain in Quebec from a facility we leased in February 2005. During May 2005 we sold the Quebec facility for approximately $2.6 million. The loss of approximately $250,000 on the sale was recorded to goodwill as an adjustment to the purchase price. In 2004, we accrued approximately $800,000 as an adjustment to goodwill for the employee severance costs associated with the relocation. As of June 30, 2005, approximately $700,000 had been paid to employees leaving a remaining accrual of approximately $100,000 at June 30, 2005.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Identified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At June 30, 2005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At December 31, 2004</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6"/>
              </w:rPr>
              <w:t>Accumulated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79"/>
              </w:rPr>
              <w:t>Gross Assets</w:t>
            </w:r>
          </w:p>
        </w:tc>
        <w:tc>
          <w:tcPr>
            <w:tcW w:w="2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79"/>
              </w:rPr>
              <w:t>Gross Assets</w:t>
            </w:r>
          </w:p>
        </w:tc>
        <w:tc>
          <w:tcPr>
            <w:tcW w:w="220" w:type="dxa"/>
            <w:vAlign w:val="bottom"/>
          </w:tcPr>
          <w:p>
            <w:pPr>
              <w:spacing w:after="0"/>
              <w:rPr>
                <w:sz w:val="15"/>
                <w:szCs w:val="15"/>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740" w:type="dxa"/>
            <w:vAlign w:val="bottom"/>
            <w:gridSpan w:val="2"/>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5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154,330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(39,225)</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4"/>
              </w:rPr>
              <w:t>$ 115,105</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154,330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$ 129,944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Patents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(4,506)</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(4,321)</w:t>
            </w:r>
          </w:p>
        </w:tc>
        <w:tc>
          <w:tcPr>
            <w:tcW w:w="720" w:type="dxa"/>
            <w:vAlign w:val="bottom"/>
          </w:tcPr>
          <w:p>
            <w:pPr>
              <w:jc w:val="right"/>
              <w:spacing w:after="0"/>
              <w:rPr>
                <w:sz w:val="20"/>
                <w:szCs w:val="20"/>
                <w:color w:val="auto"/>
              </w:rPr>
            </w:pPr>
            <w:r>
              <w:rPr>
                <w:rFonts w:ascii="Arial" w:cs="Arial" w:eastAsia="Arial" w:hAnsi="Arial"/>
                <w:sz w:val="18"/>
                <w:szCs w:val="18"/>
                <w:color w:val="auto"/>
              </w:rPr>
              <w:t>2,767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(3,115)</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(2,992)</w:t>
            </w:r>
          </w:p>
        </w:tc>
        <w:tc>
          <w:tcPr>
            <w:tcW w:w="720" w:type="dxa"/>
            <w:vAlign w:val="bottom"/>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(5,358)</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(5,191)</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20,519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(2,748)</w:t>
            </w:r>
          </w:p>
        </w:tc>
        <w:tc>
          <w:tcPr>
            <w:tcW w:w="720" w:type="dxa"/>
            <w:vAlign w:val="bottom"/>
          </w:tcPr>
          <w:p>
            <w:pPr>
              <w:jc w:val="right"/>
              <w:spacing w:after="0"/>
              <w:rPr>
                <w:sz w:val="20"/>
                <w:szCs w:val="20"/>
                <w:color w:val="auto"/>
              </w:rPr>
            </w:pPr>
            <w:r>
              <w:rPr>
                <w:rFonts w:ascii="Arial" w:cs="Arial" w:eastAsia="Arial" w:hAnsi="Arial"/>
                <w:sz w:val="18"/>
                <w:szCs w:val="18"/>
                <w:color w:val="auto"/>
              </w:rPr>
              <w:t>22,962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(6,164)</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211,328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(68,624)</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4"/>
              </w:rPr>
              <w:t>$ 142,704</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211,328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$ 162,137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358902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8902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expense was approximately $9.7 million and $2.1 million for the three months ended June 30, 2005 and 2004,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expense was approximately $19.4 million and $4.1 million for the six months ended June 30, 2005 and 2004,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amortization expense is as follows: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620" w:type="dxa"/>
            <w:vAlign w:val="bottom"/>
            <w:gridSpan w:val="3"/>
          </w:tcPr>
          <w:p>
            <w:pPr>
              <w:jc w:val="right"/>
              <w:spacing w:after="0"/>
              <w:rPr>
                <w:sz w:val="20"/>
                <w:szCs w:val="20"/>
                <w:color w:val="auto"/>
              </w:rPr>
            </w:pPr>
            <w:r>
              <w:rPr>
                <w:rFonts w:ascii="Arial" w:cs="Arial" w:eastAsia="Arial" w:hAnsi="Arial"/>
                <w:sz w:val="14"/>
                <w:szCs w:val="14"/>
                <w:b w:val="1"/>
                <w:bCs w:val="1"/>
                <w:color w:val="auto"/>
              </w:rPr>
              <w:t>Estimated Annual</w:t>
            </w: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Amortization</w:t>
            </w: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4"/>
                <w:szCs w:val="14"/>
                <w:b w:val="1"/>
                <w:bCs w:val="1"/>
                <w:color w:val="auto"/>
                <w:w w:val="82"/>
              </w:rPr>
              <w:t>(in thousands)</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2006</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29,251</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24,363</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2008</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20,904</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17,323</w:t>
            </w: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Beyond 2009</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31,450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test goodwill for impairment as of October 1 of each year. Goodwill decreased during the first half of 2005 primarily due to adjustments associated with the 2004 acquisition of our Electricity Metering business with $2.1 million specifically related to changes in the estimated warranty liability at July 1, 2004. Goodwill increased in 2004 primarily due to adjustments associated with acquisitions in prior years. Goodwill balances can also increase or decrease, with a corresponding change in other comprehensive income (loss), as a result of changes in foreign currency exchange rates. The change in goodwill for the six months ended June 30, 2005 and 2004 is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44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January 1</w:t>
            </w:r>
          </w:p>
        </w:tc>
        <w:tc>
          <w:tcPr>
            <w:tcW w:w="4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$90,385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Goodwill adjustments</w:t>
            </w:r>
          </w:p>
        </w:tc>
        <w:tc>
          <w:tcPr>
            <w:tcW w:w="4800" w:type="dxa"/>
            <w:vAlign w:val="bottom"/>
            <w:gridSpan w:val="4"/>
          </w:tcPr>
          <w:p>
            <w:pPr>
              <w:jc w:val="right"/>
              <w:ind w:right="340"/>
              <w:spacing w:after="0"/>
              <w:rPr>
                <w:sz w:val="20"/>
                <w:szCs w:val="20"/>
                <w:color w:val="auto"/>
              </w:rPr>
            </w:pPr>
            <w:r>
              <w:rPr>
                <w:rFonts w:ascii="Arial" w:cs="Arial" w:eastAsia="Arial" w:hAnsi="Arial"/>
                <w:sz w:val="18"/>
                <w:szCs w:val="18"/>
                <w:color w:val="auto"/>
              </w:rPr>
              <w:t>(1,758)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rates</w:t>
            </w:r>
          </w:p>
        </w:tc>
        <w:tc>
          <w:tcPr>
            <w:tcW w:w="48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June 30</w:t>
            </w:r>
          </w:p>
        </w:tc>
        <w:tc>
          <w:tcPr>
            <w:tcW w:w="4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$115,512</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$90,440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740" w:type="dxa"/>
            <w:vAlign w:val="bottom"/>
            <w:vMerge w:val="restart"/>
          </w:tcPr>
          <w:p>
            <w:pPr>
              <w:jc w:val="right"/>
              <w:ind w:right="267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-325755</wp:posOffset>
            </wp:positionV>
            <wp:extent cx="45021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goodwill for each reporting segment during the first half of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9"/>
          </w:tcPr>
          <w:p>
            <w:pPr>
              <w:ind w:left="160"/>
              <w:spacing w:after="0"/>
              <w:rPr>
                <w:sz w:val="20"/>
                <w:szCs w:val="20"/>
                <w:color w:val="auto"/>
              </w:rPr>
            </w:pPr>
            <w:r>
              <w:rPr>
                <w:rFonts w:ascii="Arial" w:cs="Arial" w:eastAsia="Arial" w:hAnsi="Arial"/>
                <w:sz w:val="14"/>
                <w:szCs w:val="14"/>
                <w:b w:val="1"/>
                <w:bCs w:val="1"/>
                <w:color w:val="auto"/>
              </w:rPr>
              <w:t>Hardware Solutions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Meter Data</w:t>
            </w:r>
          </w:p>
        </w:tc>
        <w:tc>
          <w:tcPr>
            <w:tcW w:w="320" w:type="dxa"/>
            <w:vAlign w:val="bottom"/>
          </w:tcPr>
          <w:p>
            <w:pPr>
              <w:spacing w:after="0"/>
              <w:rPr>
                <w:sz w:val="20"/>
                <w:szCs w:val="20"/>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6"/>
              </w:rPr>
              <w:t>Electricity</w:t>
            </w:r>
          </w:p>
        </w:tc>
        <w:tc>
          <w:tcPr>
            <w:tcW w:w="2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Software</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740" w:type="dxa"/>
            <w:vAlign w:val="bottom"/>
            <w:gridSpan w:val="5"/>
          </w:tcPr>
          <w:p>
            <w:pPr>
              <w:ind w:left="40"/>
              <w:spacing w:after="0"/>
              <w:rPr>
                <w:sz w:val="20"/>
                <w:szCs w:val="20"/>
                <w:color w:val="auto"/>
              </w:rPr>
            </w:pPr>
            <w:r>
              <w:rPr>
                <w:rFonts w:ascii="Arial" w:cs="Arial" w:eastAsia="Arial" w:hAnsi="Arial"/>
                <w:sz w:val="14"/>
                <w:szCs w:val="14"/>
                <w:b w:val="1"/>
                <w:bCs w:val="1"/>
                <w:color w:val="auto"/>
              </w:rPr>
              <w:t>Collection</w:t>
            </w:r>
          </w:p>
        </w:tc>
        <w:tc>
          <w:tcPr>
            <w:tcW w:w="320" w:type="dxa"/>
            <w:vAlign w:val="bottom"/>
          </w:tcPr>
          <w:p>
            <w:pPr>
              <w:spacing w:after="0"/>
              <w:rPr>
                <w:sz w:val="15"/>
                <w:szCs w:val="15"/>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Metering</w:t>
            </w:r>
          </w:p>
        </w:tc>
        <w:tc>
          <w:tcPr>
            <w:tcW w:w="2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Total 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January 1,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73,337</w:t>
            </w:r>
          </w:p>
        </w:tc>
        <w:tc>
          <w:tcPr>
            <w:tcW w:w="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$ 26,236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$17,898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117,471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Goodwill adjustments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5"/>
          </w:tcPr>
          <w:p>
            <w:pPr>
              <w:jc w:val="right"/>
              <w:ind w:right="340"/>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(122)</w:t>
            </w:r>
          </w:p>
        </w:tc>
        <w:tc>
          <w:tcPr>
            <w:tcW w:w="13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June 30,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73,215</w:t>
            </w:r>
          </w:p>
        </w:tc>
        <w:tc>
          <w:tcPr>
            <w:tcW w:w="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$ 24,429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$17,868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115,512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 Debt</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20" w:type="dxa"/>
            <w:vAlign w:val="bottom"/>
            <w:gridSpan w:val="3"/>
          </w:tcPr>
          <w:p>
            <w:pPr>
              <w:spacing w:after="0"/>
              <w:rPr>
                <w:sz w:val="20"/>
                <w:szCs w:val="20"/>
                <w:color w:val="auto"/>
              </w:rPr>
            </w:pPr>
            <w:r>
              <w:rPr>
                <w:rFonts w:ascii="Arial" w:cs="Arial" w:eastAsia="Arial" w:hAnsi="Arial"/>
                <w:sz w:val="18"/>
                <w:szCs w:val="18"/>
                <w:color w:val="auto"/>
              </w:rPr>
              <w:t>The components of our borrowings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8"/>
          </w:tcPr>
          <w:p>
            <w:pPr>
              <w:spacing w:after="0"/>
              <w:rPr>
                <w:sz w:val="20"/>
                <w:szCs w:val="20"/>
                <w:color w:val="auto"/>
              </w:rPr>
            </w:pPr>
            <w:r>
              <w:rPr>
                <w:rFonts w:ascii="Arial" w:cs="Arial" w:eastAsia="Arial" w:hAnsi="Arial"/>
                <w:sz w:val="14"/>
                <w:szCs w:val="14"/>
                <w:b w:val="1"/>
                <w:bCs w:val="1"/>
                <w:color w:val="auto"/>
              </w:rPr>
              <w:t>At June 30, 2005</w:t>
            </w:r>
          </w:p>
        </w:tc>
        <w:tc>
          <w:tcPr>
            <w:tcW w:w="2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w w:val="85"/>
              </w:rPr>
              <w:t>At December 31, 2004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gridSpan w:val="4"/>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(in thousands)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42,288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150,075</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secured revolving credit line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jc w:val="right"/>
              <w:ind w:righ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124,180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124,136</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Project financing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3,633</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5"/>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170,101</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278,235</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ind w:right="312"/>
              <w:spacing w:after="0"/>
              <w:rPr>
                <w:sz w:val="20"/>
                <w:szCs w:val="20"/>
                <w:color w:val="auto"/>
              </w:rPr>
            </w:pPr>
            <w:r>
              <w:rPr>
                <w:rFonts w:ascii="Arial" w:cs="Arial" w:eastAsia="Arial" w:hAnsi="Arial"/>
                <w:sz w:val="18"/>
                <w:szCs w:val="18"/>
                <w:color w:val="auto"/>
                <w:w w:val="91"/>
              </w:rPr>
              <w:t>(2,124)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(35,647)</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5"/>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project financing</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167,977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242,588</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-2284730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-2284730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-2284730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-2284730</wp:posOffset>
            </wp:positionV>
            <wp:extent cx="41592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-2284730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-2284730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-2284730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-2284730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-2284730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-2284730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senior secured credit facility (credit facility) is comprised of a $55 million five-year senior secured revolving credit facility (revolver) and the remaining balance on an original $185 million seven-year senior secured term loan (term loan). The credit facility is guaranteed by all of our operating subsidiaries (except for our foreign subsidiaries and an outsourcing project financing subsidiary), all of which are wholly owned. Debt issuance costs are amortized over the life of the credit facility using the effective interest method. Unamortized debt issuance costs were approximately $10.7 million and $13.5 million at June 30, 2005 and December 31, 2004, respectively.</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April 2005, we completed two amendments to our credit facility. The amendments included a 50 basis point reduction in the term loan interest rate and increases to our maximum consolidated leverage and consolidated senior debt ratios. In addition, we obtained the ability to increase our revolver commitment from $55 million to $75 million at a future date, as defined in the April 2005 amendment. We also increased our letter of credit limit to $55 million and have the ability to increase it to $65 million at a future date. Our required minimum quarterly principal payments are $324,000 for the next 19 quarters ($1.3 million annually) with the remaining balance to be paid in four installments over the last six quarters, maturing in 2011. Optional repayments of the term loan are permitted without penalty or premium. Additional mandatory prepayments, based on 75% of defined excess cash flows, the issuance of capital stock or the sale of assets as defined by the borrowing agreement, would all decrease the minimum payments in the last six quarters. Interest rates on the term loan are based on the London InterBank Offering Rate (LIBOR) plus 1.75% or the Wells Fargo Bank, National Association’s prime rate (Prime) plus 0.75%. We had no mandatory prepayment requirement during 2004. We made optional prepayments on the term loan of $34.0 million during the second half of 2004 and $20.0 million during the first quarter of 2005. We made optional prepayments of $87.0 million during the second quarter of 2005, of which approximately $59.8 million was generated from our equity offering.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December 31, 2004, the outstanding balance on the term loan was $150.1 million, of which $34.9 million was classified as current and $115.2 million was classified as long-term. The classification between current and long-term debt at December 31, 2004 was based on the mandatory principal payments defined in the borrowing agreement, as well as an additional $33.0 million of optional prepayments we expected to make during the first six months of 2005 in order to remain in compliance with our debt covenants. As a result of optional prepayments in the first six months of 2005, the classification between current and long-term at June 30, 2005 was based only on the mandatory principal payments defined in the amended borrowing agreement. We were in compliance with all of our debt covenants at June 30, 2005, which require us to maintain certain consolidated leverage and coverage ratios on a quarterly basis, as well as customary covenants that place restrictions on the incurrence of debt, the payment of dividends, certain investments and mergers.</w:t>
      </w:r>
    </w:p>
    <w:p>
      <w:pPr>
        <w:spacing w:after="0" w:line="1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Interest rates on the revolver vary depending on our consolidated leverage ratio and are based on LIBOR plus 2.0% to 3.0%, or Prime plus 1.0% to 2.0%, payable at various intervals depending on the term of the borrowing. The annual commitment fee on the unused portion of the revolver varies from 0.375% to 0.50%. We incur annual letter of credit fees based on (a) a fronting fee of 0.125% and (b) a letter of credit fee that varies from 2.0% to 3.0%. Revolver borrowings can be made at any time through June 2009, at which time any borrowings outstanding must be repaid. At June 30, 2005 there were no borrowings outstanding under the revolver and $22.9 million was utilized by outstanding standby letters of credit resulting in $32.1 million available for additional borrowings.</w:t>
      </w:r>
    </w:p>
    <w:p>
      <w:pPr>
        <w:spacing w:after="0" w:line="1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2005, we sold an interest rate swap and cap that we had previously put in place in the fourth quarter of 2004, for approximately $416,000 and $48,000, respectively, compared with fair market values of approximately $224,000 and $69,000, respectively at December 31, 2004. The derivative instruments were initially designated as cash flow hedges; however, as a result of the optional prepayments on our term loan in the fourth quarter of 2004, we determined the cash flow hedges were ineffective in the same quarter as they were purchased, resulting in the recognition through interest expense of the changes in fair value. At June 30, 2005, we held no derivative instruments.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Subordinated Notes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10, 2004, we completed a private placement of $125 million aggregate principal amount of 7.75% notes, due in 2012. The notes are discounted to a price of 99.265 to yield 7.875%, with a balance of $124.2 million at June 30, 2005. On February 17, 2005, we completed an exchange of the notes for substantially identical registered notes, except that the new notes are generally transferable and do not contain certain terms with respect to registration rights and liquidation damages. The discount on the notes will be accreted and the debt issuance costs will be amortized over the life of the notes. Fixed interest payments of approximately $4.8 million are required every six months, in May and November. The notes are subordinated to our senior secured credit facility and are guaranteed by all of our operating subsidiaries (except for our foreign subsidiaries and an outsourcing project financing subsidiary), all of which are wholly owned. The notes contain covenants, which place restrictions on the incurrence of debt, the payment of dividends, certain investments and mergers. Some or all of the notes may be redeemed at our option at any time on or after May 15, 2008, at certain specified premium prices. At any time prior to May 15, 2007, we may, at our option, redeem up to 35% of the notes with the proceeds of certain sales of our common stock.</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conjunction with project financing for one of our outsourcing contracts, we issued a note secured by the assets of the project with monthly interest payments at an annual interest rate of 7.6%, maturing May 31, 2009. The project financing loan had an outstanding balance of $3.6 million at June 30, 2005.</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Minimum Payments on Debt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senior secured credit facility, notes and project financing agreements stipulate a minimum repayment schedule at June 30, 2005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420" w:type="dxa"/>
            <w:vAlign w:val="bottom"/>
            <w:gridSpan w:val="3"/>
          </w:tcPr>
          <w:p>
            <w:pPr>
              <w:ind w:left="5240"/>
              <w:spacing w:after="0"/>
              <w:rPr>
                <w:sz w:val="20"/>
                <w:szCs w:val="20"/>
                <w:color w:val="auto"/>
              </w:rPr>
            </w:pPr>
            <w:r>
              <w:rPr>
                <w:rFonts w:ascii="Arial" w:cs="Arial" w:eastAsia="Arial" w:hAnsi="Arial"/>
                <w:sz w:val="14"/>
                <w:szCs w:val="14"/>
                <w:b w:val="1"/>
                <w:bCs w:val="1"/>
                <w:color w:val="auto"/>
                <w:w w:val="88"/>
              </w:rPr>
              <w:t>Minimum Payments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400" w:type="dxa"/>
            <w:vAlign w:val="bottom"/>
            <w:gridSpan w:val="2"/>
            <w:shd w:val="clear" w:color="auto" w:fill="CCEEFF"/>
          </w:tcPr>
          <w:p>
            <w:pPr>
              <w:ind w:left="5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2006</w:t>
            </w: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2008</w:t>
            </w: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Beyond 2009</w:t>
            </w:r>
          </w:p>
        </w:tc>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5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260" w:type="dxa"/>
            <w:vAlign w:val="bottom"/>
            <w:vMerge w:val="restart"/>
          </w:tcPr>
          <w:p>
            <w:pPr>
              <w:jc w:val="right"/>
              <w:ind w:right="3237"/>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-325755</wp:posOffset>
            </wp:positionV>
            <wp:extent cx="7499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2004, we implemented a new internal organizational structure, which resulted in several actions to reduce spending and eliminate certain unprofitable activities. In 2004, we had restructuring expenses of $7.3 million and reduced our staffing by approximately 260 employees. Approximately $39,000 in severance costs remained to be paid to employees providing service past June 30, 2005. Accrued liabilities associated with Company-wide restructuring efforts were approximately $105,000 and $2.5 million at June 30, 2005 and December 31, 2004, respectively, and consisted of the following:</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60" w:type="dxa"/>
            <w:vAlign w:val="bottom"/>
            <w:gridSpan w:val="4"/>
          </w:tcPr>
          <w:p>
            <w:pPr>
              <w:ind w:left="2320"/>
              <w:spacing w:after="0"/>
              <w:rPr>
                <w:sz w:val="20"/>
                <w:szCs w:val="20"/>
                <w:color w:val="auto"/>
              </w:rPr>
            </w:pPr>
            <w:r>
              <w:rPr>
                <w:rFonts w:ascii="Arial" w:cs="Arial" w:eastAsia="Arial" w:hAnsi="Arial"/>
                <w:sz w:val="14"/>
                <w:szCs w:val="14"/>
                <w:b w:val="1"/>
                <w:bCs w:val="1"/>
                <w:color w:val="auto"/>
                <w:w w:val="93"/>
              </w:rPr>
              <w:t>Severance and</w:t>
            </w:r>
          </w:p>
        </w:tc>
        <w:tc>
          <w:tcPr>
            <w:tcW w:w="1960" w:type="dxa"/>
            <w:vAlign w:val="bottom"/>
            <w:gridSpan w:val="4"/>
          </w:tcPr>
          <w:p>
            <w:pPr>
              <w:ind w:left="800"/>
              <w:spacing w:after="0"/>
              <w:rPr>
                <w:sz w:val="20"/>
                <w:szCs w:val="20"/>
                <w:color w:val="auto"/>
              </w:rPr>
            </w:pPr>
            <w:r>
              <w:rPr>
                <w:rFonts w:ascii="Arial" w:cs="Arial" w:eastAsia="Arial" w:hAnsi="Arial"/>
                <w:sz w:val="14"/>
                <w:szCs w:val="14"/>
                <w:b w:val="1"/>
                <w:bCs w:val="1"/>
                <w:color w:val="auto"/>
                <w:w w:val="92"/>
              </w:rPr>
              <w:t>Lease Termination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Related Costs</w:t>
            </w:r>
          </w:p>
        </w:tc>
        <w:tc>
          <w:tcPr>
            <w:tcW w:w="80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and 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2004</w:t>
            </w:r>
          </w:p>
        </w:tc>
        <w:tc>
          <w:tcPr>
            <w:tcW w:w="25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June 30, 2005</w:t>
            </w:r>
          </w:p>
        </w:tc>
        <w:tc>
          <w:tcPr>
            <w:tcW w:w="25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2003</w:t>
            </w:r>
          </w:p>
        </w:tc>
        <w:tc>
          <w:tcPr>
            <w:tcW w:w="25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June 30, 2004</w:t>
            </w:r>
          </w:p>
        </w:tc>
        <w:tc>
          <w:tcPr>
            <w:tcW w:w="25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-887095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-887095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-887095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-887095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-887095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-887095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liability for lease terminations is recorded within accrued expenses and the liability for employee severance is recorded within wages and benefits payable. Lease termination and related costs are dependent on our ability to sublease vacant space and are reported as general and administrative. Severance and lease termination costs are not allocated to the reportable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estimate our 2005 annual effective income tax rate will be approximately 34.0%. Our effective income tax rate differs from the federal statutory rate of 35.0%, and can vary from period to period due to fluctuations in operating results, new or revised tax legislation, changes in the level of business performed in domestic and international jurisdictions, research credits, expirations of research credits and loss carryforwards, IPR&amp;D charges, state income taxes and extraterritorial income exclusion tax benefits. The Working Families Tax Relief Act of 2004 and the American Jobs Creation Act of 2004 were signed into law in October 2004. The only provision of the Acts that had a significant income tax effect on Itron was the extension of research credits through December 31, 2005. In the second quarter of 2005, we completed a research credit study for the years 1997-2004, recognizing a $5.9 million net tax credit in the provision for income taxes. Due primarily to this credit, we had a net tax benefit for the three and six month periods ended June 30, 2005. In addition, we estimate the 2005 net credit will be approximately $1.2 million. As a result, we revised our estimated 2005 annual effective tax rate from approximately 38% to 34%.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effective income tax rate of 47.2% for the three months ended June 30, 2004 was higher than the full year 2004 effective income tax rate of 44.1%, as a result of changes in estimated taxes due in future periods, partially offset by tax credit adjustments in the quarter. We had a net tax benefit for the six months ended June 30, 2004, due to changes in estimated taxes and valuation allowance adjustments recorded during that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 Others</w:t>
      </w:r>
      <w:r>
        <w:rPr>
          <w:rFonts w:ascii="Arial" w:cs="Arial" w:eastAsia="Arial" w:hAnsi="Arial"/>
          <w:sz w:val="18"/>
          <w:szCs w:val="18"/>
          <w:color w:val="auto"/>
        </w:rPr>
        <w:t>, we will record a liability for certain types of guarantees and indemnifications for agreements entered into or amended subsequent to December 31, 2002. No liabilities were required to be recorded as of June 30, 2005 and December 31, 2004.</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$8.6 million and $7.3 million at June 30, 2005 and December 31, 2004,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$22.9 million and $23.3 million at June 30, 2005 and December 31, 2004, respectively.</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No. 5, a liability is recorded when we determine that a loss is probable and the amount can be reasonably estimated. Additionally, we disclose contingencies for which a material loss is reasonably possible, but not probable. At June 30, 2005, there were no contingencies requiring accrual or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two operating groups (Hardware Solutions and Software Solutions). Our Hardware Solutions operating group is further defined between Meter Data Collection and Electricity Metering. Management has three primary measures for each of the operating groups: revenue, gross profit (margin) and operating income (loss). Revenues for each operating group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reported according to product lines. There are no inter-operating group revenues. Within Hardware Solutions, costs of sales are based on standard costs, which include materials, direct labor, warranty expense and an overhead allocation, as well as variances from standard costs. Software cost of sales include distribution and documentation costs for applications sold, along with other labor and operating costs for custom software development, project management, consulting and systems support. Hardware and software cost of services include materials, labor and overhead. Operating expenses directly associated with each operating group may include sales, marketing, product development or administrative expenses.</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Corporate operating expenses, interest revenue, interest expense, equity in the income (loss) of investees accounted for by the equity method, amortization expense and income tax expense (benefit) are not allocated to the operating groups, nor included in the measure of segment profit or loss. Assets and liabilities are not allocated to the operating groups, except for the Electricity Metering operating group, which is individually maintained and reviewed. At June 30, 2005, Electricity Metering had total assets of $263.0 million. The portion of depreciation expense allocated to the operating groups was approximately 65% and 50% at June 30, 2005 and 2004, respectively. We classify sales in the United States and Canada as domestic revenues. International revenues were $9.8 million and $3.8 million for the three months ended June 30, 2005 and 2004, and $17.9 million and $7.6 million for the six months ended June 30, 2005 and 2004, respectively. The increase in international revenues for the three and six months ended June 30, 2005, compared with the same periods in 2004, is due to the addition of our Electricity Metering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Operating Segment</w:t>
            </w:r>
          </w:p>
        </w:tc>
        <w:tc>
          <w:tcPr>
            <w:tcW w:w="8080" w:type="dxa"/>
            <w:vAlign w:val="bottom"/>
          </w:tcPr>
          <w:p>
            <w:pPr>
              <w:spacing w:after="0"/>
              <w:rPr>
                <w:sz w:val="20"/>
                <w:szCs w:val="20"/>
                <w:color w:val="auto"/>
              </w:rPr>
            </w:pPr>
            <w:r>
              <w:rPr>
                <w:rFonts w:ascii="Arial" w:cs="Arial" w:eastAsia="Arial" w:hAnsi="Arial"/>
                <w:sz w:val="14"/>
                <w:szCs w:val="14"/>
                <w:b w:val="1"/>
                <w:bCs w:val="1"/>
                <w:color w:val="auto"/>
              </w:rPr>
              <w:t>Major Products</w:t>
            </w:r>
          </w:p>
        </w:tc>
      </w:tr>
      <w:tr>
        <w:trPr>
          <w:trHeight w:val="95"/>
        </w:trPr>
        <w:tc>
          <w:tcPr>
            <w:tcW w:w="14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r>
      <w:tr>
        <w:trPr>
          <w:trHeight w:val="309"/>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Hardware Solutions—</w:t>
            </w:r>
          </w:p>
        </w:tc>
        <w:tc>
          <w:tcPr>
            <w:tcW w:w="8080" w:type="dxa"/>
            <w:vAlign w:val="bottom"/>
          </w:tcPr>
          <w:p>
            <w:pPr>
              <w:spacing w:after="0"/>
              <w:rPr>
                <w:sz w:val="20"/>
                <w:szCs w:val="20"/>
                <w:color w:val="auto"/>
              </w:rPr>
            </w:pPr>
            <w:r>
              <w:rPr>
                <w:rFonts w:ascii="Arial" w:cs="Arial" w:eastAsia="Arial" w:hAnsi="Arial"/>
                <w:sz w:val="18"/>
                <w:szCs w:val="18"/>
                <w:color w:val="auto"/>
                <w:w w:val="90"/>
              </w:rPr>
              <w:t>Residential and commercial AMR standalone and OEM (original equipment manufacturer) modules, mobile and</w:t>
            </w:r>
          </w:p>
        </w:tc>
      </w:tr>
      <w:tr>
        <w:trPr>
          <w:trHeight w:val="216"/>
        </w:trPr>
        <w:tc>
          <w:tcPr>
            <w:tcW w:w="3340" w:type="dxa"/>
            <w:vAlign w:val="bottom"/>
            <w:gridSpan w:val="2"/>
          </w:tcPr>
          <w:p>
            <w:pPr>
              <w:ind w:left="220"/>
              <w:spacing w:after="0"/>
              <w:rPr>
                <w:sz w:val="20"/>
                <w:szCs w:val="20"/>
                <w:color w:val="auto"/>
              </w:rPr>
            </w:pPr>
            <w:r>
              <w:rPr>
                <w:rFonts w:ascii="Arial" w:cs="Arial" w:eastAsia="Arial" w:hAnsi="Arial"/>
                <w:sz w:val="18"/>
                <w:szCs w:val="18"/>
                <w:i w:val="1"/>
                <w:iCs w:val="1"/>
                <w:color w:val="auto"/>
              </w:rPr>
              <w:t>Meter Data Collection:</w:t>
            </w:r>
          </w:p>
        </w:tc>
        <w:tc>
          <w:tcPr>
            <w:tcW w:w="8080" w:type="dxa"/>
            <w:vAlign w:val="bottom"/>
          </w:tcPr>
          <w:p>
            <w:pPr>
              <w:spacing w:after="0"/>
              <w:rPr>
                <w:sz w:val="20"/>
                <w:szCs w:val="20"/>
                <w:color w:val="auto"/>
              </w:rPr>
            </w:pPr>
            <w:r>
              <w:rPr>
                <w:rFonts w:ascii="Arial" w:cs="Arial" w:eastAsia="Arial" w:hAnsi="Arial"/>
                <w:sz w:val="18"/>
                <w:szCs w:val="18"/>
                <w:color w:val="auto"/>
                <w:w w:val="94"/>
              </w:rPr>
              <w:t>network AMR data collection technologies, SmartSynch meter systems, handheld computers for meter data</w:t>
            </w:r>
          </w:p>
        </w:tc>
      </w:tr>
      <w:tr>
        <w:trPr>
          <w:trHeight w:val="222"/>
        </w:trPr>
        <w:tc>
          <w:tcPr>
            <w:tcW w:w="1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collection or mobile workforce applications and related installation and implementation services.</w:t>
            </w: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Hardware Solutions—</w:t>
            </w:r>
          </w:p>
        </w:tc>
        <w:tc>
          <w:tcPr>
            <w:tcW w:w="8080" w:type="dxa"/>
            <w:vAlign w:val="bottom"/>
          </w:tcPr>
          <w:p>
            <w:pPr>
              <w:spacing w:after="0"/>
              <w:rPr>
                <w:sz w:val="20"/>
                <w:szCs w:val="20"/>
                <w:color w:val="auto"/>
              </w:rPr>
            </w:pPr>
            <w:r>
              <w:rPr>
                <w:rFonts w:ascii="Arial" w:cs="Arial" w:eastAsia="Arial" w:hAnsi="Arial"/>
                <w:sz w:val="18"/>
                <w:szCs w:val="18"/>
                <w:color w:val="auto"/>
                <w:w w:val="90"/>
              </w:rPr>
              <w:t>Residential solid-state and electromechanical electricity meters, AMR enabled meters, commercial and industrial</w:t>
            </w:r>
          </w:p>
        </w:tc>
      </w:tr>
      <w:tr>
        <w:trPr>
          <w:trHeight w:val="216"/>
        </w:trPr>
        <w:tc>
          <w:tcPr>
            <w:tcW w:w="3340" w:type="dxa"/>
            <w:vAlign w:val="bottom"/>
            <w:gridSpan w:val="2"/>
          </w:tcPr>
          <w:p>
            <w:pPr>
              <w:ind w:left="220"/>
              <w:spacing w:after="0"/>
              <w:rPr>
                <w:sz w:val="20"/>
                <w:szCs w:val="20"/>
                <w:color w:val="auto"/>
              </w:rPr>
            </w:pPr>
            <w:r>
              <w:rPr>
                <w:rFonts w:ascii="Arial" w:cs="Arial" w:eastAsia="Arial" w:hAnsi="Arial"/>
                <w:sz w:val="18"/>
                <w:szCs w:val="18"/>
                <w:i w:val="1"/>
                <w:iCs w:val="1"/>
                <w:color w:val="auto"/>
              </w:rPr>
              <w:t>Electricity Metering:</w:t>
            </w:r>
          </w:p>
        </w:tc>
        <w:tc>
          <w:tcPr>
            <w:tcW w:w="8080" w:type="dxa"/>
            <w:vAlign w:val="bottom"/>
          </w:tcPr>
          <w:p>
            <w:pPr>
              <w:spacing w:after="0"/>
              <w:rPr>
                <w:sz w:val="20"/>
                <w:szCs w:val="20"/>
                <w:color w:val="auto"/>
              </w:rPr>
            </w:pPr>
            <w:r>
              <w:rPr>
                <w:rFonts w:ascii="Arial" w:cs="Arial" w:eastAsia="Arial" w:hAnsi="Arial"/>
                <w:sz w:val="18"/>
                <w:szCs w:val="18"/>
                <w:color w:val="auto"/>
                <w:w w:val="93"/>
              </w:rPr>
              <w:t>solid-state electricity meters and generation, transmission and distribution meters and related installation and</w:t>
            </w:r>
          </w:p>
        </w:tc>
      </w:tr>
      <w:tr>
        <w:trPr>
          <w:trHeight w:val="222"/>
        </w:trPr>
        <w:tc>
          <w:tcPr>
            <w:tcW w:w="1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implementation services.</w:t>
            </w: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Software Solutions:</w:t>
            </w:r>
          </w:p>
        </w:tc>
        <w:tc>
          <w:tcPr>
            <w:tcW w:w="8080" w:type="dxa"/>
            <w:vAlign w:val="bottom"/>
          </w:tcPr>
          <w:p>
            <w:pPr>
              <w:spacing w:after="0"/>
              <w:rPr>
                <w:sz w:val="20"/>
                <w:szCs w:val="20"/>
                <w:color w:val="auto"/>
              </w:rPr>
            </w:pPr>
            <w:r>
              <w:rPr>
                <w:rFonts w:ascii="Arial" w:cs="Arial" w:eastAsia="Arial" w:hAnsi="Arial"/>
                <w:sz w:val="18"/>
                <w:szCs w:val="18"/>
                <w:color w:val="auto"/>
                <w:w w:val="98"/>
              </w:rPr>
              <w:t>Software applications for commercial, industrial and residential meter data collection and management,</w:t>
            </w:r>
          </w:p>
        </w:tc>
      </w:tr>
      <w:tr>
        <w:trPr>
          <w:trHeight w:val="216"/>
        </w:trPr>
        <w:tc>
          <w:tcPr>
            <w:tcW w:w="1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distribution systems design and optimization, energy and water management, asset optimization, mobile workforce</w:t>
            </w:r>
          </w:p>
        </w:tc>
      </w:tr>
      <w:tr>
        <w:trPr>
          <w:trHeight w:val="222"/>
        </w:trPr>
        <w:tc>
          <w:tcPr>
            <w:tcW w:w="1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solutions, forecasting and related implementation consulting services.</w:t>
            </w:r>
          </w:p>
        </w:tc>
      </w:tr>
      <w:tr>
        <w:trPr>
          <w:trHeight w:val="365"/>
        </w:trPr>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80" w:type="dxa"/>
            <w:vAlign w:val="bottom"/>
          </w:tcPr>
          <w:p>
            <w:pPr>
              <w:ind w:left="228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6"/>
              </w:rPr>
              <w:t>Three Months Ended June 30,</w:t>
            </w:r>
          </w:p>
        </w:tc>
        <w:tc>
          <w:tcPr>
            <w:tcW w:w="20" w:type="dxa"/>
            <w:vAlign w:val="bottom"/>
          </w:tcPr>
          <w:p>
            <w:pPr>
              <w:spacing w:after="0"/>
              <w:rPr>
                <w:sz w:val="15"/>
                <w:szCs w:val="15"/>
                <w:color w:val="auto"/>
              </w:rPr>
            </w:pPr>
          </w:p>
        </w:tc>
        <w:tc>
          <w:tcPr>
            <w:tcW w:w="18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111,868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60,622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114,728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122,814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226,596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79,642</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251,593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24,710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36,258</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25,953</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20,437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unallocated costs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(6,184)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(12,205)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(2,917)</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(5,569)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(22,937)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(44,408)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(5,837)</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(10,299)</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-3554095</wp:posOffset>
            </wp:positionV>
            <wp:extent cx="7759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597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-3554095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-3554095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-3554095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-3554095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-3554095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-3554095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-3554095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-2138680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-2138680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-2138680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-2138680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-2138680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-2138680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-2138680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-2138680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-2138680</wp:posOffset>
            </wp:positionV>
            <wp:extent cx="69024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 customer represented more than 10% of total Company revenues or individual segment revenues for the three and six months ended June 30, 2005. One Hardware Solutions customer accounted for approximately 14% and 13% of Meter Data Collection revenues and 12% and 11% of total Company revenues for the three and six months ended June 30, 2004,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Income (Loss)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adjustments are reflected as an increase or (decrease) to shareholders’ equity and are not reflected in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adjusted to reflect comprehensive income (loss) items during the period, net of tax,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7"/>
              </w:rPr>
              <w:t>Three Months Ended June 30,</w:t>
            </w:r>
          </w:p>
        </w:tc>
        <w:tc>
          <w:tcPr>
            <w:tcW w:w="100" w:type="dxa"/>
            <w:vAlign w:val="bottom"/>
          </w:tcPr>
          <w:p>
            <w:pPr>
              <w:spacing w:after="0"/>
              <w:rPr>
                <w:sz w:val="15"/>
                <w:szCs w:val="15"/>
                <w:color w:val="auto"/>
              </w:rPr>
            </w:pPr>
          </w:p>
        </w:tc>
        <w:tc>
          <w:tcPr>
            <w:tcW w:w="17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95"/>
        </w:trPr>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7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2"/>
                <w:szCs w:val="22"/>
                <w:color w:val="auto"/>
              </w:rPr>
            </w:pPr>
          </w:p>
        </w:tc>
      </w:tr>
      <w:tr>
        <w:trPr>
          <w:trHeight w:val="95"/>
        </w:trPr>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 tax</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102"/>
        </w:trPr>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132"/>
        </w:trPr>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50165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04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049"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Accumulated other comprehensive income, net of tax, was approximately $492,000 and $954,000 at June 30, 2005 and December 31, 2004, respectively, and consisted of adjustments for foreign currency translation only.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Condensed Consolidating Financial Information</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senior secured credit facility and the notes are guaranteed by all of our operating subsidiaries (except for our foreign subsidiaries and an outsourcing project financing subsidiary), all of which are wholly owned. The guarantees are joint and several, full, complete and unconditional. There are currently no restrictions on the ability of the subsidiary guarantors to transfer funds to the parent company. The following condensed consolidating financial information has been prepared and presented pursuant to SEC Regulation S-X Rule 3-10, “Financial Statements of Guarantors and Issuers of Guaranteed Securities Registered or Being Registered.”</w:t>
      </w:r>
    </w:p>
    <w:p>
      <w:pPr>
        <w:spacing w:after="0" w:line="12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Prior to the acquisition of our Electricity Metering business, we had three wholly owned domestic guarantor subsidiaries, which were established for various business purposes. Two of these subsidiaries have no assets or operations. The third subsidiary holds an investment in a non-guarantor subsidiary. Therefore, for the three and six months ended June 30, 2004, we combined the parent company and the combined guarantor subsidiaries. The net income (loss) from this investment was $(4,000) and $72,000 for the three and six months ended June 30,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3"/>
              </w:rPr>
              <w:t>Combined</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Combined 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Parent</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Company</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63,715</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57,472</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11,221</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(9,597)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11,324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75,039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57,613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(10,726)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36,351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(9,818)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Service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6,676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43,027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(10,202)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32,012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10,865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9,047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10,128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31,483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(1,625)</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6,257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in earnings (losses) of guarantor and non-guarantor subsidiaries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-420370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-420370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-420370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-420370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-420370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-420370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-420370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-420370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-420370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-420370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-420370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-420370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-420370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-420370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Parent and</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 Non-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ind w:left="6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9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67,042</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1,183</w:t>
            </w:r>
          </w:p>
        </w:tc>
        <w:tc>
          <w:tcPr>
            <w:tcW w:w="5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10,536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77,578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37,570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4,767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42,337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35,241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10,609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30,635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760" w:type="dxa"/>
            <w:vAlign w:val="bottom"/>
            <w:vMerge w:val="restart"/>
          </w:tcPr>
          <w:p>
            <w:pPr>
              <w:jc w:val="right"/>
              <w:ind w:right="672"/>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-420370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-420370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-420370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-420370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-420370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-420370</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-420370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-420370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-420370</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-420370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-420370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Combined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Combined 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Parent</w:t>
            </w: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Company</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Sales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114,211</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109,702</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20,334</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(17,234)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136,423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(18,924)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(17,465)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Service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12,223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(17,901)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(8,609)</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in earnings (losses) of guarantor and non-guarantor subsidiaries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760" w:type="dxa"/>
            <w:vAlign w:val="bottom"/>
            <w:vMerge w:val="restart"/>
          </w:tcPr>
          <w:p>
            <w:pPr>
              <w:jc w:val="right"/>
              <w:ind w:right="17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-325755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-325755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Combined Non-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121,661</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1,713</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10,349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060" w:type="dxa"/>
            <w:vAlign w:val="bottom"/>
            <w:vMerge w:val="restart"/>
          </w:tcPr>
          <w:p>
            <w:pPr>
              <w:jc w:val="right"/>
              <w:ind w:right="97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51879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Combined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Combined Non-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6"/>
              </w:rPr>
              <w:t>Parent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6080" w:type="dxa"/>
            <w:vAlign w:val="bottom"/>
          </w:tcPr>
          <w:p>
            <w:pPr>
              <w:spacing w:after="0"/>
              <w:rPr>
                <w:sz w:val="15"/>
                <w:szCs w:val="15"/>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Company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r>
      <w:tr>
        <w:trPr>
          <w:trHeight w:val="95"/>
        </w:trPr>
        <w:tc>
          <w:tcPr>
            <w:tcW w:w="6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080" w:type="dxa"/>
            <w:vAlign w:val="bottom"/>
            <w:shd w:val="clear" w:color="auto" w:fill="CCEEFF"/>
          </w:tcPr>
          <w:p>
            <w:pPr>
              <w:ind w:left="25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85,921</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(31,278)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21,088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46,351</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6,143</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(97,231)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173,497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(128,509)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159,285</w:t>
            </w:r>
          </w:p>
        </w:tc>
        <w:tc>
          <w:tcPr>
            <w:tcW w:w="60" w:type="dxa"/>
            <w:vAlign w:val="bottom"/>
            <w:shd w:val="clear" w:color="auto" w:fill="CCEEFF"/>
          </w:tcPr>
          <w:p>
            <w:pPr>
              <w:spacing w:after="0"/>
              <w:rPr>
                <w:sz w:val="18"/>
                <w:szCs w:val="18"/>
                <w:color w:val="auto"/>
              </w:rPr>
            </w:pPr>
          </w:p>
        </w:tc>
      </w:tr>
      <w:tr>
        <w:trPr>
          <w:trHeight w:val="322"/>
        </w:trPr>
        <w:tc>
          <w:tcPr>
            <w:tcW w:w="6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38,807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53,979</w:t>
            </w:r>
          </w:p>
        </w:tc>
        <w:tc>
          <w:tcPr>
            <w:tcW w:w="60" w:type="dxa"/>
            <w:vAlign w:val="bottom"/>
          </w:tcPr>
          <w:p>
            <w:pPr>
              <w:spacing w:after="0"/>
              <w:rPr>
                <w:sz w:val="24"/>
                <w:szCs w:val="24"/>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130,926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142,704</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19,552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115,512</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51,583</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18,949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(18,949)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(36,485)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60" w:type="dxa"/>
            <w:vAlign w:val="bottom"/>
            <w:shd w:val="clear" w:color="auto" w:fill="CCEEFF"/>
          </w:tcPr>
          <w:p>
            <w:pPr>
              <w:spacing w:after="0"/>
              <w:rPr>
                <w:sz w:val="18"/>
                <w:szCs w:val="18"/>
                <w:color w:val="auto"/>
              </w:rPr>
            </w:pPr>
          </w:p>
        </w:tc>
      </w:tr>
      <w:tr>
        <w:trPr>
          <w:trHeight w:val="108"/>
        </w:trPr>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400,833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258,600</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(184,811)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536,061</w:t>
            </w:r>
          </w:p>
        </w:tc>
        <w:tc>
          <w:tcPr>
            <w:tcW w:w="60" w:type="dxa"/>
            <w:vAlign w:val="bottom"/>
            <w:shd w:val="clear" w:color="auto" w:fill="CCEEFF"/>
          </w:tcPr>
          <w:p>
            <w:pPr>
              <w:spacing w:after="0"/>
              <w:rPr>
                <w:sz w:val="18"/>
                <w:szCs w:val="18"/>
                <w:color w:val="auto"/>
              </w:rPr>
            </w:pPr>
          </w:p>
        </w:tc>
      </w:tr>
      <w:tr>
        <w:trPr>
          <w:trHeight w:val="132"/>
        </w:trPr>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6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08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21,563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(31,278)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2,124</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Short-term intercompany advances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(97,231)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60" w:type="dxa"/>
            <w:vAlign w:val="bottom"/>
            <w:shd w:val="clear" w:color="auto" w:fill="CCEEFF"/>
          </w:tcPr>
          <w:p>
            <w:pPr>
              <w:spacing w:after="0"/>
              <w:rPr>
                <w:sz w:val="18"/>
                <w:szCs w:val="18"/>
                <w:color w:val="auto"/>
              </w:rPr>
            </w:pPr>
          </w:p>
        </w:tc>
      </w:tr>
      <w:tr>
        <w:trPr>
          <w:trHeight w:val="108"/>
        </w:trPr>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106,570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(128,509)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83,670</w:t>
            </w:r>
          </w:p>
        </w:tc>
        <w:tc>
          <w:tcPr>
            <w:tcW w:w="60" w:type="dxa"/>
            <w:vAlign w:val="bottom"/>
            <w:shd w:val="clear" w:color="auto" w:fill="CCEEFF"/>
          </w:tcPr>
          <w:p>
            <w:pPr>
              <w:spacing w:after="0"/>
              <w:rPr>
                <w:sz w:val="18"/>
                <w:szCs w:val="18"/>
                <w:color w:val="auto"/>
              </w:rPr>
            </w:pPr>
          </w:p>
        </w:tc>
      </w:tr>
      <w:tr>
        <w:trPr>
          <w:trHeight w:val="322"/>
        </w:trPr>
        <w:tc>
          <w:tcPr>
            <w:tcW w:w="6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31,382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133,790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165,172</w:t>
            </w:r>
          </w:p>
        </w:tc>
        <w:tc>
          <w:tcPr>
            <w:tcW w:w="60" w:type="dxa"/>
            <w:vAlign w:val="bottom"/>
          </w:tcPr>
          <w:p>
            <w:pPr>
              <w:spacing w:after="0"/>
              <w:rPr>
                <w:sz w:val="24"/>
                <w:szCs w:val="24"/>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(18,949)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60" w:type="dxa"/>
            <w:vAlign w:val="bottom"/>
            <w:shd w:val="clear" w:color="auto" w:fill="CCEEFF"/>
          </w:tcPr>
          <w:p>
            <w:pPr>
              <w:spacing w:after="0"/>
              <w:rPr>
                <w:sz w:val="18"/>
                <w:szCs w:val="18"/>
                <w:color w:val="auto"/>
              </w:rPr>
            </w:pPr>
          </w:p>
        </w:tc>
      </w:tr>
      <w:tr>
        <w:trPr>
          <w:trHeight w:val="108"/>
        </w:trPr>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132,192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241,120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(148,326)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262,425</w:t>
            </w:r>
          </w:p>
        </w:tc>
        <w:tc>
          <w:tcPr>
            <w:tcW w:w="60" w:type="dxa"/>
            <w:vAlign w:val="bottom"/>
            <w:shd w:val="clear" w:color="auto" w:fill="CCEEFF"/>
          </w:tcPr>
          <w:p>
            <w:pPr>
              <w:spacing w:after="0"/>
              <w:rPr>
                <w:sz w:val="18"/>
                <w:szCs w:val="18"/>
                <w:color w:val="auto"/>
              </w:rPr>
            </w:pPr>
          </w:p>
        </w:tc>
      </w:tr>
      <w:tr>
        <w:trPr>
          <w:trHeight w:val="323"/>
        </w:trPr>
        <w:tc>
          <w:tcPr>
            <w:tcW w:w="60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291,458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(36,317)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291,458</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(18,314)</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(18,314)</w:t>
            </w:r>
          </w:p>
        </w:tc>
      </w:tr>
      <w:tr>
        <w:trPr>
          <w:trHeight w:val="102"/>
        </w:trPr>
        <w:tc>
          <w:tcPr>
            <w:tcW w:w="6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268,641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(36,485)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273,636</w:t>
            </w:r>
          </w:p>
        </w:tc>
        <w:tc>
          <w:tcPr>
            <w:tcW w:w="60" w:type="dxa"/>
            <w:vAlign w:val="bottom"/>
            <w:shd w:val="clear" w:color="auto" w:fill="CCEEFF"/>
          </w:tcPr>
          <w:p>
            <w:pPr>
              <w:spacing w:after="0"/>
              <w:rPr>
                <w:sz w:val="18"/>
                <w:szCs w:val="18"/>
                <w:color w:val="auto"/>
              </w:rPr>
            </w:pPr>
          </w:p>
        </w:tc>
      </w:tr>
      <w:tr>
        <w:trPr>
          <w:trHeight w:val="108"/>
        </w:trPr>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400,833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258,600</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(184,811)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536,061</w:t>
            </w:r>
          </w:p>
        </w:tc>
        <w:tc>
          <w:tcPr>
            <w:tcW w:w="60" w:type="dxa"/>
            <w:vAlign w:val="bottom"/>
            <w:shd w:val="clear" w:color="auto" w:fill="CCEEFF"/>
          </w:tcPr>
          <w:p>
            <w:pPr>
              <w:spacing w:after="0"/>
              <w:rPr>
                <w:sz w:val="18"/>
                <w:szCs w:val="18"/>
                <w:color w:val="auto"/>
              </w:rPr>
            </w:pPr>
          </w:p>
        </w:tc>
      </w:tr>
      <w:tr>
        <w:trPr>
          <w:trHeight w:val="132"/>
        </w:trPr>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-4205605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-4205605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-4205605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-4205605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-4205605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-4205605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-4205605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-4205605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-4205605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-4205605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-4205605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-4205605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-4205605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-4205605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-4205605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Combined Non-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Parent</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6060" w:type="dxa"/>
            <w:vAlign w:val="bottom"/>
          </w:tcPr>
          <w:p>
            <w:pPr>
              <w:spacing w:after="0"/>
              <w:rPr>
                <w:sz w:val="15"/>
                <w:szCs w:val="15"/>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Company</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r>
      <w:tr>
        <w:trPr>
          <w:trHeight w:val="95"/>
        </w:trPr>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060" w:type="dxa"/>
            <w:vAlign w:val="bottom"/>
            <w:shd w:val="clear" w:color="auto" w:fill="CCEEFF"/>
          </w:tcPr>
          <w:p>
            <w:pPr>
              <w:ind w:left="25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90,097</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(43,182)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45,459</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5,477</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175,390</w:t>
            </w:r>
          </w:p>
        </w:tc>
        <w:tc>
          <w:tcPr>
            <w:tcW w:w="60" w:type="dxa"/>
            <w:vAlign w:val="bottom"/>
            <w:shd w:val="clear" w:color="auto" w:fill="CCEEFF"/>
          </w:tcPr>
          <w:p>
            <w:pPr>
              <w:spacing w:after="0"/>
              <w:rPr>
                <w:sz w:val="18"/>
                <w:szCs w:val="18"/>
                <w:color w:val="auto"/>
              </w:rPr>
            </w:pPr>
          </w:p>
        </w:tc>
      </w:tr>
      <w:tr>
        <w:trPr>
          <w:trHeight w:val="322"/>
        </w:trPr>
        <w:tc>
          <w:tcPr>
            <w:tcW w:w="6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40,919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11,729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59,690</w:t>
            </w:r>
          </w:p>
        </w:tc>
        <w:tc>
          <w:tcPr>
            <w:tcW w:w="60" w:type="dxa"/>
            <w:vAlign w:val="bottom"/>
          </w:tcPr>
          <w:p>
            <w:pPr>
              <w:spacing w:after="0"/>
              <w:rPr>
                <w:sz w:val="24"/>
                <w:szCs w:val="24"/>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147,458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162,137</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117,471</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22,089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(22,089)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60" w:type="dxa"/>
            <w:vAlign w:val="bottom"/>
            <w:shd w:val="clear" w:color="auto" w:fill="CCEEFF"/>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336,479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262,976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(107,331)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557,151</w:t>
            </w:r>
          </w:p>
        </w:tc>
        <w:tc>
          <w:tcPr>
            <w:tcW w:w="60" w:type="dxa"/>
            <w:vAlign w:val="bottom"/>
            <w:shd w:val="clear" w:color="auto" w:fill="CCEEFF"/>
          </w:tcPr>
          <w:p>
            <w:pPr>
              <w:spacing w:after="0"/>
              <w:rPr>
                <w:sz w:val="18"/>
                <w:szCs w:val="18"/>
                <w:color w:val="auto"/>
              </w:rPr>
            </w:pPr>
          </w:p>
        </w:tc>
      </w:tr>
      <w:tr>
        <w:trPr>
          <w:trHeight w:val="132"/>
        </w:trPr>
        <w:tc>
          <w:tcPr>
            <w:tcW w:w="6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6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06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37,439</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(43,182)</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35,647</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Short-term intercompany advances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(10,330)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60" w:type="dxa"/>
            <w:vAlign w:val="bottom"/>
            <w:shd w:val="clear" w:color="auto" w:fill="CCEEFF"/>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117,267</w:t>
            </w:r>
          </w:p>
        </w:tc>
        <w:tc>
          <w:tcPr>
            <w:tcW w:w="60" w:type="dxa"/>
            <w:vAlign w:val="bottom"/>
            <w:shd w:val="clear" w:color="auto" w:fill="CCEEFF"/>
          </w:tcPr>
          <w:p>
            <w:pPr>
              <w:spacing w:after="0"/>
              <w:rPr>
                <w:sz w:val="18"/>
                <w:szCs w:val="18"/>
                <w:color w:val="auto"/>
              </w:rPr>
            </w:pPr>
          </w:p>
        </w:tc>
      </w:tr>
      <w:tr>
        <w:trPr>
          <w:trHeight w:val="322"/>
        </w:trPr>
        <w:tc>
          <w:tcPr>
            <w:tcW w:w="60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45,479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193,882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239,361</w:t>
            </w:r>
          </w:p>
        </w:tc>
        <w:tc>
          <w:tcPr>
            <w:tcW w:w="60" w:type="dxa"/>
            <w:vAlign w:val="bottom"/>
          </w:tcPr>
          <w:p>
            <w:pPr>
              <w:spacing w:after="0"/>
              <w:rPr>
                <w:sz w:val="24"/>
                <w:szCs w:val="24"/>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22,089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(22,089)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60" w:type="dxa"/>
            <w:vAlign w:val="bottom"/>
            <w:shd w:val="clear" w:color="auto" w:fill="CCEEFF"/>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153,881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251,872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(76,431)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372,721</w:t>
            </w:r>
          </w:p>
        </w:tc>
        <w:tc>
          <w:tcPr>
            <w:tcW w:w="60" w:type="dxa"/>
            <w:vAlign w:val="bottom"/>
            <w:shd w:val="clear" w:color="auto" w:fill="CCEEFF"/>
          </w:tcPr>
          <w:p>
            <w:pPr>
              <w:spacing w:after="0"/>
              <w:rPr>
                <w:sz w:val="18"/>
                <w:szCs w:val="18"/>
                <w:color w:val="auto"/>
              </w:rPr>
            </w:pPr>
          </w:p>
        </w:tc>
      </w:tr>
      <w:tr>
        <w:trPr>
          <w:trHeight w:val="323"/>
        </w:trPr>
        <w:tc>
          <w:tcPr>
            <w:tcW w:w="606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211,920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(34,517)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211,920</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8"/>
                <w:szCs w:val="18"/>
                <w:color w:val="auto"/>
              </w:rPr>
            </w:pPr>
          </w:p>
        </w:tc>
      </w:tr>
      <w:tr>
        <w:trPr>
          <w:trHeight w:val="222"/>
        </w:trPr>
        <w:tc>
          <w:tcPr>
            <w:tcW w:w="606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(28,444)</w:t>
            </w: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6,285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(28,444)</w:t>
            </w:r>
          </w:p>
        </w:tc>
      </w:tr>
      <w:tr>
        <w:trPr>
          <w:trHeight w:val="102"/>
        </w:trPr>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182,598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184,430</w:t>
            </w:r>
          </w:p>
        </w:tc>
        <w:tc>
          <w:tcPr>
            <w:tcW w:w="60" w:type="dxa"/>
            <w:vAlign w:val="bottom"/>
            <w:shd w:val="clear" w:color="auto" w:fill="CCEEFF"/>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336,479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262,976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(107,331)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557,151</w:t>
            </w:r>
          </w:p>
        </w:tc>
        <w:tc>
          <w:tcPr>
            <w:tcW w:w="60" w:type="dxa"/>
            <w:vAlign w:val="bottom"/>
            <w:shd w:val="clear" w:color="auto" w:fill="CCEEFF"/>
          </w:tcPr>
          <w:p>
            <w:pPr>
              <w:spacing w:after="0"/>
              <w:rPr>
                <w:sz w:val="18"/>
                <w:szCs w:val="18"/>
                <w:color w:val="auto"/>
              </w:rPr>
            </w:pPr>
          </w:p>
        </w:tc>
      </w:tr>
      <w:tr>
        <w:trPr>
          <w:trHeight w:val="132"/>
        </w:trPr>
        <w:tc>
          <w:tcPr>
            <w:tcW w:w="6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-4205605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-4205605</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-4205605</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-4205605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-4205605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-4205605</wp:posOffset>
            </wp:positionV>
            <wp:extent cx="228536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28536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Combined</w:t>
            </w:r>
          </w:p>
        </w:tc>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Combined 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Parent</w:t>
            </w:r>
          </w:p>
        </w:tc>
        <w:tc>
          <w:tcPr>
            <w:tcW w:w="11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Company</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Subsidiaries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(in thousands)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10,130</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6,038</w:t>
            </w:r>
          </w:p>
        </w:tc>
        <w:tc>
          <w:tcPr>
            <w:tcW w:w="40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770</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18,414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plan income tax benefits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of guarantor and non-guarantor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Interest expense as a result of pushdown of debt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(8,610)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8,610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12,758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(8,910)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Intercompany transactions,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transferred to/payments received from parent,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w w:val="93"/>
              </w:rPr>
              <w:t>Cash transferred to/payments received from guarantor subsidiaries,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15,879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(14,299)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transferred to/payments received from non-guarantor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subsidiaries, net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Intercompany notes,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(used) by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(8,274)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(107,787)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debt fees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Cash received from/payments made to guarantor subsidiaries,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Cash received from/payments made to non-guarantor subsidiaries,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Cash received from/payments made to parent, net</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(15,879)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13,882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notes,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used by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(27,855)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(14,514)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Pushdown of debt and related costs from Parent Company to</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Guarantor Subsidiary, net of payments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93,665</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(93,665)</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-1129030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-1129030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-1129030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-1129030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-1129030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-1129030</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-1129030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-1129030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-1129030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-1129030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-1129030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-1129030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-1129030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-1129030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-1129030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019"/>
          </w:cols>
          <w:pgMar w:left="1440" w:top="131"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 Non-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ind w:left="640"/>
              <w:spacing w:after="0"/>
              <w:rPr>
                <w:sz w:val="20"/>
                <w:szCs w:val="20"/>
                <w:color w:val="auto"/>
              </w:rPr>
            </w:pPr>
            <w:r>
              <w:rPr>
                <w:rFonts w:ascii="Arial" w:cs="Arial" w:eastAsia="Arial" w:hAnsi="Arial"/>
                <w:sz w:val="14"/>
                <w:szCs w:val="14"/>
                <w:b w:val="1"/>
                <w:bCs w:val="1"/>
                <w:color w:val="auto"/>
                <w:w w:val="97"/>
              </w:rPr>
              <w:t>(in thousands)</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944</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(used) by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8,692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138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plan income tax benefits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401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461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251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Intercompany transactions,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(used)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129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activities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Payment of contingent purchase price for acquisition</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transferred to non-guarantor subsidiaries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Cash received from non-guarantor subsidiaries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(used) by investing activities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(13,895)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200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638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323"/>
        </w:trPr>
        <w:tc>
          <w:tcPr>
            <w:tcW w:w="64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124,081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Transfer to escrow for senior subordinated notes</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(128,310)</w:t>
            </w: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(128,310)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Prepaid debt fees</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notes payable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Payments on intercompany notes payable</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(1,540)</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275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24"/>
                <w:szCs w:val="2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167</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Taxes on contingent purchase price payable for acquisition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175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-991870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-991870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-991870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-991870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-991870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-991870</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-991870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-991870</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-991870</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-991870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-991870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-991870</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July and August of 2005, we made $7.0 million of optional prepayments on our senior secured credit facility term loan, bringing the outstanding balance to $35.3 million as of August 3, 2005.</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July 2005, we signed a contract with Progress Energy, Inc. for 2.7 million electricity meters with embedded AMR. The contract is worth approximately $120 million and is deliverable over approximately two years.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March 11, 2005.</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SEC filings are available free of charge under the Investor Relations section of our website at </w:t>
      </w:r>
      <w:r>
        <w:rPr>
          <w:rFonts w:ascii="Arial" w:cs="Arial" w:eastAsia="Arial" w:hAnsi="Arial"/>
          <w:sz w:val="18"/>
          <w:szCs w:val="18"/>
          <w:i w:val="1"/>
          <w:iCs w:val="1"/>
          <w:u w:val="single" w:color="auto"/>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sales, earnings growth, cost reduction programs and other items. These statements reflect our current plans and expectations and are based on information currently available as of the date of this Form 10-Q.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which are subject to risks and uncertainties that could cause our actual results to vary materially from those anticipated. Such risks and uncertainties include, among others, 1) the rate and timing of customer demand for our products, 2) rescheduling of current customer orders, 3) changes in estimated liabilities for product warranties, 4) changes in laws and regulations (including Federal Communications Commission licensing actions), 5) future acquisitions and 6) other factors. You should not place undue reliance on these forward-looking statements, which apply only as of the date of this Form 10-Q.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“Risks Relating to Our Business” included in our Annual Report on Form 10-K for the fiscal year ended December 31, 2004, which was filed with the SEC on March 11, 2005.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derive the majority of our revenues from sales of products and services to utilities. Sales revenues may include hardware, software licenses,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for systems we own as well as those owned by our customers. Hardware cost of sales are based on standard costs, which include materials, direct labor, warranty expense and an overhead allocation, as well as variances from standard costs. Software cost of sales include distribution and documentation costs for applications sold, along with other labor and operating costs for custom software development, project management, consulting and systems support. Hardware and software cost of services include materials, labor and overhead.</w:t>
      </w:r>
    </w:p>
    <w:p>
      <w:pPr>
        <w:spacing w:after="0" w:line="10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On July 1, 2004, we completed the acquisition of our Electricity Metering business, which resulted in a significant increase in our revenues and changed many other aspects of our results of operations, financial condition and cash flows, which are described in detail in the discussion that follows.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8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Total revenues for the second quarter of 2005 were $135.1 million compared with $79.6 million for the second quarter of 2004. Total revenues for the first six months of 2005 were $251.6 million compared with $145.2 million for the first six months of 2004. The higher revenues in 2005 resulted primarily from our Electricity Metering acquisition completed a year ago on July 1, 2004.</w:t>
      </w:r>
    </w:p>
    <w:p>
      <w:pPr>
        <w:spacing w:after="0" w:line="1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Industry wide utility capital spending on automatic meter reading (AMR) has increased significantly in 2005, compared with 2004. As a result of the increased utility capital spending and the Electricity Metering acquisition completed a year ago, our new order bookings have increased significantly, resulting in higher backlog as of June 30, 2005. Total new order bookings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second quarter and first six months of 2005 were $177 million and $294 million compared with $66 million and $132 million in the second quarter and first six months of 2004. Total backlog was $243 million at June 30, 2005, compared with $153 million at June 30, 2004. In addition, in July 2005, we signed a contract with Progress Energy, Inc. for 2.7 million electricity meters with embedded AMR. The contract is worth approximately $120 million and is deliverable over approximately two years. The Progress Energy, Inc. contract, signed in July 2005, is not included in bookings or backlog for June 30, 2005.</w:t>
      </w:r>
    </w:p>
    <w:p>
      <w:pPr>
        <w:spacing w:after="0" w:line="9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July 1, 2004 acquisition of our Electricity Metering business, as well as improved AMR market activity in 2005, have resulted in higher net profits in 2005. Income before income taxes was $4.5 million and $5.8 million in the second quarter and first half of 2005 compared with $1.6 million and $40,000 in the same periods in 2004.</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second quarter of 2005, we completed a research credit study for the years 1997 through 2004 (prior periods) and for 2005. As a result of that study, during the quarter we recorded a net income tax benefit of $5.9 million in the provision for income taxes for prior period research and development tax credits. In addition, we estimate that the 2005 net tax credit will be approximately $1.2 million. As a result, we revised our estimated 2005 annual effective tax rate from approximately 38% to 34% during the second quarter of 2005.</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May 2005, we received approximately $59.8 million in proceeds from the issuance of 1,725,000 shares of common stock. With the common stock proceeds and funds available from operating cash flow, we made $87.0 million in optional term bank debt repayments during the second quarter of 2005. In total, in the first twelve months following the Electricity Metering acquisition, we have repaid $142.7 million of the $185 million in term bank debt that was used to finance a portion of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Revenues and Gross Margins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our revenues and gross margin for the three and six months ended June 30, 2005 and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6985</wp:posOffset>
            </wp:positionV>
            <wp:extent cx="4511040" cy="385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51104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had a $54.8 million and $104.0 increase in sales revenues for the three and six months ended June 30, 2005, compared with the same periods in 2004. The increase resulted from $60.6 million and $114.7 million in Electricity Metering sales revenue, offset by a decrease in Meter Data Collections sales revenues, for the three and six months ended June 30, 2005, respectively. Service revenues increased in both periods of 2005, primarily due to higher maintenance revenues resulting from a larger software install base.</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 customer represented more than 10% of total revenues for the three and six months ended June 30, 2005. One customer represented approximately 12% and 11% for the three and six months ended June 30, 2004. Our 10 largest customers accounted for approximately 23% and 20% of revenues during the three and six months ended June 30, 2005, respectively. During the same periods in 2004, our 10 largest customers accounted for approximately 39% and 37% of revenues,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a percentage of revenue, sales gross margin for the three and six months ended June 30, 2005 decreased two percentage points, compared with the same periods in 2004, primarily due to lower average selling prices on electric AMR modules. Service gross margin decreased in the three and six months ended June 30 2005, compared with the same periods in 2004, primarily due to increased time spent on non-billable projects.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Margin and Operating Income (Loss)</w:t>
      </w:r>
    </w:p>
    <w:p>
      <w:pPr>
        <w:spacing w:after="0" w:line="8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two operating groups (Hardware Solutions and Software Solutions). Our Hardware Solutions operating group is further defined between Meter Data Collection and Electricity Metering. Management has three primary measures for each of the operating groups: revenue, gross profit (margin) and operating income (loss). There are no inter-operating group revenues. Assets and liabilities are not allocated to the operating groups, except for the Electricity Metering operating group, which is individually maintained and reviewed. The portion of depreciation expense allocated to the operating groups was approximately 65% and 50% at June 30, 2005 and 2004, respectively.</w:t>
      </w:r>
    </w:p>
    <w:p>
      <w:pPr>
        <w:spacing w:after="0" w:line="12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classify sales in the United States and Canada as domestic revenues. International revenues were $9.8 million and $3.8 million for the three months ended June 30, 2005 and 2004, and $17.9 million and $7.6 million for the six months ended June 30, 2005 and 2004, respectively. The increase in international revenues for the three and six months ended June 30, 2005, compared with the same periods in 2004, is due to the addition of our Electricity Metering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Operating Segment</w:t>
            </w: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Major Products</w:t>
            </w:r>
          </w:p>
        </w:tc>
      </w:tr>
      <w:tr>
        <w:trPr>
          <w:trHeight w:val="95"/>
        </w:trPr>
        <w:tc>
          <w:tcPr>
            <w:tcW w:w="12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r>
      <w:tr>
        <w:trPr>
          <w:trHeight w:val="309"/>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Hardware Solutions—</w:t>
            </w:r>
          </w:p>
        </w:tc>
        <w:tc>
          <w:tcPr>
            <w:tcW w:w="8060" w:type="dxa"/>
            <w:vAlign w:val="bottom"/>
            <w:gridSpan w:val="2"/>
          </w:tcPr>
          <w:p>
            <w:pPr>
              <w:spacing w:after="0"/>
              <w:rPr>
                <w:sz w:val="20"/>
                <w:szCs w:val="20"/>
                <w:color w:val="auto"/>
              </w:rPr>
            </w:pPr>
            <w:r>
              <w:rPr>
                <w:rFonts w:ascii="Arial" w:cs="Arial" w:eastAsia="Arial" w:hAnsi="Arial"/>
                <w:sz w:val="18"/>
                <w:szCs w:val="18"/>
                <w:color w:val="auto"/>
                <w:w w:val="90"/>
              </w:rPr>
              <w:t>Residential and commercial AMR standalone and OEM (original equipment manufacturer) modules, mobile and</w:t>
            </w:r>
          </w:p>
        </w:tc>
      </w:tr>
      <w:tr>
        <w:trPr>
          <w:trHeight w:val="216"/>
        </w:trPr>
        <w:tc>
          <w:tcPr>
            <w:tcW w:w="3340" w:type="dxa"/>
            <w:vAlign w:val="bottom"/>
            <w:gridSpan w:val="2"/>
          </w:tcPr>
          <w:p>
            <w:pPr>
              <w:ind w:left="220"/>
              <w:spacing w:after="0"/>
              <w:rPr>
                <w:sz w:val="20"/>
                <w:szCs w:val="20"/>
                <w:color w:val="auto"/>
              </w:rPr>
            </w:pPr>
            <w:r>
              <w:rPr>
                <w:rFonts w:ascii="Arial" w:cs="Arial" w:eastAsia="Arial" w:hAnsi="Arial"/>
                <w:sz w:val="18"/>
                <w:szCs w:val="18"/>
                <w:i w:val="1"/>
                <w:iCs w:val="1"/>
                <w:color w:val="auto"/>
              </w:rPr>
              <w:t>Meter Data Collection:</w:t>
            </w:r>
          </w:p>
        </w:tc>
        <w:tc>
          <w:tcPr>
            <w:tcW w:w="8060" w:type="dxa"/>
            <w:vAlign w:val="bottom"/>
            <w:gridSpan w:val="2"/>
          </w:tcPr>
          <w:p>
            <w:pPr>
              <w:spacing w:after="0"/>
              <w:rPr>
                <w:sz w:val="20"/>
                <w:szCs w:val="20"/>
                <w:color w:val="auto"/>
              </w:rPr>
            </w:pPr>
            <w:r>
              <w:rPr>
                <w:rFonts w:ascii="Arial" w:cs="Arial" w:eastAsia="Arial" w:hAnsi="Arial"/>
                <w:sz w:val="18"/>
                <w:szCs w:val="18"/>
                <w:color w:val="auto"/>
                <w:w w:val="94"/>
              </w:rPr>
              <w:t>network AMR data collection technologies, SmartSynch meter systems, handheld computers for meter data</w:t>
            </w:r>
          </w:p>
        </w:tc>
      </w:tr>
      <w:tr>
        <w:trPr>
          <w:trHeight w:val="222"/>
        </w:trPr>
        <w:tc>
          <w:tcPr>
            <w:tcW w:w="1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collection or mobile workforce applications and related installation and implementation services.</w:t>
            </w: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Hardware Solutions—</w:t>
            </w:r>
          </w:p>
        </w:tc>
        <w:tc>
          <w:tcPr>
            <w:tcW w:w="8060" w:type="dxa"/>
            <w:vAlign w:val="bottom"/>
            <w:gridSpan w:val="2"/>
          </w:tcPr>
          <w:p>
            <w:pPr>
              <w:spacing w:after="0"/>
              <w:rPr>
                <w:sz w:val="20"/>
                <w:szCs w:val="20"/>
                <w:color w:val="auto"/>
              </w:rPr>
            </w:pPr>
            <w:r>
              <w:rPr>
                <w:rFonts w:ascii="Arial" w:cs="Arial" w:eastAsia="Arial" w:hAnsi="Arial"/>
                <w:sz w:val="18"/>
                <w:szCs w:val="18"/>
                <w:color w:val="auto"/>
                <w:w w:val="89"/>
              </w:rPr>
              <w:t>Residential solid-state and electromechanical electricity meters, AMR enabled meters, commercial and industrial</w:t>
            </w:r>
          </w:p>
        </w:tc>
      </w:tr>
      <w:tr>
        <w:trPr>
          <w:trHeight w:val="216"/>
        </w:trPr>
        <w:tc>
          <w:tcPr>
            <w:tcW w:w="3340" w:type="dxa"/>
            <w:vAlign w:val="bottom"/>
            <w:gridSpan w:val="2"/>
          </w:tcPr>
          <w:p>
            <w:pPr>
              <w:ind w:left="220"/>
              <w:spacing w:after="0"/>
              <w:rPr>
                <w:sz w:val="20"/>
                <w:szCs w:val="20"/>
                <w:color w:val="auto"/>
              </w:rPr>
            </w:pPr>
            <w:r>
              <w:rPr>
                <w:rFonts w:ascii="Arial" w:cs="Arial" w:eastAsia="Arial" w:hAnsi="Arial"/>
                <w:sz w:val="18"/>
                <w:szCs w:val="18"/>
                <w:i w:val="1"/>
                <w:iCs w:val="1"/>
                <w:color w:val="auto"/>
              </w:rPr>
              <w:t>Electricity Metering:</w:t>
            </w:r>
          </w:p>
        </w:tc>
        <w:tc>
          <w:tcPr>
            <w:tcW w:w="8060" w:type="dxa"/>
            <w:vAlign w:val="bottom"/>
            <w:gridSpan w:val="2"/>
          </w:tcPr>
          <w:p>
            <w:pPr>
              <w:spacing w:after="0"/>
              <w:rPr>
                <w:sz w:val="20"/>
                <w:szCs w:val="20"/>
                <w:color w:val="auto"/>
              </w:rPr>
            </w:pPr>
            <w:r>
              <w:rPr>
                <w:rFonts w:ascii="Arial" w:cs="Arial" w:eastAsia="Arial" w:hAnsi="Arial"/>
                <w:sz w:val="18"/>
                <w:szCs w:val="18"/>
                <w:color w:val="auto"/>
                <w:w w:val="92"/>
              </w:rPr>
              <w:t>solid-state electricity meters and generation, transmission and distribution meters and related installation and</w:t>
            </w:r>
          </w:p>
        </w:tc>
      </w:tr>
      <w:tr>
        <w:trPr>
          <w:trHeight w:val="222"/>
        </w:trPr>
        <w:tc>
          <w:tcPr>
            <w:tcW w:w="1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implementation services.</w:t>
            </w: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Software Solutions:</w:t>
            </w:r>
          </w:p>
        </w:tc>
        <w:tc>
          <w:tcPr>
            <w:tcW w:w="8060" w:type="dxa"/>
            <w:vAlign w:val="bottom"/>
            <w:gridSpan w:val="2"/>
          </w:tcPr>
          <w:p>
            <w:pPr>
              <w:spacing w:after="0"/>
              <w:rPr>
                <w:sz w:val="20"/>
                <w:szCs w:val="20"/>
                <w:color w:val="auto"/>
              </w:rPr>
            </w:pPr>
            <w:r>
              <w:rPr>
                <w:rFonts w:ascii="Arial" w:cs="Arial" w:eastAsia="Arial" w:hAnsi="Arial"/>
                <w:sz w:val="18"/>
                <w:szCs w:val="18"/>
                <w:color w:val="auto"/>
                <w:w w:val="98"/>
              </w:rPr>
              <w:t>Software applications for commercial, industrial and residential meter data collection and management,</w:t>
            </w:r>
          </w:p>
        </w:tc>
      </w:tr>
      <w:tr>
        <w:trPr>
          <w:trHeight w:val="216"/>
        </w:trPr>
        <w:tc>
          <w:tcPr>
            <w:tcW w:w="1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w w:val="88"/>
              </w:rPr>
              <w:t>distribution systems design and optimization, energy and water management, asset optimization, mobile workforce</w:t>
            </w:r>
          </w:p>
        </w:tc>
      </w:tr>
      <w:tr>
        <w:trPr>
          <w:trHeight w:val="222"/>
        </w:trPr>
        <w:tc>
          <w:tcPr>
            <w:tcW w:w="1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solutions, forecasting and related implementation consulting services.</w:t>
            </w:r>
          </w:p>
        </w:tc>
      </w:tr>
    </w:tbl>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Subsequent to the Electricity Metering acquisition on July 1, 2004, a higher portion of our electric AMR shipments are in the form of solid-state electricity meters with AMR embedded (which are included in Electricity Metering revenues) as opposed to separate modules for installation on new or existing mechanical electric meters (which are included in Meter Data Collection revenues). Prior to the Electricity Metering acquisition, revenues from shipments of solid-state meters with AMR embedded were in the form of royalties only. This represents a fundamental change in the way we distribute our products and is an important transition to consider when comparing segment performance from period to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revenues and gross margin for each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13"/>
          </w:tcPr>
          <w:p>
            <w:pPr>
              <w:jc w:val="right"/>
              <w:ind w:right="232"/>
              <w:spacing w:after="0"/>
              <w:rPr>
                <w:sz w:val="20"/>
                <w:szCs w:val="20"/>
                <w:color w:val="auto"/>
              </w:rPr>
            </w:pPr>
            <w:r>
              <w:rPr>
                <w:rFonts w:ascii="Arial" w:cs="Arial" w:eastAsia="Arial" w:hAnsi="Arial"/>
                <w:sz w:val="14"/>
                <w:szCs w:val="14"/>
                <w:b w:val="1"/>
                <w:bCs w:val="1"/>
                <w:color w:val="auto"/>
                <w:w w:val="89"/>
              </w:rPr>
              <w:t>Three Months Ended June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13"/>
          </w:tcPr>
          <w:p>
            <w:pPr>
              <w:jc w:val="center"/>
              <w:ind w:right="26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95"/>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60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55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r>
      <w:tr>
        <w:trPr>
          <w:trHeight w:val="95"/>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60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11"/>
          </w:tcPr>
          <w:p>
            <w:pPr>
              <w:ind w:left="16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15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Meter Data Collection</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62.2</w:t>
            </w: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$ 67.2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$ 111.9</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460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15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102"/>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Hardware Solutions</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121.9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15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102"/>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Company</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$ 135.1</w:t>
            </w: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$ 79.6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$251.6</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132"/>
        </w:trPr>
        <w:tc>
          <w:tcPr>
            <w:tcW w:w="460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55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415"/>
        </w:trPr>
        <w:tc>
          <w:tcPr>
            <w:tcW w:w="46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31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14"/>
          </w:tcPr>
          <w:p>
            <w:pPr>
              <w:spacing w:after="0"/>
              <w:rPr>
                <w:sz w:val="20"/>
                <w:szCs w:val="20"/>
                <w:color w:val="auto"/>
              </w:rPr>
            </w:pPr>
            <w:r>
              <w:rPr>
                <w:rFonts w:ascii="Arial" w:cs="Arial" w:eastAsia="Arial" w:hAnsi="Arial"/>
                <w:sz w:val="14"/>
                <w:szCs w:val="14"/>
                <w:b w:val="1"/>
                <w:bCs w:val="1"/>
                <w:color w:val="auto"/>
                <w:w w:val="95"/>
              </w:rPr>
              <w:t>Six Months Ended June 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5"/>
        </w:trPr>
        <w:tc>
          <w:tcPr>
            <w:tcW w:w="46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60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73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6"/>
          </w:tcPr>
          <w:p>
            <w:pPr>
              <w:jc w:val="right"/>
              <w:ind w:right="477"/>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r>
      <w:tr>
        <w:trPr>
          <w:trHeight w:val="95"/>
        </w:trPr>
        <w:tc>
          <w:tcPr>
            <w:tcW w:w="46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gridSpan w:val="4"/>
          </w:tcPr>
          <w:p>
            <w:pPr>
              <w:spacing w:after="0"/>
              <w:rPr>
                <w:sz w:val="8"/>
                <w:szCs w:val="8"/>
                <w:color w:val="auto"/>
              </w:rPr>
            </w:pPr>
          </w:p>
        </w:tc>
        <w:tc>
          <w:tcPr>
            <w:tcW w:w="3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gridSpan w:val="3"/>
          </w:tcPr>
          <w:p>
            <w:pPr>
              <w:spacing w:after="0"/>
              <w:rPr>
                <w:sz w:val="8"/>
                <w:szCs w:val="8"/>
                <w:color w:val="auto"/>
              </w:rPr>
            </w:pPr>
          </w:p>
        </w:tc>
        <w:tc>
          <w:tcPr>
            <w:tcW w:w="3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9"/>
        </w:trPr>
        <w:tc>
          <w:tcPr>
            <w:tcW w:w="460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730" w:type="dxa"/>
            <w:vAlign w:val="bottom"/>
            <w:gridSpan w:val="2"/>
          </w:tcPr>
          <w:p>
            <w:pPr>
              <w:ind w:left="30"/>
              <w:spacing w:after="0"/>
              <w:rPr>
                <w:sz w:val="20"/>
                <w:szCs w:val="20"/>
                <w:color w:val="auto"/>
              </w:rPr>
            </w:pPr>
            <w:r>
              <w:rPr>
                <w:rFonts w:ascii="Arial" w:cs="Arial" w:eastAsia="Arial" w:hAnsi="Arial"/>
                <w:sz w:val="14"/>
                <w:szCs w:val="14"/>
                <w:b w:val="1"/>
                <w:bCs w:val="1"/>
                <w:i w:val="1"/>
                <w:iCs w:val="1"/>
                <w:color w:val="auto"/>
              </w:rPr>
              <w:t>Gross</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rPr>
              <w:t>Gross</w:t>
            </w:r>
          </w:p>
        </w:tc>
        <w:tc>
          <w:tcPr>
            <w:tcW w:w="140" w:type="dxa"/>
            <w:vAlign w:val="bottom"/>
          </w:tcPr>
          <w:p>
            <w:pPr>
              <w:spacing w:after="0"/>
              <w:rPr>
                <w:sz w:val="20"/>
                <w:szCs w:val="20"/>
                <w:color w:val="auto"/>
              </w:rPr>
            </w:pPr>
          </w:p>
        </w:tc>
        <w:tc>
          <w:tcPr>
            <w:tcW w:w="560" w:type="dxa"/>
            <w:vAlign w:val="bottom"/>
            <w:gridSpan w:val="3"/>
          </w:tcPr>
          <w:p>
            <w:pPr>
              <w:jc w:val="right"/>
              <w:ind w:right="132"/>
              <w:spacing w:after="0"/>
              <w:rPr>
                <w:sz w:val="20"/>
                <w:szCs w:val="20"/>
                <w:color w:val="auto"/>
              </w:rPr>
            </w:pPr>
            <w:r>
              <w:rPr>
                <w:rFonts w:ascii="Arial" w:cs="Arial" w:eastAsia="Arial" w:hAnsi="Arial"/>
                <w:sz w:val="14"/>
                <w:szCs w:val="14"/>
                <w:b w:val="1"/>
                <w:bCs w:val="1"/>
                <w:i w:val="1"/>
                <w:iCs w:val="1"/>
                <w:color w:val="auto"/>
                <w:w w:val="83"/>
              </w:rPr>
              <w:t>Gross</w:t>
            </w:r>
          </w:p>
        </w:tc>
        <w:tc>
          <w:tcPr>
            <w:tcW w:w="1060" w:type="dxa"/>
            <w:vAlign w:val="bottom"/>
            <w:gridSpan w:val="6"/>
          </w:tcPr>
          <w:p>
            <w:pPr>
              <w:jc w:val="right"/>
              <w:ind w:right="440"/>
              <w:spacing w:after="0"/>
              <w:rPr>
                <w:sz w:val="20"/>
                <w:szCs w:val="20"/>
                <w:color w:val="auto"/>
              </w:rPr>
            </w:pPr>
            <w:r>
              <w:rPr>
                <w:rFonts w:ascii="Arial" w:cs="Arial" w:eastAsia="Arial" w:hAnsi="Arial"/>
                <w:sz w:val="14"/>
                <w:szCs w:val="14"/>
                <w:b w:val="1"/>
                <w:bCs w:val="1"/>
                <w:i w:val="1"/>
                <w:iCs w:val="1"/>
                <w:color w:val="auto"/>
              </w:rPr>
              <w:t>Gross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4"/>
          </w:tcPr>
          <w:p>
            <w:pPr>
              <w:jc w:val="right"/>
              <w:ind w:right="352"/>
              <w:spacing w:after="0"/>
              <w:rPr>
                <w:sz w:val="20"/>
                <w:szCs w:val="20"/>
                <w:color w:val="auto"/>
              </w:rPr>
            </w:pPr>
            <w:r>
              <w:rPr>
                <w:rFonts w:ascii="Arial" w:cs="Arial" w:eastAsia="Arial" w:hAnsi="Arial"/>
                <w:sz w:val="14"/>
                <w:szCs w:val="14"/>
                <w:b w:val="1"/>
                <w:bCs w:val="1"/>
                <w:i w:val="1"/>
                <w:iCs w:val="1"/>
                <w:color w:val="auto"/>
                <w:w w:val="98"/>
              </w:rPr>
              <w:t>Gross</w:t>
            </w:r>
          </w:p>
        </w:tc>
        <w:tc>
          <w:tcPr>
            <w:tcW w:w="760" w:type="dxa"/>
            <w:vAlign w:val="bottom"/>
            <w:gridSpan w:val="5"/>
          </w:tcPr>
          <w:p>
            <w:pPr>
              <w:jc w:val="right"/>
              <w:ind w:right="380"/>
              <w:spacing w:after="0"/>
              <w:rPr>
                <w:sz w:val="20"/>
                <w:szCs w:val="20"/>
                <w:color w:val="auto"/>
              </w:rPr>
            </w:pPr>
            <w:r>
              <w:rPr>
                <w:rFonts w:ascii="Arial" w:cs="Arial" w:eastAsia="Arial" w:hAnsi="Arial"/>
                <w:sz w:val="14"/>
                <w:szCs w:val="14"/>
                <w:b w:val="1"/>
                <w:bCs w:val="1"/>
                <w:i w:val="1"/>
                <w:iCs w:val="1"/>
                <w:color w:val="auto"/>
                <w:w w:val="88"/>
              </w:rPr>
              <w:t>Gross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4"/>
          </w:tcPr>
          <w:p>
            <w:pPr>
              <w:jc w:val="center"/>
              <w:ind w:right="240"/>
              <w:spacing w:after="0"/>
              <w:rPr>
                <w:sz w:val="20"/>
                <w:szCs w:val="20"/>
                <w:color w:val="auto"/>
              </w:rPr>
            </w:pPr>
            <w:r>
              <w:rPr>
                <w:rFonts w:ascii="Arial" w:cs="Arial" w:eastAsia="Arial" w:hAnsi="Arial"/>
                <w:sz w:val="14"/>
                <w:szCs w:val="14"/>
                <w:b w:val="1"/>
                <w:bCs w:val="1"/>
                <w:i w:val="1"/>
                <w:iCs w:val="1"/>
                <w:color w:val="auto"/>
                <w:w w:val="78"/>
              </w:rPr>
              <w:t>Gross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i w:val="1"/>
                <w:iCs w:val="1"/>
                <w:color w:val="auto"/>
              </w:rPr>
              <w:t>Gross</w:t>
            </w:r>
          </w:p>
        </w:tc>
      </w:tr>
      <w:tr>
        <w:trPr>
          <w:trHeight w:val="160"/>
        </w:trPr>
        <w:tc>
          <w:tcPr>
            <w:tcW w:w="4600" w:type="dxa"/>
            <w:vAlign w:val="bottom"/>
          </w:tcPr>
          <w:p>
            <w:pPr>
              <w:spacing w:after="0"/>
              <w:rPr>
                <w:sz w:val="13"/>
                <w:szCs w:val="13"/>
                <w:color w:val="auto"/>
              </w:rPr>
            </w:pPr>
          </w:p>
        </w:tc>
        <w:tc>
          <w:tcPr>
            <w:tcW w:w="150" w:type="dxa"/>
            <w:vAlign w:val="bottom"/>
          </w:tcPr>
          <w:p>
            <w:pPr>
              <w:spacing w:after="0"/>
              <w:rPr>
                <w:sz w:val="13"/>
                <w:szCs w:val="13"/>
                <w:color w:val="auto"/>
              </w:rPr>
            </w:pPr>
          </w:p>
        </w:tc>
        <w:tc>
          <w:tcPr>
            <w:tcW w:w="730" w:type="dxa"/>
            <w:vAlign w:val="bottom"/>
            <w:gridSpan w:val="2"/>
          </w:tcPr>
          <w:p>
            <w:pPr>
              <w:ind w:left="30"/>
              <w:spacing w:after="0"/>
              <w:rPr>
                <w:sz w:val="20"/>
                <w:szCs w:val="20"/>
                <w:color w:val="auto"/>
              </w:rPr>
            </w:pPr>
            <w:r>
              <w:rPr>
                <w:rFonts w:ascii="Arial" w:cs="Arial" w:eastAsia="Arial" w:hAnsi="Arial"/>
                <w:sz w:val="14"/>
                <w:szCs w:val="14"/>
                <w:b w:val="1"/>
                <w:bCs w:val="1"/>
                <w:i w:val="1"/>
                <w:iCs w:val="1"/>
                <w:color w:val="auto"/>
              </w:rPr>
              <w:t>Profit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i w:val="1"/>
                <w:iCs w:val="1"/>
                <w:color w:val="auto"/>
              </w:rPr>
              <w:t>Margin</w:t>
            </w:r>
          </w:p>
        </w:tc>
        <w:tc>
          <w:tcPr>
            <w:tcW w:w="140" w:type="dxa"/>
            <w:vAlign w:val="bottom"/>
          </w:tcPr>
          <w:p>
            <w:pPr>
              <w:spacing w:after="0"/>
              <w:rPr>
                <w:sz w:val="13"/>
                <w:szCs w:val="13"/>
                <w:color w:val="auto"/>
              </w:rPr>
            </w:pPr>
          </w:p>
        </w:tc>
        <w:tc>
          <w:tcPr>
            <w:tcW w:w="560" w:type="dxa"/>
            <w:vAlign w:val="bottom"/>
            <w:gridSpan w:val="3"/>
          </w:tcPr>
          <w:p>
            <w:pPr>
              <w:jc w:val="right"/>
              <w:ind w:right="132"/>
              <w:spacing w:after="0"/>
              <w:rPr>
                <w:sz w:val="20"/>
                <w:szCs w:val="20"/>
                <w:color w:val="auto"/>
              </w:rPr>
            </w:pPr>
            <w:r>
              <w:rPr>
                <w:rFonts w:ascii="Arial" w:cs="Arial" w:eastAsia="Arial" w:hAnsi="Arial"/>
                <w:sz w:val="14"/>
                <w:szCs w:val="14"/>
                <w:b w:val="1"/>
                <w:bCs w:val="1"/>
                <w:i w:val="1"/>
                <w:iCs w:val="1"/>
                <w:color w:val="auto"/>
                <w:w w:val="92"/>
              </w:rPr>
              <w:t>Profit</w:t>
            </w:r>
          </w:p>
        </w:tc>
        <w:tc>
          <w:tcPr>
            <w:tcW w:w="1060" w:type="dxa"/>
            <w:vAlign w:val="bottom"/>
            <w:gridSpan w:val="6"/>
          </w:tcPr>
          <w:p>
            <w:pPr>
              <w:jc w:val="right"/>
              <w:ind w:right="400"/>
              <w:spacing w:after="0"/>
              <w:rPr>
                <w:sz w:val="20"/>
                <w:szCs w:val="20"/>
                <w:color w:val="auto"/>
              </w:rPr>
            </w:pPr>
            <w:r>
              <w:rPr>
                <w:rFonts w:ascii="Arial" w:cs="Arial" w:eastAsia="Arial" w:hAnsi="Arial"/>
                <w:sz w:val="14"/>
                <w:szCs w:val="14"/>
                <w:b w:val="1"/>
                <w:bCs w:val="1"/>
                <w:i w:val="1"/>
                <w:iCs w:val="1"/>
                <w:color w:val="auto"/>
              </w:rPr>
              <w:t>Margin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right"/>
              <w:ind w:right="352"/>
              <w:spacing w:after="0"/>
              <w:rPr>
                <w:sz w:val="20"/>
                <w:szCs w:val="20"/>
                <w:color w:val="auto"/>
              </w:rPr>
            </w:pPr>
            <w:r>
              <w:rPr>
                <w:rFonts w:ascii="Arial" w:cs="Arial" w:eastAsia="Arial" w:hAnsi="Arial"/>
                <w:sz w:val="14"/>
                <w:szCs w:val="14"/>
                <w:b w:val="1"/>
                <w:bCs w:val="1"/>
                <w:i w:val="1"/>
                <w:iCs w:val="1"/>
                <w:color w:val="auto"/>
              </w:rPr>
              <w:t>Profit</w:t>
            </w:r>
          </w:p>
        </w:tc>
        <w:tc>
          <w:tcPr>
            <w:tcW w:w="760" w:type="dxa"/>
            <w:vAlign w:val="bottom"/>
            <w:gridSpan w:val="5"/>
          </w:tcPr>
          <w:p>
            <w:pPr>
              <w:jc w:val="right"/>
              <w:ind w:right="320"/>
              <w:spacing w:after="0"/>
              <w:rPr>
                <w:sz w:val="20"/>
                <w:szCs w:val="20"/>
                <w:color w:val="auto"/>
              </w:rPr>
            </w:pPr>
            <w:r>
              <w:rPr>
                <w:rFonts w:ascii="Arial" w:cs="Arial" w:eastAsia="Arial" w:hAnsi="Arial"/>
                <w:sz w:val="14"/>
                <w:szCs w:val="14"/>
                <w:b w:val="1"/>
                <w:bCs w:val="1"/>
                <w:i w:val="1"/>
                <w:iCs w:val="1"/>
                <w:color w:val="auto"/>
                <w:w w:val="91"/>
              </w:rPr>
              <w:t>Margin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4"/>
          </w:tcPr>
          <w:p>
            <w:pPr>
              <w:jc w:val="center"/>
              <w:ind w:right="240"/>
              <w:spacing w:after="0"/>
              <w:rPr>
                <w:sz w:val="20"/>
                <w:szCs w:val="20"/>
                <w:color w:val="auto"/>
              </w:rPr>
            </w:pPr>
            <w:r>
              <w:rPr>
                <w:rFonts w:ascii="Arial" w:cs="Arial" w:eastAsia="Arial" w:hAnsi="Arial"/>
                <w:sz w:val="14"/>
                <w:szCs w:val="14"/>
                <w:b w:val="1"/>
                <w:bCs w:val="1"/>
                <w:i w:val="1"/>
                <w:iCs w:val="1"/>
                <w:color w:val="auto"/>
                <w:w w:val="87"/>
              </w:rPr>
              <w:t>Profit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i w:val="1"/>
                <w:iCs w:val="1"/>
                <w:color w:val="auto"/>
              </w:rPr>
              <w:t>Margin</w:t>
            </w:r>
          </w:p>
        </w:tc>
      </w:tr>
      <w:tr>
        <w:trPr>
          <w:trHeight w:val="161"/>
        </w:trPr>
        <w:tc>
          <w:tcPr>
            <w:tcW w:w="46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86"/>
              </w:rPr>
              <w:t>(in millions)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Profit and Margin</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15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Meter Data Collection</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460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15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5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gridSpan w:val="5"/>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02"/>
        </w:trPr>
        <w:tc>
          <w:tcPr>
            <w:tcW w:w="46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Hardware Solutions</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15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620" w:type="dxa"/>
            <w:vAlign w:val="bottom"/>
            <w:gridSpan w:val="4"/>
          </w:tcPr>
          <w:p>
            <w:pPr>
              <w:jc w:val="right"/>
              <w:ind w:right="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102"/>
        </w:trPr>
        <w:tc>
          <w:tcPr>
            <w:tcW w:w="46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Company</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132"/>
        </w:trPr>
        <w:tc>
          <w:tcPr>
            <w:tcW w:w="46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-2310130</wp:posOffset>
            </wp:positionV>
            <wp:extent cx="7245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-2310130</wp:posOffset>
            </wp:positionV>
            <wp:extent cx="32131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-2310130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-2310130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-2310130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45021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27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9"/>
              </w:rPr>
              <w:t>Three Months Ended June 30,</w:t>
            </w:r>
          </w:p>
        </w:tc>
        <w:tc>
          <w:tcPr>
            <w:tcW w:w="24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95"/>
        </w:trPr>
        <w:tc>
          <w:tcPr>
            <w:tcW w:w="6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6300" w:type="dxa"/>
            <w:vAlign w:val="bottom"/>
          </w:tcPr>
          <w:p>
            <w:pPr>
              <w:spacing w:after="0"/>
              <w:rPr>
                <w:sz w:val="22"/>
                <w:szCs w:val="22"/>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2"/>
                <w:szCs w:val="22"/>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 Change</w:t>
            </w: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r>
      <w:tr>
        <w:trPr>
          <w:trHeight w:val="95"/>
        </w:trPr>
        <w:tc>
          <w:tcPr>
            <w:tcW w:w="6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6300" w:type="dxa"/>
            <w:vAlign w:val="bottom"/>
          </w:tcPr>
          <w:p>
            <w:pPr>
              <w:spacing w:after="0"/>
              <w:rPr>
                <w:sz w:val="21"/>
                <w:szCs w:val="21"/>
                <w:color w:val="auto"/>
              </w:rPr>
            </w:pPr>
          </w:p>
        </w:tc>
        <w:tc>
          <w:tcPr>
            <w:tcW w:w="16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Operating Income (Loss)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Meter Data Collection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$ 22.0</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30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48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unallocated costs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108"/>
        </w:trPr>
        <w:tc>
          <w:tcPr>
            <w:tcW w:w="6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6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Hardware Solutions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unallocated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108"/>
        </w:trPr>
        <w:tc>
          <w:tcPr>
            <w:tcW w:w="6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6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Company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$ 10.3</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132"/>
        </w:trPr>
        <w:tc>
          <w:tcPr>
            <w:tcW w:w="63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w:t>
      </w:r>
      <w:r>
        <w:rPr>
          <w:rFonts w:ascii="Arial" w:cs="Arial" w:eastAsia="Arial" w:hAnsi="Arial"/>
          <w:sz w:val="16"/>
          <w:szCs w:val="16"/>
          <w:i w:val="1"/>
          <w:iCs w:val="1"/>
          <w:color w:val="auto"/>
        </w:rPr>
        <w:t xml:space="preserve">Meter Data Collection: </w:t>
      </w:r>
      <w:r>
        <w:rPr>
          <w:rFonts w:ascii="Arial" w:cs="Arial" w:eastAsia="Arial" w:hAnsi="Arial"/>
          <w:sz w:val="16"/>
          <w:szCs w:val="16"/>
          <w:color w:val="auto"/>
        </w:rPr>
        <w:t>Meter Data Collection revenues decreased $5.0 million in the second quarter of 2005, compared with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2004. The lower revenues in 2005 result primarily from fewer shipments of standalone electric AMR modules as well as lower average selling prices for standalone AMR modules, in particular electric modules. In addition, an increase in sales of handheld systems during the second quarter of 2005, compared with 2004, was offset by a similar decrease in implementation services revenues for the comparable periods. Handheld system revenues can vary from period to period primarily due to utility upgrade cycles. Implementation services vary primarily due to the timing of AMR orders and whether utilities contract with us to do their system installations. There were no customers that represented more than 10% of Meter Data Collection revenues in the second quarter of 2005. One customer represented approximately 14% of Meter Data Collection revenues in the second quarter of 2004.</w:t>
      </w:r>
    </w:p>
    <w:p>
      <w:pPr>
        <w:spacing w:after="0" w:line="10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Shipments of standalone AMR modules were approximately 1.1 million for the second quarters of both 2005 and 2004. Shipments of standalone modules for gas increased by approximately 100,000 units in the second quarter of 2005 while shipments of standalone modules for electric AMR decreased by approximately the same amount. Unit shipments of standalone electric AMR modules have declined as we are shipping an increasing portion of our electric AMR technology in the form of meters with embedded AMR.</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Average selling prices for AMR modules declined as a result of competitive pricing pressures driven by the license of certain electric AMR technology to a competitor and as a result of larger contracts, which generally have lower pricing on a per unit</w:t>
      </w:r>
    </w:p>
    <w:p>
      <w:pPr>
        <w:sectPr>
          <w:pgSz w:w="11900" w:h="16838" w:orient="portrait"/>
          <w:cols w:equalWidth="0" w:num="1">
            <w:col w:w="11420"/>
          </w:cols>
          <w:pgMar w:left="240" w:top="459" w:right="239" w:bottom="90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90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basis. The licensing of our electric AMR technology to a competitor was pursuant to a licensing and sales agreement required by the consent decree entered into with the Federal Trade Commission in connection with the Electricity Metering acquisition. The sales portion of the agreement expires later in 2005.</w:t>
      </w:r>
    </w:p>
    <w:p>
      <w:pPr>
        <w:spacing w:after="0" w:line="72"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Gross margin decreased three percentage points for the second quarter of 2005, compared with the second quarter of 2004, due primarily to lower average selling prices of AMR modules, in particular electric AMR modules. The decrease was partially offset by a higher mix of gas AMR modules. Other factors contributing to lower gross margin in the quarter, compared with the prior year, include lower implementation margins and increased low-margin contract manufacturing work for two other electricity meter vendors that embed our AMR technology in their solid-state meters.</w:t>
      </w:r>
    </w:p>
    <w:p>
      <w:pPr>
        <w:spacing w:after="0" w:line="99"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Meter Data Collection revenues decreased $10.0 million for the six months ended June 30, 2005, compared with the same period in 2004. The decrease in revenues is due to lower average selling prices and fewer shipments for standalone AMR modules, in particular electric modules. In addition, implementation revenues decreased approximately $5.9 million, which was partially offset by a $3.5 million increase in handheld sales.</w:t>
      </w:r>
    </w:p>
    <w:p>
      <w:pPr>
        <w:spacing w:after="0" w:line="9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Year-to-date shipments of standalone electric, gas and water AMR modules were comparable at approximately 1.9 million units in 2005 and 2004. However, increased sales of gas modules were offset by lower sales of electric modules. There were no customers that represented more than 10% of Meter Data Collection revenues for the first six months of 2005. One customer represented approximately 13% of Meter Data Collection revenues for the first six months of 2004.</w:t>
      </w:r>
    </w:p>
    <w:p>
      <w:pPr>
        <w:spacing w:after="0" w:line="7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Gross margin decreased five percentage points for the first six months of 2005, compared with the first six months of 2004, due primarily to decreases in average selling prices of AMR modules, in particular electric AMR modules, offset by a higher mix of gas AMR modules. Also contributing to a lower year-to-date gross margin in 2005, compared with 2004, was the increased contract manufacturing work discussed above.</w:t>
      </w:r>
    </w:p>
    <w:p>
      <w:pPr>
        <w:spacing w:after="0" w:line="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Meter Data Collection operating expenses decreased slightly from $5.4 million to $5.3 million for the second quarter of 2005, and $10.4 million to $10.3 million for the second half of 2005, compared with the same periods in 2004. Operating expenses as a percentage of revenue increased to 9% for the second quarter of 2005, compared with 8% for the second quarter of 2004. Operating expenses as a percentage of revenue remained constant at 9% for the first half of 2005, compared with the same period in 2004.</w:t>
      </w:r>
    </w:p>
    <w:p>
      <w:pPr>
        <w:spacing w:after="0" w:line="13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i w:val="1"/>
          <w:iCs w:val="1"/>
          <w:color w:val="auto"/>
        </w:rPr>
        <w:t>Hardware Solutions</w:t>
      </w:r>
      <w:r>
        <w:rPr>
          <w:rFonts w:ascii="Arial" w:cs="Arial" w:eastAsia="Arial" w:hAnsi="Arial"/>
          <w:sz w:val="18"/>
          <w:szCs w:val="18"/>
          <w:color w:val="auto"/>
        </w:rPr>
        <w:t>—</w:t>
      </w:r>
      <w:r>
        <w:rPr>
          <w:rFonts w:ascii="Arial" w:cs="Arial" w:eastAsia="Arial" w:hAnsi="Arial"/>
          <w:sz w:val="18"/>
          <w:szCs w:val="18"/>
          <w:i w:val="1"/>
          <w:iCs w:val="1"/>
          <w:color w:val="auto"/>
        </w:rPr>
        <w:t>Electricity Metering</w:t>
      </w:r>
      <w:r>
        <w:rPr>
          <w:rFonts w:ascii="Arial" w:cs="Arial" w:eastAsia="Arial" w:hAnsi="Arial"/>
          <w:sz w:val="18"/>
          <w:szCs w:val="18"/>
          <w:color w:val="auto"/>
        </w:rPr>
        <w:t>: Our results of operations include the results of our Electricity Metering business after July 1, 2004,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Sales of meters and related services resulted in $60.6 million of revenues in the second quarter of 2005, compared with $54.1 million in the first quarter of 2005. Revenue increased in the second quarter due to a 7% increase in meters shipped. We shipped approximately 1.1 million meters in the second quarter of 2005. For the three and six months ended June 30, 2005, approximately 37% of our meters were enabled with our AMR technology and another 18% were enabled with other AMR vendors’ technology. There were no customers that represented more than 10% of Electricity Metering revenues in the three and six months ended June 30, 2005.</w:t>
      </w:r>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Electricity Metering gross margin was 41% and 43% for the three and six months ended June 30, 2005. The decrease in margin during the quarter resulted from discount pricing on a smart metering pilot project in Ontario, Canada, as well as a change in the mix of meters sold. We expect the mix of meters to vary slightly each quarter.</w:t>
      </w:r>
    </w:p>
    <w:p>
      <w:pPr>
        <w:spacing w:after="0" w:line="12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Operating expenses for Electricity Metering were $4.3 million and $8.7 million for the three and six months ended June 30, 2005, or approximately 8% of revenue. We anticipate operating expenses for Electricity Metering will be slightly lower as a percentage of revenue, compared with Meter Data Collection, due to lower product development and marketing expenses as a result of a more narrowly focused product portfolio.</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Hardware Solutions—Other unallocated costs: </w:t>
      </w:r>
      <w:r>
        <w:rPr>
          <w:rFonts w:ascii="Arial" w:cs="Arial" w:eastAsia="Arial" w:hAnsi="Arial"/>
          <w:sz w:val="16"/>
          <w:szCs w:val="16"/>
          <w:color w:val="auto"/>
        </w:rPr>
        <w:t>Operating expenses not directly associated with either the Meter Data Collection or Electricity Metering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are classified as “Hardware Solutions-Other unallocated costs.” These costs increased approximately $2.2 million and $4.8 million for the three and six months ended June 30, 2005, compared with the same periods in 2004, primarily due to the addition of Electricity Metering. As a percentage of revenue, these costs decreased slightly from 6% to 5% for the three and six months ended June 30, 2005, compared with the same periods in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Software Solutions</w:t>
      </w:r>
      <w:r>
        <w:rPr>
          <w:rFonts w:ascii="Arial" w:cs="Arial" w:eastAsia="Arial" w:hAnsi="Arial"/>
          <w:sz w:val="16"/>
          <w:szCs w:val="16"/>
          <w:color w:val="auto"/>
        </w:rPr>
        <w:t>: Revenues were $100,000 lower and $1.7 million higher for the three and six months ended June 30, 2005, compared with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For both periods in 2005, higher software license fees and maintenance revenues were offset by lower professional service revenues. Second quarter gross margin in 2005 was slightly lower than 2004 due to lower revenues. Year-to-date margins in 2005 improved as a result of higher license fee and maintenance revenues along with better professional services utilization as a result of workforce reductions in 2004. There were no customers that represented more than 10% of Software Solutions revenues for the three and six months ended June 30, 2005 and 2004.</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margin dollars for Software Solutions are not yet sufficient to cover current operating expenses, which include a significant investment in product development. However, workforce and facility reductions during 2004 have contributed to lower operating losses in 2005. Software Solutions operating expenses decreased $2.3 million in the second quarter of 2005, compared with the second quarter of 2004, and decreased as a percentage of revenue from 81% to 63% for the same period. Software Solutions operating expenses decreased $3.9 million in the first half of 2005, compared with the first half of 2004, and decreased as a percentage of revenue from 85% to 64% for the same period.</w:t>
      </w:r>
    </w:p>
    <w:p>
      <w:pPr>
        <w:spacing w:after="0" w:line="129"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i w:val="1"/>
          <w:iCs w:val="1"/>
          <w:color w:val="auto"/>
        </w:rPr>
        <w:t xml:space="preserve">Corporate unallocated: </w:t>
      </w:r>
      <w:r>
        <w:rPr>
          <w:rFonts w:ascii="Arial" w:cs="Arial" w:eastAsia="Arial" w:hAnsi="Arial"/>
          <w:sz w:val="15"/>
          <w:szCs w:val="15"/>
          <w:color w:val="auto"/>
        </w:rPr>
        <w:t>Operating expenses not directly associated with an operating group are classified as “Corporate unallocated.” These expenses increased</w:t>
      </w:r>
      <w:r>
        <w:rPr>
          <w:rFonts w:ascii="Arial" w:cs="Arial" w:eastAsia="Arial" w:hAnsi="Arial"/>
          <w:sz w:val="15"/>
          <w:szCs w:val="15"/>
          <w:i w:val="1"/>
          <w:iCs w:val="1"/>
          <w:color w:val="auto"/>
        </w:rPr>
        <w:t xml:space="preserve"> </w:t>
      </w:r>
      <w:r>
        <w:rPr>
          <w:rFonts w:ascii="Arial" w:cs="Arial" w:eastAsia="Arial" w:hAnsi="Arial"/>
          <w:sz w:val="15"/>
          <w:szCs w:val="15"/>
          <w:color w:val="auto"/>
        </w:rPr>
        <w:t>$10.7 million and $19.7 million in the three and six months ended June 30 2005, compared with the same periods in 2004, primarily due to increased intangible asset amortization expenses attributable to the Electricity Metering acquisition. In addition, the Electricity Metering acquisition resulted in an overall increase in these costs, which were partially offset by a decrease in restructuring charges. Restructuring activities were largely completed as of December 31, 2004.</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sales include annual or multi-year contracts, which are subject to rescheduling and cancellation by customers due to the long-term nature of the contracts, as well as follow-on or add-on orders with existing customers. Electricity Metering typically has long-term non-binding commitments with customers for meter purchases that are subject to changes in volumes or time periods. As purchase orders are released against those commitments, they are included in bookings.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Bookings for a reported period represent contracts and purchase orders received during a specified period, except for those related to annual maintenance. Annual maintenance contracts are not included in bookings or backlog.</w:t>
      </w:r>
    </w:p>
    <w:p>
      <w:pPr>
        <w:spacing w:after="0" w:line="11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Total backlog represents committed but undelivered purchase orders, excluding annual maintenance services. Twelve-month backlog represents the portion of total backlog that we estimate will be earned over the next twelve months. Backlog is not a complete measure of our future business as we have a significant portion of our business that is book-and-ship, and as bookings and backlog can fluctuate significantly due to the timing of large project awards.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by quarter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12-Month</w:t>
            </w:r>
          </w:p>
        </w:tc>
      </w:tr>
      <w:tr>
        <w:trPr>
          <w:trHeight w:val="174"/>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Bookings</w:t>
            </w:r>
          </w:p>
        </w:tc>
        <w:tc>
          <w:tcPr>
            <w:tcW w:w="126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84"/>
              </w:rPr>
              <w:t>Backlog</w:t>
            </w:r>
          </w:p>
        </w:tc>
        <w:tc>
          <w:tcPr>
            <w:tcW w:w="2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Backlog</w:t>
            </w:r>
          </w:p>
        </w:tc>
      </w:tr>
      <w:tr>
        <w:trPr>
          <w:trHeight w:val="95"/>
        </w:trPr>
        <w:tc>
          <w:tcPr>
            <w:tcW w:w="9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9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3"/>
          </w:tcPr>
          <w:p>
            <w:pPr>
              <w:jc w:val="center"/>
              <w:ind w:left="156"/>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2005</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March 31, 2005</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September 30, 2004</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March 31, 2004</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September 30, 2003</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w:t>
            </w:r>
          </w:p>
        </w:tc>
      </w:tr>
    </w:tbl>
    <w:p>
      <w:pPr>
        <w:spacing w:after="0" w:line="13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Beginning total backlog, plus bookings, less sales revenues will not always equal ending total backlog due to miscellaneous contract adjustments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Progress Energy, Inc. contract, signed in July 2005, is not included in bookings and backlog for June 30, 2005.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 of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60" w:type="dxa"/>
            <w:vAlign w:val="bottom"/>
            <w:gridSpan w:val="7"/>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Revenue</w:t>
            </w:r>
          </w:p>
        </w:tc>
        <w:tc>
          <w:tcPr>
            <w:tcW w:w="16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Revenue</w:t>
            </w:r>
          </w:p>
        </w:tc>
        <w:tc>
          <w:tcPr>
            <w:tcW w:w="16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Revenue</w:t>
            </w:r>
          </w:p>
        </w:tc>
        <w:tc>
          <w:tcPr>
            <w:tcW w:w="1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(in millions)</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Restructurings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9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-29210</wp:posOffset>
            </wp:positionV>
            <wp:extent cx="45021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45021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45021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expenses increased during the second quarter and year to date of 2005 compared with the same periods in 2004, primarily due to our acquisition of our Electricity Metering business on July 1, 2004.</w:t>
      </w:r>
    </w:p>
    <w:p>
      <w:pPr>
        <w:spacing w:after="0" w:line="118"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Sales and marketing, product development and general and administrative expenses (SP&amp;G) increased $7.3 million in the second quarter of 2005, compared with the second quarter of 2004, and $15.9 million in the first half of 2005, compared with the first half of 2004 primarily as a result of the acquisition of our Electricity Metering business. General and administrative expenses also increased due to professional services for Sarbanes-Oxley compliance and increased audit and tax fees. However, as a percentage of revenues, SP&amp;G decreased 10 percentage points in the second quarter and first half of 2005, compared with the same periods in 2004, due to a more narrowly focused product portfolio for Electricity Metering, compared with Meter Data Collection and Software Solutions.</w:t>
      </w:r>
    </w:p>
    <w:p>
      <w:pPr>
        <w:spacing w:after="0" w:line="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Amortization of intangible assets increased as a result of the addition of $167.1 million in amortizable intangible assets from the acquisition of our Electricity Metering business on July 1, 2004.</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Restructuring expenses were $390,000 for the first half of 2005, compared with $2.4 million in the first half of 2004. During 2004, we implemented a new internal organizational structure, which resulted in several actions to reduce spending and eliminate certain unprofitable activities. Restructuring expenses in the first quarter of 2005 were associated with additional costs for those activities. No restructuring expenses were incurred during the second quarter of 2005.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2004, as a result of the acquisition of our Electricity Metering business, we recorded an in-process research and development (IPR&amp;D) charge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Estimated Cost to</w:t>
            </w: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Discount Rate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04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Year of</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Complete</w:t>
            </w: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Applied to</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 Cost of</w:t>
            </w:r>
          </w:p>
        </w:tc>
      </w:tr>
      <w:tr>
        <w:trPr>
          <w:trHeight w:val="174"/>
        </w:trPr>
        <w:tc>
          <w:tcPr>
            <w:tcW w:w="504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Acquisition</w:t>
            </w:r>
          </w:p>
        </w:tc>
        <w:tc>
          <w:tcPr>
            <w:tcW w:w="26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IPR&amp;D</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Technology</w:t>
            </w: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IPR&amp;D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r>
      <w:tr>
        <w:trPr>
          <w:trHeight w:val="95"/>
        </w:trPr>
        <w:tc>
          <w:tcPr>
            <w:tcW w:w="5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5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Electricity Metering Business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July 1, 2004 acquisition of our Electricity Metering business resulted in $6.4 million of IPR&amp;D expense, which we recognized in the fourth quarter of 2004. The IPR&amp;D consisted primarily of next generation technology, valued at $5.7 million. We have estimated the research and development to be approximately 70% complete, with a cost to complete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development of approximately $750,000 over the next nine to twelve months. We have a high degree of confidence that we will be able to complete the development of these in-process development projects as we believe we have no major technological hurdles and no significant resource constraints. In addition, the development of these projects is not dependent on a single individual. However, if the projects are not completed in a reasonable time frame, we may face increasing competition from competitors that are able to respond more quickly to new or emerging technologies and changes in customer requirements.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7"/>
              </w:rPr>
              <w:t>Three Months Ended 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95"/>
        </w:trPr>
        <w:tc>
          <w:tcPr>
            <w:tcW w:w="4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43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22"/>
                <w:szCs w:val="22"/>
                <w:color w:val="auto"/>
              </w:rPr>
            </w:pPr>
          </w:p>
        </w:tc>
      </w:tr>
      <w:tr>
        <w:trPr>
          <w:trHeight w:val="95"/>
        </w:trPr>
        <w:tc>
          <w:tcPr>
            <w:tcW w:w="4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(3,015)</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r>
      <w:tr>
        <w:trPr>
          <w:trHeight w:val="108"/>
        </w:trPr>
        <w:tc>
          <w:tcPr>
            <w:tcW w:w="4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4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(3,622)</w:t>
            </w:r>
          </w:p>
        </w:tc>
      </w:tr>
      <w:tr>
        <w:trPr>
          <w:trHeight w:val="132"/>
        </w:trPr>
        <w:tc>
          <w:tcPr>
            <w:tcW w:w="4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increase in interest expense in the second quarter and first half of 2005, compared with the same periods in 2004, is primarily due to interest expense and the amortization of prepaid debt fees related to the debt we issued in May and July of 2004 to fund the acquisition of our Electricity Metering business. For the three and six months ended June 30, 2005, interest expense included approximately $3.0 million and $415,000 of amortization related to prepaid debt fees.</w:t>
      </w:r>
    </w:p>
    <w:p>
      <w:pPr>
        <w:spacing w:after="0" w:line="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Other income (expense) consists primarily of foreign currency gains and losses, which can vary from period to period, as well as other non-operating events or transactions. During the second quarter and first half of 2005, we recorded a state tax refund of approximately $500,000, while we recorded $775,000 for the impairment of an investment in the same periods in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estimate our 2005 annual effective income tax rate will be approximately 34.0%. Our effective income tax rate differs from the federal statutory rate of 35.0% and can vary from period to period due to fluctuations in operating results, new or revised tax legislation, changes in the level of business performed in domestic and international jurisdictions, research credits, expirations of research credits and loss carryforwards, IPR&amp;D charges, state income taxes and extraterritorial income exclusion tax benefits. The Working Families Tax Relief Act of 2004 and the American Jobs Creation Act of 2004 were signed into law in October 2004. The only provision of the Acts that had a significant income tax effect on Itron was the extension of research credits through December 31, 2005. In the second quarter of 2005, we completed a research credit study for the years 1997-2004, recognizing a $5.9 million net tax credit in the provision for income taxes. Due primarily to this credit, we had a net tax benefit for the three and six month periods ended June 30, 2005. In addition, we estimate the 2005 net credit will be approximately $1.2 million. As a result, we revised our estimated 2005 annual effective tax rate from approximately 38% to 34%.</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effective income tax rate of 47.2% for the three months ended June 30, 2004 was higher than the full year 2004 effective income tax rate of 44.1%, as a result of changes in estimated taxes due in future periods, partially offset by tax credit adjustments in the quarter. We had a net tax benefit for the six months ended June 30, 2004, due to changes in estimated taxes and valuation allowance adjustments recorded during that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Information:</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5"/>
          </w:tcPr>
          <w:p>
            <w:pPr>
              <w:ind w:left="500"/>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Investing activities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provided by operating activities increased from $7.2 million in the first six months of 2004 to $36.8 million in the first six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2005 primarily due to an increase in net income as well as an increase in the net adjustments to reconcile net income to net cash provided by operating activities. The adjustment for depreciation and amortization increased as a result of the additional amortization related to intangible assets acquired in our July 1, 2004 Electricity Metering business acquisition. The adjustment for employee stock plan income tax benefits increased due to additional employee stock option exercise activity. These positive adjustments were partially offset by the deferred income tax benefit, which resulted from additional deferred income tax benefits recorded in the current period primarily due to a research and development credit.</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Changes in operating assets and liabilities, net of acquisitions, provided $1.6 million in cash during the first half of 2005, compared with a $2.9 million use of cash during the first half of 2004.</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May 2005, we received $2.6 million in proceeds from the sale of our manufacturing facility in Quebec, Canada. We used $5.3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for property, plant and equipment purchases during the first half of 2005, compared with $6.8 million during the first half of 2004. We used $4.6 million for pre-acquisition costs related to our Electricity Metering business during the first half of 2004, with no comparable activity during the same period in 2005. We made $2.0 million in cash-earnout payments during the first half of 2004 related to a 2003 acquisition.</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We made $107.0 million of optional repayments and $787,000 in minimum mandatory repayments on our term loan debt during the first half</w:t>
      </w:r>
      <w:r>
        <w:rPr>
          <w:rFonts w:ascii="Arial" w:cs="Arial" w:eastAsia="Arial" w:hAnsi="Arial"/>
          <w:sz w:val="16"/>
          <w:szCs w:val="16"/>
          <w:i w:val="1"/>
          <w:iCs w:val="1"/>
          <w:color w:val="auto"/>
        </w:rPr>
        <w:t xml:space="preserve"> </w:t>
      </w:r>
      <w:r>
        <w:rPr>
          <w:rFonts w:ascii="Arial" w:cs="Arial" w:eastAsia="Arial" w:hAnsi="Arial"/>
          <w:sz w:val="16"/>
          <w:szCs w:val="16"/>
          <w:color w:val="auto"/>
        </w:rPr>
        <w:t>of 2005, compared with $8.7 million in repayments on debt during the first half of 2004. In connection with the acquisition of our Electricity Metering business on July 1, 2004, we received $124.1 million in net proceeds from the issuance of senior subordinated notes (notes) in May 2004. The net proceeds as well as our funding of prepaid interest and the notes’ discount amount, totaling $128.3 million, were transferred to escrow for the benefit of the holders of the notes pending consummation of our acquisition. We had no net borrowings or payments in the first half of 2005 on our revolving line of credit, compared with net borrowings of $11.0 million in the first half of 2004. We generated approximately $59.8 million in net proceeds from our equity offering in May 2005, which was used to pay down debt. We received $12.5 million from employee stock purchase plan purchases and stock-based award exercises during the first half of 2005, compared with $4.0 million during the same period in 2004.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June 30, 2005 and December 31, 2004, except for operating lease commitments.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our stock. At June 30, 2005, we had $10.0 million in cash and cash equivalents. Cash equivalents historically have been invested in investments rated A or better by Standard &amp; Poor’s or Moody’s and have market interest rates. We are exposed to changes in interest rates on cash equivalents.</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senior secured credit facility (credit facility) is comprised of a $55 million five-year senior secured revolving credit facility (revolver) and the remaining balance on an original $185 million seven-year senior secured term loan (term loan). The credit facility is guaranteed by all of our operating subsidiaries (except for our foreign subsidiaries and an outsourcing project financing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subsidiary), all of which are wholly owned. Debt issuance costs are amortized over the life of the credit facility using the effective interest method. Unamortized debt issuance costs were approximately $10.7 million and $13.5 million at June 30, 2005 and December 31, 2004, respectively.</w:t>
      </w:r>
    </w:p>
    <w:p>
      <w:pPr>
        <w:spacing w:after="0" w:line="7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senior secured credit facility provides us with the future ability to increase our revolver commitment from $55 million to $75 million, and to increase our letter of credit limit from $55 million to $65 million, as a result of amendments to our credit facility in April 2005. Our required minimum quarterly principal payments are $324,000 for the next 19 quarters ($1.3 million annually) with the remaining balance to be paid in four installments over the last six quarters, maturing in 2011. Optional repayments of the term loan are permitted without penalty or premium. Additional mandatory prepayments, based on 75% of defined excess cash flows, the issuance of capital stock or the sale of assets as defined by the borrowing agreement, would all decrease the minimum payments in the last six quarters. Interest rates on the term loan are based on the London InterBank Offering Rate (LIBOR) plus 1.75% or the Wells Fargo Bank, National Association’s prime rate (Prime) plus 0.75%. We had no mandatory prepayment requirement during 2004. We made optional prepayments on the term loan of $34.0 million during the second half of 2004 and $20.0 million during the first quarter of 2005. We made optional prepayments of $87.0 million during the second quarter of 2005, of which approximately $59.8 million was generated from our equity offering.</w:t>
      </w:r>
    </w:p>
    <w:p>
      <w:pPr>
        <w:spacing w:after="0" w:line="10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December 31, 2004, the outstanding balance on the term loan was $150.1 million, of which $34.9 million was classified as current and $115.2 million was classified as long-term. The classification between current and long-term debt at December 31, 2004 was based on the mandatory principal payments defined in the borrowing agreement, as well as an additional $33.0 million of optional prepayments we expected to make during the first six months of 2005 in order to remain in compliance with our debt covenants. As a result of optional prepayments in the first six months of 2005, the classification between current and long-term at June 30, 2005 was based only on the mandatory principal payments defined in the amended borrowing agreement. We were in compliance with all of our debt covenants at June 30, 2005, which require us to maintain certain consolidated leverage and coverage ratios on a quarterly basis, as well as customary covenants that place restrictions on the incurrence of debt, the payment of dividends, certain investments and mergers.</w:t>
      </w:r>
    </w:p>
    <w:p>
      <w:pPr>
        <w:spacing w:after="0" w:line="1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Interest rates on the revolver vary depending on our consolidated leverage ratio and are based on LIBOR plus 2.0% to 3.0%, or Prime plus 1.0% to 2.0%, payable at various intervals depending on the term of the borrowing. The annual commitment fee on the unused portion of the revolver varies from 0.375% to 0.50%. We incur annual letter of credit fees based on (a) a fronting fee of 0.125% and (b) a letter of credit fee that varies from 2.0% to 3.0%. Revolver borrowings can be made at any time through June 2009, at which time any borrowings outstanding must be repaid. At June 30, 2005 there were no borrowings outstanding under the revolver and $22.9 million was utilized by outstanding standby letters of credit resulting in $32.1 million available for additional borrowings.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 June 2005, we sold an interest rate swap and rate cap that we had previously put in place in the fourth quarter of 2004 for approximately $416,000 and</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$48,000, respectively, compared with fair market values of approximately $224,000 and $69,000, respectively, at December 31, 2004. At June 30, 2005, we held no derivative instruments.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10, 2004, we completed a private placement of $125 million aggregate principal amount of 7.75% notes, due in 2012. The notes are discounted to a price of 99.265 to yield 7.875%, with a balance of $124.2 million at June 30, 2005. On February 17, 2005, we completed an exchange of the notes for substantially identical registered notes, except that the new notes are generally transferable and do not contain certain terms with respect to registration rights and liquidation damages. The discount on the notes will be accreted and the debt issuance costs will be amortized over the life of the notes. Fixed interest payments of approximately $4.8 million are required every six months, in May and November. The notes are subordinated to our senior secured credit facility and are guaranteed by all of our operating subsidiaries (except for our foreign subsidiaries and an outsourcing project financing subsidiary), all of which are wholly owned. The notes contain covenants, which place restrictions on the incurrence of debt, the payment of dividends, certain investments and mergers. Some or all of the notes may be redeemed at our option at any time on or after May 15, 2008, at certain specified premium prices. At any time prior to May 15, 2007, we may, at our option, redeem up to 35% of the notes with the proceeds of certain sales of our common stock.</w:t>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$8.6 million and $7.3 million at June 30, 2005 and December 31, 2004,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$22.9 million and $23.3 million at June 30, 2005 and December 31, 2004, respectively.</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an employee bonus and profit sharing plan in which most of our employees participate. During 2004, the performance goals were not met; however a discretionary payout of approximately $500,000 was made during the first quarter of 2005 for fiscal year 2004. The performance measures established for the 2005 bonus and profit sharing plan are based on achievement of specified levels of earnings. We accrued approximately $2.2 million and $3.5 million under this plan for the three and six months ended June 30, 2005.</w:t>
      </w:r>
    </w:p>
    <w:p>
      <w:pPr>
        <w:spacing w:after="0" w:line="13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net deferred tax assets consist primarily of accumulated net operating losses and tax credits, some of which are limited by Internal Revenue Code Sections 382 and 383 (Section 382 and Section 383). The limited deferred tax assets resulted from acquisitions. We expect to utilize tax loss carryforwards and available tax credits to offset taxes otherwise due on regular taxable income in upcoming years. During 2005, we expect to pay approximately $1.4 million in cash for federal alternative minimum tax, international taxes and various state tax obligations. We expect to begin making significant cash payments for federal tax purposes beginning in 2007, based on current projections that net operating loss carryforwards not limited by Section 382 will be fully utilized in 2006 and our remaining tax credits not limited by Section 383 will be fully utilized in 2007.</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Working capital at June 30, 2005 was $75.6 million compared with $58.1 million at December 31, 2004. The increase in working capital primarily results from a $33.6 million reduction in the current portion of our term debt from December 31, 2004 to June 30, 2005, offset by a $12.3 million reclassification of deferred taxes from current to non-current as a result of stock-option exercises and disqualifying dispositions, which reduced taxable income.</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from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“Risks Relating to Our Business” within Item 1 included in our Annual Report on Form 10-K for the fiscal year ended December 31, 2004, which was filed with the SEC on March 11, 2005, as well as in our “Quantitative and Qualitative Disclosures About Market Risk” within Item 3 of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and related pronouncements. In accordance with Statement of Financial Accounting Standards (SFAS) No. 5, a liability is recorded when we determine that a loss is probable and the amount can be reasonably estimated. Additionally, we disclose contingencies for which a material loss is reasonably possible, but not probable. At June 30, 2005, there were no contingencies requiring accrual or disclosure.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 of completion when implementation services are essential to the software performance, 4) upon customer acceptance provisions or 5) transfer of title. Fair values represent the estimated price charged when an item is sold separately. We review our fair values on an annual basis or more frequently if a significant trend is noted. Under outsourcing arrangements, revenue is recognized as services are provided. Hardware and software post-sale maintenance support fees are recognized ratably over the performance period. Revenue can vary significantly from period to period based on the timing of orders and the application of revenue recognition criteria. Use of the percentage of completion method for revenue recognition requires 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1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has not been met. The majority of unearned revenue relates to annual billing terms for post-sale maintenance and support agreements.</w:t>
      </w:r>
    </w:p>
    <w:p>
      <w:pPr>
        <w:spacing w:after="0" w:line="11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generally offer a one-year standard warranty on most of our hardware products and a three-month standard warranty on our large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products. Standard warranty accruals represent the 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10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Items are removed from inventory using the first-in, first-out method. Inventories include raw materials, sub-assemblies and finished goods.</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amounts include the cost to manufacture the item, such as the cost of raw materials, labor and other applied direct and indirect costs.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additional inventory write-downs may be required.</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are primarily the result of our acquisitions in 2004, 2003 and 2002. We use estimates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determining the value of goodwill and intangible assets, including estimates of useful lives of intangible assets, discounted future cash flows and fair values of the related operations. We test goodwill for impairment each year as of October 1st, under the guidance of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forecast discounted future cash flows at the reporting unit level, which consists of our operating groups, based on estimated future revenues and operating costs, which take into consideration factors such as existing backlog, expected future orders, supplier contracts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general market conditions. Changes in our forecasts or cost of capital may result in asset value adjustments, which could have a significant affect on our current and future results of operations, financial condition and cash flows. Intangible assets with a finite life are amortized based on estimated discounted cash flows over estimated useful lives and are tested for impairment when events or changes in circumstances indicate the carrying value may not be recoverable.</w:t>
      </w:r>
    </w:p>
    <w:p>
      <w:pPr>
        <w:spacing w:after="0" w:line="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Deferred Income Taxes: </w:t>
      </w:r>
      <w:r>
        <w:rPr>
          <w:rFonts w:ascii="Arial" w:cs="Arial" w:eastAsia="Arial" w:hAnsi="Arial"/>
          <w:sz w:val="18"/>
          <w:szCs w:val="18"/>
          <w:color w:val="auto"/>
        </w:rPr>
        <w:t>We estimate the expected realizable value of deferred tax assets. As of June 30, 2005, we have a valuation allowance of $6.8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our deferred tax assets relating to select net operating losses and federal tax credits as we believe it is more likely than not that these assets will not be realized. We do not have a valuation allowance on any other deferred tax asset because we believe that the assets are more likely than not to be realized. While we have considered future taxable income and ongoing prudent and feasible tax planning strategies in assessing the appropriateness of a valuation allowance, in the event we were to determine we would have a change in the realization of the net deferred tax asset in the future, an adjustment to the deferred tax asset or valuation allowance would be made.</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Compensation Plans: </w:t>
      </w:r>
      <w:r>
        <w:rPr>
          <w:rFonts w:ascii="Arial" w:cs="Arial" w:eastAsia="Arial" w:hAnsi="Arial"/>
          <w:sz w:val="16"/>
          <w:szCs w:val="16"/>
          <w:color w:val="auto"/>
        </w:rPr>
        <w:t>We have compensation plans that offer a range of award amounts for the achievement of a various annual performance and financial targets.</w:t>
      </w:r>
      <w:r>
        <w:rPr>
          <w:rFonts w:ascii="Arial" w:cs="Arial" w:eastAsia="Arial" w:hAnsi="Arial"/>
          <w:sz w:val="16"/>
          <w:szCs w:val="16"/>
          <w:i w:val="1"/>
          <w:iCs w:val="1"/>
          <w:color w:val="auto"/>
        </w:rPr>
        <w:t xml:space="preserve"> </w:t>
      </w:r>
      <w:r>
        <w:rPr>
          <w:rFonts w:ascii="Arial" w:cs="Arial" w:eastAsia="Arial" w:hAnsi="Arial"/>
          <w:sz w:val="16"/>
          <w:szCs w:val="16"/>
          <w:color w:val="auto"/>
        </w:rPr>
        <w:t>Actual award amounts will be determined at the end of the year if the performance and financial targets are met. As the bonuses are being earned during the year, we must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diligently monitor our annual forecast and the progress towards achievement of goals, the actual results at the end of the year may warrant a bonus award that is significantly greater or less than the assessments made in earlier quarters.</w:t>
      </w:r>
    </w:p>
    <w:p>
      <w:pPr>
        <w:spacing w:after="0" w:line="107" w:lineRule="exact"/>
        <w:rPr>
          <w:sz w:val="20"/>
          <w:szCs w:val="20"/>
          <w:color w:val="auto"/>
        </w:rPr>
      </w:pPr>
    </w:p>
    <w:p>
      <w:pPr>
        <w:jc w:val="both"/>
        <w:ind w:right="100"/>
        <w:spacing w:after="0" w:line="302" w:lineRule="auto"/>
        <w:rPr>
          <w:sz w:val="20"/>
          <w:szCs w:val="20"/>
          <w:color w:val="auto"/>
        </w:rPr>
      </w:pPr>
      <w:r>
        <w:rPr>
          <w:rFonts w:ascii="Arial" w:cs="Arial" w:eastAsia="Arial" w:hAnsi="Arial"/>
          <w:sz w:val="15"/>
          <w:szCs w:val="15"/>
          <w:i w:val="1"/>
          <w:iCs w:val="1"/>
          <w:color w:val="auto"/>
        </w:rPr>
        <w:t xml:space="preserve">Legal Contingencies: </w:t>
      </w:r>
      <w:r>
        <w:rPr>
          <w:rFonts w:ascii="Arial" w:cs="Arial" w:eastAsia="Arial" w:hAnsi="Arial"/>
          <w:sz w:val="15"/>
          <w:szCs w:val="15"/>
          <w:color w:val="auto"/>
        </w:rPr>
        <w:t>We are subject to various legal proceedings and claims of which the outcomes are subject to significant uncertainty. Our policy is to assess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likelihood of any adverse judgments or outcomes related to legal matters, as well as ranges of probable losses. A determination of the amount of the liability required, if any, for these contingencies is made after an analysis of each known issue in accordance with SFAS No. 5, </w:t>
      </w:r>
      <w:r>
        <w:rPr>
          <w:rFonts w:ascii="Arial" w:cs="Arial" w:eastAsia="Arial" w:hAnsi="Arial"/>
          <w:sz w:val="15"/>
          <w:szCs w:val="15"/>
          <w:i w:val="1"/>
          <w:iCs w:val="1"/>
          <w:color w:val="auto"/>
        </w:rPr>
        <w:t>Accounting for Contingencies</w:t>
      </w:r>
      <w:r>
        <w:rPr>
          <w:rFonts w:ascii="Arial" w:cs="Arial" w:eastAsia="Arial" w:hAnsi="Arial"/>
          <w:sz w:val="15"/>
          <w:szCs w:val="15"/>
          <w:color w:val="auto"/>
        </w:rPr>
        <w:t>, and related pronouncements. In accordance with SFAS No. 5, a liability is recorded when we determine that a loss is probable and the amount can be reasonably estimated.</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Additionally, we disclose contingencies for which a material loss is reasonably possible, but less than probable. At June 30, 2005, there were no contingencies requiring accrual or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November 2004, the Financial Accounting Standards Board (FASB) issued Statement No. 151, </w:t>
      </w:r>
      <w:r>
        <w:rPr>
          <w:rFonts w:ascii="Arial" w:cs="Arial" w:eastAsia="Arial" w:hAnsi="Arial"/>
          <w:sz w:val="16"/>
          <w:szCs w:val="16"/>
          <w:i w:val="1"/>
          <w:iCs w:val="1"/>
          <w:color w:val="auto"/>
        </w:rPr>
        <w:t>Inventory Costs—an amendment of ARB No. 43, Chapter 4</w:t>
      </w:r>
      <w:r>
        <w:rPr>
          <w:rFonts w:ascii="Arial" w:cs="Arial" w:eastAsia="Arial" w:hAnsi="Arial"/>
          <w:sz w:val="16"/>
          <w:szCs w:val="16"/>
          <w:color w:val="auto"/>
        </w:rPr>
        <w:t>, which clarifies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on or after January 1, 2006. While we believe this Statement will not have a material effect on our financial statements, the impact of adopting the new rule is dependent on events that could occur in future periods, and as such, an estimate of the impact cannot be determined.</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requires companies to expense the fair value of equity awards over the required service period. We have not yet quantified the effects of the adoption of SFAS 123R, but the adoption of SFAS 123R will decrease gross profit and increase operating expenses and will affect the tax rate. The pro forma effects on net income (loss) and earnings per share if we had applied the fair value recognition provisions of original SFAS No. 123 on stock compensation awards are disclosed above. Such pro forma effects of applying the original SFAS No. 123 may be indicative of the effects of adopting SFAS 123R, however the provisions of the two statements differ.</w:t>
      </w:r>
    </w:p>
    <w:p>
      <w:pPr>
        <w:spacing w:after="0" w:line="1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SFAS 123R will be effective for Itron’s fiscal year beginning January 1, 2006. The Statement will be implemented on a prospective basis for new awards, awards modified, repurchased or cancelled after January 1, 2006 and unvested options previously granted.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July and August of 2005, we made $7.0 million of optional prepayments on our senior secured credit facility term loan, bringing the outstanding balance to $35.3 million as of August 3, 2005.</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July 2005, we signed a contract with Progress Energy, Inc. for 2.7 million electricity meters with embedded AMR. The contract is worth approximately $120 million and is deliverable over approximately two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table below provides information about our financial instruments that are sensitive to changes in interest rates. Weighted average variable</w:t>
      </w:r>
      <w:r>
        <w:rPr>
          <w:rFonts w:ascii="Arial" w:cs="Arial" w:eastAsia="Arial" w:hAnsi="Arial"/>
          <w:sz w:val="15"/>
          <w:szCs w:val="15"/>
          <w:i w:val="1"/>
          <w:iCs w:val="1"/>
          <w:color w:val="auto"/>
        </w:rPr>
        <w:t xml:space="preserve"> </w:t>
      </w:r>
      <w:r>
        <w:rPr>
          <w:rFonts w:ascii="Arial" w:cs="Arial" w:eastAsia="Arial" w:hAnsi="Arial"/>
          <w:sz w:val="15"/>
          <w:szCs w:val="15"/>
          <w:color w:val="auto"/>
        </w:rPr>
        <w:t>rates in the table are based on implied forward rates in the LIBOR yield curve as of July 1, 2005 and our estimated ratio of funded debt to EBITDA, which determines our rate margin. The table below illustrates the scheduled minimum repayment of principal over the remaining lives of our debt at June 30, 2005: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Beyond 2009</w:t>
            </w:r>
          </w:p>
        </w:tc>
      </w:tr>
      <w:tr>
        <w:trPr>
          <w:trHeight w:val="95"/>
        </w:trPr>
        <w:tc>
          <w:tcPr>
            <w:tcW w:w="46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6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324"/>
        </w:trPr>
        <w:tc>
          <w:tcPr>
            <w:tcW w:w="4660" w:type="dxa"/>
            <w:vAlign w:val="bottom"/>
          </w:tcPr>
          <w:p>
            <w:pPr>
              <w:ind w:left="440"/>
              <w:spacing w:after="0"/>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2"/>
                <w:szCs w:val="22"/>
                <w:color w:val="auto"/>
                <w:vertAlign w:val="superscript"/>
              </w:rPr>
              <w:t>(1)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323"/>
        </w:trPr>
        <w:tc>
          <w:tcPr>
            <w:tcW w:w="4660" w:type="dxa"/>
            <w:vAlign w:val="bottom"/>
          </w:tcPr>
          <w:p>
            <w:pPr>
              <w:spacing w:after="0"/>
              <w:rPr>
                <w:sz w:val="20"/>
                <w:szCs w:val="20"/>
                <w:color w:val="auto"/>
              </w:rPr>
            </w:pPr>
            <w:r>
              <w:rPr>
                <w:rFonts w:ascii="Arial" w:cs="Arial" w:eastAsia="Arial" w:hAnsi="Arial"/>
                <w:sz w:val="18"/>
                <w:szCs w:val="18"/>
                <w:i w:val="1"/>
                <w:iCs w:val="1"/>
                <w:color w:val="auto"/>
              </w:rPr>
              <w:t>Variable Rate Debt</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6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Revolving credit line </w:t>
            </w:r>
            <w:r>
              <w:rPr>
                <w:rFonts w:ascii="Arial" w:cs="Arial" w:eastAsia="Arial" w:hAnsi="Arial"/>
                <w:sz w:val="22"/>
                <w:szCs w:val="22"/>
                <w:color w:val="auto"/>
                <w:vertAlign w:val="superscript"/>
              </w:rPr>
              <w:t>(2)</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466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02"/>
        </w:trPr>
        <w:tc>
          <w:tcPr>
            <w:tcW w:w="46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6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(3)</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r>
      <w:tr>
        <w:trPr>
          <w:trHeight w:val="222"/>
        </w:trPr>
        <w:tc>
          <w:tcPr>
            <w:tcW w:w="466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5.89%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1"/>
          <w:szCs w:val="21"/>
          <w:color w:val="auto"/>
          <w:vertAlign w:val="superscript"/>
        </w:rPr>
      </w:pPr>
      <w:r>
        <w:rPr>
          <w:rFonts w:ascii="Arial" w:cs="Arial" w:eastAsia="Arial" w:hAnsi="Arial"/>
          <w:sz w:val="17"/>
          <w:szCs w:val="17"/>
          <w:color w:val="auto"/>
        </w:rPr>
        <w:t>The $125.0 million aggregate principal amount of 7.75% senior subordinated notes, due in 2012, was discounted at 99.265 to yield 7.875%.</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There was no balance on the revolving credit line at June 30, 2005.</w:t>
      </w:r>
    </w:p>
    <w:p>
      <w:pPr>
        <w:spacing w:after="0" w:line="8" w:lineRule="exact"/>
        <w:rPr>
          <w:rFonts w:ascii="Arial" w:cs="Arial" w:eastAsia="Arial" w:hAnsi="Arial"/>
          <w:sz w:val="22"/>
          <w:szCs w:val="22"/>
          <w:color w:val="auto"/>
          <w:vertAlign w:val="superscript"/>
        </w:rPr>
      </w:pPr>
    </w:p>
    <w:p>
      <w:pPr>
        <w:ind w:left="460" w:right="740" w:hanging="452"/>
        <w:spacing w:after="0" w:line="221"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Repayment of the term loan is based on minimum mandatory principal payments defined in the April 2005 amended senior secured credit facility agreement.</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Based on a sensitivity analysis as of June 30, 2005, we estimate that if market interest rates average one percentage point higher than in the table above in 2005, our earnings before income taxes in 2005 would decrease by approximately $215,000.</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2005, we sold an interest rate swap and cap that we had previously put in place in the fourth quarter of 2004, for approximately $416,000 and $48,000, respectively, compared with fair market values of approximately $224,000 and $69,000, respectively at December 31, 2004. The derivative instruments were initially designated as cash flow hedges; however, as a result of the optional prepayments on our term loan in the fourth quarter of 2004, we determined the cash flow hedges were ineffective in the same quarter as they were purchased, resulting in the recognition through interest expense of the changes in fair value. At June 30, 2005, we held no derivative instruments.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revenues were 7% of our total revenues for the six months ended June 30, 2005. Since we do not typically use derivative instruments to manage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affect on our financial results.</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foreign subsidiary operations. This means we are subject to changes in the consolidated results of operations expressed in U.S. dollars. Other international business, consisting primarily of shipments from the United States to foreign distributors and customers in the Pacific Rim and Latin America, is predominantly denominated in U.S. dollars, which reduces our exposure to fluctuations in foreign currency exchange rates. In some cases where sales from the United States are not denominated in U.S. dollars, we may hedge our foreign exchange risk by selling the expected foreign currency receipts forward. There have been, and there may continue to be, large period-to-period fluctuations in the relative portions of international revenues that are denominated in foreign currencies.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may affect current earnings, while inter-company notes may be re-valued and result in unrealized translation gains or losses that are reported in other comprehensive income (loss).</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June 30, 2005,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affect of changing exchange rates on assets and liabilities denominated in a foreign currency. Consequently, the actual effects on operations in the future may differ materially from results of the analysis for the six months ended June 30, 2005. We may, in the future, experience greater fluctuations in U.S. dollar earnings from fluctuations in foreign currency exchange rates. We will continue to monitor and assess the affect of foreign currency fluctuations and may institute hedging alternatives.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460" w:hanging="452"/>
        <w:spacing w:after="0" w:line="29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June 30, 2005, the end of the period covered by this report.</w:t>
      </w:r>
    </w:p>
    <w:p>
      <w:pPr>
        <w:spacing w:after="0" w:line="21" w:lineRule="exact"/>
        <w:rPr>
          <w:rFonts w:ascii="Arial" w:cs="Arial" w:eastAsia="Arial" w:hAnsi="Arial"/>
          <w:sz w:val="16"/>
          <w:szCs w:val="16"/>
          <w:color w:val="auto"/>
        </w:rPr>
      </w:pPr>
    </w:p>
    <w:p>
      <w:pPr>
        <w:ind w:left="460" w:right="4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internal control</w:t>
      </w:r>
      <w:r>
        <w:rPr>
          <w:rFonts w:ascii="Arial" w:cs="Arial" w:eastAsia="Arial" w:hAnsi="Arial"/>
          <w:sz w:val="18"/>
          <w:szCs w:val="18"/>
          <w:color w:val="auto"/>
        </w:rPr>
        <w:t>. There have been no changes in internal control over financial reporting during the quarter ended June 30, 2005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No. 5, a liability is recorded when we determine that a loss is probable and the amount can be reasonably estimated. Additionally, we disclose contingencies for which a material loss is reasonably possible, but less than probable. At June 30, 2005, there were no contingencies requiring accrual or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Itron held its annual meeting of shareholders on May 3, 2005. Three directors were elected for a term of three years, Ted C. DeMerritt, Jon E. Eliassen and Robert D. Neilson. Michael B. Bracy, Thomas S. Foley, Thomas S. Glanville, Sharon L. Nelson, LeRoy D. Nosbaum, Mary Ann Peters and Graham M. Wilson continued their terms as directors. The following summarizes all matters voted on at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Matter 1: The vote for the nominated directors was as follows:</w:t>
      </w:r>
    </w:p>
    <w:p>
      <w:pPr>
        <w:spacing w:after="0" w:line="153" w:lineRule="exact"/>
        <w:rPr>
          <w:sz w:val="20"/>
          <w:szCs w:val="20"/>
          <w:color w:val="auto"/>
        </w:rPr>
      </w:pPr>
    </w:p>
    <w:p>
      <w:pPr>
        <w:ind w:left="1140"/>
        <w:spacing w:after="0"/>
        <w:tabs>
          <w:tab w:leader="none" w:pos="8400" w:val="left"/>
          <w:tab w:leader="none" w:pos="9500" w:val="left"/>
        </w:tabs>
        <w:rPr>
          <w:sz w:val="20"/>
          <w:szCs w:val="20"/>
          <w:color w:val="auto"/>
        </w:rPr>
      </w:pPr>
      <w:r>
        <w:rPr>
          <w:rFonts w:ascii="Arial" w:cs="Arial" w:eastAsia="Arial" w:hAnsi="Arial"/>
          <w:sz w:val="14"/>
          <w:szCs w:val="14"/>
          <w:b w:val="1"/>
          <w:bCs w:val="1"/>
          <w:color w:val="auto"/>
        </w:rPr>
        <w:t>NOMINEE</w:t>
      </w:r>
      <w:r>
        <w:rPr>
          <w:sz w:val="20"/>
          <w:szCs w:val="20"/>
          <w:color w:val="auto"/>
        </w:rPr>
        <w:tab/>
      </w:r>
      <w:r>
        <w:rPr>
          <w:rFonts w:ascii="Arial" w:cs="Arial" w:eastAsia="Arial" w:hAnsi="Arial"/>
          <w:sz w:val="14"/>
          <w:szCs w:val="14"/>
          <w:b w:val="1"/>
          <w:bCs w:val="1"/>
          <w:color w:val="auto"/>
        </w:rPr>
        <w:t>IN FAVOR</w:t>
      </w:r>
      <w:r>
        <w:rPr>
          <w:sz w:val="20"/>
          <w:szCs w:val="20"/>
          <w:color w:val="auto"/>
        </w:rPr>
        <w:tab/>
      </w:r>
      <w:r>
        <w:rPr>
          <w:rFonts w:ascii="Arial" w:cs="Arial" w:eastAsia="Arial" w:hAnsi="Arial"/>
          <w:sz w:val="14"/>
          <w:szCs w:val="14"/>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3771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12261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Ted C. DeMerritt</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17,664,279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810,430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Jon E. Eliassen</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17,672,283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802,426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D. Neilson</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17,729,947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744,762</w:t>
            </w:r>
          </w:p>
        </w:tc>
        <w:tc>
          <w:tcPr>
            <w:tcW w:w="0" w:type="dxa"/>
            <w:vAlign w:val="bottom"/>
          </w:tcPr>
          <w:p>
            <w:pPr>
              <w:spacing w:after="0"/>
              <w:rPr>
                <w:sz w:val="1"/>
                <w:szCs w:val="1"/>
                <w:color w:val="auto"/>
              </w:rPr>
            </w:pPr>
          </w:p>
        </w:tc>
      </w:tr>
      <w:tr>
        <w:trPr>
          <w:trHeight w:val="363"/>
        </w:trPr>
        <w:tc>
          <w:tcPr>
            <w:tcW w:w="4640" w:type="dxa"/>
            <w:vAlign w:val="bottom"/>
            <w:gridSpan w:val="8"/>
          </w:tcPr>
          <w:p>
            <w:pPr>
              <w:jc w:val="right"/>
              <w:ind w:right="20"/>
              <w:spacing w:after="0"/>
              <w:rPr>
                <w:sz w:val="20"/>
                <w:szCs w:val="20"/>
                <w:color w:val="auto"/>
              </w:rPr>
            </w:pPr>
            <w:r>
              <w:rPr>
                <w:rFonts w:ascii="Arial" w:cs="Arial" w:eastAsia="Arial" w:hAnsi="Arial"/>
                <w:sz w:val="18"/>
                <w:szCs w:val="18"/>
                <w:color w:val="auto"/>
                <w:w w:val="89"/>
              </w:rPr>
              <w:t>Matter 2: Approval of the Itron, Inc. Amended and Restated 2000</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5"/>
              </w:rPr>
              <w:t>BROKER NON-</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FAVOR</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AGAINST</w:t>
            </w: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ABSTAIN</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VOTES</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12,060,649</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3,638,746</w:t>
            </w:r>
          </w:p>
        </w:tc>
        <w:tc>
          <w:tcPr>
            <w:tcW w:w="17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29,440</w:t>
            </w:r>
          </w:p>
        </w:tc>
        <w:tc>
          <w:tcPr>
            <w:tcW w:w="1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2,745,874</w:t>
            </w:r>
          </w:p>
        </w:tc>
        <w:tc>
          <w:tcPr>
            <w:tcW w:w="0" w:type="dxa"/>
            <w:vAlign w:val="bottom"/>
          </w:tcPr>
          <w:p>
            <w:pPr>
              <w:spacing w:after="0"/>
              <w:rPr>
                <w:sz w:val="1"/>
                <w:szCs w:val="1"/>
                <w:color w:val="auto"/>
              </w:rPr>
            </w:pPr>
          </w:p>
        </w:tc>
      </w:tr>
      <w:tr>
        <w:trPr>
          <w:trHeight w:val="363"/>
        </w:trPr>
        <w:tc>
          <w:tcPr>
            <w:tcW w:w="4640" w:type="dxa"/>
            <w:vAlign w:val="bottom"/>
            <w:gridSpan w:val="8"/>
          </w:tcPr>
          <w:p>
            <w:pPr>
              <w:jc w:val="right"/>
              <w:ind w:right="20"/>
              <w:spacing w:after="0"/>
              <w:rPr>
                <w:sz w:val="20"/>
                <w:szCs w:val="20"/>
                <w:color w:val="auto"/>
              </w:rPr>
            </w:pPr>
            <w:r>
              <w:rPr>
                <w:rFonts w:ascii="Arial" w:cs="Arial" w:eastAsia="Arial" w:hAnsi="Arial"/>
                <w:sz w:val="18"/>
                <w:szCs w:val="18"/>
                <w:color w:val="auto"/>
                <w:w w:val="89"/>
              </w:rPr>
              <w:t>Matter 3: Approval of the Itron, Inc. Amended and Restated 2002</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Employee Stock Purchase Plan.</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5"/>
              </w:rPr>
              <w:t>BROKER NON-</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FAVOR</w:t>
            </w:r>
          </w:p>
        </w:tc>
        <w:tc>
          <w:tcPr>
            <w:tcW w:w="7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AGAINST</w:t>
            </w: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ABSTAIN</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VOTES</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040" w:type="dxa"/>
            <w:vAlign w:val="bottom"/>
            <w:gridSpan w:val="3"/>
          </w:tcPr>
          <w:p>
            <w:pPr>
              <w:spacing w:after="0"/>
              <w:rPr>
                <w:sz w:val="8"/>
                <w:szCs w:val="8"/>
                <w:color w:val="auto"/>
              </w:rPr>
            </w:pPr>
          </w:p>
        </w:tc>
        <w:tc>
          <w:tcPr>
            <w:tcW w:w="80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14,828,802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588,014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312,019</w:t>
            </w:r>
          </w:p>
        </w:tc>
        <w:tc>
          <w:tcPr>
            <w:tcW w:w="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2,745,874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2005 that was not reported.</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3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r>
      <w:tr>
        <w:trPr>
          <w:trHeight w:val="316"/>
        </w:trPr>
        <w:tc>
          <w:tcPr>
            <w:tcW w:w="600" w:type="dxa"/>
            <w:vAlign w:val="bottom"/>
          </w:tcPr>
          <w:p>
            <w:pPr>
              <w:jc w:val="right"/>
              <w:ind w:right="59"/>
              <w:spacing w:after="0"/>
              <w:rPr>
                <w:sz w:val="20"/>
                <w:szCs w:val="20"/>
                <w:color w:val="auto"/>
              </w:rPr>
            </w:pPr>
            <w:r>
              <w:rPr>
                <w:rFonts w:ascii="Arial" w:cs="Arial" w:eastAsia="Arial" w:hAnsi="Arial"/>
                <w:sz w:val="18"/>
                <w:szCs w:val="18"/>
                <w:color w:val="auto"/>
              </w:rPr>
              <w:t>12.1</w:t>
            </w: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Statement re Computation of Ratios.</w:t>
            </w:r>
          </w:p>
        </w:tc>
      </w:tr>
      <w:tr>
        <w:trPr>
          <w:trHeight w:val="324"/>
        </w:trPr>
        <w:tc>
          <w:tcPr>
            <w:tcW w:w="600" w:type="dxa"/>
            <w:vAlign w:val="bottom"/>
          </w:tcPr>
          <w:p>
            <w:pPr>
              <w:jc w:val="right"/>
              <w:ind w:right="59"/>
              <w:spacing w:after="0"/>
              <w:rPr>
                <w:sz w:val="20"/>
                <w:szCs w:val="20"/>
                <w:color w:val="auto"/>
              </w:rPr>
            </w:pPr>
            <w:r>
              <w:rPr>
                <w:rFonts w:ascii="Arial" w:cs="Arial" w:eastAsia="Arial" w:hAnsi="Arial"/>
                <w:sz w:val="18"/>
                <w:szCs w:val="18"/>
                <w:color w:val="auto"/>
              </w:rPr>
              <w:t>31.1</w:t>
            </w: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w w:val="88"/>
              </w:rPr>
              <w:t>Certification Pursuant to Section 302 of the Sarbanes-Oxley Act of 2002.</w:t>
            </w:r>
          </w:p>
        </w:tc>
      </w:tr>
      <w:tr>
        <w:trPr>
          <w:trHeight w:val="324"/>
        </w:trPr>
        <w:tc>
          <w:tcPr>
            <w:tcW w:w="600" w:type="dxa"/>
            <w:vAlign w:val="bottom"/>
          </w:tcPr>
          <w:p>
            <w:pPr>
              <w:jc w:val="right"/>
              <w:ind w:right="59"/>
              <w:spacing w:after="0"/>
              <w:rPr>
                <w:sz w:val="20"/>
                <w:szCs w:val="20"/>
                <w:color w:val="auto"/>
              </w:rPr>
            </w:pPr>
            <w:r>
              <w:rPr>
                <w:rFonts w:ascii="Arial" w:cs="Arial" w:eastAsia="Arial" w:hAnsi="Arial"/>
                <w:sz w:val="18"/>
                <w:szCs w:val="18"/>
                <w:color w:val="auto"/>
              </w:rPr>
              <w:t>31.2</w:t>
            </w: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w w:val="88"/>
              </w:rPr>
              <w:t>Certification Pursuant to Section 302 of the Sarbanes-Oxley Act of 2002.</w:t>
            </w:r>
          </w:p>
        </w:tc>
      </w:tr>
      <w:tr>
        <w:trPr>
          <w:trHeight w:val="324"/>
        </w:trPr>
        <w:tc>
          <w:tcPr>
            <w:tcW w:w="600" w:type="dxa"/>
            <w:vAlign w:val="bottom"/>
          </w:tcPr>
          <w:p>
            <w:pPr>
              <w:jc w:val="right"/>
              <w:ind w:right="59"/>
              <w:spacing w:after="0"/>
              <w:rPr>
                <w:sz w:val="20"/>
                <w:szCs w:val="20"/>
                <w:color w:val="auto"/>
              </w:rPr>
            </w:pPr>
            <w:r>
              <w:rPr>
                <w:rFonts w:ascii="Arial" w:cs="Arial" w:eastAsia="Arial" w:hAnsi="Arial"/>
                <w:sz w:val="18"/>
                <w:szCs w:val="18"/>
                <w:color w:val="auto"/>
              </w:rPr>
              <w:t>32.1</w:t>
            </w: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w w:val="88"/>
              </w:rPr>
              <w:t>Certification Pursuant to Section 906 of the Sarbanes-Oxley Act of 2002.</w:t>
            </w:r>
          </w:p>
        </w:tc>
      </w:tr>
      <w:tr>
        <w:trPr>
          <w:trHeight w:val="365"/>
        </w:trPr>
        <w:tc>
          <w:tcPr>
            <w:tcW w:w="600" w:type="dxa"/>
            <w:vAlign w:val="bottom"/>
          </w:tcPr>
          <w:p>
            <w:pPr>
              <w:spacing w:after="0"/>
              <w:rPr>
                <w:sz w:val="24"/>
                <w:szCs w:val="24"/>
                <w:color w:val="auto"/>
              </w:rPr>
            </w:pPr>
          </w:p>
        </w:tc>
        <w:tc>
          <w:tcPr>
            <w:tcW w:w="5340" w:type="dxa"/>
            <w:vAlign w:val="bottom"/>
            <w:gridSpan w:val="3"/>
          </w:tcPr>
          <w:p>
            <w:pPr>
              <w:jc w:val="right"/>
              <w:ind w:right="14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State of Washington, on the 3rd day of August, 2005.</w:t>
      </w:r>
    </w:p>
    <w:p>
      <w:pPr>
        <w:spacing w:after="0" w:line="72"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365"/>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June 30, 2005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8"/>
          </w:tcPr>
          <w:p>
            <w:pPr>
              <w:ind w:left="400"/>
              <w:spacing w:after="0"/>
              <w:rPr>
                <w:sz w:val="20"/>
                <w:szCs w:val="20"/>
                <w:color w:val="auto"/>
              </w:rPr>
            </w:pPr>
            <w:r>
              <w:rPr>
                <w:rFonts w:ascii="Arial" w:cs="Arial" w:eastAsia="Arial" w:hAnsi="Arial"/>
                <w:sz w:val="14"/>
                <w:szCs w:val="14"/>
                <w:b w:val="1"/>
                <w:bCs w:val="1"/>
                <w:color w:val="auto"/>
                <w:w w:val="99"/>
              </w:rPr>
              <w:t>(in thousands, except ratios)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Pre-tax income (loss)</w:t>
            </w:r>
          </w:p>
        </w:tc>
        <w:tc>
          <w:tcPr>
            <w:tcW w:w="1300" w:type="dxa"/>
            <w:vAlign w:val="bottom"/>
            <w:gridSpan w:val="2"/>
          </w:tcPr>
          <w:p>
            <w:pPr>
              <w:ind w:left="1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5,785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(9,406)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$17,899</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$21,366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equity in affiliates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(9,406)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20" w:type="dxa"/>
            <w:vAlign w:val="bottom"/>
            <w:gridSpan w:val="3"/>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2"/>
                <w:szCs w:val="22"/>
                <w:color w:val="auto"/>
                <w:vertAlign w:val="superscript"/>
              </w:rPr>
              <w:t>(2)</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13,145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Interest portion of rent expense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2,696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Fixed charges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15,841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4920" w:type="dxa"/>
            <w:vAlign w:val="bottom"/>
            <w:gridSpan w:val="3"/>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2"/>
                <w:szCs w:val="22"/>
                <w:color w:val="auto"/>
                <w:vertAlign w:val="superscript"/>
              </w:rPr>
              <w:t>(3)</w:t>
            </w:r>
          </w:p>
        </w:tc>
        <w:tc>
          <w:tcPr>
            <w:tcW w:w="1300" w:type="dxa"/>
            <w:vAlign w:val="bottom"/>
            <w:gridSpan w:val="2"/>
          </w:tcPr>
          <w:p>
            <w:pPr>
              <w:ind w:left="1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18,068</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6,435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$23,119</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$28,156</w:t>
            </w:r>
          </w:p>
        </w:tc>
        <w:tc>
          <w:tcPr>
            <w:tcW w:w="1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13,702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2"/>
                <w:szCs w:val="22"/>
                <w:color w:val="auto"/>
                <w:vertAlign w:val="superscript"/>
              </w:rPr>
              <w:t>(b/a)</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of earnings to fixed charges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(9,406)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gross includes amortization of prepaid debt fees and discount.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taxes plus fixed charges.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Due to Itron’s loss in 2004, the ratio coverage was less than 1:1. Additional earnings of $9,406 would have been needed to achieve a coverage of 1:1.</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1920" w:right="240" w:hanging="440"/>
        <w:spacing w:after="0" w:line="325" w:lineRule="auto"/>
        <w:tabs>
          <w:tab w:leader="none" w:pos="1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LeRoy D. Nosbaum</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2005</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1920" w:right="240" w:hanging="440"/>
        <w:spacing w:after="0" w:line="325" w:lineRule="auto"/>
        <w:tabs>
          <w:tab w:leader="none" w:pos="1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2005</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2005 (the Report) for the purpose of complying with Rule 13a-14(b) or Rule 15d-14(b) of the Securities Exchange Act of 1934 and Section 1350 of Chapter 63 of Title 18 of the United States Code.</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3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LeRoy D. Nosbaum</w:t>
      </w:r>
    </w:p>
    <w:p>
      <w:pPr>
        <w:jc w:val="center"/>
        <w:ind w:right="684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right="6840"/>
        <w:spacing w:after="0"/>
        <w:rPr>
          <w:sz w:val="20"/>
          <w:szCs w:val="20"/>
          <w:color w:val="auto"/>
        </w:rPr>
      </w:pPr>
      <w:r>
        <w:rPr>
          <w:rFonts w:ascii="Arial" w:cs="Arial" w:eastAsia="Arial" w:hAnsi="Arial"/>
          <w:sz w:val="14"/>
          <w:szCs w:val="14"/>
          <w:b w:val="1"/>
          <w:bCs w:val="1"/>
          <w:color w:val="auto"/>
        </w:rPr>
        <w:t>August 3, 2005</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Steven M. Helmbrecht</w:t>
      </w:r>
    </w:p>
    <w:p>
      <w:pPr>
        <w:jc w:val="center"/>
        <w:ind w:right="6840"/>
        <w:spacing w:after="0" w:line="223" w:lineRule="auto"/>
        <w:rPr>
          <w:sz w:val="20"/>
          <w:szCs w:val="20"/>
          <w:color w:val="auto"/>
        </w:rPr>
      </w:pPr>
      <w:r>
        <w:rPr>
          <w:rFonts w:ascii="Arial" w:cs="Arial" w:eastAsia="Arial" w:hAnsi="Arial"/>
          <w:sz w:val="14"/>
          <w:szCs w:val="14"/>
          <w:b w:val="1"/>
          <w:bCs w:val="1"/>
          <w:color w:val="auto"/>
        </w:rPr>
        <w:t>Sr. Vice President and Chief Financial Officer</w:t>
      </w:r>
    </w:p>
    <w:p>
      <w:pPr>
        <w:jc w:val="center"/>
        <w:ind w:right="6840"/>
        <w:spacing w:after="0"/>
        <w:rPr>
          <w:sz w:val="20"/>
          <w:szCs w:val="20"/>
          <w:color w:val="auto"/>
        </w:rPr>
      </w:pPr>
      <w:r>
        <w:rPr>
          <w:rFonts w:ascii="Arial" w:cs="Arial" w:eastAsia="Arial" w:hAnsi="Arial"/>
          <w:sz w:val="14"/>
          <w:szCs w:val="14"/>
          <w:b w:val="1"/>
          <w:bCs w:val="1"/>
          <w:color w:val="auto"/>
        </w:rPr>
        <w:t>August 3,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2019-12-11T20:53:28Z</dcterms:created>
  <dcterms:modified xsi:type="dcterms:W3CDTF">2019-12-11T20:53:28Z</dcterms:modified>
</cp:coreProperties>
</file>