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____________________________</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May 6, 2026</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-140335</wp:posOffset>
            </wp:positionV>
            <wp:extent cx="20656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1607820</wp:posOffset>
            </wp:positionH>
            <wp:positionV relativeFrom="paragraph">
              <wp:posOffset>25400</wp:posOffset>
            </wp:positionV>
            <wp:extent cx="3926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31" w:lineRule="exact"/>
        <w:rPr>
          <w:sz w:val="24"/>
          <w:szCs w:val="24"/>
          <w:color w:val="auto"/>
        </w:rPr>
      </w:pPr>
    </w:p>
    <w:tbl>
      <w:tblPr>
        <w:tblLayout w:type="fixed"/>
        <w:tblInd w:w="1280" w:type="dxa"/>
        <w:tblCellMar>
          <w:top w:w="0" w:type="dxa"/>
          <w:left w:w="0" w:type="dxa"/>
          <w:bottom w:w="0" w:type="dxa"/>
          <w:right w:w="0" w:type="dxa"/>
        </w:tblCellMar>
      </w:tblPr>
      <w:tr>
        <w:trPr>
          <w:trHeight w:val="266"/>
        </w:trPr>
        <w:tc>
          <w:tcPr>
            <w:tcW w:w="304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6"/>
              </w:rPr>
              <w:t>Washington</w:t>
            </w: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000-22418</w:t>
            </w: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40" w:type="dxa"/>
            <w:vAlign w:val="bottom"/>
          </w:tcPr>
          <w:p>
            <w:pPr>
              <w:jc w:val="center"/>
              <w:ind w:right="401"/>
              <w:spacing w:after="0"/>
              <w:rPr>
                <w:sz w:val="20"/>
                <w:szCs w:val="20"/>
                <w:color w:val="auto"/>
              </w:rPr>
            </w:pPr>
            <w:r>
              <w:rPr>
                <w:rFonts w:ascii="Times New Roman" w:cs="Times New Roman" w:eastAsia="Times New Roman" w:hAnsi="Times New Roman"/>
                <w:sz w:val="20"/>
                <w:szCs w:val="20"/>
                <w:b w:val="1"/>
                <w:bCs w:val="1"/>
                <w:color w:val="auto"/>
                <w:w w:val="97"/>
              </w:rPr>
              <w:t>91-1011792</w:t>
            </w:r>
          </w:p>
        </w:tc>
      </w:tr>
      <w:tr>
        <w:trPr>
          <w:trHeight w:val="190"/>
        </w:trPr>
        <w:tc>
          <w:tcPr>
            <w:tcW w:w="2800" w:type="dxa"/>
            <w:vAlign w:val="bottom"/>
            <w:tcBorders>
              <w:top w:val="single" w:sz="8" w:color="auto"/>
            </w:tcBorders>
          </w:tcPr>
          <w:p>
            <w:pPr>
              <w:jc w:val="center"/>
              <w:spacing w:after="0" w:line="190" w:lineRule="exact"/>
              <w:rPr>
                <w:sz w:val="20"/>
                <w:szCs w:val="20"/>
                <w:color w:val="auto"/>
              </w:rPr>
            </w:pPr>
            <w:r>
              <w:rPr>
                <w:rFonts w:ascii="Times New Roman" w:cs="Times New Roman" w:eastAsia="Times New Roman" w:hAnsi="Times New Roman"/>
                <w:sz w:val="20"/>
                <w:szCs w:val="20"/>
                <w:color w:val="auto"/>
                <w:w w:val="98"/>
              </w:rPr>
              <w:t>(State or other jurisdiction</w:t>
            </w:r>
          </w:p>
        </w:tc>
        <w:tc>
          <w:tcPr>
            <w:tcW w:w="240" w:type="dxa"/>
            <w:vAlign w:val="bottom"/>
          </w:tcPr>
          <w:p>
            <w:pPr>
              <w:spacing w:after="0"/>
              <w:rPr>
                <w:sz w:val="16"/>
                <w:szCs w:val="16"/>
                <w:color w:val="auto"/>
              </w:rPr>
            </w:pPr>
          </w:p>
        </w:tc>
        <w:tc>
          <w:tcPr>
            <w:tcW w:w="2680" w:type="dxa"/>
            <w:vAlign w:val="bottom"/>
            <w:tcBorders>
              <w:top w:val="single" w:sz="8" w:color="auto"/>
            </w:tcBorders>
          </w:tcPr>
          <w:p>
            <w:pPr>
              <w:jc w:val="center"/>
              <w:spacing w:after="0" w:line="190" w:lineRule="exact"/>
              <w:rPr>
                <w:sz w:val="20"/>
                <w:szCs w:val="20"/>
                <w:color w:val="auto"/>
              </w:rPr>
            </w:pPr>
            <w:r>
              <w:rPr>
                <w:rFonts w:ascii="Times New Roman" w:cs="Times New Roman" w:eastAsia="Times New Roman" w:hAnsi="Times New Roman"/>
                <w:sz w:val="20"/>
                <w:szCs w:val="20"/>
                <w:color w:val="auto"/>
                <w:w w:val="98"/>
              </w:rPr>
              <w:t>(Commission</w:t>
            </w:r>
          </w:p>
        </w:tc>
        <w:tc>
          <w:tcPr>
            <w:tcW w:w="24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jc w:val="center"/>
              <w:ind w:right="421"/>
              <w:spacing w:after="0" w:line="190" w:lineRule="exact"/>
              <w:rPr>
                <w:sz w:val="20"/>
                <w:szCs w:val="20"/>
                <w:color w:val="auto"/>
              </w:rPr>
            </w:pPr>
            <w:r>
              <w:rPr>
                <w:rFonts w:ascii="Times New Roman" w:cs="Times New Roman" w:eastAsia="Times New Roman" w:hAnsi="Times New Roman"/>
                <w:sz w:val="20"/>
                <w:szCs w:val="20"/>
                <w:color w:val="auto"/>
                <w:w w:val="98"/>
              </w:rPr>
              <w:t>(IRS Employer</w:t>
            </w:r>
          </w:p>
        </w:tc>
      </w:tr>
      <w:tr>
        <w:trPr>
          <w:trHeight w:val="258"/>
        </w:trPr>
        <w:tc>
          <w:tcPr>
            <w:tcW w:w="304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9"/>
              </w:rPr>
              <w:t>of incorporation)</w:t>
            </w:r>
          </w:p>
        </w:tc>
        <w:tc>
          <w:tcPr>
            <w:tcW w:w="292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9"/>
              </w:rPr>
              <w:t>File Number)</w:t>
            </w:r>
          </w:p>
        </w:tc>
        <w:tc>
          <w:tcPr>
            <w:tcW w:w="500" w:type="dxa"/>
            <w:vAlign w:val="bottom"/>
          </w:tcPr>
          <w:p>
            <w:pPr>
              <w:spacing w:after="0"/>
              <w:rPr>
                <w:sz w:val="22"/>
                <w:szCs w:val="22"/>
                <w:color w:val="auto"/>
              </w:rPr>
            </w:pPr>
          </w:p>
        </w:tc>
        <w:tc>
          <w:tcPr>
            <w:tcW w:w="2240" w:type="dxa"/>
            <w:vAlign w:val="bottom"/>
          </w:tcPr>
          <w:p>
            <w:pPr>
              <w:jc w:val="center"/>
              <w:ind w:right="401"/>
              <w:spacing w:after="0"/>
              <w:rPr>
                <w:sz w:val="20"/>
                <w:szCs w:val="20"/>
                <w:color w:val="auto"/>
              </w:rPr>
            </w:pPr>
            <w:r>
              <w:rPr>
                <w:rFonts w:ascii="Times New Roman" w:cs="Times New Roman" w:eastAsia="Times New Roman" w:hAnsi="Times New Roman"/>
                <w:sz w:val="20"/>
                <w:szCs w:val="20"/>
                <w:color w:val="auto"/>
                <w:w w:val="98"/>
              </w:rPr>
              <w:t>Identification No.)</w:t>
            </w:r>
          </w:p>
        </w:tc>
      </w:tr>
      <w:tr>
        <w:trPr>
          <w:trHeight w:val="364"/>
        </w:trPr>
        <w:tc>
          <w:tcPr>
            <w:tcW w:w="3040" w:type="dxa"/>
            <w:vAlign w:val="bottom"/>
            <w:gridSpan w:val="2"/>
          </w:tcPr>
          <w:p>
            <w:pPr>
              <w:ind w:left="1220"/>
              <w:spacing w:after="0"/>
              <w:rPr>
                <w:sz w:val="20"/>
                <w:szCs w:val="20"/>
                <w:color w:val="auto"/>
              </w:rPr>
            </w:pPr>
            <w:r>
              <w:rPr>
                <w:rFonts w:ascii="Times New Roman" w:cs="Times New Roman" w:eastAsia="Times New Roman" w:hAnsi="Times New Roman"/>
                <w:sz w:val="20"/>
                <w:szCs w:val="20"/>
                <w:b w:val="1"/>
                <w:bCs w:val="1"/>
                <w:color w:val="auto"/>
              </w:rPr>
              <w:t>2111 N. Molter Road</w:t>
            </w:r>
          </w:p>
        </w:tc>
        <w:tc>
          <w:tcPr>
            <w:tcW w:w="2920" w:type="dxa"/>
            <w:vAlign w:val="bottom"/>
            <w:gridSpan w:val="2"/>
          </w:tcPr>
          <w:p>
            <w:pPr>
              <w:ind w:left="1100"/>
              <w:spacing w:after="0"/>
              <w:rPr>
                <w:sz w:val="20"/>
                <w:szCs w:val="20"/>
                <w:color w:val="auto"/>
              </w:rPr>
            </w:pPr>
            <w:r>
              <w:rPr>
                <w:rFonts w:ascii="Times New Roman" w:cs="Times New Roman" w:eastAsia="Times New Roman" w:hAnsi="Times New Roman"/>
                <w:sz w:val="20"/>
                <w:szCs w:val="20"/>
                <w:b w:val="1"/>
                <w:bCs w:val="1"/>
                <w:color w:val="auto"/>
              </w:rPr>
              <w:t>Liberty Lake,</w:t>
            </w:r>
          </w:p>
        </w:tc>
        <w:tc>
          <w:tcPr>
            <w:tcW w:w="5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WA</w:t>
            </w:r>
          </w:p>
        </w:tc>
        <w:tc>
          <w:tcPr>
            <w:tcW w:w="2240" w:type="dxa"/>
            <w:vAlign w:val="bottom"/>
          </w:tcPr>
          <w:p>
            <w:pPr>
              <w:jc w:val="right"/>
              <w:ind w:right="841"/>
              <w:spacing w:after="0"/>
              <w:rPr>
                <w:sz w:val="20"/>
                <w:szCs w:val="20"/>
                <w:color w:val="auto"/>
              </w:rPr>
            </w:pPr>
            <w:r>
              <w:rPr>
                <w:rFonts w:ascii="Times New Roman" w:cs="Times New Roman" w:eastAsia="Times New Roman" w:hAnsi="Times New Roman"/>
                <w:sz w:val="20"/>
                <w:szCs w:val="20"/>
                <w:b w:val="1"/>
                <w:bCs w:val="1"/>
                <w:color w:val="auto"/>
              </w:rPr>
              <w:t>99019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1059180</wp:posOffset>
            </wp:positionH>
            <wp:positionV relativeFrom="paragraph">
              <wp:posOffset>5080</wp:posOffset>
            </wp:positionV>
            <wp:extent cx="50234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23485" cy="8890"/>
                    </a:xfrm>
                    <a:prstGeom prst="rect">
                      <a:avLst/>
                    </a:prstGeom>
                    <a:noFill/>
                  </pic:spPr>
                </pic:pic>
              </a:graphicData>
            </a:graphic>
          </wp:anchor>
        </w:drawing>
      </w:r>
    </w:p>
    <w:p>
      <w:pPr>
        <w:ind w:left="3640"/>
        <w:spacing w:after="0"/>
        <w:rPr>
          <w:sz w:val="20"/>
          <w:szCs w:val="20"/>
          <w:color w:val="auto"/>
        </w:rPr>
      </w:pPr>
      <w:r>
        <w:rPr>
          <w:rFonts w:ascii="Times New Roman" w:cs="Times New Roman" w:eastAsia="Times New Roman" w:hAnsi="Times New Roman"/>
          <w:sz w:val="20"/>
          <w:szCs w:val="20"/>
          <w:color w:val="auto"/>
        </w:rPr>
        <w:t>(Address of principal executive offices, Zip Code)</w:t>
      </w:r>
    </w:p>
    <w:p>
      <w:pPr>
        <w:spacing w:after="0" w:line="144"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20"/>
          <w:szCs w:val="20"/>
          <w:b w:val="1"/>
          <w:bCs w:val="1"/>
          <w:color w:val="auto"/>
        </w:rPr>
        <w:t>(509) 924-9900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1059180</wp:posOffset>
            </wp:positionH>
            <wp:positionV relativeFrom="paragraph">
              <wp:posOffset>25400</wp:posOffset>
            </wp:positionV>
            <wp:extent cx="50234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1016635</wp:posOffset>
            </wp:positionH>
            <wp:positionV relativeFrom="paragraph">
              <wp:posOffset>185420</wp:posOffset>
            </wp:positionV>
            <wp:extent cx="5117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17465" cy="825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351"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Written communications pursuant to Rule 425 under Securities Act (17 CFR 230.425)</w:t>
      </w:r>
    </w:p>
    <w:p>
      <w:pPr>
        <w:spacing w:after="0" w:line="35"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Soliciting material pursuant to Rule 14a-12 under the Exchange Act (17 CFR 240.14a-12)</w:t>
      </w: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spacing w:after="0" w:line="13"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54" w:lineRule="exact"/>
        <w:rPr>
          <w:sz w:val="24"/>
          <w:szCs w:val="24"/>
          <w:color w:val="auto"/>
        </w:rPr>
      </w:pPr>
    </w:p>
    <w:tbl>
      <w:tblPr>
        <w:tblLayout w:type="fixed"/>
        <w:tblInd w:w="260" w:type="dxa"/>
        <w:tblCellMar>
          <w:top w:w="0" w:type="dxa"/>
          <w:left w:w="0" w:type="dxa"/>
          <w:bottom w:w="0" w:type="dxa"/>
          <w:right w:w="0" w:type="dxa"/>
        </w:tblCellMar>
      </w:tblPr>
      <w:tr>
        <w:trPr>
          <w:trHeight w:val="238"/>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100" w:type="dxa"/>
            <w:vAlign w:val="bottom"/>
          </w:tcPr>
          <w:p>
            <w:pPr>
              <w:spacing w:after="0"/>
              <w:rPr>
                <w:sz w:val="19"/>
                <w:szCs w:val="19"/>
                <w:color w:val="auto"/>
              </w:rPr>
            </w:pPr>
          </w:p>
        </w:tc>
        <w:tc>
          <w:tcPr>
            <w:tcW w:w="2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ITRI</w:t>
            </w:r>
          </w:p>
        </w:tc>
        <w:tc>
          <w:tcPr>
            <w:tcW w:w="100" w:type="dxa"/>
            <w:vAlign w:val="bottom"/>
          </w:tcPr>
          <w:p>
            <w:pPr>
              <w:spacing w:after="0"/>
              <w:rPr>
                <w:sz w:val="19"/>
                <w:szCs w:val="19"/>
                <w:color w:val="auto"/>
              </w:rPr>
            </w:pPr>
          </w:p>
        </w:tc>
        <w:tc>
          <w:tcPr>
            <w:tcW w:w="4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10"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 xml:space="preserve">Emerging growth company </w:t>
      </w:r>
      <w:r>
        <w:rPr>
          <w:rFonts w:ascii="MS PGothic" w:cs="MS PGothic" w:eastAsia="MS PGothic" w:hAnsi="MS PGothic"/>
          <w:sz w:val="20"/>
          <w:szCs w:val="20"/>
          <w:color w:val="auto"/>
        </w:rPr>
        <w:t>☐</w:t>
      </w:r>
    </w:p>
    <w:p>
      <w:pPr>
        <w:spacing w:after="0" w:line="153" w:lineRule="exact"/>
        <w:rPr>
          <w:sz w:val="24"/>
          <w:szCs w:val="24"/>
          <w:color w:val="auto"/>
        </w:rPr>
      </w:pPr>
    </w:p>
    <w:p>
      <w:pPr>
        <w:jc w:val="both"/>
        <w:spacing w:after="0" w:line="266" w:lineRule="exact"/>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5.07</w:t>
      </w:r>
      <w:r>
        <w:rPr>
          <w:sz w:val="20"/>
          <w:szCs w:val="20"/>
          <w:color w:val="auto"/>
        </w:rPr>
        <w:tab/>
      </w:r>
      <w:r>
        <w:rPr>
          <w:rFonts w:ascii="Times New Roman" w:cs="Times New Roman" w:eastAsia="Times New Roman" w:hAnsi="Times New Roman"/>
          <w:sz w:val="19"/>
          <w:szCs w:val="19"/>
          <w:b w:val="1"/>
          <w:bCs w:val="1"/>
          <w:color w:val="auto"/>
        </w:rPr>
        <w:t>Submission of Matters to a Vote of Security Holders.</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Itron, Inc. (the Company) held its 2026 Annual Meeting of Shareholders (the Annual Meeting) on May 7, 2026. Three proposals were voted upon at the Annual Meeting. The proposals are described in detail in the Company's proxy statement filed with the Securities and Exchange Commission on March 23, 2026. Each of the proposals passed. The final results for the votes regarding each proposal are set forth below.</w:t>
      </w:r>
    </w:p>
    <w:p>
      <w:pPr>
        <w:spacing w:after="0" w:line="195"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0"/>
          <w:szCs w:val="20"/>
          <w:color w:val="auto"/>
        </w:rPr>
        <w:t>Proposal One:</w:t>
      </w:r>
      <w:r>
        <w:rPr>
          <w:sz w:val="20"/>
          <w:szCs w:val="20"/>
          <w:color w:val="auto"/>
        </w:rPr>
        <w:tab/>
      </w:r>
      <w:r>
        <w:rPr>
          <w:rFonts w:ascii="Times New Roman" w:cs="Times New Roman" w:eastAsia="Times New Roman" w:hAnsi="Times New Roman"/>
          <w:sz w:val="19"/>
          <w:szCs w:val="19"/>
          <w:color w:val="auto"/>
        </w:rPr>
        <w:t>The following nominees for Director were elected until their successors are duly elected and qualified: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2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2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1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D. Drury</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37,279,376</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1,351,972</w:t>
            </w:r>
          </w:p>
        </w:tc>
        <w:tc>
          <w:tcPr>
            <w:tcW w:w="8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130,979</w:t>
            </w:r>
          </w:p>
        </w:tc>
        <w:tc>
          <w:tcPr>
            <w:tcW w:w="1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2,027,307</w:t>
            </w:r>
          </w:p>
        </w:tc>
      </w:tr>
      <w:tr>
        <w:trPr>
          <w:trHeight w:val="229"/>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Sheri L. Savage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38,588,613</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161,669</w:t>
            </w:r>
          </w:p>
        </w:tc>
        <w:tc>
          <w:tcPr>
            <w:tcW w:w="8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12,045</w:t>
            </w:r>
          </w:p>
        </w:tc>
        <w:tc>
          <w:tcPr>
            <w:tcW w:w="10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2,027,307</w:t>
            </w:r>
          </w:p>
        </w:tc>
      </w:tr>
      <w:tr>
        <w:trPr>
          <w:trHeight w:val="229"/>
        </w:trPr>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Frank M. Jaehnert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32,317,403</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6,311,124</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133,800</w:t>
            </w: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2,027,307</w:t>
            </w:r>
          </w:p>
        </w:tc>
      </w:tr>
      <w:tr>
        <w:trPr>
          <w:trHeight w:val="230"/>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Jerome J. Lande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37,192,890</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1,557,229</w:t>
            </w:r>
          </w:p>
        </w:tc>
        <w:tc>
          <w:tcPr>
            <w:tcW w:w="8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12,208</w:t>
            </w:r>
          </w:p>
        </w:tc>
        <w:tc>
          <w:tcPr>
            <w:tcW w:w="10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2,027,307</w:t>
            </w:r>
          </w:p>
        </w:tc>
      </w:tr>
      <w:tr>
        <w:trPr>
          <w:trHeight w:val="229"/>
        </w:trPr>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Sanjay Mirchandani</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37,394,908</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1,355,370</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2,027,307</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Scott D. Drury and Sheri L. Savage were elected to hold office in Class 3 for a term of two years until the Company’s 2028 Annual Meeting.</w:t>
      </w:r>
    </w:p>
    <w:p>
      <w:pPr>
        <w:spacing w:after="0" w:line="25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Frank M. Jaehnert, Jerome J. Lande, and Sanjay Mirchandani were elected to hold office in Class 1 for a term of three years until the Company's 2029 Annual Meeting.</w:t>
      </w:r>
    </w:p>
    <w:p>
      <w:pPr>
        <w:spacing w:after="0" w:line="17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All independent Directors, except for the Board Chair, serve on at least one committee. For further information regarding the composition of such committees, refer to Itron's investor relations website, at https://na.itron.com/leadership.</w:t>
      </w:r>
    </w:p>
    <w:p>
      <w:pPr>
        <w:spacing w:after="0" w:line="18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0"/>
          <w:szCs w:val="20"/>
          <w:color w:val="auto"/>
        </w:rPr>
        <w:t>Proposal Two:</w:t>
      </w:r>
      <w:r>
        <w:rPr>
          <w:sz w:val="20"/>
          <w:szCs w:val="20"/>
          <w:color w:val="auto"/>
        </w:rPr>
        <w:tab/>
      </w:r>
      <w:r>
        <w:rPr>
          <w:rFonts w:ascii="Times New Roman" w:cs="Times New Roman" w:eastAsia="Times New Roman" w:hAnsi="Times New Roman"/>
          <w:sz w:val="19"/>
          <w:szCs w:val="19"/>
          <w:color w:val="auto"/>
        </w:rPr>
        <w:t>Approval of the advisory (non-binding) resolution relating to executive compensation.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4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4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7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2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34,659,055</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3,985,830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117,442</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2,027,307</w:t>
            </w:r>
          </w:p>
        </w:tc>
      </w:tr>
    </w:tbl>
    <w:p>
      <w:pPr>
        <w:spacing w:after="0" w:line="315" w:lineRule="exact"/>
        <w:rPr>
          <w:sz w:val="20"/>
          <w:szCs w:val="20"/>
          <w:color w:val="auto"/>
        </w:rPr>
      </w:pPr>
    </w:p>
    <w:p>
      <w:pPr>
        <w:jc w:val="both"/>
        <w:ind w:left="1300" w:hanging="1295"/>
        <w:spacing w:after="0" w:line="267" w:lineRule="auto"/>
        <w:tabs>
          <w:tab w:leader="none" w:pos="1280" w:val="left"/>
        </w:tabs>
        <w:rPr>
          <w:sz w:val="20"/>
          <w:szCs w:val="20"/>
          <w:color w:val="auto"/>
        </w:rPr>
      </w:pPr>
      <w:r>
        <w:rPr>
          <w:rFonts w:ascii="Times New Roman" w:cs="Times New Roman" w:eastAsia="Times New Roman" w:hAnsi="Times New Roman"/>
          <w:sz w:val="20"/>
          <w:szCs w:val="20"/>
          <w:color w:val="auto"/>
        </w:rPr>
        <w:t>Proposal Three:</w:t>
        <w:tab/>
        <w:t>Ratification of the appointment of Deloitte &amp; Touche LLP as the Company's independent registered public accounting firm for the 2026 fiscal year.</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76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72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23"/>
        </w:trPr>
        <w:tc>
          <w:tcPr>
            <w:tcW w:w="3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39,470,297</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1,303,815</w:t>
            </w:r>
          </w:p>
        </w:tc>
        <w:tc>
          <w:tcPr>
            <w:tcW w:w="80" w:type="dxa"/>
            <w:vAlign w:val="bottom"/>
            <w:tcBorders>
              <w:top w:val="single" w:sz="8" w:color="CCEEFF"/>
            </w:tcBorders>
            <w:shd w:val="clear" w:color="auto" w:fill="CCEEFF"/>
          </w:tcPr>
          <w:p>
            <w:pPr>
              <w:spacing w:after="0"/>
              <w:rPr>
                <w:sz w:val="19"/>
                <w:szCs w:val="19"/>
                <w:color w:val="auto"/>
              </w:rPr>
            </w:pPr>
          </w:p>
        </w:tc>
        <w:tc>
          <w:tcPr>
            <w:tcW w:w="3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15,522</w:t>
            </w:r>
          </w:p>
        </w:tc>
        <w:tc>
          <w:tcPr>
            <w:tcW w:w="20" w:type="dxa"/>
            <w:vAlign w:val="bottom"/>
          </w:tcPr>
          <w:p>
            <w:pPr>
              <w:spacing w:after="0"/>
              <w:rPr>
                <w:sz w:val="19"/>
                <w:szCs w:val="19"/>
                <w:color w:val="auto"/>
              </w:rPr>
            </w:pPr>
          </w:p>
        </w:tc>
      </w:tr>
      <w:tr>
        <w:trPr>
          <w:trHeight w:val="979"/>
        </w:trPr>
        <w:tc>
          <w:tcPr>
            <w:tcW w:w="3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8.01</w:t>
      </w:r>
      <w:r>
        <w:rPr>
          <w:sz w:val="20"/>
          <w:szCs w:val="20"/>
          <w:color w:val="auto"/>
        </w:rPr>
        <w:tab/>
      </w:r>
      <w:r>
        <w:rPr>
          <w:rFonts w:ascii="Times New Roman" w:cs="Times New Roman" w:eastAsia="Times New Roman" w:hAnsi="Times New Roman"/>
          <w:sz w:val="19"/>
          <w:szCs w:val="19"/>
          <w:b w:val="1"/>
          <w:bCs w:val="1"/>
          <w:color w:val="auto"/>
        </w:rPr>
        <w:t>Other Events.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Approval of Share Repurchase Program</w:t>
      </w:r>
    </w:p>
    <w:p>
      <w:pPr>
        <w:spacing w:after="0" w:line="24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On May 6, 2026, the Company's Board of Directors authorized a new share repurchase program of up to $200 million of Itron's common stock over an 18-month period, effective May 8, 2026. Repurchases will be made in the open market and pursuant to the terms of any Rule 10b5-1 plans that Itron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531495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2" w:right="37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31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8"/>
        </w:trPr>
        <w:tc>
          <w:tcPr>
            <w:tcW w:w="4940" w:type="dxa"/>
            <w:vAlign w:val="bottom"/>
          </w:tcPr>
          <w:p>
            <w:pPr>
              <w:ind w:left="3680"/>
              <w:spacing w:after="0"/>
              <w:rPr>
                <w:sz w:val="20"/>
                <w:szCs w:val="20"/>
                <w:color w:val="auto"/>
              </w:rPr>
            </w:pPr>
            <w:r>
              <w:rPr>
                <w:rFonts w:ascii="Times New Roman" w:cs="Times New Roman" w:eastAsia="Times New Roman" w:hAnsi="Times New Roman"/>
                <w:sz w:val="20"/>
                <w:szCs w:val="20"/>
                <w:color w:val="auto"/>
              </w:rPr>
              <w:t>Itron, Inc.</w:t>
            </w:r>
          </w:p>
        </w:tc>
        <w:tc>
          <w:tcPr>
            <w:tcW w:w="6240" w:type="dxa"/>
            <w:vAlign w:val="bottom"/>
          </w:tcPr>
          <w:p>
            <w:pPr>
              <w:spacing w:after="0"/>
              <w:rPr>
                <w:sz w:val="22"/>
                <w:szCs w:val="22"/>
                <w:color w:val="auto"/>
              </w:rPr>
            </w:pPr>
          </w:p>
        </w:tc>
      </w:tr>
      <w:tr>
        <w:trPr>
          <w:trHeight w:val="487"/>
        </w:trPr>
        <w:tc>
          <w:tcPr>
            <w:tcW w:w="4940" w:type="dxa"/>
            <w:vAlign w:val="bottom"/>
          </w:tcPr>
          <w:p>
            <w:pPr>
              <w:ind w:left="3680"/>
              <w:spacing w:after="0"/>
              <w:rPr>
                <w:sz w:val="20"/>
                <w:szCs w:val="20"/>
                <w:color w:val="auto"/>
              </w:rPr>
            </w:pPr>
            <w:r>
              <w:rPr>
                <w:rFonts w:ascii="Times New Roman" w:cs="Times New Roman" w:eastAsia="Times New Roman" w:hAnsi="Times New Roman"/>
                <w:sz w:val="20"/>
                <w:szCs w:val="20"/>
                <w:color w:val="auto"/>
              </w:rPr>
              <w:t>By:</w:t>
            </w:r>
          </w:p>
        </w:tc>
        <w:tc>
          <w:tcPr>
            <w:tcW w:w="6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CHRISTOPHER E. WARE</w:t>
            </w:r>
          </w:p>
        </w:tc>
      </w:tr>
      <w:tr>
        <w:trPr>
          <w:trHeight w:val="247"/>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Dated: May 7, 2026</w:t>
            </w:r>
          </w:p>
        </w:tc>
        <w:tc>
          <w:tcPr>
            <w:tcW w:w="6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Christopher E. Ware</w:t>
            </w:r>
          </w:p>
        </w:tc>
      </w:tr>
      <w:tr>
        <w:trPr>
          <w:trHeight w:val="198"/>
        </w:trPr>
        <w:tc>
          <w:tcPr>
            <w:tcW w:w="4940" w:type="dxa"/>
            <w:vAlign w:val="bottom"/>
          </w:tcPr>
          <w:p>
            <w:pPr>
              <w:spacing w:after="0"/>
              <w:rPr>
                <w:sz w:val="17"/>
                <w:szCs w:val="17"/>
                <w:color w:val="auto"/>
              </w:rPr>
            </w:pPr>
          </w:p>
        </w:tc>
        <w:tc>
          <w:tcPr>
            <w:tcW w:w="6240" w:type="dxa"/>
            <w:vAlign w:val="bottom"/>
          </w:tcPr>
          <w:p>
            <w:pPr>
              <w:jc w:val="center"/>
              <w:spacing w:after="0" w:line="198" w:lineRule="exact"/>
              <w:rPr>
                <w:sz w:val="20"/>
                <w:szCs w:val="20"/>
                <w:color w:val="auto"/>
              </w:rPr>
            </w:pPr>
            <w:r>
              <w:rPr>
                <w:rFonts w:ascii="Times New Roman" w:cs="Times New Roman" w:eastAsia="Times New Roman" w:hAnsi="Times New Roman"/>
                <w:sz w:val="20"/>
                <w:szCs w:val="20"/>
                <w:color w:val="auto"/>
                <w:w w:val="98"/>
              </w:rPr>
              <w:t>Senior Vice President, General Counsel</w:t>
            </w:r>
          </w:p>
        </w:tc>
      </w:tr>
      <w:tr>
        <w:trPr>
          <w:trHeight w:val="258"/>
        </w:trPr>
        <w:tc>
          <w:tcPr>
            <w:tcW w:w="4940" w:type="dxa"/>
            <w:vAlign w:val="bottom"/>
          </w:tcPr>
          <w:p>
            <w:pPr>
              <w:spacing w:after="0"/>
              <w:rPr>
                <w:sz w:val="22"/>
                <w:szCs w:val="22"/>
                <w:color w:val="auto"/>
              </w:rPr>
            </w:pPr>
          </w:p>
        </w:tc>
        <w:tc>
          <w:tcPr>
            <w:tcW w:w="6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and Corporate Secretary</w:t>
            </w:r>
          </w:p>
        </w:tc>
      </w:tr>
    </w:tbl>
    <w:p>
      <w:pPr>
        <w:spacing w:after="0" w:line="1" w:lineRule="exact"/>
        <w:rPr>
          <w:sz w:val="20"/>
          <w:szCs w:val="20"/>
          <w:color w:val="auto"/>
        </w:rPr>
      </w:pPr>
    </w:p>
    <w:sectPr>
      <w:pgSz w:w="11900" w:h="16838" w:orient="portrait"/>
      <w:cols w:equalWidth="0" w:num="1">
        <w:col w:w="11240"/>
      </w:cols>
      <w:pgMar w:left="320" w:top="9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2026-05-08T05:13:56Z</dcterms:created>
  <dcterms:modified xsi:type="dcterms:W3CDTF">2026-05-08T05:13:56Z</dcterms:modified>
</cp:coreProperties>
</file>