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280"/>
        <w:spacing w:after="0" w:line="308" w:lineRule="auto"/>
        <w:rPr>
          <w:sz w:val="20"/>
          <w:szCs w:val="20"/>
          <w:color w:val="auto"/>
        </w:rPr>
      </w:pPr>
      <w:r>
        <w:rPr>
          <w:rFonts w:ascii="Arial" w:cs="Arial" w:eastAsia="Arial" w:hAnsi="Arial"/>
          <w:sz w:val="17"/>
          <w:szCs w:val="17"/>
          <w:color w:val="auto"/>
        </w:rPr>
        <w:t>On May 3, 2017, Itron, Inc. (the “Company”) issued a press release announcing its financial results for the three months and quarter ended March 31, 2017. A copy of this press release and accompanying financial statements are attached as Exhibit 99.1.</w:t>
      </w:r>
    </w:p>
    <w:p>
      <w:pPr>
        <w:spacing w:after="0" w:line="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60"/>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3, 2017.*</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 This exhibit is intended to be furnished and shall not be deemed "filed" for purposes of the Exchange Act.</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2016 and other reports on file with the Securities and Exchange Commission. The Company undertakes no obligation to update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ITRON, INC.</w:t>
            </w:r>
          </w:p>
        </w:tc>
        <w:tc>
          <w:tcPr>
            <w:tcW w:w="2280" w:type="dxa"/>
            <w:vAlign w:val="bottom"/>
          </w:tcPr>
          <w:p>
            <w:pPr>
              <w:spacing w:after="0"/>
              <w:rPr>
                <w:sz w:val="20"/>
                <w:szCs w:val="20"/>
                <w:color w:val="auto"/>
              </w:rPr>
            </w:pPr>
          </w:p>
        </w:tc>
      </w:tr>
      <w:tr>
        <w:trPr>
          <w:trHeight w:val="736"/>
        </w:trPr>
        <w:tc>
          <w:tcPr>
            <w:tcW w:w="2760" w:type="dxa"/>
            <w:vAlign w:val="bottom"/>
          </w:tcPr>
          <w:p>
            <w:pPr>
              <w:spacing w:after="0"/>
              <w:rPr>
                <w:sz w:val="20"/>
                <w:szCs w:val="20"/>
                <w:color w:val="auto"/>
              </w:rPr>
            </w:pPr>
            <w:r>
              <w:rPr>
                <w:rFonts w:ascii="Arial" w:cs="Arial" w:eastAsia="Arial" w:hAnsi="Arial"/>
                <w:sz w:val="18"/>
                <w:szCs w:val="18"/>
                <w:color w:val="auto"/>
              </w:rPr>
              <w:t>Dated: May 3, 2017</w:t>
            </w:r>
          </w:p>
        </w:tc>
        <w:tc>
          <w:tcPr>
            <w:tcW w:w="1700" w:type="dxa"/>
            <w:vAlign w:val="bottom"/>
          </w:tcPr>
          <w:p>
            <w:pPr>
              <w:ind w:left="1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Robert H.A. Farrow</w:t>
            </w:r>
          </w:p>
        </w:tc>
        <w:tc>
          <w:tcPr>
            <w:tcW w:w="2280" w:type="dxa"/>
            <w:vAlign w:val="bottom"/>
          </w:tcPr>
          <w:p>
            <w:pPr>
              <w:spacing w:after="0"/>
              <w:rPr>
                <w:sz w:val="24"/>
                <w:szCs w:val="24"/>
                <w:color w:val="auto"/>
              </w:rPr>
            </w:pPr>
          </w:p>
        </w:tc>
      </w:tr>
      <w:tr>
        <w:trPr>
          <w:trHeight w:val="230"/>
        </w:trPr>
        <w:tc>
          <w:tcPr>
            <w:tcW w:w="2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Robert H.A. Farrow</w:t>
            </w:r>
          </w:p>
        </w:tc>
        <w:tc>
          <w:tcPr>
            <w:tcW w:w="2280" w:type="dxa"/>
            <w:vAlign w:val="bottom"/>
          </w:tcPr>
          <w:p>
            <w:pPr>
              <w:spacing w:after="0"/>
              <w:rPr>
                <w:sz w:val="20"/>
                <w:szCs w:val="20"/>
                <w:color w:val="auto"/>
              </w:rPr>
            </w:pPr>
          </w:p>
        </w:tc>
      </w:tr>
      <w:tr>
        <w:trPr>
          <w:trHeight w:val="242"/>
        </w:trPr>
        <w:tc>
          <w:tcPr>
            <w:tcW w:w="2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Interim Chief Financial Officer</w:t>
            </w:r>
          </w:p>
        </w:tc>
        <w:tc>
          <w:tcPr>
            <w:tcW w:w="2280" w:type="dxa"/>
            <w:vAlign w:val="bottom"/>
          </w:tcPr>
          <w:p>
            <w:pPr>
              <w:spacing w:after="0"/>
              <w:rPr>
                <w:sz w:val="21"/>
                <w:szCs w:val="21"/>
                <w:color w:val="auto"/>
              </w:rPr>
            </w:pPr>
          </w:p>
        </w:tc>
      </w:tr>
      <w:tr>
        <w:trPr>
          <w:trHeight w:val="149"/>
        </w:trPr>
        <w:tc>
          <w:tcPr>
            <w:tcW w:w="27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468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r>
      <w:tr>
        <w:trPr>
          <w:trHeight w:val="21"/>
        </w:trPr>
        <w:tc>
          <w:tcPr>
            <w:tcW w:w="27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468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 This exhibit is intended to be furnished and shall not be deemed "filed" for purposes of the Exchange Act.</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First Quarter 2017 Financial Results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LIBERTY LAKE, Wash.--(BUSINESS WIRE)--May 3, 2017--Itron, Inc. (NASDAQ:ITRI) announced today financial results for its first quarter ended March 31, 2017. Key financial metrics for the quarter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Revenues of $478 million, compared with $498 million in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Gross margin of 32.9 percent, an increase of 10 basis points compared with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jc w:val="both"/>
        <w:ind w:left="540" w:right="780"/>
        <w:spacing w:after="0" w:line="459" w:lineRule="auto"/>
        <w:rPr>
          <w:sz w:val="20"/>
          <w:szCs w:val="20"/>
          <w:color w:val="auto"/>
        </w:rPr>
      </w:pPr>
      <w:r>
        <w:rPr>
          <w:rFonts w:ascii="Arial" w:cs="Arial" w:eastAsia="Arial" w:hAnsi="Arial"/>
          <w:sz w:val="19"/>
          <w:szCs w:val="19"/>
          <w:color w:val="auto"/>
        </w:rPr>
        <w:t>GAAP diluted earnings per share of 40 cents, an increase of 54 percent compared with the first quarter of 2016; and Non-GAAP diluted earnings per share of 57 cents, an increase of 30 percent compared with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-469265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60"/>
        <w:spacing w:after="0" w:line="279" w:lineRule="auto"/>
        <w:rPr>
          <w:sz w:val="20"/>
          <w:szCs w:val="20"/>
          <w:color w:val="auto"/>
        </w:rPr>
      </w:pPr>
      <w:r>
        <w:rPr>
          <w:rFonts w:ascii="Arial" w:cs="Arial" w:eastAsia="Arial" w:hAnsi="Arial"/>
          <w:sz w:val="19"/>
          <w:szCs w:val="19"/>
          <w:color w:val="auto"/>
        </w:rPr>
        <w:t>“Our first quarter results demonstrate a strong start to 2017,” said Philip Mezey, Itron’s president and chief executive officer. "We increased earnings and cash flow in the quarter through our focus on better predictability and greater profitability in our operations.</w:t>
      </w:r>
    </w:p>
    <w:p>
      <w:pPr>
        <w:spacing w:after="0" w:line="1" w:lineRule="exact"/>
        <w:rPr>
          <w:sz w:val="20"/>
          <w:szCs w:val="20"/>
          <w:color w:val="auto"/>
        </w:rPr>
      </w:pPr>
    </w:p>
    <w:p>
      <w:pPr>
        <w:jc w:val="both"/>
        <w:ind w:right="280"/>
        <w:spacing w:after="0" w:line="206" w:lineRule="auto"/>
        <w:rPr>
          <w:sz w:val="20"/>
          <w:szCs w:val="20"/>
          <w:color w:val="auto"/>
        </w:rPr>
      </w:pPr>
      <w:r>
        <w:rPr>
          <w:rFonts w:ascii="Arial" w:cs="Arial" w:eastAsia="Arial" w:hAnsi="Arial"/>
          <w:sz w:val="22"/>
          <w:szCs w:val="22"/>
          <w:color w:val="auto"/>
        </w:rPr>
        <w:t>Looking forward, investments in our OpenWay Riva</w:t>
      </w:r>
      <w:r>
        <w:rPr>
          <w:rFonts w:ascii="Arial" w:cs="Arial" w:eastAsia="Arial" w:hAnsi="Arial"/>
          <w:sz w:val="36"/>
          <w:szCs w:val="36"/>
          <w:color w:val="auto"/>
          <w:vertAlign w:val="superscript"/>
        </w:rPr>
        <w:t>™</w:t>
      </w:r>
      <w:r>
        <w:rPr>
          <w:rFonts w:ascii="Arial" w:cs="Arial" w:eastAsia="Arial" w:hAnsi="Arial"/>
          <w:sz w:val="22"/>
          <w:szCs w:val="22"/>
          <w:color w:val="auto"/>
        </w:rPr>
        <w:t xml:space="preserve"> IoT solution and differentiated software and services offerings, combined with our ongoing operational discipline, strongly position us to serve our customers and generate continued improvement in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First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Total revenue for the quarter decreased 4 percent to $478 million compared with $498 million in the first quarter of 2016. Changes in foreign currency exchange rates unfavorably impacted revenue by approximately $5 million for the quarter.</w:t>
      </w:r>
    </w:p>
    <w:p>
      <w:pPr>
        <w:spacing w:after="0" w:line="151"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Higher revenue in the Electricity segment was offset by decreased revenue in the Water and Gas segments. Electricity revenue increased 10 percent, driven by smart metering projects in North America and Asia-Pacific regions. Water segment revenue decreased 19 percent primarily due to the completion of several large contracts in Europe, the Middle East and Africa (EMEA) and North America regions that contributed substantial revenues in the first quarter of 2016. Gas revenue decreased 11 percent, also primarily driven by the timing of contracts in EMEA and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Gross Margin</w:t>
      </w:r>
    </w:p>
    <w:p>
      <w:pPr>
        <w:spacing w:after="0" w:line="20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Gross margin for the quarter improved to 32.9 percent compared with the prior year period margin of 32.8 percent. The improvement was driven by favorable product mix, primarily in the Gas segment. The Gas business achieved record gross margin of 41 percent in the quarter.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Expenses</w:t>
      </w:r>
    </w:p>
    <w:p>
      <w:pPr>
        <w:spacing w:after="0" w:line="206"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Operating expenses for the quarter were $127 million compared with $140 million in 2016. The decrease was driven primarily by lower general and administrative expenses resulting from higher fees incurred in 2016 related to a legal settlement and completion of our 2016 audit.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Income, Net Income and Earnings per Share</w:t>
      </w:r>
    </w:p>
    <w:p>
      <w:pPr>
        <w:spacing w:after="0" w:line="20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GAAP operating income was $30 million for the quarter compared with $24 million in 2016. Non-GAAP operating income also improved to $38 million for the quarter compared with $32 million in 2016.</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income for the quarter was $16 million, or 40 cents per diluted share, compared with net income of $10 million, or 26 cents per diluted share, in 2016. Non-GAAP net income for the quarter increased to $22 million, or 57 cents per diluted share, compared with $17 million, or 44 cents per diluted share, in 2016.</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increases in GAAP and non-GAAP operating income were driven by improved gross margin and lower operating expenses. GAAP and non-GAAP earnings per diluted share reflect the company's higher operating income in addition to lower effective tax rates.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640"/>
        <w:spacing w:after="0" w:line="238" w:lineRule="auto"/>
        <w:rPr>
          <w:sz w:val="20"/>
          <w:szCs w:val="20"/>
          <w:color w:val="auto"/>
        </w:rPr>
      </w:pPr>
      <w:r>
        <w:rPr>
          <w:rFonts w:ascii="Arial" w:cs="Arial" w:eastAsia="Arial" w:hAnsi="Arial"/>
          <w:sz w:val="22"/>
          <w:szCs w:val="22"/>
          <w:color w:val="auto"/>
        </w:rPr>
        <w:t>Net cash provided by operating activities was $63 million in the first quarter of 2017 compared with $34 million in the same quarter in 2016. Free cash flow was $54 million for the first quarter compared with $25 million in the prior year quarter. The increases in operating and free cash flow were driven by strong working capital management, offsetting higher variable compensation payments.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Bookings in the quarter totaled $424 million, an increase of 8 percent compared with bookings in the first quarter of 2016. Total backlog was $1.6 billion and 12-month backlog was $819 million at the end of the quarter, up 7 percent and 4 percent, respectively, compared with the first quarter of 2016.</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EDT on May 3, 2017.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May 8, 2017. To access the telephone replay, dial (888) 203-1112 (Domestic) or (719) 457-0820 (International) and enter passcode 9719829.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340"/>
        <w:spacing w:after="0" w:line="235" w:lineRule="auto"/>
        <w:rPr>
          <w:sz w:val="20"/>
          <w:szCs w:val="20"/>
          <w:color w:val="auto"/>
        </w:rPr>
      </w:pPr>
      <w:r>
        <w:rPr>
          <w:rFonts w:ascii="Arial" w:cs="Arial" w:eastAsia="Arial" w:hAnsi="Arial"/>
          <w:sz w:val="19"/>
          <w:szCs w:val="19"/>
          <w:color w:val="auto"/>
        </w:rPr>
        <w:t>Itron</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and OpenWay</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are registered trademarks of Itron, Inc. All third party trademarks are property of their respective owners and any usage herein does not suggest or imply any relationship between Itron and the third party unless expressly stated.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2016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1160" w:type="dxa"/>
            <w:vAlign w:val="bottom"/>
          </w:tcPr>
          <w:p>
            <w:pPr>
              <w:spacing w:after="0"/>
              <w:rPr>
                <w:sz w:val="15"/>
                <w:szCs w:val="15"/>
                <w:color w:val="auto"/>
              </w:rPr>
            </w:pPr>
          </w:p>
        </w:tc>
        <w:tc>
          <w:tcPr>
            <w:tcW w:w="234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94"/>
              </w:rPr>
              <w:t>Three Months Ended March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Revenues</w:t>
            </w:r>
          </w:p>
        </w:tc>
        <w:tc>
          <w:tcPr>
            <w:tcW w:w="116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477,592</w:t>
            </w:r>
          </w:p>
        </w:tc>
        <w:tc>
          <w:tcPr>
            <w:tcW w:w="138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497,590</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Cost of revenues</w:t>
            </w: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320,367</w:t>
            </w:r>
          </w:p>
        </w:tc>
        <w:tc>
          <w:tcPr>
            <w:tcW w:w="1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334,387</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Gross profit</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157,225</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163,203</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expenses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41,468</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40,767</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40,868</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45,346</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37,246</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45,069</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4,549</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Restructuring</w:t>
            </w: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3,052</w:t>
            </w:r>
          </w:p>
        </w:tc>
        <w:tc>
          <w:tcPr>
            <w:tcW w:w="1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127,183</w:t>
            </w:r>
          </w:p>
        </w:tc>
        <w:tc>
          <w:tcPr>
            <w:tcW w:w="1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139,629</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income</w:t>
            </w:r>
          </w:p>
        </w:tc>
        <w:tc>
          <w:tcPr>
            <w:tcW w:w="116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30,042</w:t>
            </w:r>
          </w:p>
        </w:tc>
        <w:tc>
          <w:tcPr>
            <w:tcW w:w="1380" w:type="dxa"/>
            <w:vAlign w:val="bottom"/>
          </w:tcPr>
          <w:p>
            <w:pPr>
              <w:spacing w:after="0"/>
              <w:rPr>
                <w:sz w:val="24"/>
                <w:szCs w:val="2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23,574</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Other income (expense)</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269</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160" w:type="dxa"/>
            <w:vAlign w:val="bottom"/>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(2,674)</w:t>
            </w:r>
          </w:p>
        </w:tc>
        <w:tc>
          <w:tcPr>
            <w:tcW w:w="138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(2,576)</w:t>
            </w:r>
          </w:p>
        </w:tc>
        <w:tc>
          <w:tcPr>
            <w:tcW w:w="1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other income (expense)</w:t>
            </w:r>
          </w:p>
        </w:tc>
        <w:tc>
          <w:tcPr>
            <w:tcW w:w="1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(4,981)</w:t>
            </w:r>
          </w:p>
        </w:tc>
        <w:tc>
          <w:tcPr>
            <w:tcW w:w="1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(4,164)</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16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25,061</w:t>
            </w:r>
          </w:p>
        </w:tc>
        <w:tc>
          <w:tcPr>
            <w:tcW w:w="1380" w:type="dxa"/>
            <w:vAlign w:val="bottom"/>
          </w:tcPr>
          <w:p>
            <w:pPr>
              <w:spacing w:after="0"/>
              <w:rPr>
                <w:sz w:val="24"/>
                <w:szCs w:val="2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19,410</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Income tax provision</w:t>
            </w: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(9,047)</w:t>
            </w:r>
          </w:p>
        </w:tc>
        <w:tc>
          <w:tcPr>
            <w:tcW w:w="1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(8,626)</w:t>
            </w: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Net income</w:t>
            </w:r>
          </w:p>
        </w:tc>
        <w:tc>
          <w:tcPr>
            <w:tcW w:w="116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16,014</w:t>
            </w:r>
          </w:p>
        </w:tc>
        <w:tc>
          <w:tcPr>
            <w:tcW w:w="138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10,784</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169</w:t>
            </w:r>
          </w:p>
        </w:tc>
        <w:tc>
          <w:tcPr>
            <w:tcW w:w="1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11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15,845</w:t>
            </w:r>
          </w:p>
        </w:tc>
        <w:tc>
          <w:tcPr>
            <w:tcW w:w="138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10,089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10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11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0.41</w:t>
            </w:r>
          </w:p>
        </w:tc>
        <w:tc>
          <w:tcPr>
            <w:tcW w:w="138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160" w:type="dxa"/>
            <w:vAlign w:val="bottom"/>
            <w:tcBorders>
              <w:bottom w:val="single" w:sz="8" w:color="auto"/>
            </w:tcBorders>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48"/>
              <w:spacing w:after="0" w:line="156" w:lineRule="exact"/>
              <w:rPr>
                <w:sz w:val="20"/>
                <w:szCs w:val="20"/>
                <w:color w:val="auto"/>
              </w:rPr>
            </w:pPr>
            <w:r>
              <w:rPr>
                <w:rFonts w:ascii="Arial" w:cs="Arial" w:eastAsia="Arial" w:hAnsi="Arial"/>
                <w:sz w:val="14"/>
                <w:szCs w:val="14"/>
                <w:color w:val="auto"/>
              </w:rPr>
              <w:t>0.40</w:t>
            </w:r>
          </w:p>
        </w:tc>
        <w:tc>
          <w:tcPr>
            <w:tcW w:w="1380" w:type="dxa"/>
            <w:vAlign w:val="bottom"/>
            <w:tcBorders>
              <w:bottom w:val="single" w:sz="8" w:color="auto"/>
            </w:tcBorders>
          </w:tcPr>
          <w:p>
            <w:pPr>
              <w:jc w:val="right"/>
              <w:ind w:right="968"/>
              <w:spacing w:after="0" w:line="15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116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38,474</w:t>
            </w:r>
          </w:p>
        </w:tc>
        <w:tc>
          <w:tcPr>
            <w:tcW w:w="1380" w:type="dxa"/>
            <w:vAlign w:val="bottom"/>
          </w:tcPr>
          <w:p>
            <w:pPr>
              <w:spacing w:after="0"/>
              <w:rPr>
                <w:sz w:val="24"/>
                <w:szCs w:val="2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38,059</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116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39,215</w:t>
            </w:r>
          </w:p>
        </w:tc>
        <w:tc>
          <w:tcPr>
            <w:tcW w:w="1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309"/>
        </w:trPr>
        <w:tc>
          <w:tcPr>
            <w:tcW w:w="7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vMerge w:val="continue"/>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Electricity</w:t>
            </w:r>
          </w:p>
        </w:tc>
        <w:tc>
          <w:tcPr>
            <w:tcW w:w="4220" w:type="dxa"/>
            <w:vAlign w:val="bottom"/>
            <w:gridSpan w:val="2"/>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238,751</w:t>
            </w:r>
          </w:p>
        </w:tc>
        <w:tc>
          <w:tcPr>
            <w:tcW w:w="11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217,295</w:t>
            </w: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Gas</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124,211</w:t>
            </w:r>
          </w:p>
        </w:tc>
        <w:tc>
          <w:tcPr>
            <w:tcW w:w="1120" w:type="dxa"/>
            <w:vAlign w:val="bottom"/>
          </w:tcPr>
          <w:p>
            <w:pPr>
              <w:spacing w:after="0"/>
              <w:rPr>
                <w:sz w:val="15"/>
                <w:szCs w:val="15"/>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139,256</w:t>
            </w:r>
          </w:p>
        </w:tc>
        <w:tc>
          <w:tcPr>
            <w:tcW w:w="0" w:type="dxa"/>
            <w:vAlign w:val="bottom"/>
          </w:tcPr>
          <w:p>
            <w:pPr>
              <w:spacing w:after="0"/>
              <w:rPr>
                <w:sz w:val="1"/>
                <w:szCs w:val="1"/>
                <w:color w:val="auto"/>
              </w:rPr>
            </w:pPr>
          </w:p>
        </w:tc>
      </w:tr>
      <w:tr>
        <w:trPr>
          <w:trHeight w:val="181"/>
        </w:trPr>
        <w:tc>
          <w:tcPr>
            <w:tcW w:w="3460" w:type="dxa"/>
            <w:vAlign w:val="bottom"/>
          </w:tcPr>
          <w:p>
            <w:pPr>
              <w:ind w:left="1060"/>
              <w:spacing w:after="0"/>
              <w:rPr>
                <w:sz w:val="20"/>
                <w:szCs w:val="20"/>
                <w:color w:val="auto"/>
              </w:rPr>
            </w:pPr>
            <w:r>
              <w:rPr>
                <w:rFonts w:ascii="Arial" w:cs="Arial" w:eastAsia="Arial" w:hAnsi="Arial"/>
                <w:sz w:val="14"/>
                <w:szCs w:val="14"/>
                <w:color w:val="auto"/>
              </w:rPr>
              <w:t>Water</w:t>
            </w: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114,630</w:t>
            </w: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141,039</w:t>
            </w:r>
          </w:p>
        </w:tc>
        <w:tc>
          <w:tcPr>
            <w:tcW w:w="0" w:type="dxa"/>
            <w:vAlign w:val="bottom"/>
          </w:tcPr>
          <w:p>
            <w:pPr>
              <w:spacing w:after="0"/>
              <w:rPr>
                <w:sz w:val="1"/>
                <w:szCs w:val="1"/>
                <w:color w:val="auto"/>
              </w:rPr>
            </w:pPr>
          </w:p>
        </w:tc>
      </w:tr>
      <w:tr>
        <w:trPr>
          <w:trHeight w:val="169"/>
        </w:trPr>
        <w:tc>
          <w:tcPr>
            <w:tcW w:w="3460" w:type="dxa"/>
            <w:vAlign w:val="bottom"/>
          </w:tcPr>
          <w:p>
            <w:pPr>
              <w:ind w:left="1520"/>
              <w:spacing w:after="0"/>
              <w:rPr>
                <w:sz w:val="20"/>
                <w:szCs w:val="20"/>
                <w:color w:val="auto"/>
              </w:rPr>
            </w:pPr>
            <w:r>
              <w:rPr>
                <w:rFonts w:ascii="Arial" w:cs="Arial" w:eastAsia="Arial" w:hAnsi="Arial"/>
                <w:sz w:val="14"/>
                <w:szCs w:val="14"/>
                <w:color w:val="auto"/>
              </w:rPr>
              <w:t>Total Company</w:t>
            </w:r>
          </w:p>
        </w:tc>
        <w:tc>
          <w:tcPr>
            <w:tcW w:w="2720" w:type="dxa"/>
            <w:vAlign w:val="bottom"/>
          </w:tcPr>
          <w:p>
            <w:pPr>
              <w:spacing w:after="0"/>
              <w:rPr>
                <w:sz w:val="14"/>
                <w:szCs w:val="14"/>
                <w:color w:val="auto"/>
              </w:rPr>
            </w:pPr>
          </w:p>
        </w:tc>
        <w:tc>
          <w:tcPr>
            <w:tcW w:w="150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477,592</w:t>
            </w:r>
          </w:p>
        </w:tc>
        <w:tc>
          <w:tcPr>
            <w:tcW w:w="11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497,590</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6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Electricity</w:t>
            </w:r>
          </w:p>
        </w:tc>
        <w:tc>
          <w:tcPr>
            <w:tcW w:w="4220" w:type="dxa"/>
            <w:vAlign w:val="bottom"/>
            <w:gridSpan w:val="2"/>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67,192</w:t>
            </w:r>
          </w:p>
        </w:tc>
        <w:tc>
          <w:tcPr>
            <w:tcW w:w="11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64,586</w:t>
            </w: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Gas</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50,504</w:t>
            </w:r>
          </w:p>
        </w:tc>
        <w:tc>
          <w:tcPr>
            <w:tcW w:w="1120" w:type="dxa"/>
            <w:vAlign w:val="bottom"/>
          </w:tcPr>
          <w:p>
            <w:pPr>
              <w:spacing w:after="0"/>
              <w:rPr>
                <w:sz w:val="15"/>
                <w:szCs w:val="15"/>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48,577</w:t>
            </w:r>
          </w:p>
        </w:tc>
        <w:tc>
          <w:tcPr>
            <w:tcW w:w="0" w:type="dxa"/>
            <w:vAlign w:val="bottom"/>
          </w:tcPr>
          <w:p>
            <w:pPr>
              <w:spacing w:after="0"/>
              <w:rPr>
                <w:sz w:val="1"/>
                <w:szCs w:val="1"/>
                <w:color w:val="auto"/>
              </w:rPr>
            </w:pPr>
          </w:p>
        </w:tc>
      </w:tr>
      <w:tr>
        <w:trPr>
          <w:trHeight w:val="181"/>
        </w:trPr>
        <w:tc>
          <w:tcPr>
            <w:tcW w:w="3460" w:type="dxa"/>
            <w:vAlign w:val="bottom"/>
          </w:tcPr>
          <w:p>
            <w:pPr>
              <w:ind w:left="1060"/>
              <w:spacing w:after="0"/>
              <w:rPr>
                <w:sz w:val="20"/>
                <w:szCs w:val="20"/>
                <w:color w:val="auto"/>
              </w:rPr>
            </w:pPr>
            <w:r>
              <w:rPr>
                <w:rFonts w:ascii="Arial" w:cs="Arial" w:eastAsia="Arial" w:hAnsi="Arial"/>
                <w:sz w:val="14"/>
                <w:szCs w:val="14"/>
                <w:color w:val="auto"/>
              </w:rPr>
              <w:t>Water</w:t>
            </w: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39,529</w:t>
            </w: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50,040</w:t>
            </w:r>
          </w:p>
        </w:tc>
        <w:tc>
          <w:tcPr>
            <w:tcW w:w="0" w:type="dxa"/>
            <w:vAlign w:val="bottom"/>
          </w:tcPr>
          <w:p>
            <w:pPr>
              <w:spacing w:after="0"/>
              <w:rPr>
                <w:sz w:val="1"/>
                <w:szCs w:val="1"/>
                <w:color w:val="auto"/>
              </w:rPr>
            </w:pPr>
          </w:p>
        </w:tc>
      </w:tr>
      <w:tr>
        <w:trPr>
          <w:trHeight w:val="169"/>
        </w:trPr>
        <w:tc>
          <w:tcPr>
            <w:tcW w:w="3460" w:type="dxa"/>
            <w:vAlign w:val="bottom"/>
          </w:tcPr>
          <w:p>
            <w:pPr>
              <w:ind w:left="1520"/>
              <w:spacing w:after="0"/>
              <w:rPr>
                <w:sz w:val="20"/>
                <w:szCs w:val="20"/>
                <w:color w:val="auto"/>
              </w:rPr>
            </w:pPr>
            <w:r>
              <w:rPr>
                <w:rFonts w:ascii="Arial" w:cs="Arial" w:eastAsia="Arial" w:hAnsi="Arial"/>
                <w:sz w:val="14"/>
                <w:szCs w:val="14"/>
                <w:color w:val="auto"/>
              </w:rPr>
              <w:t>Total Company</w:t>
            </w:r>
          </w:p>
        </w:tc>
        <w:tc>
          <w:tcPr>
            <w:tcW w:w="2720" w:type="dxa"/>
            <w:vAlign w:val="bottom"/>
          </w:tcPr>
          <w:p>
            <w:pPr>
              <w:spacing w:after="0"/>
              <w:rPr>
                <w:sz w:val="14"/>
                <w:szCs w:val="14"/>
                <w:color w:val="auto"/>
              </w:rPr>
            </w:pPr>
          </w:p>
        </w:tc>
        <w:tc>
          <w:tcPr>
            <w:tcW w:w="150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157,225</w:t>
            </w:r>
          </w:p>
        </w:tc>
        <w:tc>
          <w:tcPr>
            <w:tcW w:w="11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163,203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6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Electricity</w:t>
            </w:r>
          </w:p>
        </w:tc>
        <w:tc>
          <w:tcPr>
            <w:tcW w:w="4220" w:type="dxa"/>
            <w:vAlign w:val="bottom"/>
            <w:gridSpan w:val="2"/>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16,862</w:t>
            </w:r>
          </w:p>
        </w:tc>
        <w:tc>
          <w:tcPr>
            <w:tcW w:w="11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10,632</w:t>
            </w: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Gas</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21,256</w:t>
            </w:r>
          </w:p>
        </w:tc>
        <w:tc>
          <w:tcPr>
            <w:tcW w:w="1120" w:type="dxa"/>
            <w:vAlign w:val="bottom"/>
          </w:tcPr>
          <w:p>
            <w:pPr>
              <w:spacing w:after="0"/>
              <w:rPr>
                <w:sz w:val="15"/>
                <w:szCs w:val="15"/>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16,299</w:t>
            </w: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Water</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8,735</w:t>
            </w:r>
          </w:p>
        </w:tc>
        <w:tc>
          <w:tcPr>
            <w:tcW w:w="1120" w:type="dxa"/>
            <w:vAlign w:val="bottom"/>
          </w:tcPr>
          <w:p>
            <w:pPr>
              <w:spacing w:after="0"/>
              <w:rPr>
                <w:sz w:val="15"/>
                <w:szCs w:val="15"/>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18,076</w:t>
            </w:r>
          </w:p>
        </w:tc>
        <w:tc>
          <w:tcPr>
            <w:tcW w:w="0" w:type="dxa"/>
            <w:vAlign w:val="bottom"/>
          </w:tcPr>
          <w:p>
            <w:pPr>
              <w:spacing w:after="0"/>
              <w:rPr>
                <w:sz w:val="1"/>
                <w:szCs w:val="1"/>
                <w:color w:val="auto"/>
              </w:rPr>
            </w:pPr>
          </w:p>
        </w:tc>
      </w:tr>
      <w:tr>
        <w:trPr>
          <w:trHeight w:val="181"/>
        </w:trPr>
        <w:tc>
          <w:tcPr>
            <w:tcW w:w="3460" w:type="dxa"/>
            <w:vAlign w:val="bottom"/>
          </w:tcPr>
          <w:p>
            <w:pPr>
              <w:ind w:left="1060"/>
              <w:spacing w:after="0"/>
              <w:rPr>
                <w:sz w:val="20"/>
                <w:szCs w:val="20"/>
                <w:color w:val="auto"/>
              </w:rPr>
            </w:pPr>
            <w:r>
              <w:rPr>
                <w:rFonts w:ascii="Arial" w:cs="Arial" w:eastAsia="Arial" w:hAnsi="Arial"/>
                <w:sz w:val="14"/>
                <w:szCs w:val="14"/>
                <w:color w:val="auto"/>
              </w:rPr>
              <w:t>Corporate unallocated</w:t>
            </w: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(16,811)</w:t>
            </w: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69"/>
        </w:trPr>
        <w:tc>
          <w:tcPr>
            <w:tcW w:w="3460" w:type="dxa"/>
            <w:vAlign w:val="bottom"/>
          </w:tcPr>
          <w:p>
            <w:pPr>
              <w:ind w:left="1520"/>
              <w:spacing w:after="0"/>
              <w:rPr>
                <w:sz w:val="20"/>
                <w:szCs w:val="20"/>
                <w:color w:val="auto"/>
              </w:rPr>
            </w:pPr>
            <w:r>
              <w:rPr>
                <w:rFonts w:ascii="Arial" w:cs="Arial" w:eastAsia="Arial" w:hAnsi="Arial"/>
                <w:sz w:val="14"/>
                <w:szCs w:val="14"/>
                <w:color w:val="auto"/>
              </w:rPr>
              <w:t>Total Company</w:t>
            </w:r>
          </w:p>
        </w:tc>
        <w:tc>
          <w:tcPr>
            <w:tcW w:w="2720" w:type="dxa"/>
            <w:vAlign w:val="bottom"/>
          </w:tcPr>
          <w:p>
            <w:pPr>
              <w:spacing w:after="0"/>
              <w:rPr>
                <w:sz w:val="14"/>
                <w:szCs w:val="14"/>
                <w:color w:val="auto"/>
              </w:rPr>
            </w:pPr>
          </w:p>
        </w:tc>
        <w:tc>
          <w:tcPr>
            <w:tcW w:w="150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30,042</w:t>
            </w:r>
          </w:p>
        </w:tc>
        <w:tc>
          <w:tcPr>
            <w:tcW w:w="11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23,574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460" w:type="dxa"/>
            <w:vAlign w:val="bottom"/>
          </w:tcPr>
          <w:p>
            <w:pPr>
              <w:spacing w:after="0"/>
              <w:rPr>
                <w:sz w:val="24"/>
                <w:szCs w:val="24"/>
                <w:color w:val="auto"/>
              </w:rPr>
            </w:pPr>
          </w:p>
        </w:tc>
        <w:tc>
          <w:tcPr>
            <w:tcW w:w="4220" w:type="dxa"/>
            <w:vAlign w:val="bottom"/>
            <w:gridSpan w:val="2"/>
          </w:tcPr>
          <w:p>
            <w:pPr>
              <w:jc w:val="right"/>
              <w:ind w:right="728"/>
              <w:spacing w:after="0"/>
              <w:rPr>
                <w:sz w:val="20"/>
                <w:szCs w:val="20"/>
                <w:color w:val="auto"/>
              </w:rPr>
            </w:pPr>
            <w:r>
              <w:rPr>
                <w:rFonts w:ascii="Arial" w:cs="Arial" w:eastAsia="Arial" w:hAnsi="Arial"/>
                <w:sz w:val="14"/>
                <w:szCs w:val="14"/>
                <w:b w:val="1"/>
                <w:bCs w:val="1"/>
                <w:color w:val="auto"/>
              </w:rPr>
              <w:t>METER AND MODULE SUMMARY</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tcPr>
          <w:p>
            <w:pPr>
              <w:spacing w:after="0"/>
              <w:rPr>
                <w:sz w:val="20"/>
                <w:szCs w:val="20"/>
                <w:color w:val="auto"/>
              </w:rPr>
            </w:pPr>
            <w:r>
              <w:rPr>
                <w:rFonts w:ascii="Arial" w:cs="Arial" w:eastAsia="Arial" w:hAnsi="Arial"/>
                <w:sz w:val="14"/>
                <w:szCs w:val="14"/>
                <w:color w:val="auto"/>
              </w:rPr>
              <w:t>(Units in thousands)</w:t>
            </w:r>
          </w:p>
        </w:tc>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vMerge w:val="continue"/>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346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060"/>
              <w:spacing w:after="0"/>
              <w:rPr>
                <w:sz w:val="20"/>
                <w:szCs w:val="20"/>
                <w:color w:val="auto"/>
              </w:rPr>
            </w:pPr>
            <w:r>
              <w:rPr>
                <w:rFonts w:ascii="Arial" w:cs="Arial" w:eastAsia="Arial" w:hAnsi="Arial"/>
                <w:sz w:val="14"/>
                <w:szCs w:val="14"/>
                <w:color w:val="auto"/>
              </w:rPr>
              <w:t>Standard</w:t>
            </w:r>
          </w:p>
        </w:tc>
        <w:tc>
          <w:tcPr>
            <w:tcW w:w="2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4,010</w:t>
            </w:r>
          </w:p>
        </w:tc>
        <w:tc>
          <w:tcPr>
            <w:tcW w:w="1120" w:type="dxa"/>
            <w:vAlign w:val="bottom"/>
          </w:tcPr>
          <w:p>
            <w:pPr>
              <w:spacing w:after="0"/>
              <w:rPr>
                <w:sz w:val="15"/>
                <w:szCs w:val="15"/>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4,370</w:t>
            </w:r>
          </w:p>
        </w:tc>
        <w:tc>
          <w:tcPr>
            <w:tcW w:w="0" w:type="dxa"/>
            <w:vAlign w:val="bottom"/>
          </w:tcPr>
          <w:p>
            <w:pPr>
              <w:spacing w:after="0"/>
              <w:rPr>
                <w:sz w:val="1"/>
                <w:szCs w:val="1"/>
                <w:color w:val="auto"/>
              </w:rPr>
            </w:pPr>
          </w:p>
        </w:tc>
      </w:tr>
      <w:tr>
        <w:trPr>
          <w:trHeight w:val="181"/>
        </w:trPr>
        <w:tc>
          <w:tcPr>
            <w:tcW w:w="3460" w:type="dxa"/>
            <w:vAlign w:val="bottom"/>
          </w:tcPr>
          <w:p>
            <w:pPr>
              <w:ind w:left="1060"/>
              <w:spacing w:after="0"/>
              <w:rPr>
                <w:sz w:val="20"/>
                <w:szCs w:val="20"/>
                <w:color w:val="auto"/>
              </w:rPr>
            </w:pPr>
            <w:r>
              <w:rPr>
                <w:rFonts w:ascii="Arial" w:cs="Arial" w:eastAsia="Arial" w:hAnsi="Arial"/>
                <w:sz w:val="14"/>
                <w:szCs w:val="14"/>
                <w:color w:val="auto"/>
              </w:rPr>
              <w:t>Smart</w:t>
            </w: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2,440</w:t>
            </w: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69"/>
        </w:trPr>
        <w:tc>
          <w:tcPr>
            <w:tcW w:w="3460" w:type="dxa"/>
            <w:vAlign w:val="bottom"/>
          </w:tcPr>
          <w:p>
            <w:pPr>
              <w:ind w:left="1520"/>
              <w:spacing w:after="0"/>
              <w:rPr>
                <w:sz w:val="20"/>
                <w:szCs w:val="20"/>
                <w:color w:val="auto"/>
              </w:rPr>
            </w:pPr>
            <w:r>
              <w:rPr>
                <w:rFonts w:ascii="Arial" w:cs="Arial" w:eastAsia="Arial" w:hAnsi="Arial"/>
                <w:sz w:val="14"/>
                <w:szCs w:val="14"/>
                <w:color w:val="auto"/>
              </w:rPr>
              <w:t>Total meters</w:t>
            </w:r>
          </w:p>
        </w:tc>
        <w:tc>
          <w:tcPr>
            <w:tcW w:w="27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6,450</w:t>
            </w: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6,560</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6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1060"/>
              <w:spacing w:after="0"/>
              <w:rPr>
                <w:sz w:val="20"/>
                <w:szCs w:val="20"/>
                <w:color w:val="auto"/>
              </w:rPr>
            </w:pPr>
            <w:r>
              <w:rPr>
                <w:rFonts w:ascii="Arial" w:cs="Arial" w:eastAsia="Arial" w:hAnsi="Arial"/>
                <w:sz w:val="14"/>
                <w:szCs w:val="14"/>
                <w:color w:val="auto"/>
              </w:rPr>
              <w:t>Smart</w:t>
            </w:r>
          </w:p>
        </w:tc>
        <w:tc>
          <w:tcPr>
            <w:tcW w:w="27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1,400</w:t>
            </w: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60" w:type="dxa"/>
            <w:vAlign w:val="bottom"/>
            <w:tcBorders>
              <w:bottom w:val="single" w:sz="8" w:color="EEEEEE"/>
            </w:tcBorders>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60" w:type="dxa"/>
            <w:vAlign w:val="bottom"/>
          </w:tcPr>
          <w:p>
            <w:pPr>
              <w:spacing w:after="0"/>
              <w:rPr>
                <w:sz w:val="15"/>
                <w:szCs w:val="15"/>
                <w:color w:val="auto"/>
              </w:rPr>
            </w:pPr>
          </w:p>
        </w:tc>
        <w:tc>
          <w:tcPr>
            <w:tcW w:w="190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March 31, 2017</w:t>
            </w:r>
          </w:p>
        </w:tc>
        <w:tc>
          <w:tcPr>
            <w:tcW w:w="600" w:type="dxa"/>
            <w:vAlign w:val="bottom"/>
          </w:tcPr>
          <w:p>
            <w:pPr>
              <w:spacing w:after="0"/>
              <w:rPr>
                <w:sz w:val="15"/>
                <w:szCs w:val="15"/>
                <w:color w:val="auto"/>
              </w:rPr>
            </w:pPr>
          </w:p>
        </w:tc>
        <w:tc>
          <w:tcPr>
            <w:tcW w:w="226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4"/>
        </w:trPr>
        <w:tc>
          <w:tcPr>
            <w:tcW w:w="6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00" w:type="dxa"/>
            <w:vAlign w:val="bottom"/>
          </w:tcPr>
          <w:p>
            <w:pPr>
              <w:ind w:left="2760"/>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187,928</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344,411</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351,506</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178,060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163,049</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95,424</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84,346</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805,823</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732,466</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60" w:type="dxa"/>
            <w:vAlign w:val="bottom"/>
          </w:tcPr>
          <w:p>
            <w:pPr>
              <w:spacing w:after="0"/>
              <w:rPr>
                <w:sz w:val="24"/>
                <w:szCs w:val="2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178,647</w:t>
            </w:r>
          </w:p>
        </w:tc>
        <w:tc>
          <w:tcPr>
            <w:tcW w:w="600" w:type="dxa"/>
            <w:vAlign w:val="bottom"/>
          </w:tcPr>
          <w:p>
            <w:pPr>
              <w:spacing w:after="0"/>
              <w:rPr>
                <w:sz w:val="24"/>
                <w:szCs w:val="2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176,458</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106,896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94,113</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Other long-term assets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50,166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50,129</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Intangible assets,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69,485</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72,151</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462,906</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452,494</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1,673,923</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1,577,811</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LIABILITIES AND EQUITY</w:t>
            </w: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194,012</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172,711</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Other current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46,359</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43,625</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Wages and benefits payable</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82,010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82,346</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Taxes payable</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18,736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Current portion of debt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15,469</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14,063</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Current portion of warranty</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23,500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24,874</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Unearned revenue</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84,705</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64,976</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464,791</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413,046</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Long-term debt</w:t>
            </w:r>
          </w:p>
        </w:tc>
        <w:tc>
          <w:tcPr>
            <w:tcW w:w="460" w:type="dxa"/>
            <w:vAlign w:val="bottom"/>
          </w:tcPr>
          <w:p>
            <w:pPr>
              <w:spacing w:after="0"/>
              <w:rPr>
                <w:sz w:val="24"/>
                <w:szCs w:val="2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288,266</w:t>
            </w:r>
          </w:p>
        </w:tc>
        <w:tc>
          <w:tcPr>
            <w:tcW w:w="600" w:type="dxa"/>
            <w:vAlign w:val="bottom"/>
          </w:tcPr>
          <w:p>
            <w:pPr>
              <w:spacing w:after="0"/>
              <w:rPr>
                <w:sz w:val="24"/>
                <w:szCs w:val="2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290,460</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Long-term warranty</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18,036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18,428</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87,663</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84,498</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3,214</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109,346</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117,953</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971,316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927,458</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Equity</w:t>
            </w: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1,276,298</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1,270,467</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Accumulated other comprehensive loss, net</w:t>
            </w:r>
          </w:p>
        </w:tc>
        <w:tc>
          <w:tcPr>
            <w:tcW w:w="460" w:type="dxa"/>
            <w:vAlign w:val="bottom"/>
          </w:tcPr>
          <w:p>
            <w:pPr>
              <w:spacing w:after="0"/>
              <w:rPr>
                <w:sz w:val="15"/>
                <w:szCs w:val="15"/>
                <w:color w:val="auto"/>
              </w:rPr>
            </w:pPr>
          </w:p>
        </w:tc>
        <w:tc>
          <w:tcPr>
            <w:tcW w:w="1900" w:type="dxa"/>
            <w:vAlign w:val="bottom"/>
          </w:tcPr>
          <w:p>
            <w:pPr>
              <w:jc w:val="right"/>
              <w:ind w:right="188"/>
              <w:spacing w:after="0"/>
              <w:rPr>
                <w:sz w:val="20"/>
                <w:szCs w:val="20"/>
                <w:color w:val="auto"/>
              </w:rPr>
            </w:pPr>
            <w:r>
              <w:rPr>
                <w:rFonts w:ascii="Arial" w:cs="Arial" w:eastAsia="Arial" w:hAnsi="Arial"/>
                <w:sz w:val="14"/>
                <w:szCs w:val="14"/>
                <w:color w:val="auto"/>
              </w:rPr>
              <w:t>(213,618)</w:t>
            </w:r>
          </w:p>
        </w:tc>
        <w:tc>
          <w:tcPr>
            <w:tcW w:w="600" w:type="dxa"/>
            <w:vAlign w:val="bottom"/>
          </w:tcPr>
          <w:p>
            <w:pPr>
              <w:spacing w:after="0"/>
              <w:rPr>
                <w:sz w:val="15"/>
                <w:szCs w:val="15"/>
                <w:color w:val="auto"/>
              </w:rPr>
            </w:pPr>
          </w:p>
        </w:tc>
        <w:tc>
          <w:tcPr>
            <w:tcW w:w="2260" w:type="dxa"/>
            <w:vAlign w:val="bottom"/>
          </w:tcPr>
          <w:p>
            <w:pPr>
              <w:jc w:val="right"/>
              <w:ind w:right="168"/>
              <w:spacing w:after="0"/>
              <w:rPr>
                <w:sz w:val="20"/>
                <w:szCs w:val="20"/>
                <w:color w:val="auto"/>
              </w:rPr>
            </w:pPr>
            <w:r>
              <w:rPr>
                <w:rFonts w:ascii="Arial" w:cs="Arial" w:eastAsia="Arial" w:hAnsi="Arial"/>
                <w:sz w:val="14"/>
                <w:szCs w:val="14"/>
                <w:color w:val="auto"/>
              </w:rPr>
              <w:t>(229,327)</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(379,326)</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(409,536)</w:t>
            </w:r>
          </w:p>
        </w:tc>
        <w:tc>
          <w:tcPr>
            <w:tcW w:w="0" w:type="dxa"/>
            <w:vAlign w:val="bottom"/>
          </w:tcPr>
          <w:p>
            <w:pPr>
              <w:spacing w:after="0"/>
              <w:rPr>
                <w:sz w:val="1"/>
                <w:szCs w:val="1"/>
                <w:color w:val="auto"/>
              </w:rPr>
            </w:pPr>
          </w:p>
        </w:tc>
      </w:tr>
      <w:tr>
        <w:trPr>
          <w:trHeight w:val="164"/>
        </w:trPr>
        <w:tc>
          <w:tcPr>
            <w:tcW w:w="6200" w:type="dxa"/>
            <w:vAlign w:val="bottom"/>
          </w:tcPr>
          <w:p>
            <w:pPr>
              <w:ind w:left="300"/>
              <w:spacing w:after="0"/>
              <w:rPr>
                <w:sz w:val="20"/>
                <w:szCs w:val="20"/>
                <w:color w:val="auto"/>
              </w:rPr>
            </w:pPr>
            <w:r>
              <w:rPr>
                <w:rFonts w:ascii="Arial" w:cs="Arial" w:eastAsia="Arial" w:hAnsi="Arial"/>
                <w:sz w:val="14"/>
                <w:szCs w:val="14"/>
                <w:color w:val="auto"/>
              </w:rPr>
              <w:t>Total Itron, Inc. shareholders' equity</w:t>
            </w:r>
          </w:p>
        </w:tc>
        <w:tc>
          <w:tcPr>
            <w:tcW w:w="460" w:type="dxa"/>
            <w:vAlign w:val="bottom"/>
          </w:tcPr>
          <w:p>
            <w:pPr>
              <w:spacing w:after="0"/>
              <w:rPr>
                <w:sz w:val="14"/>
                <w:szCs w:val="1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683,354</w:t>
            </w:r>
          </w:p>
        </w:tc>
        <w:tc>
          <w:tcPr>
            <w:tcW w:w="600" w:type="dxa"/>
            <w:vAlign w:val="bottom"/>
          </w:tcPr>
          <w:p>
            <w:pPr>
              <w:spacing w:after="0"/>
              <w:rPr>
                <w:sz w:val="14"/>
                <w:szCs w:val="1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631,604</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19,253</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18,749</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702,607</w:t>
            </w:r>
          </w:p>
        </w:tc>
        <w:tc>
          <w:tcPr>
            <w:tcW w:w="6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liabilities and equity</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1,673,923</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1,577,811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left="40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346"/>
        </w:trPr>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16,014</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10,784</w:t>
            </w:r>
          </w:p>
        </w:tc>
      </w:tr>
      <w:tr>
        <w:trPr>
          <w:trHeight w:val="344"/>
        </w:trPr>
        <w:tc>
          <w:tcPr>
            <w:tcW w:w="42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14,378</w:t>
            </w:r>
          </w:p>
        </w:tc>
        <w:tc>
          <w:tcPr>
            <w:tcW w:w="50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16,674</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5,211</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3,900</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266</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276</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882</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4,507</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1,114</w:t>
            </w:r>
          </w:p>
        </w:tc>
      </w:tr>
      <w:tr>
        <w:trPr>
          <w:trHeight w:val="182"/>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946</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66</w:t>
            </w:r>
          </w:p>
        </w:tc>
      </w:tr>
      <w:tr>
        <w:trPr>
          <w:trHeight w:val="344"/>
        </w:trPr>
        <w:tc>
          <w:tcPr>
            <w:tcW w:w="42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13,119</w:t>
            </w:r>
          </w:p>
        </w:tc>
        <w:tc>
          <w:tcPr>
            <w:tcW w:w="50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(33,308)</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(11,274)</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3,244</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(11,169)</w:t>
            </w:r>
          </w:p>
        </w:tc>
        <w:tc>
          <w:tcPr>
            <w:tcW w:w="5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(5,457)</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646</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2,945</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28,277</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10,161</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(1,796)</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9,349</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14,020</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14,343</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(2,303)</w:t>
            </w:r>
          </w:p>
        </w:tc>
        <w:tc>
          <w:tcPr>
            <w:tcW w:w="5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(4,045)</w:t>
            </w:r>
          </w:p>
        </w:tc>
      </w:tr>
      <w:tr>
        <w:trPr>
          <w:trHeight w:val="181"/>
        </w:trPr>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(3,960)</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(748)</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63,257</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33,805</w:t>
            </w:r>
          </w:p>
        </w:tc>
      </w:tr>
      <w:tr>
        <w:trPr>
          <w:trHeight w:val="515"/>
        </w:trPr>
        <w:tc>
          <w:tcPr>
            <w:tcW w:w="420" w:type="dxa"/>
            <w:vAlign w:val="bottom"/>
          </w:tcPr>
          <w:p>
            <w:pPr>
              <w:spacing w:after="0"/>
              <w:rPr>
                <w:sz w:val="24"/>
                <w:szCs w:val="2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(9,122)</w:t>
            </w:r>
          </w:p>
        </w:tc>
        <w:tc>
          <w:tcPr>
            <w:tcW w:w="50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(8,791)</w:t>
            </w:r>
          </w:p>
        </w:tc>
      </w:tr>
      <w:tr>
        <w:trPr>
          <w:trHeight w:val="181"/>
        </w:trPr>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558</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(9,200)</w:t>
            </w:r>
          </w:p>
        </w:tc>
        <w:tc>
          <w:tcPr>
            <w:tcW w:w="5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(8,233)</w:t>
            </w:r>
          </w:p>
        </w:tc>
      </w:tr>
      <w:tr>
        <w:trPr>
          <w:trHeight w:val="515"/>
        </w:trPr>
        <w:tc>
          <w:tcPr>
            <w:tcW w:w="420" w:type="dxa"/>
            <w:vAlign w:val="bottom"/>
          </w:tcPr>
          <w:p>
            <w:pPr>
              <w:spacing w:after="0"/>
              <w:rPr>
                <w:sz w:val="24"/>
                <w:szCs w:val="2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(2,813)</w:t>
            </w:r>
          </w:p>
        </w:tc>
        <w:tc>
          <w:tcPr>
            <w:tcW w:w="50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(23,406)</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405</w:t>
            </w:r>
          </w:p>
        </w:tc>
        <w:tc>
          <w:tcPr>
            <w:tcW w:w="5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660</w:t>
            </w:r>
          </w:p>
        </w:tc>
      </w:tr>
      <w:tr>
        <w:trPr>
          <w:trHeight w:val="181"/>
        </w:trPr>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155</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(2,289)</w:t>
            </w:r>
          </w:p>
        </w:tc>
      </w:tr>
      <w:tr>
        <w:trPr>
          <w:trHeight w:val="176"/>
        </w:trPr>
        <w:tc>
          <w:tcPr>
            <w:tcW w:w="42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(2,253)</w:t>
            </w:r>
          </w:p>
        </w:tc>
        <w:tc>
          <w:tcPr>
            <w:tcW w:w="5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(25,035)</w:t>
            </w:r>
          </w:p>
        </w:tc>
      </w:tr>
      <w:tr>
        <w:trPr>
          <w:trHeight w:val="344"/>
        </w:trPr>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2,559</w:t>
            </w: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1,060</w:t>
            </w:r>
          </w:p>
        </w:tc>
      </w:tr>
      <w:tr>
        <w:trPr>
          <w:trHeight w:val="164"/>
        </w:trPr>
        <w:tc>
          <w:tcPr>
            <w:tcW w:w="4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54,363</w:t>
            </w:r>
          </w:p>
        </w:tc>
        <w:tc>
          <w:tcPr>
            <w:tcW w:w="5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1,597</w:t>
            </w:r>
          </w:p>
        </w:tc>
      </w:tr>
      <w:tr>
        <w:trPr>
          <w:trHeight w:val="181"/>
        </w:trPr>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133,565</w:t>
            </w: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131,018</w:t>
            </w:r>
          </w:p>
        </w:tc>
      </w:tr>
      <w:tr>
        <w:trPr>
          <w:trHeight w:val="169"/>
        </w:trPr>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187,928</w:t>
            </w:r>
          </w:p>
        </w:tc>
        <w:tc>
          <w:tcPr>
            <w:tcW w:w="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132,615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660"/>
            <w:col w:w="3360"/>
          </w:cols>
          <w:pgMar w:left="240" w:top="30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 and operating income calculated in accordance with GAAP.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3" w:name="page14"/>
    <w:bookmarkEnd w:id="13"/>
    <w:p>
      <w:pPr>
        <w:ind w:right="20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acquisitions,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amortization of intangible assets, restructuring, acquisition related expense, goodwill impairment and (c) excluding the tax expense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currency foreign exchange rates.</w:t>
      </w:r>
    </w:p>
    <w:p>
      <w:pPr>
        <w:spacing w:after="0" w:line="15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5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7200" w:type="dxa"/>
            <w:vAlign w:val="bottom"/>
          </w:tcPr>
          <w:p>
            <w:pPr>
              <w:ind w:left="140"/>
              <w:spacing w:after="0"/>
              <w:rPr>
                <w:sz w:val="20"/>
                <w:szCs w:val="20"/>
                <w:color w:val="auto"/>
              </w:rPr>
            </w:pPr>
            <w:r>
              <w:rPr>
                <w:rFonts w:ascii="Arial" w:cs="Arial" w:eastAsia="Arial" w:hAnsi="Arial"/>
                <w:sz w:val="14"/>
                <w:szCs w:val="14"/>
                <w:b w:val="1"/>
                <w:bCs w:val="1"/>
                <w:color w:val="auto"/>
              </w:rPr>
              <w:t>NON-GAAP NET INCOME &amp; DILUTED EPS</w:t>
            </w: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net income attributable to Itron, Inc.</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15,845</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10,089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4,549</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241</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3,052</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333</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(1,834)</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net income attributable to Itron, Inc.</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22,186</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16,831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0" w:type="dxa"/>
            <w:vAlign w:val="bottom"/>
          </w:tcPr>
          <w:p>
            <w:pPr>
              <w:ind w:left="280"/>
              <w:spacing w:after="0"/>
              <w:rPr>
                <w:sz w:val="20"/>
                <w:szCs w:val="20"/>
                <w:color w:val="auto"/>
              </w:rPr>
            </w:pPr>
            <w:r>
              <w:rPr>
                <w:rFonts w:ascii="Arial" w:cs="Arial" w:eastAsia="Arial" w:hAnsi="Arial"/>
                <w:sz w:val="14"/>
                <w:szCs w:val="14"/>
                <w:color w:val="auto"/>
              </w:rPr>
              <w:t>Non-GAAP diluted EPS</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0.57</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 - Diluted</w:t>
            </w:r>
          </w:p>
        </w:tc>
        <w:tc>
          <w:tcPr>
            <w:tcW w:w="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39,215</w:t>
            </w:r>
          </w:p>
        </w:tc>
        <w:tc>
          <w:tcPr>
            <w:tcW w:w="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EBITDA</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net income attributable to Itron, Inc.</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15,845</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10,089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15"/>
                <w:szCs w:val="15"/>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(269)</w:t>
            </w:r>
          </w:p>
        </w:tc>
        <w:tc>
          <w:tcPr>
            <w:tcW w:w="66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2,674</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Income tax provision</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9,047</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8,626</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14,378</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16,674</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3,052</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333</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45,060</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40,276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FREE CASH FLOW</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63,257</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33,805</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(9,122)</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(8,791)</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Free Cash Flow</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54,135</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25,014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operating income</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30,042</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23,574</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4,549</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3,052</w:t>
            </w:r>
          </w:p>
        </w:tc>
        <w:tc>
          <w:tcPr>
            <w:tcW w:w="660" w:type="dxa"/>
            <w:vAlign w:val="bottom"/>
          </w:tcPr>
          <w:p>
            <w:pPr>
              <w:spacing w:after="0"/>
              <w:rPr>
                <w:sz w:val="15"/>
                <w:szCs w:val="15"/>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333</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operating income</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37,976</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32,024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EXPENSES</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tcPr>
          <w:p>
            <w:pPr>
              <w:ind w:left="280"/>
              <w:spacing w:after="0"/>
              <w:rPr>
                <w:sz w:val="20"/>
                <w:szCs w:val="20"/>
                <w:color w:val="auto"/>
              </w:rPr>
            </w:pPr>
            <w:r>
              <w:rPr>
                <w:rFonts w:ascii="Arial" w:cs="Arial" w:eastAsia="Arial" w:hAnsi="Arial"/>
                <w:sz w:val="14"/>
                <w:szCs w:val="14"/>
                <w:color w:val="auto"/>
              </w:rPr>
              <w:t>GAAP operating expenses</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127,183</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139,629</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5"/>
                <w:szCs w:val="15"/>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(4,549)</w:t>
            </w:r>
          </w:p>
        </w:tc>
        <w:tc>
          <w:tcPr>
            <w:tcW w:w="66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76"/>
        </w:trPr>
        <w:tc>
          <w:tcPr>
            <w:tcW w:w="72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540" w:type="dxa"/>
            <w:vAlign w:val="bottom"/>
          </w:tcPr>
          <w:p>
            <w:pPr>
              <w:spacing w:after="0"/>
              <w:rPr>
                <w:sz w:val="15"/>
                <w:szCs w:val="15"/>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(3,052)</w:t>
            </w:r>
          </w:p>
        </w:tc>
        <w:tc>
          <w:tcPr>
            <w:tcW w:w="66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81"/>
        </w:trPr>
        <w:tc>
          <w:tcPr>
            <w:tcW w:w="72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(333)</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7200" w:type="dxa"/>
            <w:vAlign w:val="bottom"/>
          </w:tcPr>
          <w:p>
            <w:pPr>
              <w:ind w:left="280"/>
              <w:spacing w:after="0"/>
              <w:rPr>
                <w:sz w:val="20"/>
                <w:szCs w:val="20"/>
                <w:color w:val="auto"/>
              </w:rPr>
            </w:pPr>
            <w:r>
              <w:rPr>
                <w:rFonts w:ascii="Arial" w:cs="Arial" w:eastAsia="Arial" w:hAnsi="Arial"/>
                <w:sz w:val="14"/>
                <w:szCs w:val="14"/>
                <w:color w:val="auto"/>
              </w:rPr>
              <w:t>Non-GAAP operating expenses</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119,249</w:t>
            </w: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131,179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NON-GAAP OPERATING INCOME - ELECTRICITY</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Electricity - GAAP operating income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16,862</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10,632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48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2,362</w:t>
            </w:r>
          </w:p>
        </w:tc>
        <w:tc>
          <w:tcPr>
            <w:tcW w:w="10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480" w:type="dxa"/>
            <w:vAlign w:val="bottom"/>
          </w:tcPr>
          <w:p>
            <w:pPr>
              <w:spacing w:after="0"/>
              <w:rPr>
                <w:sz w:val="15"/>
                <w:szCs w:val="15"/>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(176)</w:t>
            </w:r>
          </w:p>
        </w:tc>
        <w:tc>
          <w:tcPr>
            <w:tcW w:w="10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500"/>
              <w:spacing w:after="0"/>
              <w:rPr>
                <w:sz w:val="20"/>
                <w:szCs w:val="20"/>
                <w:color w:val="auto"/>
              </w:rPr>
            </w:pPr>
            <w:r>
              <w:rPr>
                <w:rFonts w:ascii="Arial" w:cs="Arial" w:eastAsia="Arial" w:hAnsi="Arial"/>
                <w:sz w:val="14"/>
                <w:szCs w:val="14"/>
                <w:color w:val="auto"/>
              </w:rPr>
              <w:t>Acquisition-related expenses</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80"/>
              <w:spacing w:after="0"/>
              <w:rPr>
                <w:sz w:val="20"/>
                <w:szCs w:val="20"/>
                <w:color w:val="auto"/>
              </w:rPr>
            </w:pPr>
            <w:r>
              <w:rPr>
                <w:rFonts w:ascii="Arial" w:cs="Arial" w:eastAsia="Arial" w:hAnsi="Arial"/>
                <w:sz w:val="14"/>
                <w:szCs w:val="14"/>
                <w:color w:val="auto"/>
              </w:rPr>
              <w:t>Electricity - Non-GAAP operating income</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19,048</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14,413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GAS</w:t>
            </w: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Gas - GAAP operating income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21,256</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16,299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48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1,277</w:t>
            </w:r>
          </w:p>
        </w:tc>
        <w:tc>
          <w:tcPr>
            <w:tcW w:w="10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1,084</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80"/>
              <w:spacing w:after="0"/>
              <w:rPr>
                <w:sz w:val="20"/>
                <w:szCs w:val="20"/>
                <w:color w:val="auto"/>
              </w:rPr>
            </w:pPr>
            <w:r>
              <w:rPr>
                <w:rFonts w:ascii="Arial" w:cs="Arial" w:eastAsia="Arial" w:hAnsi="Arial"/>
                <w:sz w:val="14"/>
                <w:szCs w:val="14"/>
                <w:color w:val="auto"/>
              </w:rPr>
              <w:t>Gas - Non-GAAP operating income</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23,617</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WATER</w:t>
            </w: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Water - GAAP operating income</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8,735</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18,076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48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910</w:t>
            </w:r>
          </w:p>
        </w:tc>
        <w:tc>
          <w:tcPr>
            <w:tcW w:w="10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1,018</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80"/>
              <w:spacing w:after="0"/>
              <w:rPr>
                <w:sz w:val="20"/>
                <w:szCs w:val="20"/>
                <w:color w:val="auto"/>
              </w:rPr>
            </w:pPr>
            <w:r>
              <w:rPr>
                <w:rFonts w:ascii="Arial" w:cs="Arial" w:eastAsia="Arial" w:hAnsi="Arial"/>
                <w:sz w:val="14"/>
                <w:szCs w:val="14"/>
                <w:color w:val="auto"/>
              </w:rPr>
              <w:t>Water - Non-GAAP operating income</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10,663</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19,353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Corporate unallocated - GAAP operating loss</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(16,811)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w w:val="99"/>
              </w:rPr>
              <w:t>(21,433)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48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1,126</w:t>
            </w:r>
          </w:p>
        </w:tc>
        <w:tc>
          <w:tcPr>
            <w:tcW w:w="102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500"/>
              <w:spacing w:after="0"/>
              <w:rPr>
                <w:sz w:val="20"/>
                <w:szCs w:val="20"/>
                <w:color w:val="auto"/>
              </w:rPr>
            </w:pPr>
            <w:r>
              <w:rPr>
                <w:rFonts w:ascii="Arial" w:cs="Arial" w:eastAsia="Arial" w:hAnsi="Arial"/>
                <w:sz w:val="14"/>
                <w:szCs w:val="14"/>
                <w:color w:val="auto"/>
              </w:rPr>
              <w:t>Acquisition-related expenses</w:t>
            </w:r>
          </w:p>
        </w:tc>
        <w:tc>
          <w:tcPr>
            <w:tcW w:w="48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333</w:t>
            </w:r>
          </w:p>
        </w:tc>
        <w:tc>
          <w:tcPr>
            <w:tcW w:w="10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280"/>
              <w:spacing w:after="0"/>
              <w:rPr>
                <w:sz w:val="20"/>
                <w:szCs w:val="20"/>
                <w:color w:val="auto"/>
              </w:rPr>
            </w:pPr>
            <w:r>
              <w:rPr>
                <w:rFonts w:ascii="Arial" w:cs="Arial" w:eastAsia="Arial" w:hAnsi="Arial"/>
                <w:sz w:val="14"/>
                <w:szCs w:val="14"/>
                <w:color w:val="auto"/>
              </w:rPr>
              <w:t>Corporate unallocated - Non-GAAP operating loss</w:t>
            </w:r>
          </w:p>
        </w:tc>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(15,352)</w:t>
            </w:r>
          </w:p>
        </w:tc>
        <w:tc>
          <w:tcPr>
            <w:tcW w:w="102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(20,924)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Rebecca Hussey</w:t>
      </w:r>
    </w:p>
    <w:p>
      <w:pPr>
        <w:spacing w:after="0" w:line="231" w:lineRule="auto"/>
        <w:rPr>
          <w:sz w:val="20"/>
          <w:szCs w:val="20"/>
          <w:color w:val="auto"/>
        </w:rPr>
      </w:pPr>
      <w:r>
        <w:rPr>
          <w:rFonts w:ascii="Arial" w:cs="Arial" w:eastAsia="Arial" w:hAnsi="Arial"/>
          <w:sz w:val="22"/>
          <w:szCs w:val="22"/>
          <w:color w:val="auto"/>
        </w:rPr>
        <w:t>Program Manager, Investor Relations</w:t>
      </w:r>
    </w:p>
    <w:p>
      <w:pPr>
        <w:spacing w:after="0"/>
        <w:rPr>
          <w:sz w:val="20"/>
          <w:szCs w:val="20"/>
          <w:color w:val="auto"/>
        </w:rPr>
      </w:pPr>
      <w:r>
        <w:rPr>
          <w:rFonts w:ascii="Arial" w:cs="Arial" w:eastAsia="Arial" w:hAnsi="Arial"/>
          <w:sz w:val="22"/>
          <w:szCs w:val="22"/>
          <w:color w:val="auto"/>
        </w:rPr>
        <w:t>509-891-3574</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2019-12-05T13:00:47Z</dcterms:created>
  <dcterms:modified xsi:type="dcterms:W3CDTF">2019-12-05T13:00:47Z</dcterms:modified>
</cp:coreProperties>
</file>