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120650</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26035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tbl>
      <w:tblPr>
        <w:tblLayout w:type="fixed"/>
        <w:tblInd w:w="300" w:type="dxa"/>
        <w:tblCellMar>
          <w:top w:w="0" w:type="dxa"/>
          <w:left w:w="0" w:type="dxa"/>
          <w:bottom w:w="0" w:type="dxa"/>
          <w:right w:w="0" w:type="dxa"/>
        </w:tblCellMar>
      </w:tblPr>
      <w:tr>
        <w:trPr>
          <w:trHeight w:val="241"/>
        </w:trPr>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3800" w:type="dxa"/>
            <w:vAlign w:val="bottom"/>
            <w:gridSpan w:val="2"/>
          </w:tcPr>
          <w:p>
            <w:pPr>
              <w:jc w:val="right"/>
              <w:ind w:right="1150"/>
              <w:spacing w:after="0"/>
              <w:rPr>
                <w:sz w:val="20"/>
                <w:szCs w:val="20"/>
                <w:color w:val="auto"/>
              </w:rPr>
            </w:pPr>
            <w:r>
              <w:rPr>
                <w:rFonts w:ascii="Arial" w:cs="Arial" w:eastAsia="Arial" w:hAnsi="Arial"/>
                <w:sz w:val="18"/>
                <w:szCs w:val="18"/>
                <w:b w:val="1"/>
                <w:bCs w:val="1"/>
                <w:color w:val="auto"/>
              </w:rPr>
              <w:t>000-22418</w:t>
            </w:r>
          </w:p>
        </w:tc>
        <w:tc>
          <w:tcPr>
            <w:tcW w:w="378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60" w:type="dxa"/>
            <w:vAlign w:val="bottom"/>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2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6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4"/>
              </w:rPr>
              <w:t>(Commission File No.)</w:t>
            </w:r>
          </w:p>
        </w:tc>
        <w:tc>
          <w:tcPr>
            <w:tcW w:w="54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26035</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34"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26035</wp:posOffset>
            </wp:positionV>
            <wp:extent cx="6877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606425</wp:posOffset>
            </wp:positionV>
            <wp:extent cx="6877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(17 CFR §230.405) or Rule 12b-2 of the Securities Exchange Act of 1934 (17 CFR §240.12b-2).</w:t>
      </w:r>
    </w:p>
    <w:p>
      <w:pPr>
        <w:spacing w:after="0" w:line="151"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18"/>
          <w:szCs w:val="18"/>
          <w:color w:val="auto"/>
        </w:rPr>
        <w:t>☐</w:t>
      </w:r>
    </w:p>
    <w:p>
      <w:pPr>
        <w:spacing w:after="0" w:line="206" w:lineRule="exact"/>
        <w:rPr>
          <w:sz w:val="24"/>
          <w:szCs w:val="24"/>
          <w:color w:val="auto"/>
        </w:rPr>
      </w:pPr>
    </w:p>
    <w:p>
      <w:pPr>
        <w:ind w:right="320"/>
        <w:spacing w:after="0" w:line="264"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8.01 Other Events</w:t>
      </w:r>
    </w:p>
    <w:p>
      <w:pPr>
        <w:spacing w:after="0" w:line="213"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On January 17, 2018, Itron, Inc. (“Itron”) issued a press release announcing the pricing of the previously announced private offering of an additional $100 million aggregate principal amount of its 5.000% senior notes due 2026 (the “Notes”). The Notes will be issued in the offering at an issue price equal to 100.000% of principal, plus accrued interest from December 22, 2017. The Notes will be guaranteed, jointly and severally, on a senior unsecured basis, by certain of Itron’s existing and future domestic subsidiaries. Itron intends to use the net proceeds from the offering of the Notes to refinance existing indebtedness, pay related fees and expenses and for general corporate purposes. There are $300 million 5.000% senior notes due 2026 outstanding as of the date hereof. A copy of the press release is attached hereto as Exhibit 99.1.</w:t>
      </w:r>
    </w:p>
    <w:p>
      <w:pPr>
        <w:spacing w:after="0" w:line="178"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The Notes and the related guarantees will not be registered under the Securities Act of 1933, as amended, or the securities laws of any state or other jurisdiction, and, unless so registered, may not be offered or sold in the United States absent registration or an applicable exemption from registration requirements.</w:t>
      </w:r>
    </w:p>
    <w:p>
      <w:pPr>
        <w:spacing w:after="0" w:line="186"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This report does not constitute an offer to sell, or a solicitation of an offer to buy, any security. No offer, solicitation, or sale will be made in any jurisdiction in which such an offer, solicitation, or sale would be unlawful.</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sectPr>
      </w:pPr>
    </w:p>
    <w:bookmarkStart w:id="2" w:name="page3"/>
    <w:bookmarkEnd w:id="2"/>
    <w:p>
      <w:pPr>
        <w:spacing w:after="0"/>
        <w:tabs>
          <w:tab w:leader="none" w:pos="140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3" w:lineRule="exact"/>
        <w:rPr>
          <w:sz w:val="20"/>
          <w:szCs w:val="20"/>
          <w:color w:val="auto"/>
        </w:rPr>
      </w:pPr>
    </w:p>
    <w:p>
      <w:pPr>
        <w:ind w:left="540" w:hanging="532"/>
        <w:spacing w:after="0"/>
        <w:tabs>
          <w:tab w:leader="none" w:pos="54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40"/>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140"/>
        <w:spacing w:after="0"/>
        <w:tabs>
          <w:tab w:leader="none" w:pos="170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January 17, 2018*</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auto"/>
        </w:rPr>
        <w:t>* This exhibit is intended to be furnished and shall not be deemed filed for purposes of the Exchange Act.</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report may contain “forward-looking” statements, as defined in federal securities laws including the Private Securities Litigation Reform Act of 1995, which are based on our current expectations, estimates, forecasts and projections. Statements that are not historical facts, including statements about beliefs, plans and expectations are forward-looking statements. Statements that include words such as “anticipates”, “expects”, “intends”, “plans”, “predicts”, “believes”, “seeks”, “estimates”, “may”, “will”, “should”, “would”, “potential”, “continue”, “goals”, “targets” and variations of these words (or negatives of these words) or similar expressions of a future or forward-looking nature identify forward-looking statements. In addition, any statements that refer to projections or other characterizations of future events or circumstances, including any underlying assumptions are forward-looking statements. Forward-looking statements are based on current expectations and are subject to a number of risks, factors and uncertainties that could cause actual results to differ materially from those described in the forward-looking statements. Important factors and uncertainties that could cause actual results to differ materially from those described in these forward-looking statements include, without limitation: the parties’ ability to meet expectations regarding the accounting and tax treatments of the Itron Networked Solutions, Inc. (aka Silver Spring Networks, Inc.) merger (the “SSNI Acquisition”); the impact of indebtedness incurred by Itron in connection with the SSNI Acquisition and the potential impact on the rating of indebtedness of Itron; and the effects of the business combination of Itron and Itron Networked Solutions, Inc., including the combined company’s future financial condition, operating results, strategy and plans.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3640" w:type="dxa"/>
            <w:vAlign w:val="bottom"/>
            <w:gridSpan w:val="2"/>
          </w:tcPr>
          <w:p>
            <w:pPr>
              <w:ind w:left="1980"/>
              <w:spacing w:after="0"/>
              <w:rPr>
                <w:sz w:val="20"/>
                <w:szCs w:val="20"/>
                <w:color w:val="auto"/>
              </w:rPr>
            </w:pPr>
            <w:r>
              <w:rPr>
                <w:rFonts w:ascii="Arial" w:cs="Arial" w:eastAsia="Arial" w:hAnsi="Arial"/>
                <w:sz w:val="18"/>
                <w:szCs w:val="18"/>
                <w:color w:val="auto"/>
              </w:rPr>
              <w:t>ITRON, INC.</w:t>
            </w:r>
          </w:p>
        </w:tc>
        <w:tc>
          <w:tcPr>
            <w:tcW w:w="4040" w:type="dxa"/>
            <w:vAlign w:val="bottom"/>
          </w:tcPr>
          <w:p>
            <w:pPr>
              <w:spacing w:after="0"/>
              <w:rPr>
                <w:sz w:val="20"/>
                <w:szCs w:val="20"/>
                <w:color w:val="auto"/>
              </w:rPr>
            </w:pPr>
          </w:p>
        </w:tc>
      </w:tr>
      <w:tr>
        <w:trPr>
          <w:trHeight w:val="493"/>
        </w:trPr>
        <w:tc>
          <w:tcPr>
            <w:tcW w:w="3740" w:type="dxa"/>
            <w:vAlign w:val="bottom"/>
          </w:tcPr>
          <w:p>
            <w:pPr>
              <w:spacing w:after="0"/>
              <w:rPr>
                <w:sz w:val="20"/>
                <w:szCs w:val="20"/>
                <w:color w:val="auto"/>
              </w:rPr>
            </w:pPr>
            <w:r>
              <w:rPr>
                <w:rFonts w:ascii="Arial" w:cs="Arial" w:eastAsia="Arial" w:hAnsi="Arial"/>
                <w:sz w:val="18"/>
                <w:szCs w:val="18"/>
                <w:color w:val="auto"/>
              </w:rPr>
              <w:t>Dated: January 17, 2018</w:t>
            </w:r>
          </w:p>
        </w:tc>
        <w:tc>
          <w:tcPr>
            <w:tcW w:w="3640" w:type="dxa"/>
            <w:vAlign w:val="bottom"/>
            <w:gridSpan w:val="2"/>
          </w:tcPr>
          <w:p>
            <w:pPr>
              <w:ind w:left="1980"/>
              <w:spacing w:after="0"/>
              <w:rPr>
                <w:sz w:val="20"/>
                <w:szCs w:val="20"/>
                <w:color w:val="auto"/>
              </w:rPr>
            </w:pPr>
            <w:r>
              <w:rPr>
                <w:rFonts w:ascii="Arial" w:cs="Arial" w:eastAsia="Arial" w:hAnsi="Arial"/>
                <w:sz w:val="18"/>
                <w:szCs w:val="18"/>
                <w:color w:val="auto"/>
              </w:rPr>
              <w:t>By:</w:t>
            </w:r>
          </w:p>
        </w:tc>
        <w:tc>
          <w:tcPr>
            <w:tcW w:w="4040" w:type="dxa"/>
            <w:vAlign w:val="bottom"/>
          </w:tcPr>
          <w:p>
            <w:pPr>
              <w:jc w:val="center"/>
              <w:ind w:right="1030"/>
              <w:spacing w:after="0"/>
              <w:rPr>
                <w:sz w:val="20"/>
                <w:szCs w:val="20"/>
                <w:color w:val="auto"/>
              </w:rPr>
            </w:pPr>
            <w:r>
              <w:rPr>
                <w:rFonts w:ascii="Arial" w:cs="Arial" w:eastAsia="Arial" w:hAnsi="Arial"/>
                <w:sz w:val="18"/>
                <w:szCs w:val="18"/>
                <w:color w:val="auto"/>
                <w:w w:val="90"/>
              </w:rPr>
              <w:t>/s/ Shannon M. Votava</w:t>
            </w:r>
          </w:p>
        </w:tc>
      </w:tr>
      <w:tr>
        <w:trPr>
          <w:trHeight w:val="230"/>
        </w:trPr>
        <w:tc>
          <w:tcPr>
            <w:tcW w:w="3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40" w:type="dxa"/>
            <w:vAlign w:val="bottom"/>
            <w:tcBorders>
              <w:top w:val="single" w:sz="8" w:color="auto"/>
            </w:tcBorders>
          </w:tcPr>
          <w:p>
            <w:pPr>
              <w:jc w:val="center"/>
              <w:ind w:right="1010"/>
              <w:spacing w:after="0"/>
              <w:rPr>
                <w:sz w:val="20"/>
                <w:szCs w:val="20"/>
                <w:color w:val="auto"/>
              </w:rPr>
            </w:pPr>
            <w:r>
              <w:rPr>
                <w:rFonts w:ascii="Arial" w:cs="Arial" w:eastAsia="Arial" w:hAnsi="Arial"/>
                <w:sz w:val="18"/>
                <w:szCs w:val="18"/>
                <w:color w:val="auto"/>
                <w:w w:val="89"/>
              </w:rPr>
              <w:t>Shannon M. Votava</w:t>
            </w:r>
          </w:p>
        </w:tc>
      </w:tr>
    </w:tbl>
    <w:p>
      <w:pPr>
        <w:spacing w:after="0" w:line="12"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Senior Vice President, General Counsel and Corporate Secretary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Inc. Prices Offering of Additional $100 Million of 5.000% Senior Notes Due 2026</w:t>
      </w:r>
    </w:p>
    <w:p>
      <w:pPr>
        <w:spacing w:after="0" w:line="212"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LIBERTY LAKE, Wash.--(BUSINESS WIRE)--January 17, 2018--Itron, Inc. (Nasdaq: ITRI) (the “Company”) today announced the pricing of the previously announced private offering of $100 million aggregate principal amount of additional 5.000% senior notes due 2026 (the “Notes”). The Notes will be issued in the offering at an issue price equal to 100.000% of principal, plus accrued interest from Dec. 22, 2017. The Notes being offered are additional notes under the indenture pursuant to which the Company issued $300 million aggregate principal amount of its 5.000% senior notes due 2026 on Dec. 22, 2017. The Notes will be treated as a single series with and will have the same terms as, the existing 2026 notes.</w:t>
      </w:r>
    </w:p>
    <w:p>
      <w:pPr>
        <w:spacing w:after="0" w:line="151"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Company intends to use the net proceeds from the offering of the Notes to refinance existing indebtedness, pay related fees and expenses and for general corporate purposes.</w:t>
      </w:r>
    </w:p>
    <w:p>
      <w:pPr>
        <w:spacing w:after="0" w:line="173"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The Notes will be offered in the United States to qualified institutional buyers under Rule 144A under the Securities Act of 1933, as amended (the “Securities Act”) and to persons outside the United States under Regulation S under the Securities Act. The Notes and the related guarantees will not be registered under the Securities Act, or the securities laws of any state or other jurisdiction, and, unless so registered, may not be offered or sold in the United States absent registration or an applicable exemption from registration requirements.</w:t>
      </w:r>
    </w:p>
    <w:p>
      <w:pPr>
        <w:spacing w:after="0" w:line="188"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This press release is for informational purposes only and is neither an offer to buy or sell nor a solicitation of an offer to buy or sell the securities described herein. There shall not be any sale of these securities in any state or other jurisdiction in which such offer, solicitation or sale would be unlawful prior to registration or qualification under the securities laws of any such jurisdiction.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This communication is neither an offer to sell, nor a solicitation of an offer to buy any securities, nor shall there be any sale, issuance or transfer of securities in any jurisdiction in contravention of applicable law. No offer of securities shall be made except by means of a prospectus meeting the requirements of Section 10 of the Securities Act and otherwise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Forward Looking Statements</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communication may contain “forward-looking” statements, as defined in federal securities laws including the Private Securities Litigation Reform Act of 1995, which are based on our current expectations, estimates, forecasts and projections. Statements that are not historical facts, including statements about beliefs, plans and expectations are forward-looking statements. Statements that include words such as “anticipates”, “expects”, “intends”, “plans”, “predicts”, “believes”, “seeks”, “estimates”, “may”, “will”, “should”, “would”, “potential”, “continue”, “goals”, “targets” and variations of these words (or negatives of these words) or similar expressions of a future or forward-looking nature identify forward-looking statements. In addition, any statements that refer to projections or other characterizations of future events or circumstances, including any underlying assumptions are forward-looking statements. Forward-looking statements are based on current expectations and are subject to a number of risks, factors and uncertainties that could cause actual results to differ materially from those described in the forward-looking statements. Important factors and uncertainties that could cause actual results to differ materially from those described in these forward-looking statements include, without limitation: the parties’ ability to meet expectations regarding the accounting and tax treatments of the Itron Networked Solutions, Inc. (aka Silver Spring Networks, Inc.) merger (the “SSNI Acquisition”); the impact of indebtedness incurred by Itron in connection with the SSNI Acquisition and the potential impact on the rating of indebtedness of Itron; and the effects of the business combination of Itron and Itron Networked Solutions, Inc., including the combined company’s future financial condition, operating results, strategy and plans.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88" w:lineRule="exact"/>
        <w:rPr>
          <w:sz w:val="20"/>
          <w:szCs w:val="20"/>
          <w:color w:val="auto"/>
        </w:rPr>
      </w:pPr>
    </w:p>
    <w:p>
      <w:pPr>
        <w:ind w:right="500"/>
        <w:spacing w:after="0" w:line="328" w:lineRule="auto"/>
        <w:rPr>
          <w:sz w:val="20"/>
          <w:szCs w:val="20"/>
          <w:color w:val="auto"/>
        </w:rPr>
      </w:pPr>
      <w:r>
        <w:rPr>
          <w:rFonts w:ascii="Arial" w:cs="Arial" w:eastAsia="Arial" w:hAnsi="Arial"/>
          <w:sz w:val="19"/>
          <w:szCs w:val="19"/>
          <w:color w:val="auto"/>
        </w:rPr>
        <w:t>Itron® is a registered trademark of Itron, Inc. All third party trademarks are property of their respective owners and any usage herein does not suggest or imply any relationship between Itron and the third party unless expressly stated.</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Barbara Doyle</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color w:val="auto"/>
        </w:rPr>
        <w:t>509-891-3443</w:t>
      </w:r>
    </w:p>
    <w:p>
      <w:pPr>
        <w:spacing w:after="0" w:line="230" w:lineRule="auto"/>
        <w:rPr>
          <w:sz w:val="20"/>
          <w:szCs w:val="20"/>
          <w:color w:val="auto"/>
        </w:rPr>
      </w:pPr>
      <w:r>
        <w:rPr>
          <w:rFonts w:ascii="Arial" w:cs="Arial" w:eastAsia="Arial" w:hAnsi="Arial"/>
          <w:sz w:val="22"/>
          <w:szCs w:val="22"/>
          <w:u w:val="single" w:color="auto"/>
          <w:color w:val="auto"/>
        </w:rPr>
        <w:t>barbara.doyle@itron.com</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Rebecca Hussey</w:t>
      </w:r>
    </w:p>
    <w:p>
      <w:pPr>
        <w:spacing w:after="0" w:line="230" w:lineRule="auto"/>
        <w:rPr>
          <w:sz w:val="20"/>
          <w:szCs w:val="20"/>
          <w:color w:val="auto"/>
        </w:rPr>
      </w:pPr>
      <w:r>
        <w:rPr>
          <w:rFonts w:ascii="Arial" w:cs="Arial" w:eastAsia="Arial" w:hAnsi="Arial"/>
          <w:sz w:val="22"/>
          <w:szCs w:val="22"/>
          <w:color w:val="auto"/>
        </w:rPr>
        <w:t>Program Manager, Investor Relations</w:t>
      </w:r>
    </w:p>
    <w:p>
      <w:pPr>
        <w:spacing w:after="0" w:line="231" w:lineRule="auto"/>
        <w:rPr>
          <w:sz w:val="20"/>
          <w:szCs w:val="20"/>
          <w:color w:val="auto"/>
        </w:rPr>
      </w:pPr>
      <w:r>
        <w:rPr>
          <w:rFonts w:ascii="Arial" w:cs="Arial" w:eastAsia="Arial" w:hAnsi="Arial"/>
          <w:sz w:val="22"/>
          <w:szCs w:val="22"/>
          <w:color w:val="auto"/>
        </w:rPr>
        <w:t>509-891-3574</w:t>
      </w:r>
    </w:p>
    <w:p>
      <w:pPr>
        <w:spacing w:after="0"/>
        <w:rPr>
          <w:sz w:val="20"/>
          <w:szCs w:val="20"/>
          <w:color w:val="auto"/>
        </w:rPr>
      </w:pPr>
      <w:r>
        <w:rPr>
          <w:rFonts w:ascii="Arial" w:cs="Arial" w:eastAsia="Arial" w:hAnsi="Arial"/>
          <w:sz w:val="22"/>
          <w:szCs w:val="22"/>
          <w:u w:val="single" w:color="auto"/>
          <w:color w:val="auto"/>
        </w:rPr>
        <w:t>rebecca.hussey@itron.com</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2019-12-29T01:59:52Z</dcterms:created>
  <dcterms:modified xsi:type="dcterms:W3CDTF">2019-12-29T01:59:52Z</dcterms:modified>
</cp:coreProperties>
</file>